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9498" w:type="dxa"/>
        <w:tblLayout w:type="fixed"/>
        <w:tblCellMar>
          <w:left w:w="10" w:type="dxa"/>
          <w:right w:w="10" w:type="dxa"/>
        </w:tblCellMar>
        <w:tblLook w:val="0000" w:firstRow="0" w:lastRow="0" w:firstColumn="0" w:lastColumn="0" w:noHBand="0" w:noVBand="0"/>
      </w:tblPr>
      <w:tblGrid>
        <w:gridCol w:w="2246"/>
        <w:gridCol w:w="3424"/>
        <w:gridCol w:w="1276"/>
        <w:gridCol w:w="2552"/>
      </w:tblGrid>
      <w:tr w:rsidR="009B4233">
        <w:tblPrEx>
          <w:tblCellMar>
            <w:top w:w="0" w:type="dxa"/>
            <w:bottom w:w="0" w:type="dxa"/>
          </w:tblCellMar>
        </w:tblPrEx>
        <w:trPr>
          <w:trHeight w:val="223"/>
        </w:trPr>
        <w:tc>
          <w:tcPr>
            <w:tcW w:w="2246" w:type="dxa"/>
            <w:shd w:val="clear" w:color="auto" w:fill="auto"/>
            <w:tcMar>
              <w:top w:w="0" w:type="dxa"/>
              <w:left w:w="108" w:type="dxa"/>
              <w:bottom w:w="0" w:type="dxa"/>
              <w:right w:w="108" w:type="dxa"/>
            </w:tcMar>
          </w:tcPr>
          <w:p w:rsidR="009B4233" w:rsidRDefault="009B4233">
            <w:pPr>
              <w:pStyle w:val="Ttulo1"/>
              <w:rPr>
                <w:rFonts w:ascii="Arial" w:hAnsi="Arial" w:cs="Arial"/>
                <w:sz w:val="22"/>
                <w:szCs w:val="22"/>
              </w:rPr>
            </w:pPr>
            <w:bookmarkStart w:id="0" w:name="_GoBack"/>
            <w:bookmarkEnd w:id="0"/>
          </w:p>
        </w:tc>
        <w:tc>
          <w:tcPr>
            <w:tcW w:w="3424" w:type="dxa"/>
            <w:shd w:val="clear" w:color="auto" w:fill="auto"/>
            <w:tcMar>
              <w:top w:w="0" w:type="dxa"/>
              <w:left w:w="108" w:type="dxa"/>
              <w:bottom w:w="0" w:type="dxa"/>
              <w:right w:w="108" w:type="dxa"/>
            </w:tcMar>
          </w:tcPr>
          <w:p w:rsidR="009B4233" w:rsidRDefault="009B4233">
            <w:pPr>
              <w:pStyle w:val="Standard"/>
              <w:snapToGrid w:val="0"/>
              <w:rPr>
                <w:rFonts w:ascii="Arial" w:hAnsi="Arial" w:cs="Arial"/>
                <w:sz w:val="22"/>
                <w:szCs w:val="22"/>
              </w:rPr>
            </w:pPr>
          </w:p>
        </w:tc>
        <w:tc>
          <w:tcPr>
            <w:tcW w:w="1276" w:type="dxa"/>
            <w:shd w:val="clear" w:color="auto" w:fill="auto"/>
            <w:tcMar>
              <w:top w:w="0" w:type="dxa"/>
              <w:left w:w="108" w:type="dxa"/>
              <w:bottom w:w="0" w:type="dxa"/>
              <w:right w:w="108" w:type="dxa"/>
            </w:tcMar>
          </w:tcPr>
          <w:p w:rsidR="009B4233" w:rsidRDefault="009B4233">
            <w:pPr>
              <w:pStyle w:val="Standard"/>
              <w:rPr>
                <w:rFonts w:ascii="Arial" w:hAnsi="Arial" w:cs="Arial"/>
                <w:sz w:val="22"/>
                <w:szCs w:val="22"/>
              </w:rPr>
            </w:pPr>
          </w:p>
        </w:tc>
        <w:tc>
          <w:tcPr>
            <w:tcW w:w="2552" w:type="dxa"/>
            <w:shd w:val="clear" w:color="auto" w:fill="auto"/>
            <w:tcMar>
              <w:top w:w="0" w:type="dxa"/>
              <w:left w:w="108" w:type="dxa"/>
              <w:bottom w:w="0" w:type="dxa"/>
              <w:right w:w="108" w:type="dxa"/>
            </w:tcMar>
          </w:tcPr>
          <w:p w:rsidR="009B4233" w:rsidRDefault="009B4233">
            <w:pPr>
              <w:pStyle w:val="Standard"/>
              <w:snapToGrid w:val="0"/>
              <w:rPr>
                <w:rFonts w:ascii="Arial" w:hAnsi="Arial" w:cs="Arial"/>
                <w:sz w:val="22"/>
                <w:szCs w:val="22"/>
              </w:rPr>
            </w:pPr>
          </w:p>
        </w:tc>
      </w:tr>
      <w:tr w:rsidR="009B4233">
        <w:tblPrEx>
          <w:tblCellMar>
            <w:top w:w="0" w:type="dxa"/>
            <w:bottom w:w="0" w:type="dxa"/>
          </w:tblCellMar>
        </w:tblPrEx>
        <w:trPr>
          <w:trHeight w:val="269"/>
        </w:trPr>
        <w:tc>
          <w:tcPr>
            <w:tcW w:w="2246" w:type="dxa"/>
            <w:shd w:val="clear" w:color="auto" w:fill="auto"/>
            <w:tcMar>
              <w:top w:w="0" w:type="dxa"/>
              <w:left w:w="108" w:type="dxa"/>
              <w:bottom w:w="0" w:type="dxa"/>
              <w:right w:w="108" w:type="dxa"/>
            </w:tcMar>
          </w:tcPr>
          <w:p w:rsidR="009B4233" w:rsidRDefault="009B4233">
            <w:pPr>
              <w:pStyle w:val="Standard"/>
              <w:snapToGrid w:val="0"/>
              <w:rPr>
                <w:rFonts w:ascii="Arial" w:hAnsi="Arial" w:cs="Arial"/>
                <w:sz w:val="22"/>
                <w:szCs w:val="22"/>
              </w:rPr>
            </w:pPr>
          </w:p>
        </w:tc>
        <w:tc>
          <w:tcPr>
            <w:tcW w:w="3424" w:type="dxa"/>
            <w:shd w:val="clear" w:color="auto" w:fill="auto"/>
            <w:tcMar>
              <w:top w:w="0" w:type="dxa"/>
              <w:left w:w="108" w:type="dxa"/>
              <w:bottom w:w="0" w:type="dxa"/>
              <w:right w:w="108" w:type="dxa"/>
            </w:tcMar>
          </w:tcPr>
          <w:p w:rsidR="009B4233" w:rsidRDefault="009B4233">
            <w:pPr>
              <w:pStyle w:val="Standard"/>
              <w:snapToGrid w:val="0"/>
              <w:rPr>
                <w:rFonts w:ascii="Arial" w:hAnsi="Arial" w:cs="Arial"/>
                <w:sz w:val="22"/>
                <w:szCs w:val="22"/>
              </w:rPr>
            </w:pPr>
          </w:p>
        </w:tc>
        <w:tc>
          <w:tcPr>
            <w:tcW w:w="1276" w:type="dxa"/>
            <w:shd w:val="clear" w:color="auto" w:fill="auto"/>
            <w:tcMar>
              <w:top w:w="0" w:type="dxa"/>
              <w:left w:w="108" w:type="dxa"/>
              <w:bottom w:w="0" w:type="dxa"/>
              <w:right w:w="108" w:type="dxa"/>
            </w:tcMar>
          </w:tcPr>
          <w:p w:rsidR="009B4233" w:rsidRDefault="009B4233">
            <w:pPr>
              <w:pStyle w:val="Standard"/>
              <w:rPr>
                <w:rFonts w:ascii="Arial" w:hAnsi="Arial" w:cs="Arial"/>
                <w:sz w:val="22"/>
                <w:szCs w:val="22"/>
              </w:rPr>
            </w:pPr>
          </w:p>
        </w:tc>
        <w:tc>
          <w:tcPr>
            <w:tcW w:w="2552" w:type="dxa"/>
            <w:shd w:val="clear" w:color="auto" w:fill="auto"/>
            <w:tcMar>
              <w:top w:w="0" w:type="dxa"/>
              <w:left w:w="108" w:type="dxa"/>
              <w:bottom w:w="0" w:type="dxa"/>
              <w:right w:w="108" w:type="dxa"/>
            </w:tcMar>
          </w:tcPr>
          <w:p w:rsidR="009B4233" w:rsidRDefault="009B4233">
            <w:pPr>
              <w:pStyle w:val="Standard"/>
              <w:snapToGrid w:val="0"/>
              <w:rPr>
                <w:rFonts w:ascii="Arial" w:hAnsi="Arial" w:cs="Arial"/>
                <w:sz w:val="22"/>
                <w:szCs w:val="22"/>
              </w:rPr>
            </w:pPr>
          </w:p>
        </w:tc>
      </w:tr>
      <w:tr w:rsidR="009B4233">
        <w:tblPrEx>
          <w:tblCellMar>
            <w:top w:w="0" w:type="dxa"/>
            <w:bottom w:w="0" w:type="dxa"/>
          </w:tblCellMar>
        </w:tblPrEx>
        <w:trPr>
          <w:trHeight w:val="269"/>
        </w:trPr>
        <w:tc>
          <w:tcPr>
            <w:tcW w:w="2246" w:type="dxa"/>
            <w:shd w:val="clear" w:color="auto" w:fill="auto"/>
            <w:tcMar>
              <w:top w:w="0" w:type="dxa"/>
              <w:left w:w="108" w:type="dxa"/>
              <w:bottom w:w="0" w:type="dxa"/>
              <w:right w:w="108" w:type="dxa"/>
            </w:tcMar>
          </w:tcPr>
          <w:p w:rsidR="009B4233" w:rsidRDefault="009B4233">
            <w:pPr>
              <w:pStyle w:val="Standard"/>
              <w:snapToGrid w:val="0"/>
              <w:jc w:val="center"/>
              <w:rPr>
                <w:rFonts w:ascii="Arial" w:hAnsi="Arial" w:cs="Arial"/>
                <w:sz w:val="22"/>
                <w:szCs w:val="22"/>
              </w:rPr>
            </w:pPr>
          </w:p>
        </w:tc>
        <w:tc>
          <w:tcPr>
            <w:tcW w:w="3424" w:type="dxa"/>
            <w:shd w:val="clear" w:color="auto" w:fill="auto"/>
            <w:tcMar>
              <w:top w:w="0" w:type="dxa"/>
              <w:left w:w="108" w:type="dxa"/>
              <w:bottom w:w="0" w:type="dxa"/>
              <w:right w:w="108" w:type="dxa"/>
            </w:tcMar>
          </w:tcPr>
          <w:p w:rsidR="009B4233" w:rsidRDefault="006B08B9">
            <w:pPr>
              <w:pStyle w:val="Standard"/>
              <w:snapToGrid w:val="0"/>
              <w:jc w:val="center"/>
              <w:rPr>
                <w:rFonts w:ascii="Arial" w:hAnsi="Arial" w:cs="Arial"/>
                <w:b/>
                <w:sz w:val="22"/>
                <w:szCs w:val="22"/>
              </w:rPr>
            </w:pPr>
            <w:r>
              <w:rPr>
                <w:rFonts w:ascii="Arial" w:hAnsi="Arial" w:cs="Arial"/>
                <w:b/>
                <w:sz w:val="22"/>
                <w:szCs w:val="22"/>
              </w:rPr>
              <w:t xml:space="preserve">                   ACTA</w:t>
            </w:r>
          </w:p>
        </w:tc>
        <w:tc>
          <w:tcPr>
            <w:tcW w:w="1276" w:type="dxa"/>
            <w:shd w:val="clear" w:color="auto" w:fill="auto"/>
            <w:tcMar>
              <w:top w:w="0" w:type="dxa"/>
              <w:left w:w="108" w:type="dxa"/>
              <w:bottom w:w="0" w:type="dxa"/>
              <w:right w:w="108" w:type="dxa"/>
            </w:tcMar>
          </w:tcPr>
          <w:p w:rsidR="009B4233" w:rsidRDefault="009B4233">
            <w:pPr>
              <w:pStyle w:val="Standard"/>
              <w:rPr>
                <w:rFonts w:ascii="Arial" w:hAnsi="Arial" w:cs="Arial"/>
                <w:sz w:val="22"/>
                <w:szCs w:val="22"/>
              </w:rPr>
            </w:pPr>
          </w:p>
        </w:tc>
        <w:tc>
          <w:tcPr>
            <w:tcW w:w="2552" w:type="dxa"/>
            <w:shd w:val="clear" w:color="auto" w:fill="auto"/>
            <w:tcMar>
              <w:top w:w="0" w:type="dxa"/>
              <w:left w:w="108" w:type="dxa"/>
              <w:bottom w:w="0" w:type="dxa"/>
              <w:right w:w="108" w:type="dxa"/>
            </w:tcMar>
          </w:tcPr>
          <w:p w:rsidR="009B4233" w:rsidRDefault="009B4233">
            <w:pPr>
              <w:pStyle w:val="Standard"/>
              <w:snapToGrid w:val="0"/>
              <w:rPr>
                <w:rFonts w:ascii="Arial" w:hAnsi="Arial" w:cs="Arial"/>
                <w:sz w:val="22"/>
                <w:szCs w:val="22"/>
              </w:rPr>
            </w:pPr>
          </w:p>
        </w:tc>
      </w:tr>
    </w:tbl>
    <w:p w:rsidR="009B4233" w:rsidRDefault="006B08B9">
      <w:pPr>
        <w:pStyle w:val="Standard"/>
      </w:pPr>
      <w:r>
        <w:rPr>
          <w:rFonts w:ascii="Arial" w:hAnsi="Arial" w:cs="Arial"/>
          <w:noProof/>
          <w:sz w:val="22"/>
          <w:szCs w:val="22"/>
          <w:lang w:eastAsia="es-ES"/>
        </w:rPr>
        <mc:AlternateContent>
          <mc:Choice Requires="wps">
            <w:drawing>
              <wp:anchor distT="0" distB="0" distL="114300" distR="114300" simplePos="0" relativeHeight="251651584" behindDoc="0" locked="0" layoutInCell="1" allowOverlap="1">
                <wp:simplePos x="0" y="0"/>
                <wp:positionH relativeFrom="column">
                  <wp:posOffset>4315</wp:posOffset>
                </wp:positionH>
                <wp:positionV relativeFrom="paragraph">
                  <wp:posOffset>118076</wp:posOffset>
                </wp:positionV>
                <wp:extent cx="6057900" cy="0"/>
                <wp:effectExtent l="19050" t="19050" r="38100" b="38100"/>
                <wp:wrapNone/>
                <wp:docPr id="12" name="Conector recto 9"/>
                <wp:cNvGraphicFramePr/>
                <a:graphic xmlns:a="http://schemas.openxmlformats.org/drawingml/2006/main">
                  <a:graphicData uri="http://schemas.microsoft.com/office/word/2010/wordprocessingShape">
                    <wps:wsp>
                      <wps:cNvCnPr/>
                      <wps:spPr>
                        <a:xfrm>
                          <a:off x="0" y="0"/>
                          <a:ext cx="6057900" cy="0"/>
                        </a:xfrm>
                        <a:prstGeom prst="straightConnector1">
                          <a:avLst/>
                        </a:prstGeom>
                        <a:noFill/>
                        <a:ln w="25557" cap="sq">
                          <a:solidFill>
                            <a:srgbClr val="993366"/>
                          </a:solidFill>
                          <a:prstDash val="solid"/>
                          <a:miter/>
                        </a:ln>
                      </wps:spPr>
                      <wps:bodyPr/>
                    </wps:wsp>
                  </a:graphicData>
                </a:graphic>
              </wp:anchor>
            </w:drawing>
          </mc:Choice>
          <mc:Fallback>
            <w:pict>
              <v:shapetype w14:anchorId="57DCCBF5" id="_x0000_t32" coordsize="21600,21600" o:spt="32" o:oned="t" path="m,l21600,21600e" filled="f">
                <v:path arrowok="t" fillok="f" o:connecttype="none"/>
                <o:lock v:ext="edit" shapetype="t"/>
              </v:shapetype>
              <v:shape id="Conector recto 9" o:spid="_x0000_s1026" type="#_x0000_t32" style="position:absolute;margin-left:.35pt;margin-top:9.3pt;width:477pt;height:0;z-index:2516515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" strokecolor="#936" strokeweight=".70992mm">
                <v:stroke joinstyle="miter" endcap="square"/>
              </v:shape>
            </w:pict>
          </mc:Fallback>
        </mc:AlternateContent>
      </w:r>
    </w:p>
    <w:p w:rsidR="009B4233" w:rsidRDefault="009B4233">
      <w:pPr>
        <w:pStyle w:val="Standard"/>
        <w:jc w:val="center"/>
        <w:rPr>
          <w:rFonts w:ascii="Arial" w:hAnsi="Arial" w:cs="Arial"/>
          <w:b/>
          <w:bCs/>
          <w:sz w:val="22"/>
          <w:szCs w:val="22"/>
          <w:lang w:val="fr-FR"/>
        </w:rPr>
      </w:pPr>
    </w:p>
    <w:p w:rsidR="009B4233" w:rsidRDefault="009B4233">
      <w:pPr>
        <w:pStyle w:val="Standard"/>
        <w:jc w:val="center"/>
        <w:rPr>
          <w:rFonts w:ascii="Arial" w:hAnsi="Arial" w:cs="Arial"/>
          <w:b/>
          <w:bCs/>
          <w:sz w:val="22"/>
          <w:szCs w:val="22"/>
          <w:lang w:val="fr-FR"/>
        </w:rPr>
      </w:pPr>
    </w:p>
    <w:p w:rsidR="009B4233" w:rsidRDefault="006B08B9">
      <w:pPr>
        <w:pStyle w:val="Standard"/>
        <w:jc w:val="center"/>
        <w:rPr>
          <w:rFonts w:ascii="Arial" w:hAnsi="Arial" w:cs="Arial"/>
          <w:b/>
          <w:bCs/>
          <w:sz w:val="22"/>
          <w:szCs w:val="22"/>
        </w:rPr>
      </w:pPr>
      <w:r>
        <w:rPr>
          <w:rFonts w:ascii="Arial" w:hAnsi="Arial" w:cs="Arial"/>
          <w:b/>
          <w:bCs/>
          <w:sz w:val="22"/>
          <w:szCs w:val="22"/>
        </w:rPr>
        <w:t>DE LA SESIÓN ORDINARIA CELEBRADA POR EL AYUNTAMIENTO</w:t>
      </w:r>
    </w:p>
    <w:p w:rsidR="009B4233" w:rsidRDefault="006B08B9">
      <w:pPr>
        <w:pStyle w:val="Standard"/>
        <w:jc w:val="center"/>
        <w:rPr>
          <w:rFonts w:ascii="Arial" w:hAnsi="Arial" w:cs="Arial"/>
          <w:b/>
          <w:bCs/>
          <w:sz w:val="22"/>
          <w:szCs w:val="22"/>
        </w:rPr>
      </w:pPr>
      <w:r>
        <w:rPr>
          <w:rFonts w:ascii="Arial" w:hAnsi="Arial" w:cs="Arial"/>
          <w:b/>
          <w:bCs/>
          <w:sz w:val="22"/>
          <w:szCs w:val="22"/>
        </w:rPr>
        <w:t>PLENO</w:t>
      </w:r>
    </w:p>
    <w:p w:rsidR="009B4233" w:rsidRDefault="006B08B9">
      <w:pPr>
        <w:pStyle w:val="Standard"/>
        <w:jc w:val="center"/>
        <w:rPr>
          <w:rFonts w:ascii="Arial" w:hAnsi="Arial" w:cs="Arial"/>
          <w:b/>
          <w:bCs/>
          <w:sz w:val="22"/>
          <w:szCs w:val="22"/>
        </w:rPr>
      </w:pPr>
      <w:r>
        <w:rPr>
          <w:rFonts w:ascii="Arial" w:hAnsi="Arial" w:cs="Arial"/>
          <w:b/>
          <w:bCs/>
          <w:sz w:val="22"/>
          <w:szCs w:val="22"/>
        </w:rPr>
        <w:t>EL DÍA 25 DE SEPTIEMBRE DE 2025. SESIÓN Nº14/2025</w:t>
      </w:r>
    </w:p>
    <w:p w:rsidR="009B4233" w:rsidRDefault="009B4233">
      <w:pPr>
        <w:pStyle w:val="Standard"/>
        <w:jc w:val="center"/>
        <w:rPr>
          <w:rFonts w:ascii="Arial" w:hAnsi="Arial" w:cs="Arial"/>
          <w:sz w:val="22"/>
          <w:szCs w:val="22"/>
        </w:rPr>
      </w:pPr>
    </w:p>
    <w:p w:rsidR="009B4233" w:rsidRDefault="006B08B9">
      <w:r>
        <w:rPr>
          <w:rFonts w:ascii="Arial" w:eastAsia="Times New Roman" w:hAnsi="Arial" w:cs="Arial"/>
          <w:sz w:val="22"/>
          <w:szCs w:val="22"/>
          <w:lang w:bidi="ar-SA"/>
        </w:rPr>
        <w:tab/>
      </w:r>
      <w:r>
        <w:rPr>
          <w:rFonts w:ascii="Arial" w:eastAsia="Times New Roman" w:hAnsi="Arial" w:cs="Arial"/>
          <w:sz w:val="22"/>
          <w:szCs w:val="22"/>
          <w:lang w:bidi="ar-SA"/>
        </w:rPr>
        <w:tab/>
      </w:r>
    </w:p>
    <w:p w:rsidR="00000000" w:rsidRDefault="006B08B9">
      <w:pPr>
        <w:rPr>
          <w:rFonts w:cs="Mangal"/>
          <w:szCs w:val="21"/>
        </w:rPr>
        <w:sectPr w:rsidR="00000000">
          <w:headerReference w:type="default" r:id="rId7"/>
          <w:footerReference w:type="default" r:id="rId8"/>
          <w:headerReference w:type="first" r:id="rId9"/>
          <w:footerReference w:type="first" r:id="rId10"/>
          <w:pgSz w:w="11906" w:h="16838"/>
          <w:pgMar w:top="2835" w:right="924" w:bottom="1644" w:left="1418" w:header="692" w:footer="567" w:gutter="0"/>
          <w:cols w:space="720"/>
          <w:titlePg/>
        </w:sectPr>
      </w:pPr>
    </w:p>
    <w:p w:rsidR="009B4233" w:rsidRDefault="006B08B9">
      <w:pPr>
        <w:pStyle w:val="Standard"/>
        <w:jc w:val="center"/>
        <w:rPr>
          <w:rFonts w:ascii="Arial" w:hAnsi="Arial" w:cs="Arial"/>
          <w:b/>
          <w:bCs/>
          <w:sz w:val="22"/>
          <w:szCs w:val="22"/>
        </w:rPr>
      </w:pPr>
      <w:r>
        <w:rPr>
          <w:rFonts w:ascii="Arial" w:hAnsi="Arial" w:cs="Arial"/>
          <w:b/>
          <w:bCs/>
          <w:sz w:val="22"/>
          <w:szCs w:val="22"/>
        </w:rPr>
        <w:lastRenderedPageBreak/>
        <w:t>SEÑORES ASISTENTES:</w:t>
      </w:r>
    </w:p>
    <w:p w:rsidR="009B4233" w:rsidRDefault="009B4233">
      <w:pPr>
        <w:pStyle w:val="Standard"/>
        <w:ind w:right="3931"/>
        <w:jc w:val="center"/>
        <w:rPr>
          <w:rFonts w:ascii="Arial" w:hAnsi="Arial" w:cs="Arial"/>
          <w:b/>
          <w:bCs/>
          <w:sz w:val="22"/>
          <w:szCs w:val="22"/>
        </w:rPr>
      </w:pPr>
    </w:p>
    <w:p w:rsidR="009B4233" w:rsidRDefault="009B4233">
      <w:pPr>
        <w:pStyle w:val="Standard"/>
        <w:ind w:right="3931"/>
        <w:jc w:val="center"/>
        <w:rPr>
          <w:rFonts w:ascii="Arial" w:hAnsi="Arial" w:cs="Arial"/>
          <w:b/>
          <w:bCs/>
          <w:sz w:val="22"/>
          <w:szCs w:val="22"/>
        </w:rPr>
      </w:pPr>
    </w:p>
    <w:p w:rsidR="009B4233" w:rsidRDefault="006B08B9">
      <w:pPr>
        <w:pStyle w:val="Standard"/>
        <w:ind w:right="-4857"/>
      </w:pPr>
      <w:r>
        <w:rPr>
          <w:rFonts w:ascii="Arial" w:hAnsi="Arial" w:cs="Arial"/>
          <w:b/>
          <w:bCs/>
          <w:sz w:val="22"/>
          <w:szCs w:val="22"/>
        </w:rPr>
        <w:t xml:space="preserve">                                        Alcaldesa-Presidenta: </w:t>
      </w:r>
      <w:r>
        <w:rPr>
          <w:rFonts w:ascii="Arial" w:hAnsi="Arial" w:cs="Arial"/>
          <w:sz w:val="22"/>
          <w:szCs w:val="22"/>
        </w:rPr>
        <w:t>Dª María Concepción Brito Núñez</w:t>
      </w:r>
    </w:p>
    <w:p w:rsidR="009B4233" w:rsidRDefault="009B4233">
      <w:pPr>
        <w:pStyle w:val="Standard"/>
        <w:jc w:val="both"/>
        <w:rPr>
          <w:rFonts w:ascii="Arial" w:hAnsi="Arial" w:cs="Arial"/>
          <w:b/>
          <w:sz w:val="22"/>
          <w:szCs w:val="22"/>
        </w:rPr>
      </w:pPr>
    </w:p>
    <w:p w:rsidR="009B4233" w:rsidRDefault="006B08B9">
      <w:pPr>
        <w:pStyle w:val="Heading"/>
        <w:jc w:val="both"/>
      </w:pPr>
      <w:r>
        <w:rPr>
          <w:rFonts w:cs="Arial"/>
          <w:b/>
          <w:sz w:val="22"/>
          <w:szCs w:val="22"/>
        </w:rPr>
        <w:t xml:space="preserve">              -Grupo Socialista</w:t>
      </w:r>
      <w:r>
        <w:rPr>
          <w:rFonts w:cs="Arial"/>
          <w:sz w:val="22"/>
          <w:szCs w:val="22"/>
        </w:rPr>
        <w:t xml:space="preserve">: Don Jorge Baute Delgado, Don José Francisco Pinto Ramos, Doña Olivia Concepción Pérez Díaz, Don Reinaldo José Triviño Blanco, </w:t>
      </w:r>
      <w:r>
        <w:rPr>
          <w:rFonts w:cs="Arial"/>
          <w:sz w:val="22"/>
          <w:szCs w:val="22"/>
        </w:rPr>
        <w:t>Don Manuel Alberto González Pestano, Doña Margarita Eva Tendero Barroso, Don Airam Pérez Chinea, Doña María del Carmen Clemente Díaz, Don Olegario Francisco Alonso Bello, Doña Mónica Monserrat Yanes Delgado.</w:t>
      </w:r>
    </w:p>
    <w:p w:rsidR="009B4233" w:rsidRDefault="009B4233">
      <w:pPr>
        <w:pStyle w:val="Standard"/>
        <w:jc w:val="both"/>
        <w:rPr>
          <w:rFonts w:ascii="Arial" w:hAnsi="Arial" w:cs="Arial"/>
          <w:sz w:val="22"/>
          <w:szCs w:val="22"/>
        </w:rPr>
      </w:pPr>
    </w:p>
    <w:p w:rsidR="009B4233" w:rsidRDefault="006B08B9">
      <w:pPr>
        <w:ind w:firstLine="708"/>
        <w:jc w:val="both"/>
      </w:pPr>
      <w:r>
        <w:rPr>
          <w:rFonts w:ascii="Arial" w:hAnsi="Arial" w:cs="Arial"/>
          <w:b/>
          <w:sz w:val="22"/>
          <w:szCs w:val="22"/>
        </w:rPr>
        <w:t xml:space="preserve">-Grupo Popular: </w:t>
      </w:r>
      <w:r>
        <w:rPr>
          <w:rFonts w:ascii="Arial" w:hAnsi="Arial" w:cs="Arial"/>
          <w:sz w:val="22"/>
          <w:szCs w:val="22"/>
        </w:rPr>
        <w:t>Don Jacobo López Fariña, Don Mi</w:t>
      </w:r>
      <w:r>
        <w:rPr>
          <w:rFonts w:ascii="Arial" w:hAnsi="Arial" w:cs="Arial"/>
          <w:sz w:val="22"/>
          <w:szCs w:val="22"/>
        </w:rPr>
        <w:t xml:space="preserve">guel Eduardo Hernández Chitty, Doña María Carlota Díaz González, Don José Daniel Sosa González, y Doña Shaila Castellano Batista. </w:t>
      </w:r>
    </w:p>
    <w:p w:rsidR="009B4233" w:rsidRDefault="009B4233">
      <w:pPr>
        <w:pStyle w:val="Standard"/>
        <w:ind w:firstLine="708"/>
        <w:jc w:val="both"/>
        <w:rPr>
          <w:rFonts w:ascii="Arial" w:hAnsi="Arial" w:cs="Arial"/>
          <w:sz w:val="22"/>
          <w:szCs w:val="22"/>
        </w:rPr>
      </w:pPr>
    </w:p>
    <w:p w:rsidR="009B4233" w:rsidRDefault="006B08B9">
      <w:pPr>
        <w:ind w:firstLine="708"/>
        <w:jc w:val="both"/>
      </w:pPr>
      <w:r>
        <w:rPr>
          <w:rFonts w:ascii="Arial" w:hAnsi="Arial" w:cs="Arial"/>
          <w:b/>
          <w:sz w:val="22"/>
          <w:szCs w:val="22"/>
        </w:rPr>
        <w:t xml:space="preserve"> -Grupo Mixto:</w:t>
      </w:r>
      <w:r>
        <w:rPr>
          <w:rFonts w:ascii="Arial" w:hAnsi="Arial" w:cs="Arial"/>
          <w:sz w:val="22"/>
          <w:szCs w:val="22"/>
        </w:rPr>
        <w:t xml:space="preserve"> Doña Ángela Cruz Perera y Don José Yeray Padilla Cruz (CC), Don José Tortosa Pallarés (VOX) y Doña Violeta Ló</w:t>
      </w:r>
      <w:r>
        <w:rPr>
          <w:rFonts w:ascii="Arial" w:hAnsi="Arial" w:cs="Arial"/>
          <w:sz w:val="22"/>
          <w:szCs w:val="22"/>
        </w:rPr>
        <w:t>pez Jiménez (USP).</w:t>
      </w:r>
    </w:p>
    <w:p w:rsidR="009B4233" w:rsidRDefault="009B4233">
      <w:pPr>
        <w:pStyle w:val="Textoindependiente"/>
        <w:jc w:val="both"/>
        <w:rPr>
          <w:rFonts w:cs="Arial"/>
          <w:szCs w:val="22"/>
        </w:rPr>
      </w:pPr>
    </w:p>
    <w:p w:rsidR="009B4233" w:rsidRDefault="009B4233">
      <w:pPr>
        <w:jc w:val="both"/>
        <w:rPr>
          <w:rFonts w:ascii="Arial" w:hAnsi="Arial" w:cs="Arial"/>
          <w:sz w:val="22"/>
          <w:szCs w:val="22"/>
        </w:rPr>
      </w:pPr>
    </w:p>
    <w:p w:rsidR="009B4233" w:rsidRDefault="006B08B9">
      <w:pPr>
        <w:pStyle w:val="Standard"/>
        <w:jc w:val="both"/>
      </w:pPr>
      <w:r>
        <w:rPr>
          <w:rFonts w:ascii="Arial" w:hAnsi="Arial" w:cs="Arial"/>
          <w:b/>
          <w:bCs/>
          <w:sz w:val="22"/>
          <w:szCs w:val="22"/>
        </w:rPr>
        <w:t xml:space="preserve">                -Secretario General: </w:t>
      </w:r>
      <w:r>
        <w:rPr>
          <w:rFonts w:ascii="Arial" w:hAnsi="Arial" w:cs="Arial"/>
          <w:bCs/>
          <w:sz w:val="22"/>
          <w:szCs w:val="22"/>
        </w:rPr>
        <w:t>D.</w:t>
      </w:r>
      <w:r>
        <w:rPr>
          <w:rFonts w:ascii="Arial" w:hAnsi="Arial" w:cs="Arial"/>
          <w:sz w:val="22"/>
          <w:szCs w:val="22"/>
        </w:rPr>
        <w:t xml:space="preserve"> Octavio Manuel Fernández Hernández.</w:t>
      </w:r>
    </w:p>
    <w:p w:rsidR="009B4233" w:rsidRDefault="009B4233">
      <w:pPr>
        <w:pStyle w:val="Standard"/>
        <w:jc w:val="both"/>
        <w:rPr>
          <w:rFonts w:ascii="Arial" w:hAnsi="Arial" w:cs="Arial"/>
          <w:sz w:val="22"/>
          <w:szCs w:val="22"/>
        </w:rPr>
      </w:pPr>
    </w:p>
    <w:p w:rsidR="009B4233" w:rsidRDefault="006B08B9">
      <w:pPr>
        <w:pStyle w:val="Standard"/>
        <w:jc w:val="both"/>
      </w:pPr>
      <w:r>
        <w:rPr>
          <w:rFonts w:ascii="Arial" w:hAnsi="Arial" w:cs="Arial"/>
          <w:b/>
          <w:sz w:val="22"/>
          <w:szCs w:val="22"/>
        </w:rPr>
        <w:t xml:space="preserve">                -Interventor:  </w:t>
      </w:r>
      <w:r>
        <w:rPr>
          <w:rFonts w:ascii="Arial" w:hAnsi="Arial" w:cs="Arial"/>
          <w:sz w:val="22"/>
          <w:szCs w:val="22"/>
        </w:rPr>
        <w:t>D. Nicolás Rojo Garnica.</w:t>
      </w:r>
    </w:p>
    <w:p w:rsidR="009B4233" w:rsidRDefault="009B4233">
      <w:pPr>
        <w:pStyle w:val="Standard"/>
        <w:jc w:val="both"/>
        <w:rPr>
          <w:rFonts w:ascii="Arial" w:hAnsi="Arial" w:cs="Arial"/>
          <w:sz w:val="22"/>
          <w:szCs w:val="22"/>
        </w:rPr>
      </w:pPr>
    </w:p>
    <w:p w:rsidR="009B4233" w:rsidRDefault="006B08B9">
      <w:pPr>
        <w:pStyle w:val="Standard"/>
        <w:ind w:firstLine="708"/>
        <w:jc w:val="both"/>
        <w:rPr>
          <w:rFonts w:ascii="Arial" w:hAnsi="Arial" w:cs="Arial"/>
          <w:sz w:val="22"/>
          <w:szCs w:val="22"/>
        </w:rPr>
      </w:pPr>
      <w:r>
        <w:rPr>
          <w:rFonts w:ascii="Arial" w:hAnsi="Arial" w:cs="Arial"/>
          <w:sz w:val="22"/>
          <w:szCs w:val="22"/>
        </w:rPr>
        <w:t>En Candelaria, a 25 de septiembre de dos mil veinticinco, siendo las 9:00 horas, se constituyó el Ayu</w:t>
      </w:r>
      <w:r>
        <w:rPr>
          <w:rFonts w:ascii="Arial" w:hAnsi="Arial" w:cs="Arial"/>
          <w:sz w:val="22"/>
          <w:szCs w:val="22"/>
        </w:rPr>
        <w:t>ntamiento Pleno en el Salón de Sesiones de la Casa Consistorial con asistencia de los Sres. Concejales expresados al margen, y al objeto de celebrar sesión ordinaria para tratar los asuntos comprendidos en el orden del día de la convocatoria.</w:t>
      </w:r>
    </w:p>
    <w:p w:rsidR="009B4233" w:rsidRDefault="009B4233">
      <w:pPr>
        <w:pStyle w:val="Standard"/>
        <w:jc w:val="both"/>
        <w:rPr>
          <w:rFonts w:ascii="Arial" w:hAnsi="Arial" w:cs="Arial"/>
          <w:b/>
          <w:bCs/>
          <w:sz w:val="22"/>
          <w:szCs w:val="22"/>
          <w:lang w:val="fr-FR"/>
        </w:rPr>
      </w:pPr>
    </w:p>
    <w:p w:rsidR="009B4233" w:rsidRDefault="009B4233">
      <w:pPr>
        <w:pStyle w:val="Standard"/>
        <w:ind w:left="3962"/>
        <w:jc w:val="both"/>
        <w:rPr>
          <w:rFonts w:ascii="Arial" w:hAnsi="Arial" w:cs="Arial"/>
          <w:sz w:val="22"/>
          <w:szCs w:val="22"/>
        </w:rPr>
      </w:pPr>
    </w:p>
    <w:p w:rsidR="009B4233" w:rsidRDefault="006B08B9">
      <w:pPr>
        <w:pStyle w:val="Standard"/>
        <w:jc w:val="both"/>
        <w:rPr>
          <w:rFonts w:ascii="Arial" w:hAnsi="Arial" w:cs="Arial"/>
          <w:sz w:val="22"/>
          <w:szCs w:val="22"/>
        </w:rPr>
      </w:pPr>
      <w:r>
        <w:rPr>
          <w:rFonts w:ascii="Arial" w:hAnsi="Arial" w:cs="Arial"/>
          <w:sz w:val="22"/>
          <w:szCs w:val="22"/>
        </w:rPr>
        <w:br w:type="column"/>
      </w:r>
    </w:p>
    <w:p w:rsidR="009B4233" w:rsidRDefault="006B08B9">
      <w:pPr>
        <w:pStyle w:val="Standard"/>
        <w:jc w:val="center"/>
        <w:rPr>
          <w:rFonts w:ascii="Arial" w:hAnsi="Arial" w:cs="Arial"/>
          <w:b/>
          <w:sz w:val="22"/>
          <w:szCs w:val="22"/>
        </w:rPr>
      </w:pPr>
      <w:r>
        <w:rPr>
          <w:rFonts w:ascii="Arial" w:hAnsi="Arial" w:cs="Arial"/>
          <w:b/>
          <w:sz w:val="22"/>
          <w:szCs w:val="22"/>
        </w:rPr>
        <w:t>ORDEN DEL</w:t>
      </w:r>
      <w:r>
        <w:rPr>
          <w:rFonts w:ascii="Arial" w:hAnsi="Arial" w:cs="Arial"/>
          <w:b/>
          <w:sz w:val="22"/>
          <w:szCs w:val="22"/>
        </w:rPr>
        <w:t xml:space="preserve"> DÍA</w:t>
      </w:r>
    </w:p>
    <w:p w:rsidR="009B4233" w:rsidRDefault="006B08B9">
      <w:pPr>
        <w:widowControl/>
        <w:suppressAutoHyphens w:val="0"/>
        <w:autoSpaceDE w:val="0"/>
        <w:jc w:val="both"/>
        <w:textAlignment w:val="auto"/>
      </w:pPr>
      <w:r>
        <w:rPr>
          <w:rFonts w:ascii="Arial" w:hAnsi="Arial" w:cs="Arial"/>
          <w:b/>
          <w:bCs/>
          <w:kern w:val="0"/>
          <w:sz w:val="22"/>
          <w:szCs w:val="22"/>
          <w:lang w:bidi="ar-SA"/>
        </w:rPr>
        <w:t xml:space="preserve">El debate íntegro de la sesión del pleno está disponible en el siguiente enlace que es </w:t>
      </w:r>
      <w:r>
        <w:rPr>
          <w:rFonts w:ascii="Arial" w:hAnsi="Arial" w:cs="Arial"/>
          <w:b/>
          <w:bCs/>
          <w:kern w:val="0"/>
          <w:sz w:val="22"/>
          <w:szCs w:val="22"/>
        </w:rPr>
        <w:t>el video-acta:</w:t>
      </w:r>
    </w:p>
    <w:p w:rsidR="009B4233" w:rsidRDefault="006B08B9">
      <w:pPr>
        <w:pStyle w:val="Standard"/>
        <w:jc w:val="both"/>
      </w:pPr>
      <w:hyperlink r:id="rId11" w:history="1">
        <w:r>
          <w:rPr>
            <w:rStyle w:val="Hipervnculo"/>
            <w:rFonts w:ascii="Arial" w:hAnsi="Arial" w:cs="Arial"/>
            <w:b/>
            <w:bCs/>
            <w:kern w:val="0"/>
            <w:sz w:val="22"/>
            <w:szCs w:val="22"/>
          </w:rPr>
          <w:t>https://www.youtube.com/watch?v=Iggqf2fg45o</w:t>
        </w:r>
      </w:hyperlink>
    </w:p>
    <w:p w:rsidR="009B4233" w:rsidRDefault="009B4233">
      <w:pPr>
        <w:pStyle w:val="Standard"/>
        <w:jc w:val="both"/>
        <w:rPr>
          <w:rFonts w:ascii="Arial" w:hAnsi="Arial" w:cs="Arial"/>
          <w:b/>
          <w:bCs/>
          <w:kern w:val="0"/>
          <w:sz w:val="22"/>
          <w:szCs w:val="22"/>
        </w:rPr>
      </w:pPr>
    </w:p>
    <w:p w:rsidR="009B4233" w:rsidRDefault="009B4233">
      <w:pPr>
        <w:widowControl/>
        <w:suppressAutoHyphens w:val="0"/>
        <w:autoSpaceDE w:val="0"/>
        <w:jc w:val="both"/>
        <w:textAlignment w:val="auto"/>
        <w:rPr>
          <w:rFonts w:ascii="Arial" w:hAnsi="Arial" w:cs="Arial"/>
          <w:color w:val="000000"/>
          <w:kern w:val="0"/>
          <w:sz w:val="22"/>
          <w:szCs w:val="22"/>
          <w:lang w:bidi="ar-SA"/>
        </w:rPr>
      </w:pPr>
    </w:p>
    <w:p w:rsidR="009B4233" w:rsidRDefault="006B08B9">
      <w:pPr>
        <w:pStyle w:val="Prrafodelista"/>
        <w:widowControl/>
        <w:numPr>
          <w:ilvl w:val="0"/>
          <w:numId w:val="3"/>
        </w:numPr>
        <w:suppressAutoHyphens w:val="0"/>
        <w:autoSpaceDE w:val="0"/>
        <w:jc w:val="both"/>
        <w:textAlignment w:val="auto"/>
        <w:rPr>
          <w:rFonts w:ascii="Arial" w:hAnsi="Arial" w:cs="Arial"/>
          <w:b/>
          <w:color w:val="000000"/>
          <w:kern w:val="0"/>
          <w:sz w:val="22"/>
          <w:szCs w:val="22"/>
          <w:lang w:bidi="ar-SA"/>
        </w:rPr>
      </w:pPr>
      <w:r>
        <w:rPr>
          <w:rFonts w:ascii="Arial" w:hAnsi="Arial" w:cs="Arial"/>
          <w:b/>
          <w:color w:val="000000"/>
          <w:kern w:val="0"/>
          <w:sz w:val="22"/>
          <w:szCs w:val="22"/>
          <w:lang w:bidi="ar-SA"/>
        </w:rPr>
        <w:t>Parte Resolutiva:</w:t>
      </w:r>
    </w:p>
    <w:p w:rsidR="009B4233" w:rsidRDefault="009B4233">
      <w:pPr>
        <w:widowControl/>
        <w:suppressAutoHyphens w:val="0"/>
        <w:autoSpaceDE w:val="0"/>
        <w:jc w:val="both"/>
        <w:textAlignment w:val="auto"/>
        <w:rPr>
          <w:rFonts w:ascii="Arial" w:hAnsi="Arial" w:cs="Arial"/>
          <w:color w:val="000000"/>
          <w:kern w:val="0"/>
          <w:sz w:val="22"/>
          <w:szCs w:val="22"/>
          <w:lang w:bidi="ar-SA"/>
        </w:rPr>
      </w:pPr>
    </w:p>
    <w:p w:rsidR="009B4233" w:rsidRDefault="006B08B9">
      <w:pPr>
        <w:widowControl/>
        <w:suppressAutoHyphens w:val="0"/>
        <w:autoSpaceDE w:val="0"/>
        <w:jc w:val="both"/>
        <w:textAlignment w:val="auto"/>
        <w:rPr>
          <w:rFonts w:ascii="Arial" w:hAnsi="Arial" w:cs="Arial"/>
          <w:b/>
          <w:color w:val="000000"/>
          <w:kern w:val="0"/>
          <w:sz w:val="22"/>
          <w:szCs w:val="22"/>
          <w:lang w:bidi="ar-SA"/>
        </w:rPr>
      </w:pPr>
      <w:r>
        <w:rPr>
          <w:rFonts w:ascii="Arial" w:hAnsi="Arial" w:cs="Arial"/>
          <w:b/>
          <w:color w:val="000000"/>
          <w:kern w:val="0"/>
          <w:sz w:val="22"/>
          <w:szCs w:val="22"/>
          <w:lang w:bidi="ar-SA"/>
        </w:rPr>
        <w:t xml:space="preserve">1.- Expediente </w:t>
      </w:r>
      <w:r>
        <w:rPr>
          <w:rFonts w:ascii="Arial" w:hAnsi="Arial" w:cs="Arial"/>
          <w:b/>
          <w:color w:val="000000"/>
          <w:kern w:val="0"/>
          <w:sz w:val="22"/>
          <w:szCs w:val="22"/>
          <w:lang w:bidi="ar-SA"/>
        </w:rPr>
        <w:t>2156/2025. Propuesta de Alcaldesa-Presidenta de 16 de septiembre de2025 al Pleno de modificación del Plan Normativo Anual del año 2025</w:t>
      </w:r>
    </w:p>
    <w:p w:rsidR="009B4233" w:rsidRDefault="009B4233">
      <w:pPr>
        <w:widowControl/>
        <w:suppressAutoHyphens w:val="0"/>
        <w:autoSpaceDE w:val="0"/>
        <w:spacing w:after="218"/>
        <w:jc w:val="both"/>
        <w:textAlignment w:val="auto"/>
        <w:rPr>
          <w:rFonts w:ascii="Arial" w:hAnsi="Arial" w:cs="Arial"/>
          <w:b/>
          <w:color w:val="000000"/>
          <w:kern w:val="0"/>
          <w:sz w:val="22"/>
          <w:szCs w:val="22"/>
          <w:lang w:bidi="ar-SA"/>
        </w:rPr>
      </w:pPr>
    </w:p>
    <w:p w:rsidR="009B4233" w:rsidRDefault="006B08B9">
      <w:pPr>
        <w:widowControl/>
        <w:suppressAutoHyphens w:val="0"/>
        <w:autoSpaceDE w:val="0"/>
        <w:spacing w:after="218"/>
        <w:jc w:val="both"/>
        <w:textAlignment w:val="auto"/>
        <w:rPr>
          <w:rFonts w:ascii="Arial" w:hAnsi="Arial" w:cs="Arial"/>
          <w:b/>
          <w:color w:val="000000"/>
          <w:kern w:val="0"/>
          <w:sz w:val="22"/>
          <w:szCs w:val="22"/>
          <w:lang w:bidi="ar-SA"/>
        </w:rPr>
      </w:pPr>
      <w:r>
        <w:rPr>
          <w:rFonts w:ascii="Arial" w:hAnsi="Arial" w:cs="Arial"/>
          <w:b/>
          <w:color w:val="000000"/>
          <w:kern w:val="0"/>
          <w:sz w:val="22"/>
          <w:szCs w:val="22"/>
          <w:lang w:bidi="ar-SA"/>
        </w:rPr>
        <w:t>2.- Expediente 7026/2025. Propuesta del Concejal delegado de Hacienda de 15 de septiembre de 2025 de aprobación definiti</w:t>
      </w:r>
      <w:r>
        <w:rPr>
          <w:rFonts w:ascii="Arial" w:hAnsi="Arial" w:cs="Arial"/>
          <w:b/>
          <w:color w:val="000000"/>
          <w:kern w:val="0"/>
          <w:sz w:val="22"/>
          <w:szCs w:val="22"/>
          <w:lang w:bidi="ar-SA"/>
        </w:rPr>
        <w:t>va de la Cuenta General del ejercicio 2024</w:t>
      </w:r>
    </w:p>
    <w:p w:rsidR="009B4233" w:rsidRDefault="009B4233">
      <w:pPr>
        <w:widowControl/>
        <w:suppressAutoHyphens w:val="0"/>
        <w:autoSpaceDE w:val="0"/>
        <w:jc w:val="both"/>
        <w:textAlignment w:val="auto"/>
        <w:rPr>
          <w:rFonts w:ascii="Arial" w:hAnsi="Arial" w:cs="Arial"/>
          <w:b/>
          <w:color w:val="000000"/>
          <w:kern w:val="0"/>
          <w:sz w:val="22"/>
          <w:szCs w:val="22"/>
          <w:lang w:bidi="ar-SA"/>
        </w:rPr>
      </w:pPr>
    </w:p>
    <w:p w:rsidR="009B4233" w:rsidRDefault="006B08B9">
      <w:pPr>
        <w:widowControl/>
        <w:suppressAutoHyphens w:val="0"/>
        <w:autoSpaceDE w:val="0"/>
        <w:jc w:val="both"/>
        <w:textAlignment w:val="auto"/>
      </w:pPr>
      <w:r>
        <w:rPr>
          <w:rFonts w:ascii="Arial" w:hAnsi="Arial" w:cs="Arial"/>
          <w:b/>
          <w:color w:val="000000"/>
          <w:kern w:val="0"/>
          <w:sz w:val="22"/>
          <w:szCs w:val="22"/>
          <w:lang w:bidi="ar-SA"/>
        </w:rPr>
        <w:t xml:space="preserve">3.- Expediente 7883/2025. Propuesta del Concejal delegado de Hacienda de 15-9-2025 al Pleno de aprobar el contrato programa sobre el marco de relaciones entre el </w:t>
      </w:r>
      <w:r>
        <w:rPr>
          <w:rFonts w:ascii="Arial" w:hAnsi="Arial" w:cs="Arial"/>
          <w:b/>
          <w:sz w:val="22"/>
          <w:szCs w:val="22"/>
        </w:rPr>
        <w:t>Ayuntamiento de Candelaria, la Entidad Pública Emp</w:t>
      </w:r>
      <w:r>
        <w:rPr>
          <w:rFonts w:ascii="Arial" w:hAnsi="Arial" w:cs="Arial"/>
          <w:b/>
          <w:sz w:val="22"/>
          <w:szCs w:val="22"/>
        </w:rPr>
        <w:t>resarial “Gestión de Empresas y Servicios Municipales del Ayuntamiento de la villa de Candelaria,, la Sociedad Mercantil ”Empresa de Inserción de Viviendas y Servicios Municipales de Candelaria, SL y la Fundación “Candelaria Solidaria”, para el ejercicio 2</w:t>
      </w:r>
      <w:r>
        <w:rPr>
          <w:rFonts w:ascii="Arial" w:hAnsi="Arial" w:cs="Arial"/>
          <w:b/>
          <w:sz w:val="22"/>
          <w:szCs w:val="22"/>
        </w:rPr>
        <w:t xml:space="preserve">025. </w:t>
      </w:r>
    </w:p>
    <w:p w:rsidR="009B4233" w:rsidRDefault="009B4233">
      <w:pPr>
        <w:widowControl/>
        <w:suppressAutoHyphens w:val="0"/>
        <w:autoSpaceDE w:val="0"/>
        <w:textAlignment w:val="auto"/>
        <w:rPr>
          <w:b/>
        </w:rPr>
      </w:pPr>
    </w:p>
    <w:p w:rsidR="009B4233" w:rsidRDefault="009B4233">
      <w:pPr>
        <w:widowControl/>
        <w:suppressAutoHyphens w:val="0"/>
        <w:autoSpaceDE w:val="0"/>
        <w:jc w:val="both"/>
        <w:textAlignment w:val="auto"/>
        <w:rPr>
          <w:rFonts w:ascii="Arial" w:hAnsi="Arial" w:cs="Arial"/>
          <w:b/>
          <w:sz w:val="22"/>
          <w:szCs w:val="22"/>
        </w:rPr>
      </w:pPr>
    </w:p>
    <w:p w:rsidR="009B4233" w:rsidRDefault="006B08B9">
      <w:pPr>
        <w:widowControl/>
        <w:suppressAutoHyphens w:val="0"/>
        <w:autoSpaceDE w:val="0"/>
        <w:jc w:val="both"/>
        <w:textAlignment w:val="auto"/>
        <w:rPr>
          <w:rFonts w:ascii="Arial" w:hAnsi="Arial" w:cs="Arial"/>
          <w:b/>
          <w:sz w:val="22"/>
          <w:szCs w:val="22"/>
        </w:rPr>
      </w:pPr>
      <w:r>
        <w:rPr>
          <w:rFonts w:ascii="Arial" w:hAnsi="Arial" w:cs="Arial"/>
          <w:b/>
          <w:sz w:val="22"/>
          <w:szCs w:val="22"/>
        </w:rPr>
        <w:t xml:space="preserve">4.- Expediente 8908/2025. Propuesta del Concejal delegado de Hacienda al Pleno de fecha 17 de septiembre de 2025 de aprobación inicial de la modificación de la Ordenanza reguladora de la prestación patrimonial de carácter público no tributario de </w:t>
      </w:r>
      <w:r>
        <w:rPr>
          <w:rFonts w:ascii="Arial" w:hAnsi="Arial" w:cs="Arial"/>
          <w:b/>
          <w:sz w:val="22"/>
          <w:szCs w:val="22"/>
        </w:rPr>
        <w:t xml:space="preserve">los servicios municipales de gestión del ciclo integral del agua del Ayuntamiento de la Villa de Candelaria </w:t>
      </w:r>
    </w:p>
    <w:p w:rsidR="009B4233" w:rsidRDefault="009B4233">
      <w:pPr>
        <w:widowControl/>
        <w:suppressAutoHyphens w:val="0"/>
        <w:autoSpaceDE w:val="0"/>
        <w:jc w:val="both"/>
        <w:textAlignment w:val="auto"/>
        <w:rPr>
          <w:rFonts w:ascii="Arial" w:hAnsi="Arial" w:cs="Arial"/>
          <w:b/>
          <w:sz w:val="22"/>
          <w:szCs w:val="22"/>
        </w:rPr>
      </w:pPr>
    </w:p>
    <w:p w:rsidR="009B4233" w:rsidRDefault="009B4233">
      <w:pPr>
        <w:widowControl/>
        <w:suppressAutoHyphens w:val="0"/>
        <w:autoSpaceDE w:val="0"/>
        <w:jc w:val="both"/>
        <w:textAlignment w:val="auto"/>
        <w:rPr>
          <w:rFonts w:ascii="Arial" w:hAnsi="Arial" w:cs="Arial"/>
          <w:b/>
          <w:sz w:val="22"/>
          <w:szCs w:val="22"/>
        </w:rPr>
      </w:pPr>
    </w:p>
    <w:p w:rsidR="009B4233" w:rsidRDefault="006B08B9">
      <w:pPr>
        <w:widowControl/>
        <w:suppressAutoHyphens w:val="0"/>
        <w:autoSpaceDE w:val="0"/>
        <w:jc w:val="both"/>
        <w:textAlignment w:val="auto"/>
        <w:rPr>
          <w:rFonts w:ascii="Arial" w:hAnsi="Arial" w:cs="Arial"/>
          <w:b/>
          <w:sz w:val="22"/>
          <w:szCs w:val="22"/>
        </w:rPr>
      </w:pPr>
      <w:r>
        <w:rPr>
          <w:rFonts w:ascii="Arial" w:hAnsi="Arial" w:cs="Arial"/>
          <w:b/>
          <w:sz w:val="22"/>
          <w:szCs w:val="22"/>
        </w:rPr>
        <w:t>5.- Expediente 8790/2025. Propuesta del Concejal delegado de Hacienda al Pleno de fecha 17 de septiembre de 2025 de aprobación inicial de la modi</w:t>
      </w:r>
      <w:r>
        <w:rPr>
          <w:rFonts w:ascii="Arial" w:hAnsi="Arial" w:cs="Arial"/>
          <w:b/>
          <w:sz w:val="22"/>
          <w:szCs w:val="22"/>
        </w:rPr>
        <w:t xml:space="preserve">ficación de la Ordenanza fiscal reguladora de la Tasa por la prestación del Servicio de Recogida, Transporte y Tratamientos de Residuos Sólidos Urbanos del Ayuntamiento de la Villa de Candelaria </w:t>
      </w:r>
    </w:p>
    <w:p w:rsidR="009B4233" w:rsidRDefault="009B4233">
      <w:pPr>
        <w:widowControl/>
        <w:suppressAutoHyphens w:val="0"/>
        <w:autoSpaceDE w:val="0"/>
        <w:jc w:val="both"/>
        <w:textAlignment w:val="auto"/>
        <w:rPr>
          <w:rFonts w:ascii="Arial" w:hAnsi="Arial" w:cs="Arial"/>
          <w:b/>
          <w:sz w:val="22"/>
          <w:szCs w:val="22"/>
        </w:rPr>
      </w:pPr>
    </w:p>
    <w:p w:rsidR="009B4233" w:rsidRDefault="009B4233">
      <w:pPr>
        <w:widowControl/>
        <w:suppressAutoHyphens w:val="0"/>
        <w:autoSpaceDE w:val="0"/>
        <w:jc w:val="both"/>
        <w:textAlignment w:val="auto"/>
        <w:rPr>
          <w:rFonts w:ascii="Arial" w:hAnsi="Arial" w:cs="Arial"/>
          <w:b/>
          <w:sz w:val="22"/>
          <w:szCs w:val="22"/>
        </w:rPr>
      </w:pPr>
    </w:p>
    <w:p w:rsidR="009B4233" w:rsidRDefault="006B08B9">
      <w:pPr>
        <w:widowControl/>
        <w:suppressAutoHyphens w:val="0"/>
        <w:autoSpaceDE w:val="0"/>
        <w:jc w:val="both"/>
        <w:textAlignment w:val="auto"/>
        <w:rPr>
          <w:rFonts w:ascii="Arial" w:hAnsi="Arial" w:cs="Arial"/>
          <w:b/>
          <w:sz w:val="22"/>
          <w:szCs w:val="22"/>
        </w:rPr>
      </w:pPr>
      <w:r>
        <w:rPr>
          <w:rFonts w:ascii="Arial" w:hAnsi="Arial" w:cs="Arial"/>
          <w:b/>
          <w:sz w:val="22"/>
          <w:szCs w:val="22"/>
        </w:rPr>
        <w:t xml:space="preserve">6.- Expediente 8970/2025. Propuesta de la </w:t>
      </w:r>
      <w:r>
        <w:rPr>
          <w:rFonts w:ascii="Arial" w:hAnsi="Arial" w:cs="Arial"/>
          <w:b/>
          <w:sz w:val="22"/>
          <w:szCs w:val="22"/>
        </w:rPr>
        <w:t>Alcaldesa-Presidenta de 19 de septiembre de 2025 al Pleno de aprobar el expediente del contrato de obras, mediante procedimiento abierto, regulación armonizada, consistente en “Proyecto de ejecución de Piscina de Candelaria”, convocar su licitación y dispo</w:t>
      </w:r>
      <w:r>
        <w:rPr>
          <w:rFonts w:ascii="Arial" w:hAnsi="Arial" w:cs="Arial"/>
          <w:b/>
          <w:sz w:val="22"/>
          <w:szCs w:val="22"/>
        </w:rPr>
        <w:t xml:space="preserve">ner la apertura del procedimiento de adjudicación y la aprobación del gasto por importe de 7.125.505,82 € (IGIC incluido) </w:t>
      </w:r>
    </w:p>
    <w:p w:rsidR="009B4233" w:rsidRDefault="009B4233">
      <w:pPr>
        <w:widowControl/>
        <w:suppressAutoHyphens w:val="0"/>
        <w:autoSpaceDE w:val="0"/>
        <w:textAlignment w:val="auto"/>
        <w:rPr>
          <w:b/>
        </w:rPr>
      </w:pPr>
    </w:p>
    <w:p w:rsidR="009B4233" w:rsidRDefault="006B08B9">
      <w:pPr>
        <w:widowControl/>
        <w:suppressAutoHyphens w:val="0"/>
        <w:autoSpaceDE w:val="0"/>
        <w:jc w:val="both"/>
        <w:textAlignment w:val="auto"/>
        <w:rPr>
          <w:rFonts w:ascii="Arial" w:hAnsi="Arial" w:cs="Arial"/>
          <w:b/>
          <w:sz w:val="22"/>
          <w:szCs w:val="22"/>
        </w:rPr>
      </w:pPr>
      <w:r>
        <w:rPr>
          <w:rFonts w:ascii="Arial" w:hAnsi="Arial" w:cs="Arial"/>
          <w:b/>
          <w:sz w:val="22"/>
          <w:szCs w:val="22"/>
        </w:rPr>
        <w:lastRenderedPageBreak/>
        <w:t>7.- Expediente 7020/2021. Propuesta de Alcaldesa-Presidenta de 17 de septiembre al Pleno de puesta a disposición del Cabildo Insular</w:t>
      </w:r>
      <w:r>
        <w:rPr>
          <w:rFonts w:ascii="Arial" w:hAnsi="Arial" w:cs="Arial"/>
          <w:b/>
          <w:sz w:val="22"/>
          <w:szCs w:val="22"/>
        </w:rPr>
        <w:t xml:space="preserve"> de Tenerife de los bienes descritos en el informe técnico emitido por la Arquitecta municipal con fecha 16 de septiembre de 2025, con el objeto de destinarlos a la ejecución del “Modificado nº 1 del Proyecto Remodelación de la Plaza de la Patrona de Canar</w:t>
      </w:r>
      <w:r>
        <w:rPr>
          <w:rFonts w:ascii="Arial" w:hAnsi="Arial" w:cs="Arial"/>
          <w:b/>
          <w:sz w:val="22"/>
          <w:szCs w:val="22"/>
        </w:rPr>
        <w:t>ias, canalización de cauce e implantación de conducciones hidráulicas (sectores 1, 2 y 3)”</w:t>
      </w:r>
    </w:p>
    <w:p w:rsidR="009B4233" w:rsidRDefault="009B4233">
      <w:pPr>
        <w:widowControl/>
        <w:suppressAutoHyphens w:val="0"/>
        <w:autoSpaceDE w:val="0"/>
        <w:jc w:val="both"/>
        <w:textAlignment w:val="auto"/>
        <w:rPr>
          <w:rFonts w:ascii="Arial" w:hAnsi="Arial" w:cs="Arial"/>
          <w:b/>
          <w:sz w:val="22"/>
          <w:szCs w:val="22"/>
        </w:rPr>
      </w:pPr>
    </w:p>
    <w:p w:rsidR="009B4233" w:rsidRDefault="009B4233">
      <w:pPr>
        <w:widowControl/>
        <w:suppressAutoHyphens w:val="0"/>
        <w:autoSpaceDE w:val="0"/>
        <w:jc w:val="both"/>
        <w:textAlignment w:val="auto"/>
        <w:rPr>
          <w:rFonts w:ascii="Arial" w:hAnsi="Arial" w:cs="Arial"/>
          <w:b/>
          <w:sz w:val="22"/>
          <w:szCs w:val="22"/>
        </w:rPr>
      </w:pPr>
    </w:p>
    <w:p w:rsidR="009B4233" w:rsidRDefault="006B08B9">
      <w:pPr>
        <w:widowControl/>
        <w:suppressAutoHyphens w:val="0"/>
        <w:autoSpaceDE w:val="0"/>
        <w:jc w:val="both"/>
        <w:textAlignment w:val="auto"/>
        <w:rPr>
          <w:rFonts w:ascii="Arial" w:hAnsi="Arial" w:cs="Arial"/>
          <w:b/>
          <w:sz w:val="22"/>
          <w:szCs w:val="22"/>
        </w:rPr>
      </w:pPr>
      <w:r>
        <w:rPr>
          <w:rFonts w:ascii="Arial" w:hAnsi="Arial" w:cs="Arial"/>
          <w:b/>
          <w:sz w:val="22"/>
          <w:szCs w:val="22"/>
        </w:rPr>
        <w:t>8.- Expediente 10944/2024.Propuesta de la Alcaldesa-Presidenta al Pleno de fecha 3 de septiembre de 2025 de aprobación de modificado por importe de 63.350,24 euros</w:t>
      </w:r>
      <w:r>
        <w:rPr>
          <w:rFonts w:ascii="Arial" w:hAnsi="Arial" w:cs="Arial"/>
          <w:b/>
          <w:sz w:val="22"/>
          <w:szCs w:val="22"/>
        </w:rPr>
        <w:t xml:space="preserve"> propuestos por la Dirección facultativa de la obra "Centro de mayores de Barranco Hondo" adjudicado a la empresa Proyecon Galicia S.A por importe de 4.885.885,00 euros </w:t>
      </w:r>
    </w:p>
    <w:p w:rsidR="009B4233" w:rsidRDefault="009B4233">
      <w:pPr>
        <w:widowControl/>
        <w:suppressAutoHyphens w:val="0"/>
        <w:autoSpaceDE w:val="0"/>
        <w:jc w:val="both"/>
        <w:textAlignment w:val="auto"/>
        <w:rPr>
          <w:rFonts w:ascii="Arial" w:hAnsi="Arial" w:cs="Arial"/>
          <w:b/>
          <w:sz w:val="22"/>
          <w:szCs w:val="22"/>
        </w:rPr>
      </w:pPr>
    </w:p>
    <w:p w:rsidR="009B4233" w:rsidRDefault="009B4233">
      <w:pPr>
        <w:widowControl/>
        <w:suppressAutoHyphens w:val="0"/>
        <w:autoSpaceDE w:val="0"/>
        <w:jc w:val="both"/>
        <w:textAlignment w:val="auto"/>
        <w:rPr>
          <w:rFonts w:ascii="Arial" w:hAnsi="Arial" w:cs="Arial"/>
          <w:b/>
          <w:sz w:val="22"/>
          <w:szCs w:val="22"/>
        </w:rPr>
      </w:pPr>
    </w:p>
    <w:p w:rsidR="009B4233" w:rsidRDefault="006B08B9">
      <w:pPr>
        <w:widowControl/>
        <w:suppressAutoHyphens w:val="0"/>
        <w:autoSpaceDE w:val="0"/>
        <w:jc w:val="both"/>
        <w:textAlignment w:val="auto"/>
        <w:rPr>
          <w:rFonts w:ascii="Arial" w:hAnsi="Arial" w:cs="Arial"/>
          <w:b/>
          <w:sz w:val="22"/>
          <w:szCs w:val="22"/>
        </w:rPr>
      </w:pPr>
      <w:r>
        <w:rPr>
          <w:rFonts w:ascii="Arial" w:hAnsi="Arial" w:cs="Arial"/>
          <w:b/>
          <w:sz w:val="22"/>
          <w:szCs w:val="22"/>
        </w:rPr>
        <w:t xml:space="preserve">9.- Expediente 9445/2024. Propuesta de la Alcaldesa-Presidenta al pleno de fecha de </w:t>
      </w:r>
      <w:r>
        <w:rPr>
          <w:rFonts w:ascii="Arial" w:hAnsi="Arial" w:cs="Arial"/>
          <w:b/>
          <w:sz w:val="22"/>
          <w:szCs w:val="22"/>
        </w:rPr>
        <w:t xml:space="preserve">17 de septiembre de 2025 de dar conformidad al acuerdo del Consejo de Gobierno Insular del Cabildo de Tenerife de reajuste de anualidades de la financiación del proyecto de ejecución "Auditorio de Candelaria" </w:t>
      </w:r>
    </w:p>
    <w:p w:rsidR="009B4233" w:rsidRDefault="009B4233">
      <w:pPr>
        <w:widowControl/>
        <w:suppressAutoHyphens w:val="0"/>
        <w:autoSpaceDE w:val="0"/>
        <w:jc w:val="both"/>
        <w:textAlignment w:val="auto"/>
        <w:rPr>
          <w:rFonts w:ascii="Arial" w:hAnsi="Arial" w:cs="Arial"/>
          <w:b/>
          <w:sz w:val="22"/>
          <w:szCs w:val="22"/>
        </w:rPr>
      </w:pPr>
    </w:p>
    <w:p w:rsidR="009B4233" w:rsidRDefault="009B4233">
      <w:pPr>
        <w:widowControl/>
        <w:suppressAutoHyphens w:val="0"/>
        <w:autoSpaceDE w:val="0"/>
        <w:jc w:val="both"/>
        <w:textAlignment w:val="auto"/>
        <w:rPr>
          <w:rFonts w:ascii="Arial" w:hAnsi="Arial" w:cs="Arial"/>
          <w:b/>
          <w:sz w:val="22"/>
          <w:szCs w:val="22"/>
        </w:rPr>
      </w:pPr>
    </w:p>
    <w:p w:rsidR="009B4233" w:rsidRDefault="006B08B9">
      <w:pPr>
        <w:widowControl/>
        <w:suppressAutoHyphens w:val="0"/>
        <w:autoSpaceDE w:val="0"/>
        <w:jc w:val="both"/>
        <w:textAlignment w:val="auto"/>
      </w:pPr>
      <w:r>
        <w:rPr>
          <w:rFonts w:ascii="Arial" w:hAnsi="Arial" w:cs="Arial"/>
          <w:b/>
          <w:sz w:val="22"/>
          <w:szCs w:val="22"/>
        </w:rPr>
        <w:t>10.-Expediente 12319/2022. Propuesta de la A</w:t>
      </w:r>
      <w:r>
        <w:rPr>
          <w:rFonts w:ascii="Arial" w:hAnsi="Arial" w:cs="Arial"/>
          <w:b/>
          <w:sz w:val="22"/>
          <w:szCs w:val="22"/>
        </w:rPr>
        <w:t>lcaldesa-Presidenta al Pleno de 2 de septiembre de 2025 de requerimiento a la entidad como medio propio GESTUR CANARIAS, S.A., para que presente la documentación del informe técnico de fecha 12 de agosto de 2025 sobre la redacción del proyecto de urbanizac</w:t>
      </w:r>
      <w:r>
        <w:rPr>
          <w:rFonts w:ascii="Arial" w:hAnsi="Arial" w:cs="Arial"/>
          <w:b/>
          <w:sz w:val="22"/>
          <w:szCs w:val="22"/>
        </w:rPr>
        <w:t>ión y la dirección de las obras de urbanización de Rubén Marichal, en Barranco Hondo.</w:t>
      </w:r>
    </w:p>
    <w:p w:rsidR="009B4233" w:rsidRDefault="009B4233">
      <w:pPr>
        <w:pStyle w:val="Standard"/>
        <w:jc w:val="both"/>
        <w:rPr>
          <w:rFonts w:ascii="Arial" w:hAnsi="Arial" w:cs="Arial"/>
          <w:b/>
          <w:bCs/>
          <w:kern w:val="0"/>
          <w:sz w:val="22"/>
          <w:szCs w:val="22"/>
        </w:rPr>
      </w:pPr>
    </w:p>
    <w:p w:rsidR="009B4233" w:rsidRDefault="009B4233">
      <w:pPr>
        <w:pStyle w:val="Standard"/>
        <w:jc w:val="both"/>
        <w:rPr>
          <w:rFonts w:ascii="Arial" w:hAnsi="Arial" w:cs="Arial"/>
          <w:b/>
          <w:sz w:val="22"/>
          <w:szCs w:val="22"/>
        </w:rPr>
      </w:pPr>
    </w:p>
    <w:p w:rsidR="009B4233" w:rsidRDefault="006B08B9">
      <w:pPr>
        <w:pStyle w:val="Standard"/>
        <w:jc w:val="both"/>
        <w:rPr>
          <w:rFonts w:ascii="Arial" w:hAnsi="Arial" w:cs="Arial"/>
          <w:b/>
          <w:sz w:val="22"/>
          <w:szCs w:val="22"/>
        </w:rPr>
      </w:pPr>
      <w:r>
        <w:rPr>
          <w:rFonts w:ascii="Arial" w:hAnsi="Arial" w:cs="Arial"/>
          <w:b/>
          <w:sz w:val="22"/>
          <w:szCs w:val="22"/>
        </w:rPr>
        <w:t>11.- Expediente 8984/2025. Moción del Partido Popular con registro de entrada nº (2025-ERE-8096) del 16 de septiembre de 2025, para la implantación de una bolsa de volu</w:t>
      </w:r>
      <w:r>
        <w:rPr>
          <w:rFonts w:ascii="Arial" w:hAnsi="Arial" w:cs="Arial"/>
          <w:b/>
          <w:sz w:val="22"/>
          <w:szCs w:val="22"/>
        </w:rPr>
        <w:t xml:space="preserve">ntariado municipal para la protección y cuidado de animales en el municipio de Candelaria. </w:t>
      </w:r>
    </w:p>
    <w:p w:rsidR="009B4233" w:rsidRDefault="009B4233">
      <w:pPr>
        <w:pStyle w:val="Standard"/>
        <w:jc w:val="both"/>
        <w:rPr>
          <w:rFonts w:ascii="Arial" w:hAnsi="Arial" w:cs="Arial"/>
          <w:b/>
          <w:sz w:val="22"/>
          <w:szCs w:val="22"/>
        </w:rPr>
      </w:pPr>
    </w:p>
    <w:p w:rsidR="009B4233" w:rsidRDefault="009B4233">
      <w:pPr>
        <w:pStyle w:val="Standard"/>
        <w:jc w:val="both"/>
        <w:rPr>
          <w:rFonts w:ascii="Arial" w:hAnsi="Arial" w:cs="Arial"/>
          <w:b/>
          <w:sz w:val="22"/>
          <w:szCs w:val="22"/>
        </w:rPr>
      </w:pPr>
    </w:p>
    <w:p w:rsidR="009B4233" w:rsidRDefault="006B08B9">
      <w:pPr>
        <w:pStyle w:val="Standard"/>
        <w:jc w:val="both"/>
        <w:rPr>
          <w:rFonts w:ascii="Arial" w:hAnsi="Arial" w:cs="Arial"/>
          <w:b/>
          <w:sz w:val="22"/>
          <w:szCs w:val="22"/>
        </w:rPr>
      </w:pPr>
      <w:r>
        <w:rPr>
          <w:rFonts w:ascii="Arial" w:hAnsi="Arial" w:cs="Arial"/>
          <w:b/>
          <w:sz w:val="22"/>
          <w:szCs w:val="22"/>
        </w:rPr>
        <w:t>12.- Expediente 8916/2025. Moción del Grupo Mixto (CC) con registro de entrada nº (2025- E-RE-8039) del 19 de septiembre de 2025, para el apoyo a Gaza y a los der</w:t>
      </w:r>
      <w:r>
        <w:rPr>
          <w:rFonts w:ascii="Arial" w:hAnsi="Arial" w:cs="Arial"/>
          <w:b/>
          <w:sz w:val="22"/>
          <w:szCs w:val="22"/>
        </w:rPr>
        <w:t xml:space="preserve">echos humanos. </w:t>
      </w:r>
    </w:p>
    <w:p w:rsidR="009B4233" w:rsidRDefault="009B4233">
      <w:pPr>
        <w:pStyle w:val="Standard"/>
        <w:jc w:val="both"/>
        <w:rPr>
          <w:rFonts w:ascii="Arial" w:hAnsi="Arial" w:cs="Arial"/>
          <w:b/>
          <w:sz w:val="22"/>
          <w:szCs w:val="22"/>
        </w:rPr>
      </w:pPr>
    </w:p>
    <w:p w:rsidR="009B4233" w:rsidRDefault="009B4233">
      <w:pPr>
        <w:pStyle w:val="Standard"/>
        <w:jc w:val="both"/>
        <w:rPr>
          <w:rFonts w:ascii="Arial" w:hAnsi="Arial" w:cs="Arial"/>
          <w:b/>
          <w:sz w:val="22"/>
          <w:szCs w:val="22"/>
        </w:rPr>
      </w:pPr>
    </w:p>
    <w:p w:rsidR="009B4233" w:rsidRDefault="009B4233">
      <w:pPr>
        <w:pStyle w:val="Standard"/>
        <w:jc w:val="both"/>
        <w:rPr>
          <w:rFonts w:ascii="Arial" w:hAnsi="Arial" w:cs="Arial"/>
          <w:b/>
          <w:sz w:val="22"/>
          <w:szCs w:val="22"/>
        </w:rPr>
      </w:pPr>
    </w:p>
    <w:p w:rsidR="009B4233" w:rsidRDefault="006B08B9">
      <w:pPr>
        <w:pStyle w:val="Standard"/>
        <w:jc w:val="both"/>
      </w:pPr>
      <w:r>
        <w:rPr>
          <w:rFonts w:ascii="Arial" w:hAnsi="Arial" w:cs="Arial"/>
          <w:b/>
          <w:sz w:val="22"/>
          <w:szCs w:val="22"/>
        </w:rPr>
        <w:t>13.- Expediente 8945/2025. Moción del Grupo Mixto (USP) con registro de entrada nº (2025- E-RE-8068) del 15 de septiembre de 2025, para las ayudas económicas al estudio para el alumnado empadronado en Candelaria, curso escolar 2025-2026.</w:t>
      </w:r>
    </w:p>
    <w:p w:rsidR="009B4233" w:rsidRDefault="009B4233">
      <w:pPr>
        <w:pStyle w:val="Standard"/>
        <w:jc w:val="both"/>
        <w:rPr>
          <w:rFonts w:ascii="Arial" w:hAnsi="Arial" w:cs="Arial"/>
          <w:b/>
          <w:sz w:val="22"/>
          <w:szCs w:val="22"/>
        </w:rPr>
      </w:pPr>
    </w:p>
    <w:p w:rsidR="009B4233" w:rsidRDefault="009B4233">
      <w:pPr>
        <w:pStyle w:val="Standard"/>
        <w:jc w:val="both"/>
        <w:rPr>
          <w:rFonts w:ascii="Arial" w:hAnsi="Arial" w:cs="Arial"/>
          <w:b/>
          <w:sz w:val="22"/>
          <w:szCs w:val="22"/>
        </w:rPr>
      </w:pPr>
    </w:p>
    <w:p w:rsidR="009B4233" w:rsidRDefault="006B08B9">
      <w:pPr>
        <w:pStyle w:val="Standard"/>
        <w:jc w:val="both"/>
        <w:rPr>
          <w:rFonts w:ascii="Arial" w:hAnsi="Arial" w:cs="Arial"/>
          <w:b/>
          <w:sz w:val="22"/>
          <w:szCs w:val="22"/>
        </w:rPr>
      </w:pPr>
      <w:r>
        <w:rPr>
          <w:rFonts w:ascii="Arial" w:hAnsi="Arial" w:cs="Arial"/>
          <w:b/>
          <w:sz w:val="22"/>
          <w:szCs w:val="22"/>
        </w:rPr>
        <w:t xml:space="preserve">14. Urgencias </w:t>
      </w:r>
    </w:p>
    <w:p w:rsidR="009B4233" w:rsidRDefault="009B4233">
      <w:pPr>
        <w:pStyle w:val="Standard"/>
        <w:jc w:val="both"/>
        <w:rPr>
          <w:rFonts w:ascii="Arial" w:hAnsi="Arial" w:cs="Arial"/>
          <w:b/>
          <w:sz w:val="22"/>
          <w:szCs w:val="22"/>
        </w:rPr>
      </w:pPr>
    </w:p>
    <w:p w:rsidR="009B4233" w:rsidRDefault="009B4233">
      <w:pPr>
        <w:pStyle w:val="Standard"/>
        <w:jc w:val="both"/>
        <w:rPr>
          <w:rFonts w:ascii="Arial" w:hAnsi="Arial" w:cs="Arial"/>
          <w:b/>
          <w:sz w:val="22"/>
          <w:szCs w:val="22"/>
        </w:rPr>
      </w:pPr>
    </w:p>
    <w:p w:rsidR="009B4233" w:rsidRDefault="006B08B9">
      <w:pPr>
        <w:pStyle w:val="Standard"/>
        <w:jc w:val="both"/>
        <w:rPr>
          <w:rFonts w:ascii="Arial" w:hAnsi="Arial" w:cs="Arial"/>
          <w:b/>
          <w:sz w:val="22"/>
          <w:szCs w:val="22"/>
        </w:rPr>
      </w:pPr>
      <w:r>
        <w:rPr>
          <w:rFonts w:ascii="Arial" w:hAnsi="Arial" w:cs="Arial"/>
          <w:b/>
          <w:sz w:val="22"/>
          <w:szCs w:val="22"/>
        </w:rPr>
        <w:lastRenderedPageBreak/>
        <w:t xml:space="preserve">B) ACTIVIDAD DE CONTROL </w:t>
      </w:r>
    </w:p>
    <w:p w:rsidR="009B4233" w:rsidRDefault="009B4233">
      <w:pPr>
        <w:pStyle w:val="Standard"/>
        <w:jc w:val="both"/>
        <w:rPr>
          <w:rFonts w:ascii="Arial" w:hAnsi="Arial" w:cs="Arial"/>
          <w:b/>
          <w:sz w:val="22"/>
          <w:szCs w:val="22"/>
        </w:rPr>
      </w:pPr>
    </w:p>
    <w:p w:rsidR="009B4233" w:rsidRDefault="006B08B9">
      <w:pPr>
        <w:pStyle w:val="Standard"/>
        <w:jc w:val="both"/>
        <w:rPr>
          <w:rFonts w:ascii="Arial" w:hAnsi="Arial" w:cs="Arial"/>
          <w:b/>
          <w:sz w:val="22"/>
          <w:szCs w:val="22"/>
        </w:rPr>
      </w:pPr>
      <w:r>
        <w:rPr>
          <w:rFonts w:ascii="Arial" w:hAnsi="Arial" w:cs="Arial"/>
          <w:b/>
          <w:sz w:val="22"/>
          <w:szCs w:val="22"/>
        </w:rPr>
        <w:t xml:space="preserve">15.- Dación de cuenta de los Decretos de la Alcaldía-Presidencia y de los Concejales delegados. </w:t>
      </w:r>
    </w:p>
    <w:p w:rsidR="009B4233" w:rsidRDefault="009B4233">
      <w:pPr>
        <w:pStyle w:val="Standard"/>
        <w:jc w:val="both"/>
        <w:rPr>
          <w:rFonts w:ascii="Arial" w:hAnsi="Arial" w:cs="Arial"/>
          <w:b/>
          <w:sz w:val="22"/>
          <w:szCs w:val="22"/>
        </w:rPr>
      </w:pPr>
    </w:p>
    <w:p w:rsidR="009B4233" w:rsidRDefault="006B08B9">
      <w:pPr>
        <w:pStyle w:val="Standard"/>
        <w:jc w:val="both"/>
        <w:rPr>
          <w:rFonts w:ascii="Arial" w:hAnsi="Arial" w:cs="Arial"/>
          <w:b/>
          <w:sz w:val="22"/>
          <w:szCs w:val="22"/>
        </w:rPr>
      </w:pPr>
      <w:r>
        <w:rPr>
          <w:rFonts w:ascii="Arial" w:hAnsi="Arial" w:cs="Arial"/>
          <w:b/>
          <w:sz w:val="22"/>
          <w:szCs w:val="22"/>
        </w:rPr>
        <w:t>16. -Informe de Intervención de las resoluciones contrarias a los reparos efectuados conforme lo dispuesto en la</w:t>
      </w:r>
      <w:r>
        <w:rPr>
          <w:rFonts w:ascii="Arial" w:hAnsi="Arial" w:cs="Arial"/>
          <w:b/>
          <w:sz w:val="22"/>
          <w:szCs w:val="22"/>
        </w:rPr>
        <w:t xml:space="preserve"> Ley 27/2013 de racionalización y sostenibilidad de la Administración local </w:t>
      </w:r>
    </w:p>
    <w:p w:rsidR="009B4233" w:rsidRDefault="009B4233">
      <w:pPr>
        <w:pStyle w:val="Standard"/>
        <w:jc w:val="both"/>
        <w:rPr>
          <w:rFonts w:ascii="Arial" w:hAnsi="Arial" w:cs="Arial"/>
          <w:b/>
          <w:sz w:val="22"/>
          <w:szCs w:val="22"/>
        </w:rPr>
      </w:pPr>
    </w:p>
    <w:p w:rsidR="009B4233" w:rsidRDefault="006B08B9">
      <w:pPr>
        <w:pStyle w:val="Standard"/>
        <w:jc w:val="both"/>
        <w:rPr>
          <w:rFonts w:ascii="Arial" w:hAnsi="Arial" w:cs="Arial"/>
          <w:b/>
          <w:sz w:val="22"/>
          <w:szCs w:val="22"/>
        </w:rPr>
      </w:pPr>
      <w:r>
        <w:rPr>
          <w:rFonts w:ascii="Arial" w:hAnsi="Arial" w:cs="Arial"/>
          <w:b/>
          <w:sz w:val="22"/>
          <w:szCs w:val="22"/>
        </w:rPr>
        <w:t xml:space="preserve">B) RUEGOS Y PREGUNTAS </w:t>
      </w:r>
    </w:p>
    <w:p w:rsidR="009B4233" w:rsidRDefault="009B4233">
      <w:pPr>
        <w:pStyle w:val="Standard"/>
        <w:jc w:val="both"/>
        <w:rPr>
          <w:rFonts w:ascii="Arial" w:hAnsi="Arial" w:cs="Arial"/>
          <w:b/>
          <w:bCs/>
          <w:kern w:val="0"/>
          <w:sz w:val="22"/>
          <w:szCs w:val="22"/>
        </w:rPr>
      </w:pPr>
    </w:p>
    <w:p w:rsidR="009B4233" w:rsidRDefault="006B08B9">
      <w:pPr>
        <w:pStyle w:val="Standard"/>
        <w:jc w:val="both"/>
      </w:pPr>
      <w:r>
        <w:rPr>
          <w:rFonts w:ascii="Arial" w:hAnsi="Arial" w:cs="Arial"/>
          <w:b/>
          <w:bCs/>
          <w:kern w:val="0"/>
          <w:sz w:val="22"/>
          <w:szCs w:val="22"/>
        </w:rPr>
        <w:t>17.</w:t>
      </w:r>
      <w:r>
        <w:rPr>
          <w:rFonts w:ascii="Arial" w:hAnsi="Arial" w:cs="Arial"/>
          <w:b/>
          <w:sz w:val="22"/>
          <w:szCs w:val="22"/>
        </w:rPr>
        <w:t>Ruegos y preguntas</w:t>
      </w:r>
    </w:p>
    <w:p w:rsidR="009B4233" w:rsidRDefault="009B4233">
      <w:pPr>
        <w:ind w:right="67"/>
        <w:jc w:val="both"/>
        <w:rPr>
          <w:rFonts w:ascii="Arial" w:hAnsi="Arial" w:cs="Arial"/>
          <w:b/>
          <w:bCs/>
          <w:iCs/>
          <w:sz w:val="22"/>
          <w:szCs w:val="22"/>
        </w:rPr>
      </w:pPr>
    </w:p>
    <w:p w:rsidR="009B4233" w:rsidRDefault="009B4233">
      <w:pPr>
        <w:ind w:right="67"/>
        <w:jc w:val="both"/>
        <w:rPr>
          <w:rFonts w:ascii="Arial" w:hAnsi="Arial" w:cs="Arial"/>
          <w:b/>
          <w:bCs/>
          <w:iCs/>
          <w:sz w:val="22"/>
          <w:szCs w:val="22"/>
        </w:rPr>
      </w:pPr>
    </w:p>
    <w:p w:rsidR="009B4233" w:rsidRDefault="009B4233">
      <w:pPr>
        <w:pStyle w:val="Standard"/>
        <w:jc w:val="both"/>
        <w:rPr>
          <w:rFonts w:ascii="Arial" w:hAnsi="Arial" w:cs="Arial"/>
          <w:b/>
          <w:sz w:val="22"/>
          <w:szCs w:val="22"/>
          <w:u w:val="single"/>
        </w:rPr>
      </w:pPr>
    </w:p>
    <w:p w:rsidR="009B4233" w:rsidRDefault="009B4233">
      <w:pPr>
        <w:pStyle w:val="Standard"/>
        <w:jc w:val="both"/>
        <w:rPr>
          <w:rFonts w:ascii="Arial" w:hAnsi="Arial" w:cs="Arial"/>
          <w:b/>
          <w:sz w:val="22"/>
          <w:szCs w:val="22"/>
          <w:u w:val="single"/>
        </w:rPr>
      </w:pPr>
    </w:p>
    <w:p w:rsidR="009B4233" w:rsidRDefault="006B08B9">
      <w:pPr>
        <w:pStyle w:val="Standard"/>
        <w:jc w:val="both"/>
        <w:rPr>
          <w:rFonts w:ascii="Arial" w:hAnsi="Arial" w:cs="Arial"/>
          <w:b/>
          <w:sz w:val="22"/>
          <w:szCs w:val="22"/>
          <w:u w:val="single"/>
        </w:rPr>
      </w:pPr>
      <w:r>
        <w:rPr>
          <w:rFonts w:ascii="Arial" w:hAnsi="Arial" w:cs="Arial"/>
          <w:b/>
          <w:sz w:val="22"/>
          <w:szCs w:val="22"/>
          <w:u w:val="single"/>
        </w:rPr>
        <w:t>A). Parte Resolutiva de la Sesión.</w:t>
      </w:r>
    </w:p>
    <w:p w:rsidR="009B4233" w:rsidRDefault="009B4233">
      <w:pPr>
        <w:pStyle w:val="Standard"/>
        <w:jc w:val="both"/>
        <w:rPr>
          <w:rFonts w:ascii="Arial" w:hAnsi="Arial" w:cs="Arial"/>
          <w:b/>
          <w:sz w:val="22"/>
          <w:szCs w:val="22"/>
          <w:u w:val="single"/>
        </w:rPr>
      </w:pPr>
    </w:p>
    <w:p w:rsidR="009B4233" w:rsidRDefault="006B08B9">
      <w:pPr>
        <w:widowControl/>
        <w:suppressAutoHyphens w:val="0"/>
        <w:autoSpaceDE w:val="0"/>
        <w:textAlignment w:val="auto"/>
        <w:rPr>
          <w:rFonts w:ascii="Arial" w:hAnsi="Arial" w:cs="Arial"/>
          <w:b/>
          <w:color w:val="000000"/>
          <w:kern w:val="0"/>
          <w:lang w:bidi="ar-SA"/>
        </w:rPr>
      </w:pPr>
      <w:r>
        <w:rPr>
          <w:rFonts w:ascii="Arial" w:hAnsi="Arial" w:cs="Arial"/>
          <w:b/>
          <w:color w:val="000000"/>
          <w:kern w:val="0"/>
          <w:lang w:bidi="ar-SA"/>
        </w:rPr>
        <w:t xml:space="preserve">1.- Expediente 2156/2025. Propuesta de Alcaldesa-Presidenta de 16 de septiembre de2025 al </w:t>
      </w:r>
      <w:r>
        <w:rPr>
          <w:rFonts w:ascii="Arial" w:hAnsi="Arial" w:cs="Arial"/>
          <w:b/>
          <w:color w:val="000000"/>
          <w:kern w:val="0"/>
          <w:lang w:bidi="ar-SA"/>
        </w:rPr>
        <w:t>Pleno de modificación del Plan Normativo Anual del año 2025</w:t>
      </w:r>
    </w:p>
    <w:p w:rsidR="009B4233" w:rsidRDefault="009B4233">
      <w:pPr>
        <w:rPr>
          <w:rFonts w:ascii="Arial" w:hAnsi="Arial" w:cs="Arial"/>
          <w:b/>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6B08B9">
      <w:pPr>
        <w:pStyle w:val="Textoindependiente"/>
        <w:jc w:val="both"/>
      </w:pPr>
      <w:r>
        <w:rPr>
          <w:rFonts w:cs="Arial"/>
          <w:b/>
          <w:bCs/>
          <w:szCs w:val="22"/>
        </w:rPr>
        <w:t xml:space="preserve">   Consta en el expediente Informe Jurídico emitido por </w:t>
      </w:r>
      <w:r>
        <w:rPr>
          <w:rFonts w:cs="Arial"/>
          <w:b/>
          <w:szCs w:val="22"/>
        </w:rPr>
        <w:t>Doña Rosa Edelmira González Sabina</w:t>
      </w:r>
      <w:r>
        <w:rPr>
          <w:rFonts w:cs="Arial"/>
          <w:b/>
          <w:bCs/>
          <w:szCs w:val="22"/>
        </w:rPr>
        <w:t xml:space="preserve">, </w:t>
      </w:r>
      <w:r>
        <w:rPr>
          <w:rFonts w:cs="Arial"/>
          <w:b/>
          <w:szCs w:val="22"/>
        </w:rPr>
        <w:t>que desempeña el puesto de Jurista, de 17 de septiembre de 2025,</w:t>
      </w:r>
      <w:r>
        <w:rPr>
          <w:rFonts w:cs="Arial"/>
          <w:b/>
          <w:bCs/>
          <w:szCs w:val="22"/>
        </w:rPr>
        <w:t xml:space="preserve"> del siguiente tenor literal:</w:t>
      </w:r>
    </w:p>
    <w:p w:rsidR="009B4233" w:rsidRDefault="009B4233">
      <w:pPr>
        <w:pStyle w:val="Textoindependiente"/>
        <w:jc w:val="both"/>
        <w:rPr>
          <w:rFonts w:cs="Arial"/>
          <w:b/>
          <w:bCs/>
          <w:szCs w:val="22"/>
        </w:rPr>
      </w:pPr>
    </w:p>
    <w:p w:rsidR="009B4233" w:rsidRDefault="009B4233">
      <w:pPr>
        <w:spacing w:after="82" w:line="249" w:lineRule="auto"/>
        <w:ind w:left="18"/>
        <w:rPr>
          <w:rFonts w:ascii="Arial" w:hAnsi="Arial" w:cs="Arial"/>
          <w:sz w:val="22"/>
          <w:szCs w:val="22"/>
        </w:rPr>
      </w:pPr>
    </w:p>
    <w:p w:rsidR="009B4233" w:rsidRDefault="006B08B9">
      <w:pPr>
        <w:pStyle w:val="Ttulo1"/>
        <w:ind w:left="30" w:right="2"/>
        <w:rPr>
          <w:rFonts w:ascii="Arial" w:hAnsi="Arial" w:cs="Arial"/>
          <w:sz w:val="22"/>
          <w:szCs w:val="22"/>
        </w:rPr>
      </w:pPr>
      <w:r>
        <w:rPr>
          <w:rFonts w:ascii="Arial" w:hAnsi="Arial" w:cs="Arial"/>
          <w:sz w:val="22"/>
          <w:szCs w:val="22"/>
        </w:rPr>
        <w:t xml:space="preserve">   </w:t>
      </w:r>
      <w:r>
        <w:rPr>
          <w:rFonts w:ascii="Arial" w:hAnsi="Arial" w:cs="Arial"/>
          <w:sz w:val="22"/>
          <w:szCs w:val="22"/>
        </w:rPr>
        <w:t>“INFORME JURÍDICO</w:t>
      </w:r>
    </w:p>
    <w:p w:rsidR="009B4233" w:rsidRDefault="006B08B9">
      <w:pPr>
        <w:spacing w:after="1" w:line="264" w:lineRule="auto"/>
        <w:ind w:left="13"/>
      </w:pPr>
      <w:r>
        <w:rPr>
          <w:rFonts w:ascii="Arial" w:eastAsia="Calibri" w:hAnsi="Arial" w:cs="Arial"/>
          <w:b/>
          <w:sz w:val="22"/>
          <w:szCs w:val="22"/>
        </w:rPr>
        <w:t>Visto el expediente referenciado, la funcionaria Doña Rosa E. González Sabina, Técnica de Administración General, emite el siguiente informe:</w:t>
      </w:r>
    </w:p>
    <w:p w:rsidR="009B4233" w:rsidRDefault="006B08B9">
      <w:pPr>
        <w:spacing w:line="249" w:lineRule="auto"/>
        <w:ind w:left="18"/>
      </w:pPr>
      <w:r>
        <w:rPr>
          <w:rFonts w:ascii="Arial" w:eastAsia="Calibri" w:hAnsi="Arial" w:cs="Arial"/>
          <w:sz w:val="22"/>
          <w:szCs w:val="22"/>
        </w:rPr>
        <w:t xml:space="preserve"> </w:t>
      </w:r>
    </w:p>
    <w:p w:rsidR="009B4233" w:rsidRDefault="006B08B9">
      <w:pPr>
        <w:pStyle w:val="Ttulo1"/>
        <w:ind w:left="30"/>
        <w:rPr>
          <w:rFonts w:ascii="Arial" w:hAnsi="Arial" w:cs="Arial"/>
          <w:sz w:val="22"/>
          <w:szCs w:val="22"/>
        </w:rPr>
      </w:pPr>
      <w:r>
        <w:rPr>
          <w:rFonts w:ascii="Arial" w:hAnsi="Arial" w:cs="Arial"/>
          <w:sz w:val="22"/>
          <w:szCs w:val="22"/>
        </w:rPr>
        <w:t xml:space="preserve">Antecedentes de hecho </w:t>
      </w:r>
    </w:p>
    <w:p w:rsidR="009B4233" w:rsidRDefault="006B08B9">
      <w:pPr>
        <w:spacing w:after="24"/>
        <w:ind w:left="13" w:right="5"/>
        <w:jc w:val="both"/>
      </w:pPr>
      <w:r>
        <w:rPr>
          <w:rFonts w:ascii="Arial" w:eastAsia="Calibri" w:hAnsi="Arial" w:cs="Arial"/>
          <w:b/>
          <w:sz w:val="22"/>
          <w:szCs w:val="22"/>
        </w:rPr>
        <w:t>Único:</w:t>
      </w:r>
      <w:r>
        <w:rPr>
          <w:rFonts w:ascii="Arial" w:eastAsia="Calibri" w:hAnsi="Arial" w:cs="Arial"/>
          <w:sz w:val="22"/>
          <w:szCs w:val="22"/>
        </w:rPr>
        <w:t xml:space="preserve"> Vista propuesta de la Alcaldesa Presidenta, de fecha 16 de septi</w:t>
      </w:r>
      <w:r>
        <w:rPr>
          <w:rFonts w:ascii="Arial" w:eastAsia="Calibri" w:hAnsi="Arial" w:cs="Arial"/>
          <w:sz w:val="22"/>
          <w:szCs w:val="22"/>
        </w:rPr>
        <w:t>embre de 2025, relativa a la modificación del Plan Normativo anual, cuyo tenor literal es el siguiente:</w:t>
      </w:r>
    </w:p>
    <w:p w:rsidR="009B4233" w:rsidRDefault="009B4233">
      <w:pPr>
        <w:spacing w:after="24"/>
        <w:ind w:left="13" w:right="5"/>
        <w:jc w:val="both"/>
        <w:rPr>
          <w:rFonts w:ascii="Arial" w:hAnsi="Arial" w:cs="Arial"/>
          <w:sz w:val="22"/>
          <w:szCs w:val="22"/>
        </w:rPr>
      </w:pPr>
    </w:p>
    <w:p w:rsidR="009B4233" w:rsidRDefault="006B08B9">
      <w:pPr>
        <w:ind w:left="13"/>
        <w:jc w:val="both"/>
      </w:pPr>
      <w:r>
        <w:rPr>
          <w:rFonts w:ascii="Arial" w:eastAsia="Calibri" w:hAnsi="Arial" w:cs="Arial"/>
          <w:sz w:val="22"/>
          <w:szCs w:val="22"/>
        </w:rPr>
        <w:t>“</w:t>
      </w:r>
      <w:r>
        <w:rPr>
          <w:rFonts w:ascii="Arial" w:hAnsi="Arial" w:cs="Arial"/>
          <w:sz w:val="22"/>
          <w:szCs w:val="22"/>
        </w:rPr>
        <w:t>El Pleno de este Ayuntamiento, en sesión celebrada el pasado día 27 de febrero de 2025 aprobó el Plan Normativo Municipal 2025, todo ello de conformid</w:t>
      </w:r>
      <w:r>
        <w:rPr>
          <w:rFonts w:ascii="Arial" w:hAnsi="Arial" w:cs="Arial"/>
          <w:sz w:val="22"/>
          <w:szCs w:val="22"/>
        </w:rPr>
        <w:t>ad con lo dispuesto en el artículo 132 de la Ley 39/2015, de 1 de octubre, del Procedimiento Administrativo Común de las Administraciones Públicas y que posteriormente fue modificado por el Pleno en sesión ordinaria el día 30 de abril de 2025.</w:t>
      </w:r>
    </w:p>
    <w:p w:rsidR="009B4233" w:rsidRDefault="006B08B9">
      <w:pPr>
        <w:ind w:left="13" w:right="136"/>
        <w:jc w:val="both"/>
        <w:rPr>
          <w:rFonts w:ascii="Arial" w:hAnsi="Arial" w:cs="Arial"/>
          <w:sz w:val="22"/>
          <w:szCs w:val="22"/>
        </w:rPr>
      </w:pPr>
      <w:r>
        <w:rPr>
          <w:rFonts w:ascii="Arial" w:hAnsi="Arial" w:cs="Arial"/>
          <w:sz w:val="22"/>
          <w:szCs w:val="22"/>
        </w:rPr>
        <w:t xml:space="preserve"> Considerand</w:t>
      </w:r>
      <w:r>
        <w:rPr>
          <w:rFonts w:ascii="Arial" w:hAnsi="Arial" w:cs="Arial"/>
          <w:sz w:val="22"/>
          <w:szCs w:val="22"/>
        </w:rPr>
        <w:t>o que, tras recopilar nueva información de los servicios municipales, y dado que el plan normativo anual es una previsión no vinculante susceptible de modificaciones a lo largo del ejercicio 2025.</w:t>
      </w:r>
    </w:p>
    <w:p w:rsidR="009B4233" w:rsidRDefault="006B08B9">
      <w:pPr>
        <w:spacing w:after="250"/>
        <w:ind w:left="13" w:right="136"/>
        <w:jc w:val="both"/>
        <w:rPr>
          <w:rFonts w:ascii="Arial" w:hAnsi="Arial" w:cs="Arial"/>
          <w:sz w:val="22"/>
          <w:szCs w:val="22"/>
        </w:rPr>
      </w:pPr>
      <w:r>
        <w:rPr>
          <w:rFonts w:ascii="Arial" w:hAnsi="Arial" w:cs="Arial"/>
          <w:sz w:val="22"/>
          <w:szCs w:val="22"/>
        </w:rPr>
        <w:t>Considerando que la Ley 7/1985, de 2 de abril, Reguladora d</w:t>
      </w:r>
      <w:r>
        <w:rPr>
          <w:rFonts w:ascii="Arial" w:hAnsi="Arial" w:cs="Arial"/>
          <w:sz w:val="22"/>
          <w:szCs w:val="22"/>
        </w:rPr>
        <w:t xml:space="preserve">e las Bases del Régimen </w:t>
      </w:r>
      <w:r>
        <w:rPr>
          <w:rFonts w:ascii="Arial" w:hAnsi="Arial" w:cs="Arial"/>
          <w:sz w:val="22"/>
          <w:szCs w:val="22"/>
        </w:rPr>
        <w:lastRenderedPageBreak/>
        <w:t xml:space="preserve">Local, establece en el artículo 22 las atribuciones del Pleno de la Corporación en materia de aprobación de planes. </w:t>
      </w:r>
    </w:p>
    <w:p w:rsidR="009B4233" w:rsidRDefault="006B08B9">
      <w:pPr>
        <w:ind w:left="13" w:right="6"/>
        <w:jc w:val="both"/>
        <w:rPr>
          <w:rFonts w:ascii="Arial" w:hAnsi="Arial" w:cs="Arial"/>
          <w:sz w:val="22"/>
          <w:szCs w:val="22"/>
        </w:rPr>
      </w:pPr>
      <w:r>
        <w:rPr>
          <w:rFonts w:ascii="Arial" w:hAnsi="Arial" w:cs="Arial"/>
          <w:sz w:val="22"/>
          <w:szCs w:val="22"/>
        </w:rPr>
        <w:t>En consecuencia, esta Alcaldía propone al Pleno, previo dictamen de la Comisión informativa correspondiente, la ado</w:t>
      </w:r>
      <w:r>
        <w:rPr>
          <w:rFonts w:ascii="Arial" w:hAnsi="Arial" w:cs="Arial"/>
          <w:sz w:val="22"/>
          <w:szCs w:val="22"/>
        </w:rPr>
        <w:t>pción del siguiente acuerdo:</w:t>
      </w:r>
    </w:p>
    <w:p w:rsidR="009B4233" w:rsidRDefault="006B08B9">
      <w:pPr>
        <w:ind w:left="13" w:right="6"/>
        <w:jc w:val="both"/>
        <w:rPr>
          <w:rFonts w:ascii="Arial" w:hAnsi="Arial" w:cs="Arial"/>
          <w:sz w:val="22"/>
          <w:szCs w:val="22"/>
        </w:rPr>
      </w:pPr>
      <w:r>
        <w:rPr>
          <w:rFonts w:ascii="Arial" w:hAnsi="Arial" w:cs="Arial"/>
          <w:sz w:val="22"/>
          <w:szCs w:val="22"/>
        </w:rPr>
        <w:t>PRIMERO.- Realizar la modificación del Plan Anual Normativo 2025 para incluir la aprobación de las siguientes normas:</w:t>
      </w:r>
    </w:p>
    <w:p w:rsidR="009B4233" w:rsidRDefault="006B08B9">
      <w:pPr>
        <w:widowControl/>
        <w:numPr>
          <w:ilvl w:val="0"/>
          <w:numId w:val="4"/>
        </w:numPr>
        <w:suppressAutoHyphens w:val="0"/>
        <w:spacing w:after="3" w:line="228" w:lineRule="auto"/>
        <w:ind w:right="6" w:hanging="10"/>
        <w:jc w:val="both"/>
        <w:textAlignment w:val="auto"/>
        <w:rPr>
          <w:rFonts w:ascii="Arial" w:hAnsi="Arial" w:cs="Arial"/>
          <w:sz w:val="22"/>
          <w:szCs w:val="22"/>
        </w:rPr>
      </w:pPr>
      <w:r>
        <w:rPr>
          <w:rFonts w:ascii="Arial" w:hAnsi="Arial" w:cs="Arial"/>
          <w:sz w:val="22"/>
          <w:szCs w:val="22"/>
        </w:rPr>
        <w:t>Modificación de la Ordenanza reguladora de la prestación patrimonial de carácter público no tributario de los</w:t>
      </w:r>
      <w:r>
        <w:rPr>
          <w:rFonts w:ascii="Arial" w:hAnsi="Arial" w:cs="Arial"/>
          <w:sz w:val="22"/>
          <w:szCs w:val="22"/>
        </w:rPr>
        <w:t xml:space="preserve"> servicios municipales de gestión del ciclo integral del agua del Ayuntamiento de la Villa de Candelaria.</w:t>
      </w:r>
    </w:p>
    <w:p w:rsidR="009B4233" w:rsidRDefault="006B08B9">
      <w:pPr>
        <w:widowControl/>
        <w:numPr>
          <w:ilvl w:val="0"/>
          <w:numId w:val="4"/>
        </w:numPr>
        <w:suppressAutoHyphens w:val="0"/>
        <w:spacing w:after="3" w:line="228" w:lineRule="auto"/>
        <w:ind w:right="6" w:hanging="10"/>
        <w:jc w:val="both"/>
        <w:textAlignment w:val="auto"/>
        <w:rPr>
          <w:rFonts w:ascii="Arial" w:hAnsi="Arial" w:cs="Arial"/>
          <w:sz w:val="22"/>
          <w:szCs w:val="22"/>
        </w:rPr>
      </w:pPr>
      <w:r>
        <w:rPr>
          <w:rFonts w:ascii="Arial" w:hAnsi="Arial" w:cs="Arial"/>
          <w:sz w:val="22"/>
          <w:szCs w:val="22"/>
        </w:rPr>
        <w:t>Ordenanza reguladora de limpieza de los espacios públicos, gestión de residuos y economía circular del municipio de Candelaria.</w:t>
      </w:r>
    </w:p>
    <w:p w:rsidR="009B4233" w:rsidRDefault="006B08B9">
      <w:pPr>
        <w:widowControl/>
        <w:numPr>
          <w:ilvl w:val="0"/>
          <w:numId w:val="4"/>
        </w:numPr>
        <w:suppressAutoHyphens w:val="0"/>
        <w:spacing w:after="3" w:line="228" w:lineRule="auto"/>
        <w:ind w:right="6" w:hanging="10"/>
        <w:jc w:val="both"/>
        <w:textAlignment w:val="auto"/>
        <w:rPr>
          <w:rFonts w:ascii="Arial" w:hAnsi="Arial" w:cs="Arial"/>
          <w:sz w:val="22"/>
          <w:szCs w:val="22"/>
        </w:rPr>
      </w:pPr>
      <w:r>
        <w:rPr>
          <w:rFonts w:ascii="Arial" w:hAnsi="Arial" w:cs="Arial"/>
          <w:sz w:val="22"/>
          <w:szCs w:val="22"/>
        </w:rPr>
        <w:t xml:space="preserve">Modificación de la </w:t>
      </w:r>
      <w:r>
        <w:rPr>
          <w:rFonts w:ascii="Arial" w:hAnsi="Arial" w:cs="Arial"/>
          <w:sz w:val="22"/>
          <w:szCs w:val="22"/>
        </w:rPr>
        <w:t>ordenanza fiscal de la tasa por la prestación del servicio de recogida, transporte y tratamiento de residuos sólidos urbanos.</w:t>
      </w:r>
    </w:p>
    <w:p w:rsidR="009B4233" w:rsidRDefault="006B08B9">
      <w:pPr>
        <w:widowControl/>
        <w:numPr>
          <w:ilvl w:val="0"/>
          <w:numId w:val="4"/>
        </w:numPr>
        <w:suppressAutoHyphens w:val="0"/>
        <w:spacing w:after="249" w:line="228" w:lineRule="auto"/>
        <w:ind w:right="6" w:hanging="10"/>
        <w:jc w:val="both"/>
        <w:textAlignment w:val="auto"/>
        <w:rPr>
          <w:rFonts w:ascii="Arial" w:hAnsi="Arial" w:cs="Arial"/>
          <w:sz w:val="22"/>
          <w:szCs w:val="22"/>
        </w:rPr>
      </w:pPr>
      <w:r>
        <w:rPr>
          <w:rFonts w:ascii="Arial" w:hAnsi="Arial" w:cs="Arial"/>
          <w:sz w:val="22"/>
          <w:szCs w:val="22"/>
        </w:rPr>
        <w:t>ESTATUTOS DE LA ENTIDAD URBANÍSTICA DE CONSERVACIÓN DEL POLÍGONO INDUSTRIAL VALLE DE GÜÏMAR (E.U.C. POLÍGONO VALLE Güímar)</w:t>
      </w:r>
    </w:p>
    <w:p w:rsidR="009B4233" w:rsidRDefault="006B08B9">
      <w:pPr>
        <w:spacing w:after="250"/>
        <w:ind w:left="13" w:right="6"/>
        <w:jc w:val="both"/>
        <w:rPr>
          <w:rFonts w:ascii="Arial" w:hAnsi="Arial" w:cs="Arial"/>
          <w:sz w:val="22"/>
          <w:szCs w:val="22"/>
        </w:rPr>
      </w:pPr>
      <w:r>
        <w:rPr>
          <w:rFonts w:ascii="Arial" w:hAnsi="Arial" w:cs="Arial"/>
          <w:sz w:val="22"/>
          <w:szCs w:val="22"/>
        </w:rPr>
        <w:t>SEGUNDO.- El Plan Anual Normativo 2025, con las modificaciones que se proponen, quedaría distribuido de la siguiente manera:</w:t>
      </w:r>
    </w:p>
    <w:p w:rsidR="009B4233" w:rsidRDefault="006B08B9">
      <w:pPr>
        <w:spacing w:after="28"/>
        <w:ind w:left="13" w:right="6"/>
        <w:jc w:val="both"/>
        <w:rPr>
          <w:rFonts w:ascii="Arial" w:hAnsi="Arial" w:cs="Arial"/>
          <w:sz w:val="22"/>
          <w:szCs w:val="22"/>
        </w:rPr>
      </w:pPr>
      <w:r>
        <w:rPr>
          <w:rFonts w:ascii="Arial" w:hAnsi="Arial" w:cs="Arial"/>
          <w:sz w:val="22"/>
          <w:szCs w:val="22"/>
        </w:rPr>
        <w:t>HACIENDA:</w:t>
      </w:r>
    </w:p>
    <w:p w:rsidR="009B4233" w:rsidRDefault="006B08B9">
      <w:pPr>
        <w:widowControl/>
        <w:numPr>
          <w:ilvl w:val="0"/>
          <w:numId w:val="5"/>
        </w:numPr>
        <w:suppressAutoHyphens w:val="0"/>
        <w:spacing w:after="28" w:line="228" w:lineRule="auto"/>
        <w:ind w:right="6" w:hanging="708"/>
        <w:jc w:val="both"/>
        <w:textAlignment w:val="auto"/>
        <w:rPr>
          <w:rFonts w:ascii="Arial" w:hAnsi="Arial" w:cs="Arial"/>
          <w:sz w:val="22"/>
          <w:szCs w:val="22"/>
        </w:rPr>
      </w:pPr>
      <w:r>
        <w:rPr>
          <w:rFonts w:ascii="Arial" w:hAnsi="Arial" w:cs="Arial"/>
          <w:sz w:val="22"/>
          <w:szCs w:val="22"/>
        </w:rPr>
        <w:t>Ordenanza fiscal reguladora de la tasa de expedición de documentos.</w:t>
      </w:r>
    </w:p>
    <w:p w:rsidR="009B4233" w:rsidRDefault="006B08B9">
      <w:pPr>
        <w:widowControl/>
        <w:numPr>
          <w:ilvl w:val="0"/>
          <w:numId w:val="5"/>
        </w:numPr>
        <w:suppressAutoHyphens w:val="0"/>
        <w:spacing w:after="3" w:line="228" w:lineRule="auto"/>
        <w:ind w:right="6" w:hanging="708"/>
        <w:jc w:val="both"/>
        <w:textAlignment w:val="auto"/>
        <w:rPr>
          <w:rFonts w:ascii="Arial" w:hAnsi="Arial" w:cs="Arial"/>
          <w:sz w:val="22"/>
          <w:szCs w:val="22"/>
        </w:rPr>
      </w:pPr>
      <w:r>
        <w:rPr>
          <w:rFonts w:ascii="Arial" w:hAnsi="Arial" w:cs="Arial"/>
          <w:sz w:val="22"/>
          <w:szCs w:val="22"/>
        </w:rPr>
        <w:t>Reglamento de control interno de la actividad económi</w:t>
      </w:r>
      <w:r>
        <w:rPr>
          <w:rFonts w:ascii="Arial" w:hAnsi="Arial" w:cs="Arial"/>
          <w:sz w:val="22"/>
          <w:szCs w:val="22"/>
        </w:rPr>
        <w:t>co-financiera del Ayuntamiento.</w:t>
      </w:r>
    </w:p>
    <w:p w:rsidR="009B4233" w:rsidRDefault="006B08B9">
      <w:pPr>
        <w:widowControl/>
        <w:numPr>
          <w:ilvl w:val="0"/>
          <w:numId w:val="5"/>
        </w:numPr>
        <w:suppressAutoHyphens w:val="0"/>
        <w:spacing w:after="3" w:line="228" w:lineRule="auto"/>
        <w:ind w:right="6" w:hanging="708"/>
        <w:jc w:val="both"/>
        <w:textAlignment w:val="auto"/>
        <w:rPr>
          <w:rFonts w:ascii="Arial" w:hAnsi="Arial" w:cs="Arial"/>
          <w:sz w:val="22"/>
          <w:szCs w:val="22"/>
        </w:rPr>
      </w:pPr>
      <w:r>
        <w:rPr>
          <w:rFonts w:ascii="Arial" w:hAnsi="Arial" w:cs="Arial"/>
          <w:sz w:val="22"/>
          <w:szCs w:val="22"/>
        </w:rPr>
        <w:t>Ordenanza reguladora de la prestación patrimonial pública no tributaria de abastecimiento y saneamiento de agua potable.</w:t>
      </w:r>
    </w:p>
    <w:p w:rsidR="009B4233" w:rsidRDefault="006B08B9">
      <w:pPr>
        <w:widowControl/>
        <w:numPr>
          <w:ilvl w:val="0"/>
          <w:numId w:val="5"/>
        </w:numPr>
        <w:suppressAutoHyphens w:val="0"/>
        <w:spacing w:after="3" w:line="228" w:lineRule="auto"/>
        <w:ind w:right="6" w:hanging="708"/>
        <w:jc w:val="both"/>
        <w:textAlignment w:val="auto"/>
        <w:rPr>
          <w:rFonts w:ascii="Arial" w:hAnsi="Arial" w:cs="Arial"/>
          <w:sz w:val="22"/>
          <w:szCs w:val="22"/>
        </w:rPr>
      </w:pPr>
      <w:r>
        <w:rPr>
          <w:rFonts w:ascii="Arial" w:hAnsi="Arial" w:cs="Arial"/>
          <w:sz w:val="22"/>
          <w:szCs w:val="22"/>
        </w:rPr>
        <w:t xml:space="preserve">Modificación de la Ordenanza reguladora de la prestación patrimonial de carácter público no tributario </w:t>
      </w:r>
      <w:r>
        <w:rPr>
          <w:rFonts w:ascii="Arial" w:hAnsi="Arial" w:cs="Arial"/>
          <w:sz w:val="22"/>
          <w:szCs w:val="22"/>
        </w:rPr>
        <w:t>de los servicios municipales de gestión del ciclo integral del agua del Ayuntamiento de la Villa de Candelaria.</w:t>
      </w:r>
    </w:p>
    <w:p w:rsidR="009B4233" w:rsidRDefault="006B08B9">
      <w:pPr>
        <w:widowControl/>
        <w:numPr>
          <w:ilvl w:val="0"/>
          <w:numId w:val="5"/>
        </w:numPr>
        <w:suppressAutoHyphens w:val="0"/>
        <w:spacing w:after="3" w:line="228" w:lineRule="auto"/>
        <w:ind w:right="6" w:hanging="708"/>
        <w:jc w:val="both"/>
        <w:textAlignment w:val="auto"/>
        <w:rPr>
          <w:rFonts w:ascii="Arial" w:hAnsi="Arial" w:cs="Arial"/>
          <w:sz w:val="22"/>
          <w:szCs w:val="22"/>
        </w:rPr>
      </w:pPr>
      <w:r>
        <w:rPr>
          <w:rFonts w:ascii="Arial" w:hAnsi="Arial" w:cs="Arial"/>
          <w:sz w:val="22"/>
          <w:szCs w:val="22"/>
        </w:rPr>
        <w:t>Ordenanza reguladora de limpieza de los espacios públicos, gestión de residuos y economía circular del municipio de Candelaria.</w:t>
      </w:r>
    </w:p>
    <w:p w:rsidR="009B4233" w:rsidRDefault="006B08B9">
      <w:pPr>
        <w:widowControl/>
        <w:numPr>
          <w:ilvl w:val="0"/>
          <w:numId w:val="5"/>
        </w:numPr>
        <w:suppressAutoHyphens w:val="0"/>
        <w:spacing w:after="249" w:line="228" w:lineRule="auto"/>
        <w:ind w:right="6" w:hanging="708"/>
        <w:jc w:val="both"/>
        <w:textAlignment w:val="auto"/>
        <w:rPr>
          <w:rFonts w:ascii="Arial" w:hAnsi="Arial" w:cs="Arial"/>
          <w:sz w:val="22"/>
          <w:szCs w:val="22"/>
        </w:rPr>
      </w:pPr>
      <w:r>
        <w:rPr>
          <w:rFonts w:ascii="Arial" w:hAnsi="Arial" w:cs="Arial"/>
          <w:sz w:val="22"/>
          <w:szCs w:val="22"/>
        </w:rPr>
        <w:t xml:space="preserve">Modificación de </w:t>
      </w:r>
      <w:r>
        <w:rPr>
          <w:rFonts w:ascii="Arial" w:hAnsi="Arial" w:cs="Arial"/>
          <w:sz w:val="22"/>
          <w:szCs w:val="22"/>
        </w:rPr>
        <w:t>la Ordenanza fiscal de la tasa por la prestación del servicio de recogida, transporte y tratamiento de residuos sólidos urbanos.</w:t>
      </w:r>
    </w:p>
    <w:p w:rsidR="009B4233" w:rsidRDefault="006B08B9">
      <w:pPr>
        <w:spacing w:after="28"/>
        <w:ind w:left="13" w:right="6"/>
        <w:jc w:val="both"/>
        <w:rPr>
          <w:rFonts w:ascii="Arial" w:hAnsi="Arial" w:cs="Arial"/>
          <w:sz w:val="22"/>
          <w:szCs w:val="22"/>
        </w:rPr>
      </w:pPr>
      <w:r>
        <w:rPr>
          <w:rFonts w:ascii="Arial" w:hAnsi="Arial" w:cs="Arial"/>
          <w:sz w:val="22"/>
          <w:szCs w:val="22"/>
        </w:rPr>
        <w:t>RELACIONES INSTITUCIONALES Y PROTOCOLO:</w:t>
      </w:r>
    </w:p>
    <w:p w:rsidR="009B4233" w:rsidRDefault="006B08B9">
      <w:pPr>
        <w:widowControl/>
        <w:numPr>
          <w:ilvl w:val="0"/>
          <w:numId w:val="5"/>
        </w:numPr>
        <w:suppressAutoHyphens w:val="0"/>
        <w:spacing w:after="28" w:line="228" w:lineRule="auto"/>
        <w:ind w:right="6" w:hanging="708"/>
        <w:jc w:val="both"/>
        <w:textAlignment w:val="auto"/>
        <w:rPr>
          <w:rFonts w:ascii="Arial" w:hAnsi="Arial" w:cs="Arial"/>
          <w:sz w:val="22"/>
          <w:szCs w:val="22"/>
        </w:rPr>
      </w:pPr>
      <w:r>
        <w:rPr>
          <w:rFonts w:ascii="Arial" w:hAnsi="Arial" w:cs="Arial"/>
          <w:sz w:val="22"/>
          <w:szCs w:val="22"/>
        </w:rPr>
        <w:t>Modificación del reglamento de honores, distinciones y ceremonial.</w:t>
      </w:r>
    </w:p>
    <w:p w:rsidR="009B4233" w:rsidRDefault="006B08B9">
      <w:pPr>
        <w:spacing w:after="28"/>
        <w:ind w:left="13" w:right="6"/>
        <w:jc w:val="both"/>
        <w:rPr>
          <w:rFonts w:ascii="Arial" w:hAnsi="Arial" w:cs="Arial"/>
          <w:sz w:val="22"/>
          <w:szCs w:val="22"/>
        </w:rPr>
      </w:pPr>
      <w:r>
        <w:rPr>
          <w:rFonts w:ascii="Arial" w:hAnsi="Arial" w:cs="Arial"/>
          <w:sz w:val="22"/>
          <w:szCs w:val="22"/>
        </w:rPr>
        <w:t>MEDIO AMBIENTE NATUR</w:t>
      </w:r>
      <w:r>
        <w:rPr>
          <w:rFonts w:ascii="Arial" w:hAnsi="Arial" w:cs="Arial"/>
          <w:sz w:val="22"/>
          <w:szCs w:val="22"/>
        </w:rPr>
        <w:t>AL</w:t>
      </w:r>
    </w:p>
    <w:p w:rsidR="009B4233" w:rsidRDefault="006B08B9">
      <w:pPr>
        <w:widowControl/>
        <w:numPr>
          <w:ilvl w:val="0"/>
          <w:numId w:val="5"/>
        </w:numPr>
        <w:suppressAutoHyphens w:val="0"/>
        <w:spacing w:after="3" w:line="228" w:lineRule="auto"/>
        <w:ind w:right="6" w:hanging="708"/>
        <w:jc w:val="both"/>
        <w:textAlignment w:val="auto"/>
        <w:rPr>
          <w:rFonts w:ascii="Arial" w:hAnsi="Arial" w:cs="Arial"/>
          <w:sz w:val="22"/>
          <w:szCs w:val="22"/>
        </w:rPr>
      </w:pPr>
      <w:r>
        <w:rPr>
          <w:rFonts w:ascii="Arial" w:hAnsi="Arial" w:cs="Arial"/>
          <w:sz w:val="22"/>
          <w:szCs w:val="22"/>
        </w:rPr>
        <w:t>Aprobación de la ordenanza reguladora de uso de senderos de la red de senderos locales de Candelaria.</w:t>
      </w:r>
    </w:p>
    <w:p w:rsidR="009B4233" w:rsidRDefault="006B08B9">
      <w:pPr>
        <w:spacing w:after="28"/>
        <w:ind w:left="13" w:right="6"/>
        <w:jc w:val="both"/>
        <w:rPr>
          <w:rFonts w:ascii="Arial" w:hAnsi="Arial" w:cs="Arial"/>
          <w:sz w:val="22"/>
          <w:szCs w:val="22"/>
        </w:rPr>
      </w:pPr>
      <w:r>
        <w:rPr>
          <w:rFonts w:ascii="Arial" w:hAnsi="Arial" w:cs="Arial"/>
          <w:sz w:val="22"/>
          <w:szCs w:val="22"/>
        </w:rPr>
        <w:t>CULTURA:</w:t>
      </w:r>
    </w:p>
    <w:p w:rsidR="009B4233" w:rsidRDefault="006B08B9">
      <w:pPr>
        <w:widowControl/>
        <w:numPr>
          <w:ilvl w:val="0"/>
          <w:numId w:val="5"/>
        </w:numPr>
        <w:suppressAutoHyphens w:val="0"/>
        <w:spacing w:after="3" w:line="228" w:lineRule="auto"/>
        <w:ind w:right="6" w:hanging="708"/>
        <w:jc w:val="both"/>
        <w:textAlignment w:val="auto"/>
        <w:rPr>
          <w:rFonts w:ascii="Arial" w:hAnsi="Arial" w:cs="Arial"/>
          <w:sz w:val="22"/>
          <w:szCs w:val="22"/>
        </w:rPr>
      </w:pPr>
      <w:r>
        <w:rPr>
          <w:rFonts w:ascii="Arial" w:hAnsi="Arial" w:cs="Arial"/>
          <w:sz w:val="22"/>
          <w:szCs w:val="22"/>
        </w:rPr>
        <w:t>Aprobación del Reglamento de red de espacios culturales del ayuntamiento de Candelaria.</w:t>
      </w:r>
    </w:p>
    <w:p w:rsidR="009B4233" w:rsidRDefault="006B08B9">
      <w:pPr>
        <w:spacing w:after="28"/>
        <w:ind w:left="13" w:right="6"/>
        <w:jc w:val="both"/>
        <w:rPr>
          <w:rFonts w:ascii="Arial" w:hAnsi="Arial" w:cs="Arial"/>
          <w:sz w:val="22"/>
          <w:szCs w:val="22"/>
        </w:rPr>
      </w:pPr>
      <w:r>
        <w:rPr>
          <w:rFonts w:ascii="Arial" w:hAnsi="Arial" w:cs="Arial"/>
          <w:sz w:val="22"/>
          <w:szCs w:val="22"/>
        </w:rPr>
        <w:t>PARTICIPACIÓN CIUDADANA:</w:t>
      </w:r>
    </w:p>
    <w:p w:rsidR="009B4233" w:rsidRDefault="006B08B9">
      <w:pPr>
        <w:widowControl/>
        <w:numPr>
          <w:ilvl w:val="0"/>
          <w:numId w:val="5"/>
        </w:numPr>
        <w:suppressAutoHyphens w:val="0"/>
        <w:spacing w:after="28" w:line="228" w:lineRule="auto"/>
        <w:ind w:right="6" w:hanging="708"/>
        <w:jc w:val="both"/>
        <w:textAlignment w:val="auto"/>
        <w:rPr>
          <w:rFonts w:ascii="Arial" w:hAnsi="Arial" w:cs="Arial"/>
          <w:sz w:val="22"/>
          <w:szCs w:val="22"/>
        </w:rPr>
      </w:pPr>
      <w:r>
        <w:rPr>
          <w:rFonts w:ascii="Arial" w:hAnsi="Arial" w:cs="Arial"/>
          <w:sz w:val="22"/>
          <w:szCs w:val="22"/>
        </w:rPr>
        <w:t xml:space="preserve">Reglamento de participación </w:t>
      </w:r>
      <w:r>
        <w:rPr>
          <w:rFonts w:ascii="Arial" w:hAnsi="Arial" w:cs="Arial"/>
          <w:sz w:val="22"/>
          <w:szCs w:val="22"/>
        </w:rPr>
        <w:t>ciudadana del municipio de Candelaria.</w:t>
      </w:r>
    </w:p>
    <w:p w:rsidR="009B4233" w:rsidRDefault="006B08B9">
      <w:pPr>
        <w:widowControl/>
        <w:numPr>
          <w:ilvl w:val="0"/>
          <w:numId w:val="5"/>
        </w:numPr>
        <w:suppressAutoHyphens w:val="0"/>
        <w:spacing w:after="28" w:line="228" w:lineRule="auto"/>
        <w:ind w:right="6" w:hanging="708"/>
        <w:jc w:val="both"/>
        <w:textAlignment w:val="auto"/>
        <w:rPr>
          <w:rFonts w:ascii="Arial" w:hAnsi="Arial" w:cs="Arial"/>
          <w:sz w:val="22"/>
          <w:szCs w:val="22"/>
        </w:rPr>
      </w:pPr>
      <w:r>
        <w:rPr>
          <w:rFonts w:ascii="Arial" w:hAnsi="Arial" w:cs="Arial"/>
          <w:sz w:val="22"/>
          <w:szCs w:val="22"/>
        </w:rPr>
        <w:t>Ordenanza de convivencia ciudadana.</w:t>
      </w:r>
    </w:p>
    <w:p w:rsidR="009B4233" w:rsidRDefault="006B08B9">
      <w:pPr>
        <w:spacing w:after="28"/>
        <w:ind w:left="13" w:right="6"/>
        <w:jc w:val="both"/>
        <w:rPr>
          <w:rFonts w:ascii="Arial" w:hAnsi="Arial" w:cs="Arial"/>
          <w:sz w:val="22"/>
          <w:szCs w:val="22"/>
        </w:rPr>
      </w:pPr>
      <w:r>
        <w:rPr>
          <w:rFonts w:ascii="Arial" w:hAnsi="Arial" w:cs="Arial"/>
          <w:sz w:val="22"/>
          <w:szCs w:val="22"/>
        </w:rPr>
        <w:t>PLANIFICACIÓN URBANÍSTICA:</w:t>
      </w:r>
    </w:p>
    <w:p w:rsidR="009B4233" w:rsidRDefault="006B08B9">
      <w:pPr>
        <w:widowControl/>
        <w:numPr>
          <w:ilvl w:val="0"/>
          <w:numId w:val="5"/>
        </w:numPr>
        <w:suppressAutoHyphens w:val="0"/>
        <w:spacing w:after="3" w:line="228" w:lineRule="auto"/>
        <w:ind w:right="6" w:hanging="708"/>
        <w:jc w:val="both"/>
        <w:textAlignment w:val="auto"/>
        <w:rPr>
          <w:rFonts w:ascii="Arial" w:hAnsi="Arial" w:cs="Arial"/>
          <w:sz w:val="22"/>
          <w:szCs w:val="22"/>
        </w:rPr>
      </w:pPr>
      <w:r>
        <w:rPr>
          <w:rFonts w:ascii="Arial" w:hAnsi="Arial" w:cs="Arial"/>
          <w:sz w:val="22"/>
          <w:szCs w:val="22"/>
        </w:rPr>
        <w:t>Ordenanza específica reguladora del servicio de saneamiento del Polígono industrial del Valle de Güimar.</w:t>
      </w:r>
    </w:p>
    <w:p w:rsidR="009B4233" w:rsidRDefault="006B08B9">
      <w:pPr>
        <w:widowControl/>
        <w:numPr>
          <w:ilvl w:val="0"/>
          <w:numId w:val="5"/>
        </w:numPr>
        <w:suppressAutoHyphens w:val="0"/>
        <w:spacing w:after="3" w:line="228" w:lineRule="auto"/>
        <w:ind w:right="6" w:hanging="708"/>
        <w:jc w:val="both"/>
        <w:textAlignment w:val="auto"/>
        <w:rPr>
          <w:rFonts w:ascii="Arial" w:hAnsi="Arial" w:cs="Arial"/>
          <w:sz w:val="22"/>
          <w:szCs w:val="22"/>
        </w:rPr>
      </w:pPr>
      <w:r>
        <w:rPr>
          <w:rFonts w:ascii="Arial" w:hAnsi="Arial" w:cs="Arial"/>
          <w:sz w:val="22"/>
          <w:szCs w:val="22"/>
        </w:rPr>
        <w:t>ESTATUTOS DE LA ENTIDAD URBANÍSTICA DE CONSERVACI</w:t>
      </w:r>
      <w:r>
        <w:rPr>
          <w:rFonts w:ascii="Arial" w:hAnsi="Arial" w:cs="Arial"/>
          <w:sz w:val="22"/>
          <w:szCs w:val="22"/>
        </w:rPr>
        <w:t>ÓN DEL POLÍGONO INDUSTRIAL VALLE DE GÜÏMAR (E.U.C. POLÍGONO VALLE Güímar) EMPRESAS CONCESIONARIAS:</w:t>
      </w:r>
    </w:p>
    <w:p w:rsidR="009B4233" w:rsidRDefault="006B08B9">
      <w:pPr>
        <w:widowControl/>
        <w:numPr>
          <w:ilvl w:val="0"/>
          <w:numId w:val="6"/>
        </w:numPr>
        <w:suppressAutoHyphens w:val="0"/>
        <w:spacing w:after="28" w:line="228" w:lineRule="auto"/>
        <w:ind w:right="6" w:hanging="366"/>
        <w:jc w:val="both"/>
        <w:textAlignment w:val="auto"/>
        <w:rPr>
          <w:rFonts w:ascii="Arial" w:hAnsi="Arial" w:cs="Arial"/>
          <w:sz w:val="22"/>
          <w:szCs w:val="22"/>
        </w:rPr>
      </w:pPr>
      <w:r>
        <w:rPr>
          <w:rFonts w:ascii="Arial" w:hAnsi="Arial" w:cs="Arial"/>
          <w:sz w:val="22"/>
          <w:szCs w:val="22"/>
        </w:rPr>
        <w:t>Reglamento interno de la Escuela Infantil y la Ordenanza reguladora.</w:t>
      </w:r>
    </w:p>
    <w:p w:rsidR="009B4233" w:rsidRDefault="006B08B9">
      <w:pPr>
        <w:spacing w:after="28"/>
        <w:ind w:left="13" w:right="6"/>
        <w:jc w:val="both"/>
        <w:rPr>
          <w:rFonts w:ascii="Arial" w:hAnsi="Arial" w:cs="Arial"/>
          <w:sz w:val="22"/>
          <w:szCs w:val="22"/>
        </w:rPr>
      </w:pPr>
      <w:r>
        <w:rPr>
          <w:rFonts w:ascii="Arial" w:hAnsi="Arial" w:cs="Arial"/>
          <w:sz w:val="22"/>
          <w:szCs w:val="22"/>
        </w:rPr>
        <w:t>SERVICIOS SOCIALES</w:t>
      </w:r>
    </w:p>
    <w:p w:rsidR="009B4233" w:rsidRDefault="006B08B9">
      <w:pPr>
        <w:widowControl/>
        <w:numPr>
          <w:ilvl w:val="0"/>
          <w:numId w:val="6"/>
        </w:numPr>
        <w:suppressAutoHyphens w:val="0"/>
        <w:spacing w:after="3" w:line="228" w:lineRule="auto"/>
        <w:ind w:right="6" w:hanging="366"/>
        <w:jc w:val="both"/>
        <w:textAlignment w:val="auto"/>
        <w:rPr>
          <w:rFonts w:ascii="Arial" w:hAnsi="Arial" w:cs="Arial"/>
          <w:sz w:val="22"/>
          <w:szCs w:val="22"/>
        </w:rPr>
      </w:pPr>
      <w:r>
        <w:rPr>
          <w:rFonts w:ascii="Arial" w:hAnsi="Arial" w:cs="Arial"/>
          <w:sz w:val="22"/>
          <w:szCs w:val="22"/>
        </w:rPr>
        <w:t>Reglamento municipal del Servicio de Ayuda a Domicilio (S.A.D.), Cent</w:t>
      </w:r>
      <w:r>
        <w:rPr>
          <w:rFonts w:ascii="Arial" w:hAnsi="Arial" w:cs="Arial"/>
          <w:sz w:val="22"/>
          <w:szCs w:val="22"/>
        </w:rPr>
        <w:t>ro Especial de Recuperación Integral (C.E.R.I.), Transporte Adaptado y Teleasistencia Domiciliaria.</w:t>
      </w:r>
    </w:p>
    <w:p w:rsidR="009B4233" w:rsidRDefault="006B08B9">
      <w:pPr>
        <w:spacing w:after="28"/>
        <w:ind w:left="13" w:right="6"/>
        <w:jc w:val="both"/>
        <w:rPr>
          <w:rFonts w:ascii="Arial" w:hAnsi="Arial" w:cs="Arial"/>
          <w:sz w:val="22"/>
          <w:szCs w:val="22"/>
        </w:rPr>
      </w:pPr>
      <w:r>
        <w:rPr>
          <w:rFonts w:ascii="Arial" w:hAnsi="Arial" w:cs="Arial"/>
          <w:sz w:val="22"/>
          <w:szCs w:val="22"/>
        </w:rPr>
        <w:t>DESARROLLO RURAL Y PESQUERO</w:t>
      </w:r>
    </w:p>
    <w:p w:rsidR="009B4233" w:rsidRDefault="006B08B9">
      <w:pPr>
        <w:widowControl/>
        <w:numPr>
          <w:ilvl w:val="0"/>
          <w:numId w:val="6"/>
        </w:numPr>
        <w:suppressAutoHyphens w:val="0"/>
        <w:spacing w:after="3" w:line="228" w:lineRule="auto"/>
        <w:ind w:right="6" w:hanging="366"/>
        <w:jc w:val="both"/>
        <w:textAlignment w:val="auto"/>
        <w:rPr>
          <w:rFonts w:ascii="Arial" w:hAnsi="Arial" w:cs="Arial"/>
          <w:sz w:val="22"/>
          <w:szCs w:val="22"/>
        </w:rPr>
      </w:pPr>
      <w:r>
        <w:rPr>
          <w:rFonts w:ascii="Arial" w:hAnsi="Arial" w:cs="Arial"/>
          <w:sz w:val="22"/>
          <w:szCs w:val="22"/>
        </w:rPr>
        <w:t>Ordenanza portuaria por la que se establecen los usos y gestión del Puerto de Candelaria.</w:t>
      </w:r>
    </w:p>
    <w:p w:rsidR="009B4233" w:rsidRDefault="006B08B9">
      <w:pPr>
        <w:spacing w:after="28"/>
        <w:ind w:left="13" w:right="6"/>
        <w:jc w:val="both"/>
        <w:rPr>
          <w:rFonts w:ascii="Arial" w:hAnsi="Arial" w:cs="Arial"/>
          <w:sz w:val="22"/>
          <w:szCs w:val="22"/>
        </w:rPr>
      </w:pPr>
      <w:r>
        <w:rPr>
          <w:rFonts w:ascii="Arial" w:hAnsi="Arial" w:cs="Arial"/>
          <w:sz w:val="22"/>
          <w:szCs w:val="22"/>
        </w:rPr>
        <w:t>COMERCIO</w:t>
      </w:r>
    </w:p>
    <w:p w:rsidR="009B4233" w:rsidRDefault="006B08B9">
      <w:pPr>
        <w:widowControl/>
        <w:numPr>
          <w:ilvl w:val="0"/>
          <w:numId w:val="6"/>
        </w:numPr>
        <w:suppressAutoHyphens w:val="0"/>
        <w:spacing w:after="250" w:line="228" w:lineRule="auto"/>
        <w:ind w:right="6" w:hanging="366"/>
        <w:jc w:val="both"/>
        <w:textAlignment w:val="auto"/>
        <w:rPr>
          <w:rFonts w:ascii="Arial" w:hAnsi="Arial" w:cs="Arial"/>
          <w:sz w:val="22"/>
          <w:szCs w:val="22"/>
        </w:rPr>
      </w:pPr>
      <w:r>
        <w:rPr>
          <w:rFonts w:ascii="Arial" w:hAnsi="Arial" w:cs="Arial"/>
          <w:sz w:val="22"/>
          <w:szCs w:val="22"/>
        </w:rPr>
        <w:t xml:space="preserve">Ordenanza reguladora de </w:t>
      </w:r>
      <w:r>
        <w:rPr>
          <w:rFonts w:ascii="Arial" w:hAnsi="Arial" w:cs="Arial"/>
          <w:sz w:val="22"/>
          <w:szCs w:val="22"/>
        </w:rPr>
        <w:t>espectáculos públicos y actividades recreativas temporales en la vía pública del término municipal de Candelaria.</w:t>
      </w:r>
    </w:p>
    <w:p w:rsidR="009B4233" w:rsidRDefault="006B08B9">
      <w:pPr>
        <w:spacing w:after="250"/>
        <w:ind w:left="13" w:right="6"/>
        <w:jc w:val="both"/>
        <w:rPr>
          <w:rFonts w:ascii="Arial" w:hAnsi="Arial" w:cs="Arial"/>
          <w:sz w:val="22"/>
          <w:szCs w:val="22"/>
        </w:rPr>
      </w:pPr>
      <w:r>
        <w:rPr>
          <w:rFonts w:ascii="Arial" w:hAnsi="Arial" w:cs="Arial"/>
          <w:sz w:val="22"/>
          <w:szCs w:val="22"/>
        </w:rPr>
        <w:t>TERCERO. Publicar el Plan en el Portal de Transparencia y en la sede electrónica del Ayuntamiento de Candelaria una vez aprobada la modificaci</w:t>
      </w:r>
      <w:r>
        <w:rPr>
          <w:rFonts w:ascii="Arial" w:hAnsi="Arial" w:cs="Arial"/>
          <w:sz w:val="22"/>
          <w:szCs w:val="22"/>
        </w:rPr>
        <w:t>ón.</w:t>
      </w:r>
    </w:p>
    <w:p w:rsidR="009B4233" w:rsidRDefault="006B08B9">
      <w:pPr>
        <w:spacing w:after="250"/>
        <w:ind w:left="13" w:right="134"/>
        <w:jc w:val="both"/>
        <w:rPr>
          <w:rFonts w:ascii="Arial" w:hAnsi="Arial" w:cs="Arial"/>
          <w:sz w:val="22"/>
          <w:szCs w:val="22"/>
        </w:rPr>
      </w:pPr>
      <w:r>
        <w:rPr>
          <w:rFonts w:ascii="Arial" w:hAnsi="Arial" w:cs="Arial"/>
          <w:sz w:val="22"/>
          <w:szCs w:val="22"/>
        </w:rPr>
        <w:t>CUARTO. Notificar a cada concejalía delegada de la que dependa el Reglamento u Ordenanza correspondiente a los efectos de su debida elaboración y aprobación o modificación durante el año 2025.</w:t>
      </w:r>
    </w:p>
    <w:p w:rsidR="009B4233" w:rsidRDefault="006B08B9">
      <w:pPr>
        <w:ind w:left="13" w:right="134"/>
        <w:jc w:val="both"/>
      </w:pPr>
      <w:r>
        <w:rPr>
          <w:rFonts w:ascii="Arial" w:hAnsi="Arial" w:cs="Arial"/>
          <w:sz w:val="22"/>
          <w:szCs w:val="22"/>
        </w:rPr>
        <w:t>QUINTO. El procedimiento de aprobación de los reglamentos y</w:t>
      </w:r>
      <w:r>
        <w:rPr>
          <w:rFonts w:ascii="Arial" w:hAnsi="Arial" w:cs="Arial"/>
          <w:sz w:val="22"/>
          <w:szCs w:val="22"/>
        </w:rPr>
        <w:t xml:space="preserve"> ordenanzas municipales incluidos en este Plan Normativo Anual que se deben aprobar en este presente año 2025 es el establecido en el artículo 133 de la ley 30/2015, de 1 de octubre, en el artículo 49 de la Ley 7/1985, de 2 de abril reguladora de las Bases</w:t>
      </w:r>
      <w:r>
        <w:rPr>
          <w:rFonts w:ascii="Arial" w:hAnsi="Arial" w:cs="Arial"/>
          <w:sz w:val="22"/>
          <w:szCs w:val="22"/>
        </w:rPr>
        <w:t xml:space="preserve"> del Régimen local y el resto de leyes y reglamentos aplicables.</w:t>
      </w:r>
      <w:r>
        <w:rPr>
          <w:rFonts w:ascii="Arial" w:eastAsia="Calibri" w:hAnsi="Arial" w:cs="Arial"/>
          <w:sz w:val="22"/>
          <w:szCs w:val="22"/>
        </w:rPr>
        <w:t>”</w:t>
      </w:r>
    </w:p>
    <w:p w:rsidR="009B4233" w:rsidRDefault="006B08B9">
      <w:pPr>
        <w:spacing w:after="28"/>
        <w:ind w:left="13" w:right="6"/>
        <w:jc w:val="both"/>
        <w:rPr>
          <w:rFonts w:ascii="Arial" w:hAnsi="Arial" w:cs="Arial"/>
          <w:sz w:val="22"/>
          <w:szCs w:val="22"/>
        </w:rPr>
      </w:pPr>
      <w:r>
        <w:rPr>
          <w:rFonts w:ascii="Arial" w:hAnsi="Arial" w:cs="Arial"/>
          <w:sz w:val="22"/>
          <w:szCs w:val="22"/>
        </w:rPr>
        <w:t>.</w:t>
      </w:r>
    </w:p>
    <w:p w:rsidR="009B4233" w:rsidRDefault="006B08B9">
      <w:pPr>
        <w:spacing w:line="249" w:lineRule="auto"/>
        <w:ind w:left="18"/>
        <w:jc w:val="both"/>
      </w:pPr>
      <w:r>
        <w:rPr>
          <w:rFonts w:ascii="Arial" w:eastAsia="Calibri" w:hAnsi="Arial" w:cs="Arial"/>
          <w:sz w:val="22"/>
          <w:szCs w:val="22"/>
        </w:rPr>
        <w:t xml:space="preserve"> </w:t>
      </w:r>
    </w:p>
    <w:p w:rsidR="009B4233" w:rsidRDefault="006B08B9">
      <w:pPr>
        <w:pStyle w:val="Ttulo1"/>
        <w:ind w:left="30" w:right="244"/>
      </w:pPr>
      <w:r>
        <w:rPr>
          <w:rFonts w:ascii="Arial" w:hAnsi="Arial" w:cs="Arial"/>
          <w:sz w:val="22"/>
          <w:szCs w:val="22"/>
        </w:rPr>
        <w:t>Fundamentos de derecho</w:t>
      </w:r>
      <w:r>
        <w:rPr>
          <w:rFonts w:ascii="Arial" w:hAnsi="Arial" w:cs="Arial"/>
          <w:b w:val="0"/>
          <w:sz w:val="22"/>
          <w:szCs w:val="22"/>
        </w:rPr>
        <w:t xml:space="preserve">    </w:t>
      </w:r>
    </w:p>
    <w:p w:rsidR="009B4233" w:rsidRDefault="006B08B9">
      <w:pPr>
        <w:spacing w:line="249" w:lineRule="auto"/>
        <w:ind w:left="82"/>
        <w:jc w:val="center"/>
      </w:pPr>
      <w:r>
        <w:rPr>
          <w:rFonts w:ascii="Arial" w:eastAsia="Calibri" w:hAnsi="Arial" w:cs="Arial"/>
          <w:sz w:val="22"/>
          <w:szCs w:val="22"/>
        </w:rPr>
        <w:t xml:space="preserve">        </w:t>
      </w:r>
    </w:p>
    <w:p w:rsidR="009B4233" w:rsidRDefault="006B08B9">
      <w:pPr>
        <w:spacing w:after="250"/>
        <w:ind w:left="13" w:right="6"/>
        <w:jc w:val="both"/>
      </w:pPr>
      <w:r>
        <w:rPr>
          <w:rFonts w:ascii="Arial" w:eastAsia="Calibri" w:hAnsi="Arial" w:cs="Arial"/>
          <w:b/>
          <w:sz w:val="22"/>
          <w:szCs w:val="22"/>
        </w:rPr>
        <w:t>Primero:</w:t>
      </w:r>
      <w:r>
        <w:rPr>
          <w:rFonts w:ascii="Arial" w:eastAsia="Calibri" w:hAnsi="Arial" w:cs="Arial"/>
          <w:sz w:val="22"/>
          <w:szCs w:val="22"/>
        </w:rPr>
        <w:t xml:space="preserve"> De acuerdo con lo establecido en el art. 4.1 a) de la ley 7/1985, de 2 de abril, Reguladora de Bases del Régimen Local “</w:t>
      </w:r>
      <w:r>
        <w:rPr>
          <w:rFonts w:ascii="Arial" w:hAnsi="Arial" w:cs="Arial"/>
          <w:sz w:val="22"/>
          <w:szCs w:val="22"/>
        </w:rPr>
        <w:t xml:space="preserve">En su calidad En su </w:t>
      </w:r>
      <w:r>
        <w:rPr>
          <w:rFonts w:ascii="Arial" w:hAnsi="Arial" w:cs="Arial"/>
          <w:sz w:val="22"/>
          <w:szCs w:val="22"/>
        </w:rPr>
        <w:t>calidad de Administraciones públicas de carácter territorial, y dentro de la esfera de sus competencias, corresponden en todo caso a los municipios, las provincias y las islas: a) Las potestades reglamentaria y de autoorganización</w:t>
      </w:r>
      <w:r>
        <w:rPr>
          <w:rFonts w:ascii="Arial" w:eastAsia="Calibri" w:hAnsi="Arial" w:cs="Arial"/>
          <w:sz w:val="22"/>
          <w:szCs w:val="22"/>
        </w:rPr>
        <w:t>”.</w:t>
      </w:r>
    </w:p>
    <w:p w:rsidR="009B4233" w:rsidRDefault="006B08B9">
      <w:pPr>
        <w:spacing w:after="247"/>
        <w:ind w:left="13" w:right="5"/>
        <w:jc w:val="both"/>
      </w:pPr>
      <w:r>
        <w:rPr>
          <w:rFonts w:ascii="Arial" w:eastAsia="Calibri" w:hAnsi="Arial" w:cs="Arial"/>
          <w:b/>
          <w:sz w:val="22"/>
          <w:szCs w:val="22"/>
        </w:rPr>
        <w:t>Segundo:</w:t>
      </w:r>
      <w:r>
        <w:rPr>
          <w:rFonts w:ascii="Arial" w:eastAsia="Calibri" w:hAnsi="Arial" w:cs="Arial"/>
          <w:sz w:val="22"/>
          <w:szCs w:val="22"/>
        </w:rPr>
        <w:t xml:space="preserve"> Es de aplicaci</w:t>
      </w:r>
      <w:r>
        <w:rPr>
          <w:rFonts w:ascii="Arial" w:eastAsia="Calibri" w:hAnsi="Arial" w:cs="Arial"/>
          <w:sz w:val="22"/>
          <w:szCs w:val="22"/>
        </w:rPr>
        <w:t>ón los artículos 128 al 133 de la ley 39/2015, de 1 de octubre de Procedimiento Administrativo Común de las Administraciones Públicas, que regulan el procedimiento general de elaboración de los reglamentos donde se contempla la planificación normativa (obj</w:t>
      </w:r>
      <w:r>
        <w:rPr>
          <w:rFonts w:ascii="Arial" w:eastAsia="Calibri" w:hAnsi="Arial" w:cs="Arial"/>
          <w:sz w:val="22"/>
          <w:szCs w:val="22"/>
        </w:rPr>
        <w:t>eto de este expediente a través del Plan Normativo anual) la consulta pública a los ciudadanos y todo ello con carácter previo a la tramitación del procedimiento de elaboración de los reglamentos del artículo 49 de la LBRL.</w:t>
      </w:r>
    </w:p>
    <w:p w:rsidR="009B4233" w:rsidRDefault="006B08B9">
      <w:pPr>
        <w:spacing w:after="28"/>
        <w:ind w:left="13" w:right="6"/>
        <w:jc w:val="both"/>
        <w:rPr>
          <w:rFonts w:ascii="Arial" w:hAnsi="Arial" w:cs="Arial"/>
          <w:sz w:val="22"/>
          <w:szCs w:val="22"/>
        </w:rPr>
      </w:pPr>
      <w:r>
        <w:rPr>
          <w:rFonts w:ascii="Arial" w:hAnsi="Arial" w:cs="Arial"/>
          <w:sz w:val="22"/>
          <w:szCs w:val="22"/>
        </w:rPr>
        <w:t>Artículo 132. Planificación norm</w:t>
      </w:r>
      <w:r>
        <w:rPr>
          <w:rFonts w:ascii="Arial" w:hAnsi="Arial" w:cs="Arial"/>
          <w:sz w:val="22"/>
          <w:szCs w:val="22"/>
        </w:rPr>
        <w:t>ativa.</w:t>
      </w:r>
    </w:p>
    <w:p w:rsidR="009B4233" w:rsidRDefault="006B08B9">
      <w:pPr>
        <w:ind w:left="13" w:right="6"/>
        <w:jc w:val="both"/>
        <w:rPr>
          <w:rFonts w:ascii="Arial" w:hAnsi="Arial" w:cs="Arial"/>
          <w:sz w:val="22"/>
          <w:szCs w:val="22"/>
        </w:rPr>
      </w:pPr>
      <w:r>
        <w:rPr>
          <w:rFonts w:ascii="Arial" w:hAnsi="Arial" w:cs="Arial"/>
          <w:sz w:val="22"/>
          <w:szCs w:val="22"/>
        </w:rPr>
        <w:t>1. Anualmente, las Administraciones Públicas harán público un Plan Normativo que contendrá las iniciativas legales o reglamentarias que vayan a ser elevadas para su aprobación en el año siguiente.</w:t>
      </w:r>
    </w:p>
    <w:p w:rsidR="009B4233" w:rsidRDefault="006B08B9">
      <w:pPr>
        <w:ind w:left="13" w:right="6"/>
        <w:jc w:val="both"/>
        <w:rPr>
          <w:rFonts w:ascii="Arial" w:hAnsi="Arial" w:cs="Arial"/>
          <w:sz w:val="22"/>
          <w:szCs w:val="22"/>
        </w:rPr>
      </w:pPr>
      <w:r>
        <w:rPr>
          <w:rFonts w:ascii="Arial" w:hAnsi="Arial" w:cs="Arial"/>
          <w:sz w:val="22"/>
          <w:szCs w:val="22"/>
        </w:rPr>
        <w:t xml:space="preserve">2.- Una vez aprobado, el Plan Anual Normativo se </w:t>
      </w:r>
      <w:r>
        <w:rPr>
          <w:rFonts w:ascii="Arial" w:hAnsi="Arial" w:cs="Arial"/>
          <w:sz w:val="22"/>
          <w:szCs w:val="22"/>
        </w:rPr>
        <w:t>publicará en el Portal de la Transparencia de la Administración Pública correspondiente.</w:t>
      </w:r>
    </w:p>
    <w:p w:rsidR="009B4233" w:rsidRDefault="006B08B9">
      <w:pPr>
        <w:ind w:left="13" w:right="6"/>
        <w:jc w:val="both"/>
        <w:rPr>
          <w:rFonts w:ascii="Arial" w:hAnsi="Arial" w:cs="Arial"/>
          <w:sz w:val="22"/>
          <w:szCs w:val="22"/>
        </w:rPr>
      </w:pPr>
      <w:r>
        <w:rPr>
          <w:rFonts w:ascii="Arial" w:hAnsi="Arial" w:cs="Arial"/>
          <w:sz w:val="22"/>
          <w:szCs w:val="22"/>
        </w:rPr>
        <w:t>Artículo 133. Participación de los ciudadanos en el procedimiento de elaboración de normas con rango de Ley y reglamentos.</w:t>
      </w:r>
    </w:p>
    <w:p w:rsidR="009B4233" w:rsidRDefault="006B08B9">
      <w:pPr>
        <w:ind w:left="13" w:right="6"/>
        <w:jc w:val="both"/>
        <w:rPr>
          <w:rFonts w:ascii="Arial" w:hAnsi="Arial" w:cs="Arial"/>
          <w:sz w:val="22"/>
          <w:szCs w:val="22"/>
        </w:rPr>
      </w:pPr>
      <w:r>
        <w:rPr>
          <w:rFonts w:ascii="Arial" w:hAnsi="Arial" w:cs="Arial"/>
          <w:sz w:val="22"/>
          <w:szCs w:val="22"/>
        </w:rPr>
        <w:t xml:space="preserve">1. Con carácter previo a la elaboración del </w:t>
      </w:r>
      <w:r>
        <w:rPr>
          <w:rFonts w:ascii="Arial" w:hAnsi="Arial" w:cs="Arial"/>
          <w:sz w:val="22"/>
          <w:szCs w:val="22"/>
        </w:rPr>
        <w:t>proyecto o anteproyecto de ley o de reglamento, se sustanciará una consulta pública, a través del portal web de la Administración competente en la que se recabará la opinión de los sujetos y de las organizaciones más representativas potencialmente afectado</w:t>
      </w:r>
      <w:r>
        <w:rPr>
          <w:rFonts w:ascii="Arial" w:hAnsi="Arial" w:cs="Arial"/>
          <w:sz w:val="22"/>
          <w:szCs w:val="22"/>
        </w:rPr>
        <w:t>s por la futura norma acerca de:</w:t>
      </w:r>
    </w:p>
    <w:p w:rsidR="009B4233" w:rsidRDefault="006B08B9">
      <w:pPr>
        <w:widowControl/>
        <w:numPr>
          <w:ilvl w:val="0"/>
          <w:numId w:val="7"/>
        </w:numPr>
        <w:suppressAutoHyphens w:val="0"/>
        <w:spacing w:after="28" w:line="228" w:lineRule="auto"/>
        <w:ind w:right="6" w:hanging="254"/>
        <w:jc w:val="both"/>
        <w:textAlignment w:val="auto"/>
        <w:rPr>
          <w:rFonts w:ascii="Arial" w:hAnsi="Arial" w:cs="Arial"/>
          <w:sz w:val="22"/>
          <w:szCs w:val="22"/>
        </w:rPr>
      </w:pPr>
      <w:r>
        <w:rPr>
          <w:rFonts w:ascii="Arial" w:hAnsi="Arial" w:cs="Arial"/>
          <w:sz w:val="22"/>
          <w:szCs w:val="22"/>
        </w:rPr>
        <w:t>Los problemas que se pretenden solucionar con la iniciativa.</w:t>
      </w:r>
    </w:p>
    <w:p w:rsidR="009B4233" w:rsidRDefault="006B08B9">
      <w:pPr>
        <w:widowControl/>
        <w:numPr>
          <w:ilvl w:val="0"/>
          <w:numId w:val="7"/>
        </w:numPr>
        <w:suppressAutoHyphens w:val="0"/>
        <w:spacing w:after="28" w:line="228" w:lineRule="auto"/>
        <w:ind w:right="6" w:hanging="254"/>
        <w:jc w:val="both"/>
        <w:textAlignment w:val="auto"/>
        <w:rPr>
          <w:rFonts w:ascii="Arial" w:hAnsi="Arial" w:cs="Arial"/>
          <w:sz w:val="22"/>
          <w:szCs w:val="22"/>
        </w:rPr>
      </w:pPr>
      <w:r>
        <w:rPr>
          <w:rFonts w:ascii="Arial" w:hAnsi="Arial" w:cs="Arial"/>
          <w:sz w:val="22"/>
          <w:szCs w:val="22"/>
        </w:rPr>
        <w:t>La necesidad y oportunidad de su aprobación.</w:t>
      </w:r>
    </w:p>
    <w:p w:rsidR="009B4233" w:rsidRDefault="006B08B9">
      <w:pPr>
        <w:widowControl/>
        <w:numPr>
          <w:ilvl w:val="0"/>
          <w:numId w:val="7"/>
        </w:numPr>
        <w:suppressAutoHyphens w:val="0"/>
        <w:spacing w:after="28" w:line="228" w:lineRule="auto"/>
        <w:ind w:right="6" w:hanging="254"/>
        <w:jc w:val="both"/>
        <w:textAlignment w:val="auto"/>
        <w:rPr>
          <w:rFonts w:ascii="Arial" w:hAnsi="Arial" w:cs="Arial"/>
          <w:sz w:val="22"/>
          <w:szCs w:val="22"/>
        </w:rPr>
      </w:pPr>
      <w:r>
        <w:rPr>
          <w:rFonts w:ascii="Arial" w:hAnsi="Arial" w:cs="Arial"/>
          <w:sz w:val="22"/>
          <w:szCs w:val="22"/>
        </w:rPr>
        <w:t>Los objetivos de la norma.</w:t>
      </w:r>
    </w:p>
    <w:p w:rsidR="009B4233" w:rsidRDefault="006B08B9">
      <w:pPr>
        <w:widowControl/>
        <w:numPr>
          <w:ilvl w:val="0"/>
          <w:numId w:val="7"/>
        </w:numPr>
        <w:suppressAutoHyphens w:val="0"/>
        <w:spacing w:after="250" w:line="228" w:lineRule="auto"/>
        <w:ind w:right="6" w:hanging="254"/>
        <w:jc w:val="both"/>
        <w:textAlignment w:val="auto"/>
        <w:rPr>
          <w:rFonts w:ascii="Arial" w:hAnsi="Arial" w:cs="Arial"/>
          <w:sz w:val="22"/>
          <w:szCs w:val="22"/>
        </w:rPr>
      </w:pPr>
      <w:r>
        <w:rPr>
          <w:rFonts w:ascii="Arial" w:hAnsi="Arial" w:cs="Arial"/>
          <w:sz w:val="22"/>
          <w:szCs w:val="22"/>
        </w:rPr>
        <w:t>Las posibles soluciones alternativas regulatorias y no regulatorias.</w:t>
      </w:r>
    </w:p>
    <w:p w:rsidR="009B4233" w:rsidRDefault="006B08B9">
      <w:pPr>
        <w:widowControl/>
        <w:numPr>
          <w:ilvl w:val="0"/>
          <w:numId w:val="8"/>
        </w:numPr>
        <w:suppressAutoHyphens w:val="0"/>
        <w:spacing w:after="3" w:line="228" w:lineRule="auto"/>
        <w:ind w:right="6" w:hanging="10"/>
        <w:jc w:val="both"/>
        <w:textAlignment w:val="auto"/>
        <w:rPr>
          <w:rFonts w:ascii="Arial" w:hAnsi="Arial" w:cs="Arial"/>
          <w:sz w:val="22"/>
          <w:szCs w:val="22"/>
        </w:rPr>
      </w:pPr>
      <w:r>
        <w:rPr>
          <w:rFonts w:ascii="Arial" w:hAnsi="Arial" w:cs="Arial"/>
          <w:sz w:val="22"/>
          <w:szCs w:val="22"/>
        </w:rPr>
        <w:t>Sin perjuicio de la c</w:t>
      </w:r>
      <w:r>
        <w:rPr>
          <w:rFonts w:ascii="Arial" w:hAnsi="Arial" w:cs="Arial"/>
          <w:sz w:val="22"/>
          <w:szCs w:val="22"/>
        </w:rPr>
        <w:t xml:space="preserve">onsulta previa a la redacción del texto de la iniciativa, cuando la norma afecte a los derechos e intereses legítimos de las personas, el centro directivo competente publicará el texto en el portal web correspondiente, con el objeto de dar audiencia a los </w:t>
      </w:r>
      <w:r>
        <w:rPr>
          <w:rFonts w:ascii="Arial" w:hAnsi="Arial" w:cs="Arial"/>
          <w:sz w:val="22"/>
          <w:szCs w:val="22"/>
        </w:rPr>
        <w:t>ciudadanos afectados y recabar cuantas aportaciones adicionales puedan hacerse por otras personas o entidades. Asimismo, podrá también recabarse directamente la opinión de las organizaciones o asociaciones reconocidas por ley que agrupen o representen a la</w:t>
      </w:r>
      <w:r>
        <w:rPr>
          <w:rFonts w:ascii="Arial" w:hAnsi="Arial" w:cs="Arial"/>
          <w:sz w:val="22"/>
          <w:szCs w:val="22"/>
        </w:rPr>
        <w:t>s personas cuyos derechos o intereses legítimos se vieren afectados por la norma y cuyos fines guarden relación directa con su objeto.</w:t>
      </w:r>
    </w:p>
    <w:p w:rsidR="009B4233" w:rsidRDefault="006B08B9">
      <w:pPr>
        <w:widowControl/>
        <w:numPr>
          <w:ilvl w:val="0"/>
          <w:numId w:val="8"/>
        </w:numPr>
        <w:suppressAutoHyphens w:val="0"/>
        <w:spacing w:after="3" w:line="228" w:lineRule="auto"/>
        <w:ind w:right="6" w:hanging="10"/>
        <w:jc w:val="both"/>
        <w:textAlignment w:val="auto"/>
        <w:rPr>
          <w:rFonts w:ascii="Arial" w:hAnsi="Arial" w:cs="Arial"/>
          <w:sz w:val="22"/>
          <w:szCs w:val="22"/>
        </w:rPr>
      </w:pPr>
      <w:r>
        <w:rPr>
          <w:rFonts w:ascii="Arial" w:hAnsi="Arial" w:cs="Arial"/>
          <w:sz w:val="22"/>
          <w:szCs w:val="22"/>
        </w:rPr>
        <w:t>La consulta, audiencia e información públicas reguladas en este artículo deberán realizarse de forma tal que los potencia</w:t>
      </w:r>
      <w:r>
        <w:rPr>
          <w:rFonts w:ascii="Arial" w:hAnsi="Arial" w:cs="Arial"/>
          <w:sz w:val="22"/>
          <w:szCs w:val="22"/>
        </w:rPr>
        <w:t>les destinatarios de la norma y quienes realicen aportaciones sobre ella tengan la posibilidad de emitir su opinión, para lo cual deberán ponerse a su disposición los documentos necesarios, que serán claros, concisos y reunir toda la información precisa pa</w:t>
      </w:r>
      <w:r>
        <w:rPr>
          <w:rFonts w:ascii="Arial" w:hAnsi="Arial" w:cs="Arial"/>
          <w:sz w:val="22"/>
          <w:szCs w:val="22"/>
        </w:rPr>
        <w:t>ra poder pronunciarse sobre la materia.</w:t>
      </w:r>
    </w:p>
    <w:p w:rsidR="009B4233" w:rsidRDefault="006B08B9">
      <w:pPr>
        <w:widowControl/>
        <w:numPr>
          <w:ilvl w:val="0"/>
          <w:numId w:val="8"/>
        </w:numPr>
        <w:suppressAutoHyphens w:val="0"/>
        <w:spacing w:after="3" w:line="228" w:lineRule="auto"/>
        <w:ind w:right="6" w:hanging="10"/>
        <w:jc w:val="both"/>
        <w:textAlignment w:val="auto"/>
        <w:rPr>
          <w:rFonts w:ascii="Arial" w:hAnsi="Arial" w:cs="Arial"/>
          <w:sz w:val="22"/>
          <w:szCs w:val="22"/>
        </w:rPr>
      </w:pPr>
      <w:r>
        <w:rPr>
          <w:rFonts w:ascii="Arial" w:hAnsi="Arial" w:cs="Arial"/>
          <w:sz w:val="22"/>
          <w:szCs w:val="22"/>
        </w:rPr>
        <w:t>Podrá prescindirse de los trámites de consulta, audiencia e información públicas previstos en este artículo en el caso de normas presupuestarias u organizativas de la Administración General del Estado, la Administrac</w:t>
      </w:r>
      <w:r>
        <w:rPr>
          <w:rFonts w:ascii="Arial" w:hAnsi="Arial" w:cs="Arial"/>
          <w:sz w:val="22"/>
          <w:szCs w:val="22"/>
        </w:rPr>
        <w:t>ión autonómica, la Administración local o de las organizaciones dependientes o vinculadas a éstas, o cuando concurran razones graves de interés público que lo justifiquen.</w:t>
      </w:r>
    </w:p>
    <w:p w:rsidR="009B4233" w:rsidRDefault="006B08B9">
      <w:pPr>
        <w:spacing w:after="250"/>
        <w:ind w:left="13" w:right="6"/>
        <w:jc w:val="both"/>
        <w:rPr>
          <w:rFonts w:ascii="Arial" w:hAnsi="Arial" w:cs="Arial"/>
          <w:sz w:val="22"/>
          <w:szCs w:val="22"/>
        </w:rPr>
      </w:pPr>
      <w:r>
        <w:rPr>
          <w:rFonts w:ascii="Arial" w:hAnsi="Arial" w:cs="Arial"/>
          <w:sz w:val="22"/>
          <w:szCs w:val="22"/>
        </w:rPr>
        <w:t>Cuando la propuesta normativa no tenga un impacto significativo en la actividad econ</w:t>
      </w:r>
      <w:r>
        <w:rPr>
          <w:rFonts w:ascii="Arial" w:hAnsi="Arial" w:cs="Arial"/>
          <w:sz w:val="22"/>
          <w:szCs w:val="22"/>
        </w:rPr>
        <w:t>ómica, no imponga obligaciones relevantes a los destinatarios o regule aspectos parciales de una materia, podrá omitirse la consulta pública regulada en el apartado primero. Si la normativa reguladora del ejercicio de la iniciativa legislativa o de la pote</w:t>
      </w:r>
      <w:r>
        <w:rPr>
          <w:rFonts w:ascii="Arial" w:hAnsi="Arial" w:cs="Arial"/>
          <w:sz w:val="22"/>
          <w:szCs w:val="22"/>
        </w:rPr>
        <w:t>stad reglamentaria por una Administración prevé la tramitación urgente de estos procedimientos, la eventual excepción del trámite por esta circunstancia se ajustará a lo previsto en aquella.</w:t>
      </w:r>
    </w:p>
    <w:p w:rsidR="009B4233" w:rsidRDefault="006B08B9">
      <w:pPr>
        <w:spacing w:after="247"/>
        <w:ind w:left="13" w:right="5"/>
        <w:jc w:val="both"/>
      </w:pPr>
      <w:r>
        <w:rPr>
          <w:rFonts w:ascii="Arial" w:eastAsia="Calibri" w:hAnsi="Arial" w:cs="Arial"/>
          <w:b/>
          <w:sz w:val="22"/>
          <w:szCs w:val="22"/>
        </w:rPr>
        <w:t xml:space="preserve">Tercero: </w:t>
      </w:r>
      <w:r>
        <w:rPr>
          <w:rFonts w:ascii="Arial" w:eastAsia="Calibri" w:hAnsi="Arial" w:cs="Arial"/>
          <w:sz w:val="22"/>
          <w:szCs w:val="22"/>
        </w:rPr>
        <w:t>Resulta de aplicación el artículo 49 de la Ley 7/1985 de</w:t>
      </w:r>
      <w:r>
        <w:rPr>
          <w:rFonts w:ascii="Arial" w:eastAsia="Calibri" w:hAnsi="Arial" w:cs="Arial"/>
          <w:sz w:val="22"/>
          <w:szCs w:val="22"/>
        </w:rPr>
        <w:t xml:space="preserve"> 2 de abril, Reguladora de Bases del Régimen Local que establece el procedimiento de aprobación de los reglamentos en el régimen local:</w:t>
      </w:r>
    </w:p>
    <w:p w:rsidR="009B4233" w:rsidRDefault="006B08B9">
      <w:pPr>
        <w:ind w:left="13" w:right="326"/>
        <w:jc w:val="both"/>
        <w:rPr>
          <w:rFonts w:ascii="Arial" w:hAnsi="Arial" w:cs="Arial"/>
          <w:sz w:val="22"/>
          <w:szCs w:val="22"/>
        </w:rPr>
      </w:pPr>
      <w:r>
        <w:rPr>
          <w:rFonts w:ascii="Arial" w:hAnsi="Arial" w:cs="Arial"/>
          <w:sz w:val="22"/>
          <w:szCs w:val="22"/>
        </w:rPr>
        <w:t>“La aprobación de las Ordenanzas locales se ajustará al siguiente procedimiento: a) Aprobación inicial por el Pleno.</w:t>
      </w:r>
    </w:p>
    <w:p w:rsidR="009B4233" w:rsidRDefault="006B08B9">
      <w:pPr>
        <w:widowControl/>
        <w:numPr>
          <w:ilvl w:val="0"/>
          <w:numId w:val="9"/>
        </w:numPr>
        <w:suppressAutoHyphens w:val="0"/>
        <w:spacing w:after="3" w:line="228" w:lineRule="auto"/>
        <w:ind w:right="6" w:hanging="273"/>
        <w:jc w:val="both"/>
        <w:textAlignment w:val="auto"/>
        <w:rPr>
          <w:rFonts w:ascii="Arial" w:hAnsi="Arial" w:cs="Arial"/>
          <w:sz w:val="22"/>
          <w:szCs w:val="22"/>
        </w:rPr>
      </w:pPr>
      <w:r>
        <w:rPr>
          <w:rFonts w:ascii="Arial" w:hAnsi="Arial" w:cs="Arial"/>
          <w:sz w:val="22"/>
          <w:szCs w:val="22"/>
        </w:rPr>
        <w:t>Información pública y audiencia a los interesados por el plazo mínimo de treinta días para la presentación de reclamaciones y sugerencias.</w:t>
      </w:r>
    </w:p>
    <w:p w:rsidR="009B4233" w:rsidRDefault="006B08B9">
      <w:pPr>
        <w:widowControl/>
        <w:numPr>
          <w:ilvl w:val="0"/>
          <w:numId w:val="9"/>
        </w:numPr>
        <w:suppressAutoHyphens w:val="0"/>
        <w:spacing w:after="28" w:line="228" w:lineRule="auto"/>
        <w:ind w:right="6" w:hanging="273"/>
        <w:jc w:val="both"/>
        <w:textAlignment w:val="auto"/>
        <w:rPr>
          <w:rFonts w:ascii="Arial" w:hAnsi="Arial" w:cs="Arial"/>
          <w:sz w:val="22"/>
          <w:szCs w:val="22"/>
        </w:rPr>
      </w:pPr>
      <w:r>
        <w:rPr>
          <w:rFonts w:ascii="Arial" w:hAnsi="Arial" w:cs="Arial"/>
          <w:sz w:val="22"/>
          <w:szCs w:val="22"/>
        </w:rPr>
        <w:t xml:space="preserve">Resolución de todas las reclamaciones y sugerencias presentadas dentro del </w:t>
      </w:r>
    </w:p>
    <w:p w:rsidR="009B4233" w:rsidRDefault="006B08B9">
      <w:pPr>
        <w:spacing w:after="28"/>
        <w:ind w:left="13" w:right="6"/>
        <w:jc w:val="both"/>
        <w:rPr>
          <w:rFonts w:ascii="Arial" w:hAnsi="Arial" w:cs="Arial"/>
          <w:sz w:val="22"/>
          <w:szCs w:val="22"/>
        </w:rPr>
      </w:pPr>
      <w:r>
        <w:rPr>
          <w:rFonts w:ascii="Arial" w:hAnsi="Arial" w:cs="Arial"/>
          <w:sz w:val="22"/>
          <w:szCs w:val="22"/>
        </w:rPr>
        <w:t>plazo y aprobación definitiva por el Plen</w:t>
      </w:r>
      <w:r>
        <w:rPr>
          <w:rFonts w:ascii="Arial" w:hAnsi="Arial" w:cs="Arial"/>
          <w:sz w:val="22"/>
          <w:szCs w:val="22"/>
        </w:rPr>
        <w:t>o.</w:t>
      </w:r>
    </w:p>
    <w:p w:rsidR="009B4233" w:rsidRDefault="006B08B9">
      <w:pPr>
        <w:spacing w:after="250"/>
        <w:ind w:left="13" w:right="6"/>
        <w:jc w:val="both"/>
        <w:rPr>
          <w:rFonts w:ascii="Arial" w:hAnsi="Arial" w:cs="Arial"/>
          <w:sz w:val="22"/>
          <w:szCs w:val="22"/>
        </w:rPr>
      </w:pPr>
      <w:r>
        <w:rPr>
          <w:rFonts w:ascii="Arial" w:hAnsi="Arial" w:cs="Arial"/>
          <w:sz w:val="22"/>
          <w:szCs w:val="22"/>
        </w:rPr>
        <w:t>En el caso de que no se hubiera presentado ninguna reclamación o sugerencia, se entenderá definitivamente adoptado el acuerdo hasta entonces provisional”.</w:t>
      </w:r>
    </w:p>
    <w:p w:rsidR="009B4233" w:rsidRDefault="006B08B9">
      <w:pPr>
        <w:ind w:left="13" w:right="5"/>
        <w:jc w:val="both"/>
      </w:pPr>
      <w:r>
        <w:rPr>
          <w:rFonts w:ascii="Arial" w:eastAsia="Calibri" w:hAnsi="Arial" w:cs="Arial"/>
          <w:b/>
          <w:sz w:val="22"/>
          <w:szCs w:val="22"/>
        </w:rPr>
        <w:t xml:space="preserve">Cuarto: </w:t>
      </w:r>
      <w:r>
        <w:rPr>
          <w:rFonts w:ascii="Arial" w:eastAsia="Calibri" w:hAnsi="Arial" w:cs="Arial"/>
          <w:sz w:val="22"/>
          <w:szCs w:val="22"/>
        </w:rPr>
        <w:t>Es de aplicación la doctrina señalada en artículo doctrinal de Don Antonio Reinoso Carried</w:t>
      </w:r>
      <w:r>
        <w:rPr>
          <w:rFonts w:ascii="Arial" w:eastAsia="Calibri" w:hAnsi="Arial" w:cs="Arial"/>
          <w:sz w:val="22"/>
          <w:szCs w:val="22"/>
        </w:rPr>
        <w:t>o</w:t>
      </w:r>
      <w:r>
        <w:rPr>
          <w:rFonts w:ascii="Arial" w:eastAsia="Calibri" w:hAnsi="Arial" w:cs="Arial"/>
          <w:b/>
          <w:sz w:val="22"/>
          <w:szCs w:val="22"/>
        </w:rPr>
        <w:t xml:space="preserve"> </w:t>
      </w:r>
      <w:r>
        <w:rPr>
          <w:rFonts w:ascii="Arial" w:eastAsia="Calibri" w:hAnsi="Arial" w:cs="Arial"/>
          <w:sz w:val="22"/>
          <w:szCs w:val="22"/>
        </w:rPr>
        <w:t>que se da por reproducido, donde explica el procedimiento administrativo de aprobación de los reglamentos y ordenanzas locales según la unión sucesiva de los procedimientos administrativos previstos en los artículos 128 al 133 de Ley 39/2015, de 1 de oct</w:t>
      </w:r>
      <w:r>
        <w:rPr>
          <w:rFonts w:ascii="Arial" w:eastAsia="Calibri" w:hAnsi="Arial" w:cs="Arial"/>
          <w:sz w:val="22"/>
          <w:szCs w:val="22"/>
        </w:rPr>
        <w:t xml:space="preserve">ubre, de procedimiento Administrativo común de las </w:t>
      </w:r>
    </w:p>
    <w:p w:rsidR="009B4233" w:rsidRDefault="006B08B9">
      <w:pPr>
        <w:ind w:left="13" w:right="5"/>
        <w:jc w:val="both"/>
      </w:pPr>
      <w:r>
        <w:rPr>
          <w:rFonts w:ascii="Arial" w:eastAsia="Calibri" w:hAnsi="Arial" w:cs="Arial"/>
          <w:sz w:val="22"/>
          <w:szCs w:val="22"/>
        </w:rPr>
        <w:t>Administraciones Públicas (planificación normativa y consulta previa) y en el artículo 49 de la Ley 7/1985, de 2 de abril, Reguladora de las Bases del Régimen local (aprobación inicial, información públic</w:t>
      </w:r>
      <w:r>
        <w:rPr>
          <w:rFonts w:ascii="Arial" w:eastAsia="Calibri" w:hAnsi="Arial" w:cs="Arial"/>
          <w:sz w:val="22"/>
          <w:szCs w:val="22"/>
        </w:rPr>
        <w:t xml:space="preserve">a y aprobación definitiva): </w:t>
      </w:r>
    </w:p>
    <w:p w:rsidR="009B4233" w:rsidRDefault="006B08B9">
      <w:pPr>
        <w:spacing w:after="252" w:line="218" w:lineRule="auto"/>
        <w:ind w:left="18"/>
        <w:jc w:val="both"/>
      </w:pPr>
      <w:hyperlink r:id="rId12" w:history="1">
        <w:r>
          <w:rPr>
            <w:rFonts w:ascii="Arial" w:eastAsia="Calibri" w:hAnsi="Arial" w:cs="Arial"/>
            <w:color w:val="0563C1"/>
            <w:sz w:val="22"/>
            <w:szCs w:val="22"/>
            <w:u w:val="single" w:color="0563C1"/>
          </w:rPr>
          <w:t>https://www.administracionpublica.com/sipnosis-del-nuevo-procedimiento-para-</w:t>
        </w:r>
      </w:hyperlink>
      <w:hyperlink r:id="rId13" w:history="1">
        <w:r>
          <w:rPr>
            <w:rFonts w:ascii="Arial" w:eastAsia="Calibri" w:hAnsi="Arial" w:cs="Arial"/>
            <w:color w:val="0563C1"/>
            <w:sz w:val="22"/>
            <w:szCs w:val="22"/>
          </w:rPr>
          <w:t xml:space="preserve"> </w:t>
        </w:r>
      </w:hyperlink>
      <w:hyperlink r:id="rId14" w:history="1">
        <w:r>
          <w:rPr>
            <w:rFonts w:ascii="Arial" w:eastAsia="Calibri" w:hAnsi="Arial" w:cs="Arial"/>
            <w:color w:val="0563C1"/>
            <w:sz w:val="22"/>
            <w:szCs w:val="22"/>
            <w:u w:val="single" w:color="0563C1"/>
          </w:rPr>
          <w:t>laaprobacion-de-ordenanzas-municipales/</w:t>
        </w:r>
      </w:hyperlink>
    </w:p>
    <w:p w:rsidR="009B4233" w:rsidRDefault="006B08B9">
      <w:pPr>
        <w:spacing w:after="247"/>
        <w:ind w:left="13" w:right="5"/>
        <w:jc w:val="both"/>
      </w:pPr>
      <w:r>
        <w:rPr>
          <w:rFonts w:ascii="Arial" w:eastAsia="Calibri" w:hAnsi="Arial" w:cs="Arial"/>
          <w:b/>
          <w:sz w:val="22"/>
          <w:szCs w:val="22"/>
        </w:rPr>
        <w:t xml:space="preserve">Quinto: </w:t>
      </w:r>
      <w:r>
        <w:rPr>
          <w:rFonts w:ascii="Arial" w:eastAsia="Calibri" w:hAnsi="Arial" w:cs="Arial"/>
          <w:sz w:val="22"/>
          <w:szCs w:val="22"/>
        </w:rPr>
        <w:t>La Ley 7/1985, de 2 de abril, Reguladora de las Bases del Régimen Local, establece en el artículo 22 las atribuciones del Pleno de la Corporación en materia de aprobación de planes.</w:t>
      </w:r>
    </w:p>
    <w:p w:rsidR="009B4233" w:rsidRDefault="006B08B9">
      <w:pPr>
        <w:spacing w:after="504"/>
        <w:ind w:left="13" w:right="5"/>
        <w:jc w:val="both"/>
      </w:pPr>
      <w:r>
        <w:rPr>
          <w:rFonts w:ascii="Arial" w:eastAsia="Calibri" w:hAnsi="Arial" w:cs="Arial"/>
          <w:sz w:val="22"/>
          <w:szCs w:val="22"/>
        </w:rPr>
        <w:t>En virtud de lo</w:t>
      </w:r>
      <w:r>
        <w:rPr>
          <w:rFonts w:ascii="Arial" w:eastAsia="Calibri" w:hAnsi="Arial" w:cs="Arial"/>
          <w:sz w:val="22"/>
          <w:szCs w:val="22"/>
        </w:rPr>
        <w:t>s antecedentes de hecho expuestos y fundamentos de derecho que resultan de aplicación la funcionaria que suscribe, formula la siguiente,</w:t>
      </w:r>
    </w:p>
    <w:p w:rsidR="009B4233" w:rsidRDefault="006B08B9">
      <w:pPr>
        <w:pStyle w:val="Ttulo1"/>
        <w:ind w:left="30" w:right="122"/>
      </w:pPr>
      <w:r>
        <w:rPr>
          <w:rFonts w:ascii="Arial" w:hAnsi="Arial" w:cs="Arial"/>
          <w:sz w:val="22"/>
          <w:szCs w:val="22"/>
        </w:rPr>
        <w:t xml:space="preserve">PROPUESTA DE RESOLUCIÓN </w:t>
      </w:r>
      <w:r>
        <w:rPr>
          <w:rFonts w:ascii="Arial" w:hAnsi="Arial" w:cs="Arial"/>
          <w:b w:val="0"/>
          <w:sz w:val="22"/>
          <w:szCs w:val="22"/>
        </w:rPr>
        <w:t xml:space="preserve"> </w:t>
      </w:r>
    </w:p>
    <w:p w:rsidR="009B4233" w:rsidRDefault="006B08B9">
      <w:pPr>
        <w:spacing w:after="247"/>
        <w:ind w:left="13" w:right="5"/>
        <w:jc w:val="both"/>
      </w:pPr>
      <w:r>
        <w:rPr>
          <w:rFonts w:ascii="Arial" w:eastAsia="Calibri" w:hAnsi="Arial" w:cs="Arial"/>
          <w:b/>
          <w:sz w:val="22"/>
          <w:szCs w:val="22"/>
        </w:rPr>
        <w:t>PRIMERO. -</w:t>
      </w:r>
      <w:r>
        <w:rPr>
          <w:rFonts w:ascii="Arial" w:eastAsia="Calibri" w:hAnsi="Arial" w:cs="Arial"/>
          <w:sz w:val="22"/>
          <w:szCs w:val="22"/>
        </w:rPr>
        <w:t xml:space="preserve"> Modificar el Plan Anual Normativo 2025 para incluir la aprobación de las siguiente</w:t>
      </w:r>
      <w:r>
        <w:rPr>
          <w:rFonts w:ascii="Arial" w:eastAsia="Calibri" w:hAnsi="Arial" w:cs="Arial"/>
          <w:sz w:val="22"/>
          <w:szCs w:val="22"/>
        </w:rPr>
        <w:t>s normas:</w:t>
      </w:r>
    </w:p>
    <w:p w:rsidR="009B4233" w:rsidRDefault="006B08B9">
      <w:pPr>
        <w:widowControl/>
        <w:numPr>
          <w:ilvl w:val="0"/>
          <w:numId w:val="10"/>
        </w:numPr>
        <w:suppressAutoHyphens w:val="0"/>
        <w:spacing w:after="247" w:line="228" w:lineRule="auto"/>
        <w:ind w:right="5" w:hanging="10"/>
        <w:jc w:val="both"/>
        <w:textAlignment w:val="auto"/>
      </w:pPr>
      <w:r>
        <w:rPr>
          <w:rFonts w:ascii="Arial" w:eastAsia="Calibri" w:hAnsi="Arial" w:cs="Arial"/>
          <w:sz w:val="22"/>
          <w:szCs w:val="22"/>
        </w:rPr>
        <w:t>Modificación de la Ordenanza reguladora de la prestación patrimonial de carácter público no tributario de los servicios municipales de gestión del ciclo integral del agua del Ayuntamiento de la Villa de Candelaria.</w:t>
      </w:r>
    </w:p>
    <w:p w:rsidR="009B4233" w:rsidRDefault="006B08B9">
      <w:pPr>
        <w:widowControl/>
        <w:numPr>
          <w:ilvl w:val="0"/>
          <w:numId w:val="10"/>
        </w:numPr>
        <w:suppressAutoHyphens w:val="0"/>
        <w:spacing w:after="247" w:line="228" w:lineRule="auto"/>
        <w:ind w:right="5" w:hanging="10"/>
        <w:jc w:val="both"/>
        <w:textAlignment w:val="auto"/>
      </w:pPr>
      <w:r>
        <w:rPr>
          <w:rFonts w:ascii="Arial" w:eastAsia="Calibri" w:hAnsi="Arial" w:cs="Arial"/>
          <w:sz w:val="22"/>
          <w:szCs w:val="22"/>
        </w:rPr>
        <w:t>Ordenanza reguladora de limpiez</w:t>
      </w:r>
      <w:r>
        <w:rPr>
          <w:rFonts w:ascii="Arial" w:eastAsia="Calibri" w:hAnsi="Arial" w:cs="Arial"/>
          <w:sz w:val="22"/>
          <w:szCs w:val="22"/>
        </w:rPr>
        <w:t>a de los espacios públicos, gestión de residuos y economía circular del municipio de Candelaria.</w:t>
      </w:r>
    </w:p>
    <w:p w:rsidR="009B4233" w:rsidRDefault="006B08B9">
      <w:pPr>
        <w:widowControl/>
        <w:numPr>
          <w:ilvl w:val="0"/>
          <w:numId w:val="10"/>
        </w:numPr>
        <w:suppressAutoHyphens w:val="0"/>
        <w:spacing w:after="247" w:line="228" w:lineRule="auto"/>
        <w:ind w:right="5" w:hanging="10"/>
        <w:jc w:val="both"/>
        <w:textAlignment w:val="auto"/>
      </w:pPr>
      <w:r>
        <w:rPr>
          <w:rFonts w:ascii="Arial" w:eastAsia="Calibri" w:hAnsi="Arial" w:cs="Arial"/>
          <w:sz w:val="22"/>
          <w:szCs w:val="22"/>
        </w:rPr>
        <w:t>Modificación de la ordenanza fiscal de la tasa por la prestación del servicio de recogida, transporte y tratamiento de residuos sólidos urbanos.</w:t>
      </w:r>
    </w:p>
    <w:p w:rsidR="009B4233" w:rsidRDefault="006B08B9">
      <w:pPr>
        <w:widowControl/>
        <w:numPr>
          <w:ilvl w:val="0"/>
          <w:numId w:val="10"/>
        </w:numPr>
        <w:suppressAutoHyphens w:val="0"/>
        <w:spacing w:after="247" w:line="228" w:lineRule="auto"/>
        <w:ind w:right="5" w:hanging="10"/>
        <w:jc w:val="both"/>
        <w:textAlignment w:val="auto"/>
      </w:pPr>
      <w:r>
        <w:rPr>
          <w:rFonts w:ascii="Arial" w:eastAsia="Calibri" w:hAnsi="Arial" w:cs="Arial"/>
          <w:sz w:val="22"/>
          <w:szCs w:val="22"/>
        </w:rPr>
        <w:t>Estatutos de l</w:t>
      </w:r>
      <w:r>
        <w:rPr>
          <w:rFonts w:ascii="Arial" w:eastAsia="Calibri" w:hAnsi="Arial" w:cs="Arial"/>
          <w:sz w:val="22"/>
          <w:szCs w:val="22"/>
        </w:rPr>
        <w:t>a Entidad Urbanística de Conservación del Polígono Industrial Valle de Güímar (E.U.C. Polígono valle Güímar)</w:t>
      </w:r>
    </w:p>
    <w:p w:rsidR="009B4233" w:rsidRDefault="006B08B9">
      <w:pPr>
        <w:spacing w:after="247"/>
        <w:ind w:left="13" w:right="5"/>
        <w:jc w:val="both"/>
      </w:pPr>
      <w:r>
        <w:rPr>
          <w:rFonts w:ascii="Arial" w:eastAsia="Calibri" w:hAnsi="Arial" w:cs="Arial"/>
          <w:b/>
          <w:sz w:val="22"/>
          <w:szCs w:val="22"/>
        </w:rPr>
        <w:t>SEGUNDO</w:t>
      </w:r>
      <w:r>
        <w:rPr>
          <w:rFonts w:ascii="Arial" w:eastAsia="Calibri" w:hAnsi="Arial" w:cs="Arial"/>
          <w:sz w:val="22"/>
          <w:szCs w:val="22"/>
        </w:rPr>
        <w:t>. - Con las modificaciones propuestas, el Plan Normativo Anual quedaría distribuido de la siguiente manera:</w:t>
      </w:r>
    </w:p>
    <w:p w:rsidR="009B4233" w:rsidRDefault="006B08B9">
      <w:pPr>
        <w:spacing w:after="28"/>
        <w:ind w:left="13" w:right="5"/>
        <w:jc w:val="both"/>
      </w:pPr>
      <w:r>
        <w:rPr>
          <w:rFonts w:ascii="Arial" w:eastAsia="Calibri" w:hAnsi="Arial" w:cs="Arial"/>
          <w:sz w:val="22"/>
          <w:szCs w:val="22"/>
        </w:rPr>
        <w:t>HACIENDA</w:t>
      </w:r>
      <w:r>
        <w:rPr>
          <w:rFonts w:ascii="Arial" w:eastAsia="Calibri" w:hAnsi="Arial" w:cs="Arial"/>
          <w:b/>
          <w:sz w:val="22"/>
          <w:szCs w:val="22"/>
        </w:rPr>
        <w:t>:</w:t>
      </w:r>
    </w:p>
    <w:p w:rsidR="009B4233" w:rsidRDefault="006B08B9">
      <w:pPr>
        <w:widowControl/>
        <w:numPr>
          <w:ilvl w:val="0"/>
          <w:numId w:val="11"/>
        </w:numPr>
        <w:suppressAutoHyphens w:val="0"/>
        <w:spacing w:after="28" w:line="228" w:lineRule="auto"/>
        <w:ind w:right="5" w:hanging="708"/>
        <w:jc w:val="both"/>
        <w:textAlignment w:val="auto"/>
      </w:pPr>
      <w:r>
        <w:rPr>
          <w:rFonts w:ascii="Arial" w:eastAsia="Calibri" w:hAnsi="Arial" w:cs="Arial"/>
          <w:sz w:val="22"/>
          <w:szCs w:val="22"/>
        </w:rPr>
        <w:t>Ordenanza fiscal regul</w:t>
      </w:r>
      <w:r>
        <w:rPr>
          <w:rFonts w:ascii="Arial" w:eastAsia="Calibri" w:hAnsi="Arial" w:cs="Arial"/>
          <w:sz w:val="22"/>
          <w:szCs w:val="22"/>
        </w:rPr>
        <w:t>adora de la tasa de expedición de documentos.</w:t>
      </w:r>
    </w:p>
    <w:p w:rsidR="009B4233" w:rsidRDefault="006B08B9">
      <w:pPr>
        <w:widowControl/>
        <w:numPr>
          <w:ilvl w:val="0"/>
          <w:numId w:val="11"/>
        </w:numPr>
        <w:suppressAutoHyphens w:val="0"/>
        <w:spacing w:after="4" w:line="228" w:lineRule="auto"/>
        <w:ind w:right="5" w:hanging="708"/>
        <w:jc w:val="both"/>
        <w:textAlignment w:val="auto"/>
      </w:pPr>
      <w:r>
        <w:rPr>
          <w:rFonts w:ascii="Arial" w:eastAsia="Calibri" w:hAnsi="Arial" w:cs="Arial"/>
          <w:sz w:val="22"/>
          <w:szCs w:val="22"/>
        </w:rPr>
        <w:t>Reglamento de control interno de la actividad económico-financiera del Ayuntamiento.</w:t>
      </w:r>
    </w:p>
    <w:p w:rsidR="009B4233" w:rsidRDefault="006B08B9">
      <w:pPr>
        <w:widowControl/>
        <w:numPr>
          <w:ilvl w:val="0"/>
          <w:numId w:val="11"/>
        </w:numPr>
        <w:suppressAutoHyphens w:val="0"/>
        <w:spacing w:after="4" w:line="228" w:lineRule="auto"/>
        <w:ind w:right="5" w:hanging="708"/>
        <w:jc w:val="both"/>
        <w:textAlignment w:val="auto"/>
      </w:pPr>
      <w:r>
        <w:rPr>
          <w:rFonts w:ascii="Arial" w:eastAsia="Calibri" w:hAnsi="Arial" w:cs="Arial"/>
          <w:sz w:val="22"/>
          <w:szCs w:val="22"/>
        </w:rPr>
        <w:t>Ordenanza reguladora de la prestación patrimonial pública no tributaria de abastecimiento y saneamiento de agua potable.</w:t>
      </w:r>
    </w:p>
    <w:p w:rsidR="009B4233" w:rsidRDefault="006B08B9">
      <w:pPr>
        <w:widowControl/>
        <w:numPr>
          <w:ilvl w:val="0"/>
          <w:numId w:val="11"/>
        </w:numPr>
        <w:suppressAutoHyphens w:val="0"/>
        <w:spacing w:line="228" w:lineRule="auto"/>
        <w:ind w:right="5" w:hanging="708"/>
        <w:jc w:val="both"/>
        <w:textAlignment w:val="auto"/>
      </w:pPr>
      <w:r>
        <w:rPr>
          <w:rFonts w:ascii="Arial" w:eastAsia="Calibri" w:hAnsi="Arial" w:cs="Arial"/>
          <w:sz w:val="22"/>
          <w:szCs w:val="22"/>
        </w:rPr>
        <w:t>Modi</w:t>
      </w:r>
      <w:r>
        <w:rPr>
          <w:rFonts w:ascii="Arial" w:eastAsia="Calibri" w:hAnsi="Arial" w:cs="Arial"/>
          <w:sz w:val="22"/>
          <w:szCs w:val="22"/>
        </w:rPr>
        <w:t>ficación de la Ordenanza reguladora de la prestación patrimonial de carácter público no tributario de los servicios municipales de gestión del ciclo integral del agua del Ayuntamiento de la Villa de Candelaria.</w:t>
      </w:r>
    </w:p>
    <w:p w:rsidR="009B4233" w:rsidRDefault="006B08B9">
      <w:pPr>
        <w:widowControl/>
        <w:numPr>
          <w:ilvl w:val="0"/>
          <w:numId w:val="11"/>
        </w:numPr>
        <w:suppressAutoHyphens w:val="0"/>
        <w:spacing w:after="2" w:line="228" w:lineRule="auto"/>
        <w:ind w:right="5" w:hanging="708"/>
        <w:jc w:val="both"/>
        <w:textAlignment w:val="auto"/>
      </w:pPr>
      <w:r>
        <w:rPr>
          <w:rFonts w:ascii="Arial" w:eastAsia="Calibri" w:hAnsi="Arial" w:cs="Arial"/>
          <w:sz w:val="22"/>
          <w:szCs w:val="22"/>
        </w:rPr>
        <w:t>Ordenanza reguladora de limpieza de los espac</w:t>
      </w:r>
      <w:r>
        <w:rPr>
          <w:rFonts w:ascii="Arial" w:eastAsia="Calibri" w:hAnsi="Arial" w:cs="Arial"/>
          <w:sz w:val="22"/>
          <w:szCs w:val="22"/>
        </w:rPr>
        <w:t>ios públicos, gestión de residuos y economía circular del municipio de Candelaria.</w:t>
      </w:r>
    </w:p>
    <w:p w:rsidR="009B4233" w:rsidRDefault="006B08B9">
      <w:pPr>
        <w:widowControl/>
        <w:numPr>
          <w:ilvl w:val="0"/>
          <w:numId w:val="11"/>
        </w:numPr>
        <w:suppressAutoHyphens w:val="0"/>
        <w:spacing w:after="247" w:line="228" w:lineRule="auto"/>
        <w:ind w:right="5" w:hanging="708"/>
        <w:jc w:val="both"/>
        <w:textAlignment w:val="auto"/>
      </w:pPr>
      <w:r>
        <w:rPr>
          <w:rFonts w:ascii="Arial" w:eastAsia="Calibri" w:hAnsi="Arial" w:cs="Arial"/>
          <w:sz w:val="22"/>
          <w:szCs w:val="22"/>
        </w:rPr>
        <w:t>Modificación de la Ordenanza fiscal de la tasa por la prestación del servicio de recogida, transporte y tratamiento de residuos sólidos urbanos.</w:t>
      </w:r>
    </w:p>
    <w:p w:rsidR="009B4233" w:rsidRDefault="006B08B9">
      <w:pPr>
        <w:spacing w:after="28"/>
        <w:ind w:left="13" w:right="5"/>
        <w:jc w:val="both"/>
      </w:pPr>
      <w:r>
        <w:rPr>
          <w:rFonts w:ascii="Arial" w:eastAsia="Calibri" w:hAnsi="Arial" w:cs="Arial"/>
          <w:sz w:val="22"/>
          <w:szCs w:val="22"/>
        </w:rPr>
        <w:t>RELACIONES INSTITUCIONALES Y</w:t>
      </w:r>
      <w:r>
        <w:rPr>
          <w:rFonts w:ascii="Arial" w:eastAsia="Calibri" w:hAnsi="Arial" w:cs="Arial"/>
          <w:sz w:val="22"/>
          <w:szCs w:val="22"/>
        </w:rPr>
        <w:t xml:space="preserve"> PROTOCOLO:</w:t>
      </w:r>
    </w:p>
    <w:p w:rsidR="009B4233" w:rsidRDefault="006B08B9">
      <w:pPr>
        <w:widowControl/>
        <w:numPr>
          <w:ilvl w:val="0"/>
          <w:numId w:val="11"/>
        </w:numPr>
        <w:suppressAutoHyphens w:val="0"/>
        <w:spacing w:after="247" w:line="228" w:lineRule="auto"/>
        <w:ind w:right="5" w:hanging="708"/>
        <w:jc w:val="both"/>
        <w:textAlignment w:val="auto"/>
      </w:pPr>
      <w:r>
        <w:rPr>
          <w:rFonts w:ascii="Arial" w:eastAsia="Calibri" w:hAnsi="Arial" w:cs="Arial"/>
          <w:sz w:val="22"/>
          <w:szCs w:val="22"/>
        </w:rPr>
        <w:t>Modificación del reglamento de honores, distinciones y ceremonial.</w:t>
      </w:r>
    </w:p>
    <w:p w:rsidR="009B4233" w:rsidRDefault="006B08B9">
      <w:pPr>
        <w:spacing w:after="28"/>
        <w:ind w:left="13" w:right="5"/>
        <w:jc w:val="both"/>
      </w:pPr>
      <w:r>
        <w:rPr>
          <w:rFonts w:ascii="Arial" w:eastAsia="Calibri" w:hAnsi="Arial" w:cs="Arial"/>
          <w:sz w:val="22"/>
          <w:szCs w:val="22"/>
        </w:rPr>
        <w:t>MEDIO AMBIENTE NATURAL</w:t>
      </w:r>
    </w:p>
    <w:p w:rsidR="009B4233" w:rsidRDefault="006B08B9">
      <w:pPr>
        <w:widowControl/>
        <w:numPr>
          <w:ilvl w:val="0"/>
          <w:numId w:val="11"/>
        </w:numPr>
        <w:suppressAutoHyphens w:val="0"/>
        <w:spacing w:after="247" w:line="228" w:lineRule="auto"/>
        <w:ind w:right="5" w:hanging="708"/>
        <w:jc w:val="both"/>
        <w:textAlignment w:val="auto"/>
      </w:pPr>
      <w:r>
        <w:rPr>
          <w:rFonts w:ascii="Arial" w:eastAsia="Calibri" w:hAnsi="Arial" w:cs="Arial"/>
          <w:sz w:val="22"/>
          <w:szCs w:val="22"/>
        </w:rPr>
        <w:t>Aprobación de la ordenanza reguladora de uso de senderos de la red de senderos locales de Candelaria.</w:t>
      </w:r>
    </w:p>
    <w:p w:rsidR="009B4233" w:rsidRDefault="006B08B9">
      <w:pPr>
        <w:spacing w:after="28"/>
        <w:ind w:left="13" w:right="5"/>
        <w:jc w:val="both"/>
      </w:pPr>
      <w:r>
        <w:rPr>
          <w:rFonts w:ascii="Arial" w:eastAsia="Calibri" w:hAnsi="Arial" w:cs="Arial"/>
          <w:sz w:val="22"/>
          <w:szCs w:val="22"/>
        </w:rPr>
        <w:t>CULTURA:</w:t>
      </w:r>
    </w:p>
    <w:p w:rsidR="009B4233" w:rsidRDefault="006B08B9">
      <w:pPr>
        <w:widowControl/>
        <w:numPr>
          <w:ilvl w:val="0"/>
          <w:numId w:val="11"/>
        </w:numPr>
        <w:suppressAutoHyphens w:val="0"/>
        <w:spacing w:after="247" w:line="228" w:lineRule="auto"/>
        <w:ind w:right="5" w:hanging="708"/>
        <w:jc w:val="both"/>
        <w:textAlignment w:val="auto"/>
      </w:pPr>
      <w:r>
        <w:rPr>
          <w:rFonts w:ascii="Arial" w:eastAsia="Calibri" w:hAnsi="Arial" w:cs="Arial"/>
          <w:sz w:val="22"/>
          <w:szCs w:val="22"/>
        </w:rPr>
        <w:t>Aprobación del Reglamento de red de espacio</w:t>
      </w:r>
      <w:r>
        <w:rPr>
          <w:rFonts w:ascii="Arial" w:eastAsia="Calibri" w:hAnsi="Arial" w:cs="Arial"/>
          <w:sz w:val="22"/>
          <w:szCs w:val="22"/>
        </w:rPr>
        <w:t>s culturales del ayuntamiento de Candelaria.</w:t>
      </w:r>
    </w:p>
    <w:p w:rsidR="009B4233" w:rsidRDefault="006B08B9">
      <w:pPr>
        <w:spacing w:after="28"/>
        <w:ind w:left="13" w:right="5"/>
        <w:jc w:val="both"/>
      </w:pPr>
      <w:r>
        <w:rPr>
          <w:rFonts w:ascii="Arial" w:eastAsia="Calibri" w:hAnsi="Arial" w:cs="Arial"/>
          <w:sz w:val="22"/>
          <w:szCs w:val="22"/>
        </w:rPr>
        <w:t>PARTICIPACIÓN CIUDADANA:</w:t>
      </w:r>
    </w:p>
    <w:p w:rsidR="009B4233" w:rsidRDefault="006B08B9">
      <w:pPr>
        <w:widowControl/>
        <w:numPr>
          <w:ilvl w:val="0"/>
          <w:numId w:val="11"/>
        </w:numPr>
        <w:suppressAutoHyphens w:val="0"/>
        <w:spacing w:after="28" w:line="228" w:lineRule="auto"/>
        <w:ind w:right="5" w:hanging="708"/>
        <w:jc w:val="both"/>
        <w:textAlignment w:val="auto"/>
      </w:pPr>
      <w:r>
        <w:rPr>
          <w:rFonts w:ascii="Arial" w:eastAsia="Calibri" w:hAnsi="Arial" w:cs="Arial"/>
          <w:sz w:val="22"/>
          <w:szCs w:val="22"/>
        </w:rPr>
        <w:t>Reglamento de participación ciudadana del municipio de Candelaria.</w:t>
      </w:r>
    </w:p>
    <w:p w:rsidR="009B4233" w:rsidRDefault="006B08B9">
      <w:pPr>
        <w:widowControl/>
        <w:numPr>
          <w:ilvl w:val="0"/>
          <w:numId w:val="11"/>
        </w:numPr>
        <w:suppressAutoHyphens w:val="0"/>
        <w:spacing w:after="247" w:line="228" w:lineRule="auto"/>
        <w:ind w:right="5" w:hanging="708"/>
        <w:jc w:val="both"/>
        <w:textAlignment w:val="auto"/>
      </w:pPr>
      <w:r>
        <w:rPr>
          <w:rFonts w:ascii="Arial" w:eastAsia="Calibri" w:hAnsi="Arial" w:cs="Arial"/>
          <w:sz w:val="22"/>
          <w:szCs w:val="22"/>
        </w:rPr>
        <w:t>Ordenanza de convivencia ciudadana.</w:t>
      </w:r>
    </w:p>
    <w:p w:rsidR="009B4233" w:rsidRDefault="006B08B9">
      <w:pPr>
        <w:spacing w:after="28"/>
        <w:ind w:left="13" w:right="5"/>
        <w:jc w:val="both"/>
      </w:pPr>
      <w:r>
        <w:rPr>
          <w:rFonts w:ascii="Arial" w:eastAsia="Calibri" w:hAnsi="Arial" w:cs="Arial"/>
          <w:sz w:val="22"/>
          <w:szCs w:val="22"/>
        </w:rPr>
        <w:t>PLANIFICACIÓN URBANÍSTICA:</w:t>
      </w:r>
    </w:p>
    <w:p w:rsidR="009B4233" w:rsidRDefault="006B08B9">
      <w:pPr>
        <w:widowControl/>
        <w:numPr>
          <w:ilvl w:val="0"/>
          <w:numId w:val="11"/>
        </w:numPr>
        <w:suppressAutoHyphens w:val="0"/>
        <w:spacing w:line="228" w:lineRule="auto"/>
        <w:ind w:right="5" w:hanging="708"/>
        <w:jc w:val="both"/>
        <w:textAlignment w:val="auto"/>
      </w:pPr>
      <w:r>
        <w:rPr>
          <w:rFonts w:ascii="Arial" w:eastAsia="Calibri" w:hAnsi="Arial" w:cs="Arial"/>
          <w:sz w:val="22"/>
          <w:szCs w:val="22"/>
        </w:rPr>
        <w:t xml:space="preserve">Ordenanza específica reguladora del servicio de </w:t>
      </w:r>
      <w:r>
        <w:rPr>
          <w:rFonts w:ascii="Arial" w:eastAsia="Calibri" w:hAnsi="Arial" w:cs="Arial"/>
          <w:sz w:val="22"/>
          <w:szCs w:val="22"/>
        </w:rPr>
        <w:t>saneamiento del Polígono industrial del Valle de Güimar.</w:t>
      </w:r>
    </w:p>
    <w:p w:rsidR="009B4233" w:rsidRDefault="006B08B9">
      <w:pPr>
        <w:widowControl/>
        <w:numPr>
          <w:ilvl w:val="0"/>
          <w:numId w:val="11"/>
        </w:numPr>
        <w:suppressAutoHyphens w:val="0"/>
        <w:spacing w:after="1" w:line="218" w:lineRule="auto"/>
        <w:ind w:right="5" w:hanging="708"/>
        <w:jc w:val="both"/>
        <w:textAlignment w:val="auto"/>
      </w:pPr>
      <w:r>
        <w:rPr>
          <w:rFonts w:ascii="Arial" w:eastAsia="Calibri" w:hAnsi="Arial" w:cs="Arial"/>
          <w:sz w:val="22"/>
          <w:szCs w:val="22"/>
        </w:rPr>
        <w:t>ESTATUTOS DE LA ENTIDAD URBANÍSTICA DE CONSERVACIÓN DEL POLÍGONO INDUSTRIAL VALLE DE GÜÏMAR (E.U.C. POLÍGONO VALLE Güímar) EMPRESAS CONCESIONARIAS:</w:t>
      </w:r>
    </w:p>
    <w:p w:rsidR="009B4233" w:rsidRDefault="006B08B9">
      <w:pPr>
        <w:widowControl/>
        <w:numPr>
          <w:ilvl w:val="0"/>
          <w:numId w:val="11"/>
        </w:numPr>
        <w:suppressAutoHyphens w:val="0"/>
        <w:spacing w:after="247" w:line="228" w:lineRule="auto"/>
        <w:ind w:right="5" w:hanging="708"/>
        <w:jc w:val="both"/>
        <w:textAlignment w:val="auto"/>
      </w:pPr>
      <w:r>
        <w:rPr>
          <w:rFonts w:ascii="Arial" w:eastAsia="Calibri" w:hAnsi="Arial" w:cs="Arial"/>
          <w:sz w:val="22"/>
          <w:szCs w:val="22"/>
        </w:rPr>
        <w:t>Reglamento interno de la Escuela Infantil y la Orde</w:t>
      </w:r>
      <w:r>
        <w:rPr>
          <w:rFonts w:ascii="Arial" w:eastAsia="Calibri" w:hAnsi="Arial" w:cs="Arial"/>
          <w:sz w:val="22"/>
          <w:szCs w:val="22"/>
        </w:rPr>
        <w:t>nanza reguladora.</w:t>
      </w:r>
    </w:p>
    <w:p w:rsidR="009B4233" w:rsidRDefault="006B08B9">
      <w:pPr>
        <w:spacing w:after="28"/>
        <w:ind w:left="13" w:right="5"/>
        <w:jc w:val="both"/>
      </w:pPr>
      <w:r>
        <w:rPr>
          <w:rFonts w:ascii="Arial" w:eastAsia="Calibri" w:hAnsi="Arial" w:cs="Arial"/>
          <w:sz w:val="22"/>
          <w:szCs w:val="22"/>
        </w:rPr>
        <w:t>SERVICIOS SOCIALES</w:t>
      </w:r>
    </w:p>
    <w:p w:rsidR="009B4233" w:rsidRDefault="006B08B9">
      <w:pPr>
        <w:widowControl/>
        <w:numPr>
          <w:ilvl w:val="0"/>
          <w:numId w:val="11"/>
        </w:numPr>
        <w:suppressAutoHyphens w:val="0"/>
        <w:spacing w:line="228" w:lineRule="auto"/>
        <w:ind w:right="5" w:hanging="708"/>
        <w:jc w:val="both"/>
        <w:textAlignment w:val="auto"/>
      </w:pPr>
      <w:r>
        <w:rPr>
          <w:rFonts w:ascii="Arial" w:eastAsia="Calibri" w:hAnsi="Arial" w:cs="Arial"/>
          <w:sz w:val="22"/>
          <w:szCs w:val="22"/>
        </w:rPr>
        <w:t>Reglamento municipal del Servicio de Ayuda a Domicilio (S.A.D.), Centro Especial de Recuperación Integral (C.E.R.I.), Transporte Adaptado y Teleasistencia Domiciliaria.</w:t>
      </w:r>
    </w:p>
    <w:p w:rsidR="009B4233" w:rsidRDefault="006B08B9">
      <w:pPr>
        <w:spacing w:after="247"/>
        <w:ind w:left="13" w:right="5"/>
        <w:jc w:val="both"/>
      </w:pPr>
      <w:r>
        <w:rPr>
          <w:rFonts w:ascii="Arial" w:eastAsia="Calibri" w:hAnsi="Arial" w:cs="Arial"/>
          <w:sz w:val="22"/>
          <w:szCs w:val="22"/>
        </w:rPr>
        <w:t>DESARROLLO RURAL Y PESQUERO</w:t>
      </w:r>
    </w:p>
    <w:p w:rsidR="009B4233" w:rsidRDefault="006B08B9">
      <w:pPr>
        <w:widowControl/>
        <w:numPr>
          <w:ilvl w:val="0"/>
          <w:numId w:val="11"/>
        </w:numPr>
        <w:suppressAutoHyphens w:val="0"/>
        <w:spacing w:after="247" w:line="228" w:lineRule="auto"/>
        <w:ind w:right="5" w:hanging="708"/>
        <w:jc w:val="both"/>
        <w:textAlignment w:val="auto"/>
      </w:pPr>
      <w:r>
        <w:rPr>
          <w:rFonts w:ascii="Arial" w:eastAsia="Calibri" w:hAnsi="Arial" w:cs="Arial"/>
          <w:sz w:val="22"/>
          <w:szCs w:val="22"/>
        </w:rPr>
        <w:t>Ordenanza portuaria po</w:t>
      </w:r>
      <w:r>
        <w:rPr>
          <w:rFonts w:ascii="Arial" w:eastAsia="Calibri" w:hAnsi="Arial" w:cs="Arial"/>
          <w:sz w:val="22"/>
          <w:szCs w:val="22"/>
        </w:rPr>
        <w:t>r la que se establecen los usos y gestión del Puerto de Candelaria.</w:t>
      </w:r>
    </w:p>
    <w:p w:rsidR="009B4233" w:rsidRDefault="006B08B9">
      <w:pPr>
        <w:spacing w:after="28"/>
        <w:ind w:left="13" w:right="5"/>
        <w:jc w:val="both"/>
      </w:pPr>
      <w:r>
        <w:rPr>
          <w:rFonts w:ascii="Arial" w:eastAsia="Calibri" w:hAnsi="Arial" w:cs="Arial"/>
          <w:sz w:val="22"/>
          <w:szCs w:val="22"/>
        </w:rPr>
        <w:t>COMERCIO</w:t>
      </w:r>
    </w:p>
    <w:p w:rsidR="009B4233" w:rsidRDefault="006B08B9">
      <w:pPr>
        <w:widowControl/>
        <w:numPr>
          <w:ilvl w:val="0"/>
          <w:numId w:val="11"/>
        </w:numPr>
        <w:suppressAutoHyphens w:val="0"/>
        <w:spacing w:after="247" w:line="228" w:lineRule="auto"/>
        <w:ind w:right="5" w:hanging="708"/>
        <w:jc w:val="both"/>
        <w:textAlignment w:val="auto"/>
      </w:pPr>
      <w:r>
        <w:rPr>
          <w:rFonts w:ascii="Arial" w:eastAsia="Calibri" w:hAnsi="Arial" w:cs="Arial"/>
          <w:sz w:val="22"/>
          <w:szCs w:val="22"/>
        </w:rPr>
        <w:t>Ordenanza reguladora de espectáculos públicos y actividades recreativas temporales en la vía pública del término municipal de Candelaria.</w:t>
      </w:r>
    </w:p>
    <w:p w:rsidR="009B4233" w:rsidRDefault="006B08B9">
      <w:pPr>
        <w:spacing w:after="247"/>
        <w:ind w:left="13" w:right="5"/>
        <w:jc w:val="both"/>
      </w:pPr>
      <w:r>
        <w:rPr>
          <w:rFonts w:ascii="Arial" w:eastAsia="Calibri" w:hAnsi="Arial" w:cs="Arial"/>
          <w:b/>
          <w:sz w:val="22"/>
          <w:szCs w:val="22"/>
        </w:rPr>
        <w:t>TERCERO.-</w:t>
      </w:r>
      <w:r>
        <w:rPr>
          <w:rFonts w:ascii="Arial" w:eastAsia="Calibri" w:hAnsi="Arial" w:cs="Arial"/>
          <w:sz w:val="22"/>
          <w:szCs w:val="22"/>
        </w:rPr>
        <w:t xml:space="preserve"> Publicar el Plan en el Portal d</w:t>
      </w:r>
      <w:r>
        <w:rPr>
          <w:rFonts w:ascii="Arial" w:eastAsia="Calibri" w:hAnsi="Arial" w:cs="Arial"/>
          <w:sz w:val="22"/>
          <w:szCs w:val="22"/>
        </w:rPr>
        <w:t>e Transparencia y en la sede electrónica del Ayuntamiento de Candelaria una vez aprobada la modificación.</w:t>
      </w:r>
    </w:p>
    <w:p w:rsidR="009B4233" w:rsidRDefault="006B08B9">
      <w:pPr>
        <w:spacing w:after="247"/>
        <w:ind w:left="13" w:right="5"/>
        <w:jc w:val="both"/>
      </w:pPr>
      <w:r>
        <w:rPr>
          <w:rFonts w:ascii="Arial" w:eastAsia="Calibri" w:hAnsi="Arial" w:cs="Arial"/>
          <w:b/>
          <w:sz w:val="22"/>
          <w:szCs w:val="22"/>
        </w:rPr>
        <w:t>CUARTO.-</w:t>
      </w:r>
      <w:r>
        <w:rPr>
          <w:rFonts w:ascii="Arial" w:eastAsia="Calibri" w:hAnsi="Arial" w:cs="Arial"/>
          <w:sz w:val="22"/>
          <w:szCs w:val="22"/>
        </w:rPr>
        <w:t xml:space="preserve"> Notificar a cada Concejalía delegada responsable  del Reglamento u Ordenanza correspondiente, a los efectos de su debida elaboración ,  aprob</w:t>
      </w:r>
      <w:r>
        <w:rPr>
          <w:rFonts w:ascii="Arial" w:eastAsia="Calibri" w:hAnsi="Arial" w:cs="Arial"/>
          <w:sz w:val="22"/>
          <w:szCs w:val="22"/>
        </w:rPr>
        <w:t>ación o modificación durante el año 2025.</w:t>
      </w:r>
    </w:p>
    <w:p w:rsidR="009B4233" w:rsidRDefault="006B08B9">
      <w:pPr>
        <w:spacing w:after="247"/>
        <w:ind w:left="13" w:right="5"/>
        <w:jc w:val="both"/>
      </w:pPr>
      <w:r>
        <w:rPr>
          <w:rFonts w:ascii="Arial" w:eastAsia="Calibri" w:hAnsi="Arial" w:cs="Arial"/>
          <w:b/>
          <w:sz w:val="22"/>
          <w:szCs w:val="22"/>
        </w:rPr>
        <w:t xml:space="preserve">QUINTO.- </w:t>
      </w:r>
      <w:r>
        <w:rPr>
          <w:rFonts w:ascii="Arial" w:eastAsia="Calibri" w:hAnsi="Arial" w:cs="Arial"/>
          <w:sz w:val="22"/>
          <w:szCs w:val="22"/>
        </w:rPr>
        <w:t>El procedimiento de aprobación de los reglamentos y ordenanzas municipales incluidos en el presente Plan Normativo Anual para el año 2025 se ajustará a lo dispuesto en el artículo 133 de la ley 39/2015, de</w:t>
      </w:r>
      <w:r>
        <w:rPr>
          <w:rFonts w:ascii="Arial" w:eastAsia="Calibri" w:hAnsi="Arial" w:cs="Arial"/>
          <w:sz w:val="22"/>
          <w:szCs w:val="22"/>
        </w:rPr>
        <w:t xml:space="preserve"> 1 de octubre, del Procedimiento Administrativo Común de las Administraciones Públicas , en el artículo 49 de la Ley 7/1985, de 2 de abril Reguladora de las Bases del Régimen Local, así como, así como en el resto de normativa legal y reglamentaria aplicabl</w:t>
      </w:r>
      <w:r>
        <w:rPr>
          <w:rFonts w:ascii="Arial" w:eastAsia="Calibri" w:hAnsi="Arial" w:cs="Arial"/>
          <w:sz w:val="22"/>
          <w:szCs w:val="22"/>
        </w:rPr>
        <w:t>e.”</w:t>
      </w:r>
    </w:p>
    <w:p w:rsidR="009B4233" w:rsidRDefault="006B08B9">
      <w:pPr>
        <w:spacing w:after="247"/>
        <w:ind w:left="13" w:right="5"/>
        <w:jc w:val="both"/>
      </w:pPr>
      <w:r>
        <w:rPr>
          <w:rFonts w:ascii="Arial" w:eastAsia="Calibri" w:hAnsi="Arial" w:cs="Arial"/>
          <w:sz w:val="22"/>
          <w:szCs w:val="22"/>
        </w:rPr>
        <w:t>Es todo cuanto tengo el deber de informar, salvo error u omisión involuntaria y sin perjuicio de que se tenga en consideración otro criterio mejor fundado en derecho.</w:t>
      </w:r>
    </w:p>
    <w:p w:rsidR="009B4233" w:rsidRDefault="009B4233">
      <w:pPr>
        <w:pStyle w:val="Textoindependiente"/>
        <w:jc w:val="both"/>
        <w:rPr>
          <w:rFonts w:cs="Arial"/>
          <w:b/>
          <w:bCs/>
          <w:szCs w:val="22"/>
        </w:rPr>
      </w:pPr>
    </w:p>
    <w:p w:rsidR="009B4233" w:rsidRDefault="006B08B9">
      <w:pPr>
        <w:jc w:val="both"/>
        <w:rPr>
          <w:rFonts w:ascii="Arial" w:eastAsia="Times New Roman" w:hAnsi="Arial" w:cs="Arial"/>
          <w:b/>
          <w:color w:val="000000"/>
          <w:sz w:val="22"/>
          <w:szCs w:val="22"/>
          <w:lang w:eastAsia="es-ES"/>
        </w:rPr>
      </w:pPr>
      <w:r>
        <w:rPr>
          <w:rFonts w:ascii="Arial" w:eastAsia="Times New Roman" w:hAnsi="Arial" w:cs="Arial"/>
          <w:b/>
          <w:color w:val="000000"/>
          <w:sz w:val="22"/>
          <w:szCs w:val="22"/>
          <w:lang w:eastAsia="es-ES"/>
        </w:rPr>
        <w:t>Consta en el expediente propuesta de la Alcaldesa-Presidenta, de fecha 16 de septiem</w:t>
      </w:r>
      <w:r>
        <w:rPr>
          <w:rFonts w:ascii="Arial" w:eastAsia="Times New Roman" w:hAnsi="Arial" w:cs="Arial"/>
          <w:b/>
          <w:color w:val="000000"/>
          <w:sz w:val="22"/>
          <w:szCs w:val="22"/>
          <w:lang w:eastAsia="es-ES"/>
        </w:rPr>
        <w:t>bre de 2025, cuyo tenor literal es el siguiente:</w:t>
      </w: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spacing w:after="456" w:line="249" w:lineRule="auto"/>
        <w:ind w:left="76"/>
        <w:rPr>
          <w:rFonts w:ascii="Arial" w:hAnsi="Arial" w:cs="Arial"/>
          <w:sz w:val="22"/>
          <w:szCs w:val="22"/>
        </w:rPr>
      </w:pPr>
    </w:p>
    <w:p w:rsidR="009B4233" w:rsidRDefault="006B08B9">
      <w:pPr>
        <w:spacing w:line="249" w:lineRule="auto"/>
        <w:ind w:left="258"/>
        <w:jc w:val="center"/>
        <w:rPr>
          <w:rFonts w:ascii="Arial" w:eastAsia="Calibri" w:hAnsi="Arial" w:cs="Arial"/>
          <w:b/>
          <w:sz w:val="22"/>
          <w:szCs w:val="22"/>
        </w:rPr>
      </w:pPr>
      <w:r>
        <w:rPr>
          <w:rFonts w:ascii="Arial" w:eastAsia="Calibri" w:hAnsi="Arial" w:cs="Arial"/>
          <w:b/>
          <w:sz w:val="22"/>
          <w:szCs w:val="22"/>
        </w:rPr>
        <w:t>“PROPUESTA AL PLENO DE LA CORPORACIÓN PARA LA MODIFICACIÓN DEL PLAN ANUAL NORMATIVO 2025</w:t>
      </w:r>
    </w:p>
    <w:p w:rsidR="009B4233" w:rsidRDefault="009B4233">
      <w:pPr>
        <w:spacing w:line="249" w:lineRule="auto"/>
        <w:ind w:left="258"/>
        <w:rPr>
          <w:rFonts w:ascii="Arial" w:hAnsi="Arial" w:cs="Arial"/>
          <w:sz w:val="22"/>
          <w:szCs w:val="22"/>
        </w:rPr>
      </w:pPr>
    </w:p>
    <w:p w:rsidR="009B4233" w:rsidRDefault="006B08B9">
      <w:pPr>
        <w:jc w:val="both"/>
        <w:rPr>
          <w:rFonts w:ascii="Arial" w:hAnsi="Arial" w:cs="Arial"/>
          <w:sz w:val="22"/>
          <w:szCs w:val="22"/>
        </w:rPr>
      </w:pPr>
      <w:r>
        <w:rPr>
          <w:rFonts w:ascii="Arial" w:hAnsi="Arial" w:cs="Arial"/>
          <w:sz w:val="22"/>
          <w:szCs w:val="22"/>
        </w:rPr>
        <w:t xml:space="preserve">Doña María Concepción Brito Núñez, en calidad de Alcaldesa Presidenta, al amparo de lo dispuesto en el Reglamento </w:t>
      </w:r>
      <w:r>
        <w:rPr>
          <w:rFonts w:ascii="Arial" w:hAnsi="Arial" w:cs="Arial"/>
          <w:sz w:val="22"/>
          <w:szCs w:val="22"/>
        </w:rPr>
        <w:t xml:space="preserve">de Organización, Funcionamiento y Régimen Jurídico de las Entidades Locales, así como en la Ley 7/1985, de 2 de abril, Reguladora de las Bases de Régimen Local, formula al Pleno de la Corporación la siguiente propuesta: </w:t>
      </w:r>
    </w:p>
    <w:p w:rsidR="009B4233" w:rsidRDefault="009B4233">
      <w:pPr>
        <w:jc w:val="both"/>
        <w:rPr>
          <w:rFonts w:ascii="Arial" w:hAnsi="Arial" w:cs="Arial"/>
          <w:sz w:val="22"/>
          <w:szCs w:val="22"/>
        </w:rPr>
      </w:pPr>
    </w:p>
    <w:p w:rsidR="009B4233" w:rsidRDefault="006B08B9">
      <w:pPr>
        <w:ind w:right="134"/>
        <w:jc w:val="both"/>
        <w:rPr>
          <w:rFonts w:ascii="Arial" w:hAnsi="Arial" w:cs="Arial"/>
          <w:sz w:val="22"/>
          <w:szCs w:val="22"/>
        </w:rPr>
      </w:pPr>
      <w:r>
        <w:rPr>
          <w:rFonts w:ascii="Arial" w:hAnsi="Arial" w:cs="Arial"/>
          <w:sz w:val="22"/>
          <w:szCs w:val="22"/>
        </w:rPr>
        <w:t xml:space="preserve">El Pleno de este Ayuntamiento, en </w:t>
      </w:r>
      <w:r>
        <w:rPr>
          <w:rFonts w:ascii="Arial" w:hAnsi="Arial" w:cs="Arial"/>
          <w:sz w:val="22"/>
          <w:szCs w:val="22"/>
        </w:rPr>
        <w:t>sesión celebrada el pasado día 27 de febrero de 2025 aprobó el Plan Normativo Municipal 2025, todo ello de conformidad con lo dispuesto en el artículo 132 de la Ley 39/2015, de 1 de octubre, del Procedimiento Administrativo Común de las Administraciones Pú</w:t>
      </w:r>
      <w:r>
        <w:rPr>
          <w:rFonts w:ascii="Arial" w:hAnsi="Arial" w:cs="Arial"/>
          <w:sz w:val="22"/>
          <w:szCs w:val="22"/>
        </w:rPr>
        <w:t>blicas y que posteriormente fue modificado por el Pleno en sesión ordinaria el día 30 de abril de 2025.</w:t>
      </w:r>
    </w:p>
    <w:p w:rsidR="009B4233" w:rsidRDefault="006B08B9">
      <w:pPr>
        <w:ind w:right="137"/>
        <w:jc w:val="both"/>
        <w:rPr>
          <w:rFonts w:ascii="Arial" w:hAnsi="Arial" w:cs="Arial"/>
          <w:sz w:val="22"/>
          <w:szCs w:val="22"/>
        </w:rPr>
      </w:pPr>
      <w:r>
        <w:rPr>
          <w:rFonts w:ascii="Arial" w:hAnsi="Arial" w:cs="Arial"/>
          <w:sz w:val="22"/>
          <w:szCs w:val="22"/>
        </w:rPr>
        <w:t>Considerando que, tras recopilar nueva información de los servicios municipales, y dado que el plan normativo anual es una previsión no vinculante susce</w:t>
      </w:r>
      <w:r>
        <w:rPr>
          <w:rFonts w:ascii="Arial" w:hAnsi="Arial" w:cs="Arial"/>
          <w:sz w:val="22"/>
          <w:szCs w:val="22"/>
        </w:rPr>
        <w:t>ptible de modificaciones a lo largo del ejercicio 2025.</w:t>
      </w:r>
    </w:p>
    <w:p w:rsidR="009B4233" w:rsidRDefault="006B08B9">
      <w:pPr>
        <w:spacing w:after="527"/>
        <w:ind w:right="137"/>
        <w:jc w:val="both"/>
        <w:rPr>
          <w:rFonts w:ascii="Arial" w:hAnsi="Arial" w:cs="Arial"/>
          <w:sz w:val="22"/>
          <w:szCs w:val="22"/>
        </w:rPr>
      </w:pPr>
      <w:r>
        <w:rPr>
          <w:rFonts w:ascii="Arial" w:hAnsi="Arial" w:cs="Arial"/>
          <w:sz w:val="22"/>
          <w:szCs w:val="22"/>
        </w:rPr>
        <w:t xml:space="preserve">Considerando que la Ley 7/1985, de 2 de abril, Reguladora de las Bases del Régimen Local, establece en el artículo 22 las atribuciones del Pleno de la Corporación en materia de aprobación de planes. </w:t>
      </w:r>
    </w:p>
    <w:p w:rsidR="009B4233" w:rsidRDefault="006B08B9">
      <w:pPr>
        <w:spacing w:after="237"/>
        <w:jc w:val="both"/>
        <w:rPr>
          <w:rFonts w:ascii="Arial" w:hAnsi="Arial" w:cs="Arial"/>
          <w:sz w:val="22"/>
          <w:szCs w:val="22"/>
        </w:rPr>
      </w:pPr>
      <w:r>
        <w:rPr>
          <w:rFonts w:ascii="Arial" w:hAnsi="Arial" w:cs="Arial"/>
          <w:sz w:val="22"/>
          <w:szCs w:val="22"/>
        </w:rPr>
        <w:t>En consecuencia, esta Alcaldía propone al Pleno, previo dictamen de la Comisión informativa correspondiente, la adopción del siguiente acuerdo:</w:t>
      </w:r>
    </w:p>
    <w:p w:rsidR="009B4233" w:rsidRDefault="006B08B9">
      <w:pPr>
        <w:jc w:val="both"/>
      </w:pPr>
      <w:r>
        <w:rPr>
          <w:rFonts w:ascii="Arial" w:eastAsia="Calibri" w:hAnsi="Arial" w:cs="Arial"/>
          <w:b/>
          <w:sz w:val="22"/>
          <w:szCs w:val="22"/>
        </w:rPr>
        <w:t>PRIMERO.-</w:t>
      </w:r>
      <w:r>
        <w:rPr>
          <w:rFonts w:ascii="Arial" w:hAnsi="Arial" w:cs="Arial"/>
          <w:sz w:val="22"/>
          <w:szCs w:val="22"/>
        </w:rPr>
        <w:t xml:space="preserve"> Realizar la modificación del Plan Anual Normativo 2025 para incluir la aprobación de las siguientes no</w:t>
      </w:r>
      <w:r>
        <w:rPr>
          <w:rFonts w:ascii="Arial" w:hAnsi="Arial" w:cs="Arial"/>
          <w:sz w:val="22"/>
          <w:szCs w:val="22"/>
        </w:rPr>
        <w:t>rmas:</w:t>
      </w:r>
    </w:p>
    <w:p w:rsidR="009B4233" w:rsidRDefault="006B08B9">
      <w:pPr>
        <w:widowControl/>
        <w:numPr>
          <w:ilvl w:val="0"/>
          <w:numId w:val="12"/>
        </w:numPr>
        <w:suppressAutoHyphens w:val="0"/>
        <w:spacing w:line="254" w:lineRule="auto"/>
        <w:ind w:right="68" w:hanging="360"/>
        <w:jc w:val="both"/>
        <w:textAlignment w:val="auto"/>
        <w:rPr>
          <w:rFonts w:ascii="Arial" w:hAnsi="Arial" w:cs="Arial"/>
          <w:sz w:val="22"/>
          <w:szCs w:val="22"/>
        </w:rPr>
      </w:pPr>
      <w:r>
        <w:rPr>
          <w:rFonts w:ascii="Arial" w:hAnsi="Arial" w:cs="Arial"/>
          <w:sz w:val="22"/>
          <w:szCs w:val="22"/>
        </w:rPr>
        <w:t>Modificación de la Ordenanza reguladora de la prestación patrimonial de carácter público no tributario de los servicios municipales de gestión del ciclo integral del agua del Ayuntamiento de la Villa de Candelaria.</w:t>
      </w:r>
    </w:p>
    <w:p w:rsidR="009B4233" w:rsidRDefault="006B08B9">
      <w:pPr>
        <w:widowControl/>
        <w:numPr>
          <w:ilvl w:val="0"/>
          <w:numId w:val="12"/>
        </w:numPr>
        <w:suppressAutoHyphens w:val="0"/>
        <w:spacing w:after="87" w:line="254" w:lineRule="auto"/>
        <w:ind w:right="68" w:hanging="360"/>
        <w:jc w:val="both"/>
        <w:textAlignment w:val="auto"/>
        <w:rPr>
          <w:rFonts w:ascii="Arial" w:hAnsi="Arial" w:cs="Arial"/>
          <w:sz w:val="22"/>
          <w:szCs w:val="22"/>
        </w:rPr>
      </w:pPr>
      <w:r>
        <w:rPr>
          <w:rFonts w:ascii="Arial" w:hAnsi="Arial" w:cs="Arial"/>
          <w:sz w:val="22"/>
          <w:szCs w:val="22"/>
        </w:rPr>
        <w:t>Ordenanza reguladora de limpieza de</w:t>
      </w:r>
      <w:r>
        <w:rPr>
          <w:rFonts w:ascii="Arial" w:hAnsi="Arial" w:cs="Arial"/>
          <w:sz w:val="22"/>
          <w:szCs w:val="22"/>
        </w:rPr>
        <w:t xml:space="preserve"> los espacios públicos, gestión de residuos y economía circular del municipio de Candelaria.</w:t>
      </w:r>
    </w:p>
    <w:p w:rsidR="009B4233" w:rsidRDefault="006B08B9">
      <w:pPr>
        <w:widowControl/>
        <w:numPr>
          <w:ilvl w:val="0"/>
          <w:numId w:val="12"/>
        </w:numPr>
        <w:suppressAutoHyphens w:val="0"/>
        <w:spacing w:after="120" w:line="254" w:lineRule="auto"/>
        <w:ind w:right="68" w:hanging="360"/>
        <w:jc w:val="both"/>
        <w:textAlignment w:val="auto"/>
        <w:rPr>
          <w:rFonts w:ascii="Arial" w:hAnsi="Arial" w:cs="Arial"/>
          <w:sz w:val="22"/>
          <w:szCs w:val="22"/>
        </w:rPr>
      </w:pPr>
      <w:r>
        <w:rPr>
          <w:rFonts w:ascii="Arial" w:hAnsi="Arial" w:cs="Arial"/>
          <w:sz w:val="22"/>
          <w:szCs w:val="22"/>
        </w:rPr>
        <w:t>Modificación de la ordenanza fiscal de la tasa por la prestación del servicio de recogida, transporte y tratamiento de residuos sólidos urbanos.</w:t>
      </w:r>
    </w:p>
    <w:p w:rsidR="009B4233" w:rsidRDefault="006B08B9">
      <w:pPr>
        <w:widowControl/>
        <w:numPr>
          <w:ilvl w:val="0"/>
          <w:numId w:val="12"/>
        </w:numPr>
        <w:suppressAutoHyphens w:val="0"/>
        <w:spacing w:after="527" w:line="254" w:lineRule="auto"/>
        <w:ind w:right="68" w:hanging="360"/>
        <w:jc w:val="both"/>
        <w:textAlignment w:val="auto"/>
        <w:rPr>
          <w:rFonts w:ascii="Arial" w:hAnsi="Arial" w:cs="Arial"/>
          <w:sz w:val="22"/>
          <w:szCs w:val="22"/>
        </w:rPr>
      </w:pPr>
      <w:r>
        <w:rPr>
          <w:rFonts w:ascii="Arial" w:hAnsi="Arial" w:cs="Arial"/>
          <w:sz w:val="22"/>
          <w:szCs w:val="22"/>
        </w:rPr>
        <w:t>ESTATUTOS DE LA EN</w:t>
      </w:r>
      <w:r>
        <w:rPr>
          <w:rFonts w:ascii="Arial" w:hAnsi="Arial" w:cs="Arial"/>
          <w:sz w:val="22"/>
          <w:szCs w:val="22"/>
        </w:rPr>
        <w:t>TIDAD URBANÍSTICA DE CONSERVACIÓN DEL POLÍGONO INDUSTRIAL VALLE DE GÜÏMAR (E.U.C. POLÍGONO VALLE Güímar)</w:t>
      </w:r>
    </w:p>
    <w:p w:rsidR="009B4233" w:rsidRDefault="006B08B9">
      <w:pPr>
        <w:spacing w:after="527"/>
        <w:jc w:val="both"/>
      </w:pPr>
      <w:r>
        <w:rPr>
          <w:rFonts w:ascii="Arial" w:eastAsia="Calibri" w:hAnsi="Arial" w:cs="Arial"/>
          <w:b/>
          <w:sz w:val="22"/>
          <w:szCs w:val="22"/>
        </w:rPr>
        <w:t>SEGUNDO</w:t>
      </w:r>
      <w:r>
        <w:rPr>
          <w:rFonts w:ascii="Arial" w:hAnsi="Arial" w:cs="Arial"/>
          <w:sz w:val="22"/>
          <w:szCs w:val="22"/>
        </w:rPr>
        <w:t>.- El Plan Anual Normativo 2025, con las modificaciones que se proponen, quedaría distribuido de la siguiente manera:</w:t>
      </w:r>
    </w:p>
    <w:p w:rsidR="009B4233" w:rsidRDefault="006B08B9">
      <w:pPr>
        <w:jc w:val="both"/>
        <w:rPr>
          <w:rFonts w:ascii="Arial" w:hAnsi="Arial" w:cs="Arial"/>
          <w:sz w:val="22"/>
          <w:szCs w:val="22"/>
        </w:rPr>
      </w:pPr>
      <w:r>
        <w:rPr>
          <w:rFonts w:ascii="Arial" w:hAnsi="Arial" w:cs="Arial"/>
          <w:sz w:val="22"/>
          <w:szCs w:val="22"/>
        </w:rPr>
        <w:t>HACIENDA:</w:t>
      </w:r>
    </w:p>
    <w:p w:rsidR="009B4233" w:rsidRDefault="006B08B9">
      <w:pPr>
        <w:widowControl/>
        <w:numPr>
          <w:ilvl w:val="0"/>
          <w:numId w:val="13"/>
        </w:numPr>
        <w:suppressAutoHyphens w:val="0"/>
        <w:spacing w:after="120" w:line="254" w:lineRule="auto"/>
        <w:ind w:hanging="424"/>
        <w:jc w:val="both"/>
        <w:textAlignment w:val="auto"/>
        <w:rPr>
          <w:rFonts w:ascii="Arial" w:hAnsi="Arial" w:cs="Arial"/>
          <w:sz w:val="22"/>
          <w:szCs w:val="22"/>
        </w:rPr>
      </w:pPr>
      <w:r>
        <w:rPr>
          <w:rFonts w:ascii="Arial" w:hAnsi="Arial" w:cs="Arial"/>
          <w:sz w:val="22"/>
          <w:szCs w:val="22"/>
        </w:rPr>
        <w:t>Ordenanza fiscal</w:t>
      </w:r>
      <w:r>
        <w:rPr>
          <w:rFonts w:ascii="Arial" w:hAnsi="Arial" w:cs="Arial"/>
          <w:sz w:val="22"/>
          <w:szCs w:val="22"/>
        </w:rPr>
        <w:t xml:space="preserve"> reguladora de la tasa de expedición de documentos.</w:t>
      </w:r>
    </w:p>
    <w:p w:rsidR="009B4233" w:rsidRDefault="006B08B9">
      <w:pPr>
        <w:widowControl/>
        <w:numPr>
          <w:ilvl w:val="0"/>
          <w:numId w:val="13"/>
        </w:numPr>
        <w:suppressAutoHyphens w:val="0"/>
        <w:spacing w:after="120" w:line="254" w:lineRule="auto"/>
        <w:ind w:hanging="424"/>
        <w:jc w:val="both"/>
        <w:textAlignment w:val="auto"/>
        <w:rPr>
          <w:rFonts w:ascii="Arial" w:hAnsi="Arial" w:cs="Arial"/>
          <w:sz w:val="22"/>
          <w:szCs w:val="22"/>
        </w:rPr>
      </w:pPr>
      <w:r>
        <w:rPr>
          <w:rFonts w:ascii="Arial" w:hAnsi="Arial" w:cs="Arial"/>
          <w:sz w:val="22"/>
          <w:szCs w:val="22"/>
        </w:rPr>
        <w:t>Reglamento de control interno de la actividad económico-financiera del Ayuntamiento.</w:t>
      </w:r>
    </w:p>
    <w:p w:rsidR="009B4233" w:rsidRDefault="006B08B9">
      <w:pPr>
        <w:widowControl/>
        <w:numPr>
          <w:ilvl w:val="0"/>
          <w:numId w:val="13"/>
        </w:numPr>
        <w:suppressAutoHyphens w:val="0"/>
        <w:spacing w:after="120" w:line="254" w:lineRule="auto"/>
        <w:ind w:hanging="424"/>
        <w:jc w:val="both"/>
        <w:textAlignment w:val="auto"/>
        <w:rPr>
          <w:rFonts w:ascii="Arial" w:hAnsi="Arial" w:cs="Arial"/>
          <w:sz w:val="22"/>
          <w:szCs w:val="22"/>
        </w:rPr>
      </w:pPr>
      <w:r>
        <w:rPr>
          <w:rFonts w:ascii="Arial" w:hAnsi="Arial" w:cs="Arial"/>
          <w:sz w:val="22"/>
          <w:szCs w:val="22"/>
        </w:rPr>
        <w:t>Ordenanza reguladora de la prestación patrimonial pública no tributaria de abastecimiento y saneamiento de agua potable</w:t>
      </w:r>
      <w:r>
        <w:rPr>
          <w:rFonts w:ascii="Arial" w:hAnsi="Arial" w:cs="Arial"/>
          <w:sz w:val="22"/>
          <w:szCs w:val="22"/>
        </w:rPr>
        <w:t>.</w:t>
      </w:r>
    </w:p>
    <w:p w:rsidR="009B4233" w:rsidRDefault="006B08B9">
      <w:pPr>
        <w:widowControl/>
        <w:numPr>
          <w:ilvl w:val="0"/>
          <w:numId w:val="13"/>
        </w:numPr>
        <w:suppressAutoHyphens w:val="0"/>
        <w:spacing w:after="120" w:line="254" w:lineRule="auto"/>
        <w:ind w:hanging="424"/>
        <w:jc w:val="both"/>
        <w:textAlignment w:val="auto"/>
        <w:rPr>
          <w:rFonts w:ascii="Arial" w:hAnsi="Arial" w:cs="Arial"/>
          <w:sz w:val="22"/>
          <w:szCs w:val="22"/>
        </w:rPr>
      </w:pPr>
      <w:r>
        <w:rPr>
          <w:rFonts w:ascii="Arial" w:hAnsi="Arial" w:cs="Arial"/>
          <w:sz w:val="22"/>
          <w:szCs w:val="22"/>
        </w:rPr>
        <w:t>Modificación de la Ordenanza reguladora de la prestación patrimonial de carácter público no tributario de los servicios municipales de gestión del ciclo integral del agua del Ayuntamiento de la Villa de Candelaria.</w:t>
      </w:r>
    </w:p>
    <w:p w:rsidR="009B4233" w:rsidRDefault="006B08B9">
      <w:pPr>
        <w:widowControl/>
        <w:numPr>
          <w:ilvl w:val="0"/>
          <w:numId w:val="13"/>
        </w:numPr>
        <w:suppressAutoHyphens w:val="0"/>
        <w:spacing w:after="120" w:line="254" w:lineRule="auto"/>
        <w:ind w:hanging="424"/>
        <w:jc w:val="both"/>
        <w:textAlignment w:val="auto"/>
        <w:rPr>
          <w:rFonts w:ascii="Arial" w:hAnsi="Arial" w:cs="Arial"/>
          <w:sz w:val="22"/>
          <w:szCs w:val="22"/>
        </w:rPr>
      </w:pPr>
      <w:r>
        <w:rPr>
          <w:rFonts w:ascii="Arial" w:hAnsi="Arial" w:cs="Arial"/>
          <w:sz w:val="22"/>
          <w:szCs w:val="22"/>
        </w:rPr>
        <w:t>Ordenanza reguladora de limpieza de los</w:t>
      </w:r>
      <w:r>
        <w:rPr>
          <w:rFonts w:ascii="Arial" w:hAnsi="Arial" w:cs="Arial"/>
          <w:sz w:val="22"/>
          <w:szCs w:val="22"/>
        </w:rPr>
        <w:t xml:space="preserve"> espacios públicos, gestión de residuos y economía circular del municipio de Candelaria.</w:t>
      </w:r>
    </w:p>
    <w:p w:rsidR="009B4233" w:rsidRDefault="006B08B9">
      <w:pPr>
        <w:widowControl/>
        <w:numPr>
          <w:ilvl w:val="0"/>
          <w:numId w:val="13"/>
        </w:numPr>
        <w:suppressAutoHyphens w:val="0"/>
        <w:spacing w:after="526" w:line="254" w:lineRule="auto"/>
        <w:ind w:hanging="424"/>
        <w:jc w:val="both"/>
        <w:textAlignment w:val="auto"/>
        <w:rPr>
          <w:rFonts w:ascii="Arial" w:hAnsi="Arial" w:cs="Arial"/>
          <w:sz w:val="22"/>
          <w:szCs w:val="22"/>
        </w:rPr>
      </w:pPr>
      <w:r>
        <w:rPr>
          <w:rFonts w:ascii="Arial" w:hAnsi="Arial" w:cs="Arial"/>
          <w:sz w:val="22"/>
          <w:szCs w:val="22"/>
        </w:rPr>
        <w:t>Modificación de la Ordenanza fiscal de la tasa por la prestación del servicio de recogida, transporte y tratamiento de residuos sólidos urbanos.</w:t>
      </w:r>
    </w:p>
    <w:p w:rsidR="009B4233" w:rsidRDefault="006B08B9">
      <w:pPr>
        <w:jc w:val="both"/>
        <w:rPr>
          <w:rFonts w:ascii="Arial" w:hAnsi="Arial" w:cs="Arial"/>
          <w:sz w:val="22"/>
          <w:szCs w:val="22"/>
        </w:rPr>
      </w:pPr>
      <w:r>
        <w:rPr>
          <w:rFonts w:ascii="Arial" w:hAnsi="Arial" w:cs="Arial"/>
          <w:sz w:val="22"/>
          <w:szCs w:val="22"/>
        </w:rPr>
        <w:t>RELACIONES INSTITUCION</w:t>
      </w:r>
      <w:r>
        <w:rPr>
          <w:rFonts w:ascii="Arial" w:hAnsi="Arial" w:cs="Arial"/>
          <w:sz w:val="22"/>
          <w:szCs w:val="22"/>
        </w:rPr>
        <w:t>ALES Y PROTOCOLO:</w:t>
      </w:r>
    </w:p>
    <w:p w:rsidR="009B4233" w:rsidRDefault="006B08B9">
      <w:pPr>
        <w:widowControl/>
        <w:numPr>
          <w:ilvl w:val="0"/>
          <w:numId w:val="13"/>
        </w:numPr>
        <w:suppressAutoHyphens w:val="0"/>
        <w:spacing w:after="120" w:line="254" w:lineRule="auto"/>
        <w:ind w:hanging="424"/>
        <w:jc w:val="both"/>
        <w:textAlignment w:val="auto"/>
        <w:rPr>
          <w:rFonts w:ascii="Arial" w:hAnsi="Arial" w:cs="Arial"/>
          <w:sz w:val="22"/>
          <w:szCs w:val="22"/>
        </w:rPr>
      </w:pPr>
      <w:r>
        <w:rPr>
          <w:rFonts w:ascii="Arial" w:hAnsi="Arial" w:cs="Arial"/>
          <w:sz w:val="22"/>
          <w:szCs w:val="22"/>
        </w:rPr>
        <w:t>Modificación del reglamento de honores, distinciones y ceremonial.</w:t>
      </w:r>
    </w:p>
    <w:p w:rsidR="009B4233" w:rsidRDefault="006B08B9">
      <w:pPr>
        <w:ind w:left="512"/>
        <w:jc w:val="both"/>
        <w:rPr>
          <w:rFonts w:ascii="Arial" w:hAnsi="Arial" w:cs="Arial"/>
          <w:sz w:val="22"/>
          <w:szCs w:val="22"/>
        </w:rPr>
      </w:pPr>
      <w:r>
        <w:rPr>
          <w:rFonts w:ascii="Arial" w:hAnsi="Arial" w:cs="Arial"/>
          <w:sz w:val="22"/>
          <w:szCs w:val="22"/>
        </w:rPr>
        <w:t>MEDIO AMBIENTE NATURAL</w:t>
      </w:r>
    </w:p>
    <w:p w:rsidR="009B4233" w:rsidRDefault="006B08B9">
      <w:pPr>
        <w:widowControl/>
        <w:numPr>
          <w:ilvl w:val="0"/>
          <w:numId w:val="13"/>
        </w:numPr>
        <w:suppressAutoHyphens w:val="0"/>
        <w:spacing w:after="120" w:line="254" w:lineRule="auto"/>
        <w:ind w:hanging="424"/>
        <w:jc w:val="both"/>
        <w:textAlignment w:val="auto"/>
        <w:rPr>
          <w:rFonts w:ascii="Arial" w:hAnsi="Arial" w:cs="Arial"/>
          <w:sz w:val="22"/>
          <w:szCs w:val="22"/>
        </w:rPr>
      </w:pPr>
      <w:r>
        <w:rPr>
          <w:rFonts w:ascii="Arial" w:hAnsi="Arial" w:cs="Arial"/>
          <w:sz w:val="22"/>
          <w:szCs w:val="22"/>
        </w:rPr>
        <w:t>Aprobación de la ordenanza reguladora de uso de senderos de la red de senderos locales de Candelaria.</w:t>
      </w:r>
    </w:p>
    <w:p w:rsidR="009B4233" w:rsidRDefault="006B08B9">
      <w:pPr>
        <w:jc w:val="both"/>
        <w:rPr>
          <w:rFonts w:ascii="Arial" w:hAnsi="Arial" w:cs="Arial"/>
          <w:sz w:val="22"/>
          <w:szCs w:val="22"/>
        </w:rPr>
      </w:pPr>
      <w:r>
        <w:rPr>
          <w:rFonts w:ascii="Arial" w:hAnsi="Arial" w:cs="Arial"/>
          <w:sz w:val="22"/>
          <w:szCs w:val="22"/>
        </w:rPr>
        <w:t>CULTURA:</w:t>
      </w:r>
    </w:p>
    <w:p w:rsidR="009B4233" w:rsidRDefault="006B08B9">
      <w:pPr>
        <w:widowControl/>
        <w:numPr>
          <w:ilvl w:val="0"/>
          <w:numId w:val="13"/>
        </w:numPr>
        <w:suppressAutoHyphens w:val="0"/>
        <w:spacing w:after="120" w:line="254" w:lineRule="auto"/>
        <w:ind w:hanging="424"/>
        <w:jc w:val="both"/>
        <w:textAlignment w:val="auto"/>
        <w:rPr>
          <w:rFonts w:ascii="Arial" w:hAnsi="Arial" w:cs="Arial"/>
          <w:sz w:val="22"/>
          <w:szCs w:val="22"/>
        </w:rPr>
      </w:pPr>
      <w:r>
        <w:rPr>
          <w:rFonts w:ascii="Arial" w:hAnsi="Arial" w:cs="Arial"/>
          <w:sz w:val="22"/>
          <w:szCs w:val="22"/>
        </w:rPr>
        <w:t>Aprobación del Reglamento de red de e</w:t>
      </w:r>
      <w:r>
        <w:rPr>
          <w:rFonts w:ascii="Arial" w:hAnsi="Arial" w:cs="Arial"/>
          <w:sz w:val="22"/>
          <w:szCs w:val="22"/>
        </w:rPr>
        <w:t>spacios culturales del ayuntamiento de Candelaria.</w:t>
      </w:r>
    </w:p>
    <w:p w:rsidR="009B4233" w:rsidRDefault="006B08B9">
      <w:pPr>
        <w:ind w:left="355"/>
        <w:jc w:val="both"/>
        <w:rPr>
          <w:rFonts w:ascii="Arial" w:hAnsi="Arial" w:cs="Arial"/>
          <w:sz w:val="22"/>
          <w:szCs w:val="22"/>
        </w:rPr>
      </w:pPr>
      <w:r>
        <w:rPr>
          <w:rFonts w:ascii="Arial" w:hAnsi="Arial" w:cs="Arial"/>
          <w:sz w:val="22"/>
          <w:szCs w:val="22"/>
        </w:rPr>
        <w:t>PARTICIPACIÓN CIUDADANA:</w:t>
      </w:r>
    </w:p>
    <w:p w:rsidR="009B4233" w:rsidRDefault="006B08B9">
      <w:pPr>
        <w:widowControl/>
        <w:numPr>
          <w:ilvl w:val="0"/>
          <w:numId w:val="13"/>
        </w:numPr>
        <w:suppressAutoHyphens w:val="0"/>
        <w:spacing w:after="120" w:line="254" w:lineRule="auto"/>
        <w:ind w:hanging="424"/>
        <w:jc w:val="both"/>
        <w:textAlignment w:val="auto"/>
        <w:rPr>
          <w:rFonts w:ascii="Arial" w:hAnsi="Arial" w:cs="Arial"/>
          <w:sz w:val="22"/>
          <w:szCs w:val="22"/>
        </w:rPr>
      </w:pPr>
      <w:r>
        <w:rPr>
          <w:rFonts w:ascii="Arial" w:hAnsi="Arial" w:cs="Arial"/>
          <w:sz w:val="22"/>
          <w:szCs w:val="22"/>
        </w:rPr>
        <w:t>Reglamento de participación ciudadana del municipio de Candelaria.</w:t>
      </w:r>
    </w:p>
    <w:p w:rsidR="009B4233" w:rsidRDefault="006B08B9">
      <w:pPr>
        <w:widowControl/>
        <w:numPr>
          <w:ilvl w:val="0"/>
          <w:numId w:val="13"/>
        </w:numPr>
        <w:suppressAutoHyphens w:val="0"/>
        <w:spacing w:after="120" w:line="254" w:lineRule="auto"/>
        <w:ind w:hanging="424"/>
        <w:jc w:val="both"/>
        <w:textAlignment w:val="auto"/>
        <w:rPr>
          <w:rFonts w:ascii="Arial" w:hAnsi="Arial" w:cs="Arial"/>
          <w:sz w:val="22"/>
          <w:szCs w:val="22"/>
        </w:rPr>
      </w:pPr>
      <w:r>
        <w:rPr>
          <w:rFonts w:ascii="Arial" w:hAnsi="Arial" w:cs="Arial"/>
          <w:sz w:val="22"/>
          <w:szCs w:val="22"/>
        </w:rPr>
        <w:t>Ordenanza de convivencia ciudadana.</w:t>
      </w:r>
    </w:p>
    <w:p w:rsidR="009B4233" w:rsidRDefault="006B08B9">
      <w:pPr>
        <w:ind w:left="355"/>
        <w:jc w:val="both"/>
        <w:rPr>
          <w:rFonts w:ascii="Arial" w:hAnsi="Arial" w:cs="Arial"/>
          <w:sz w:val="22"/>
          <w:szCs w:val="22"/>
        </w:rPr>
      </w:pPr>
      <w:r>
        <w:rPr>
          <w:rFonts w:ascii="Arial" w:hAnsi="Arial" w:cs="Arial"/>
          <w:sz w:val="22"/>
          <w:szCs w:val="22"/>
        </w:rPr>
        <w:t>PLANIFICACIÓN URBANÍSTICA:</w:t>
      </w:r>
    </w:p>
    <w:p w:rsidR="009B4233" w:rsidRDefault="006B08B9">
      <w:pPr>
        <w:widowControl/>
        <w:numPr>
          <w:ilvl w:val="0"/>
          <w:numId w:val="13"/>
        </w:numPr>
        <w:suppressAutoHyphens w:val="0"/>
        <w:spacing w:after="120" w:line="254" w:lineRule="auto"/>
        <w:ind w:hanging="424"/>
        <w:jc w:val="both"/>
        <w:textAlignment w:val="auto"/>
        <w:rPr>
          <w:rFonts w:ascii="Arial" w:hAnsi="Arial" w:cs="Arial"/>
          <w:sz w:val="22"/>
          <w:szCs w:val="22"/>
        </w:rPr>
      </w:pPr>
      <w:r>
        <w:rPr>
          <w:rFonts w:ascii="Arial" w:hAnsi="Arial" w:cs="Arial"/>
          <w:sz w:val="22"/>
          <w:szCs w:val="22"/>
        </w:rPr>
        <w:t>Ordenanza específica reguladora del servicio de sa</w:t>
      </w:r>
      <w:r>
        <w:rPr>
          <w:rFonts w:ascii="Arial" w:hAnsi="Arial" w:cs="Arial"/>
          <w:sz w:val="22"/>
          <w:szCs w:val="22"/>
        </w:rPr>
        <w:t>neamiento del Polígono industrial del Valle de Güimar.</w:t>
      </w:r>
    </w:p>
    <w:p w:rsidR="009B4233" w:rsidRDefault="006B08B9">
      <w:pPr>
        <w:widowControl/>
        <w:numPr>
          <w:ilvl w:val="0"/>
          <w:numId w:val="13"/>
        </w:numPr>
        <w:suppressAutoHyphens w:val="0"/>
        <w:spacing w:after="120" w:line="254" w:lineRule="auto"/>
        <w:ind w:hanging="424"/>
        <w:jc w:val="both"/>
        <w:textAlignment w:val="auto"/>
        <w:rPr>
          <w:rFonts w:ascii="Arial" w:hAnsi="Arial" w:cs="Arial"/>
          <w:sz w:val="22"/>
          <w:szCs w:val="22"/>
        </w:rPr>
      </w:pPr>
      <w:r>
        <w:rPr>
          <w:rFonts w:ascii="Arial" w:hAnsi="Arial" w:cs="Arial"/>
          <w:sz w:val="22"/>
          <w:szCs w:val="22"/>
        </w:rPr>
        <w:t>ESTATUTOS DE LA ENTIDAD URBANÍSTICA DE CONSERVACIÓN DEL POLÍGONO INDUSTRIAL VALLE DE GÜÏMAR (E.U.C. POLÍGONO VALLE Güímar)</w:t>
      </w:r>
    </w:p>
    <w:p w:rsidR="009B4233" w:rsidRDefault="006B08B9">
      <w:pPr>
        <w:ind w:left="355"/>
        <w:jc w:val="both"/>
        <w:rPr>
          <w:rFonts w:ascii="Arial" w:hAnsi="Arial" w:cs="Arial"/>
          <w:sz w:val="22"/>
          <w:szCs w:val="22"/>
        </w:rPr>
      </w:pPr>
      <w:r>
        <w:rPr>
          <w:rFonts w:ascii="Arial" w:hAnsi="Arial" w:cs="Arial"/>
          <w:sz w:val="22"/>
          <w:szCs w:val="22"/>
        </w:rPr>
        <w:t>EMPRESAS CONCESIONARIAS:</w:t>
      </w:r>
    </w:p>
    <w:p w:rsidR="009B4233" w:rsidRDefault="006B08B9">
      <w:pPr>
        <w:widowControl/>
        <w:numPr>
          <w:ilvl w:val="0"/>
          <w:numId w:val="14"/>
        </w:numPr>
        <w:suppressAutoHyphens w:val="0"/>
        <w:spacing w:after="120" w:line="254" w:lineRule="auto"/>
        <w:ind w:hanging="424"/>
        <w:jc w:val="both"/>
        <w:textAlignment w:val="auto"/>
        <w:rPr>
          <w:rFonts w:ascii="Arial" w:hAnsi="Arial" w:cs="Arial"/>
          <w:sz w:val="22"/>
          <w:szCs w:val="22"/>
        </w:rPr>
      </w:pPr>
      <w:r>
        <w:rPr>
          <w:rFonts w:ascii="Arial" w:hAnsi="Arial" w:cs="Arial"/>
          <w:sz w:val="22"/>
          <w:szCs w:val="22"/>
        </w:rPr>
        <w:t xml:space="preserve">Reglamento interno de la Escuela Infantil y la </w:t>
      </w:r>
      <w:r>
        <w:rPr>
          <w:rFonts w:ascii="Arial" w:hAnsi="Arial" w:cs="Arial"/>
          <w:sz w:val="22"/>
          <w:szCs w:val="22"/>
        </w:rPr>
        <w:t>Ordenanza reguladora.</w:t>
      </w:r>
    </w:p>
    <w:p w:rsidR="009B4233" w:rsidRDefault="006B08B9">
      <w:pPr>
        <w:ind w:left="355"/>
        <w:jc w:val="both"/>
        <w:rPr>
          <w:rFonts w:ascii="Arial" w:hAnsi="Arial" w:cs="Arial"/>
          <w:sz w:val="22"/>
          <w:szCs w:val="22"/>
        </w:rPr>
      </w:pPr>
      <w:r>
        <w:rPr>
          <w:rFonts w:ascii="Arial" w:hAnsi="Arial" w:cs="Arial"/>
          <w:sz w:val="22"/>
          <w:szCs w:val="22"/>
        </w:rPr>
        <w:t>SERVICIOS SOCIALES</w:t>
      </w:r>
    </w:p>
    <w:p w:rsidR="009B4233" w:rsidRDefault="006B08B9">
      <w:pPr>
        <w:widowControl/>
        <w:numPr>
          <w:ilvl w:val="0"/>
          <w:numId w:val="14"/>
        </w:numPr>
        <w:suppressAutoHyphens w:val="0"/>
        <w:spacing w:after="120" w:line="254" w:lineRule="auto"/>
        <w:ind w:hanging="424"/>
        <w:jc w:val="both"/>
        <w:textAlignment w:val="auto"/>
        <w:rPr>
          <w:rFonts w:ascii="Arial" w:hAnsi="Arial" w:cs="Arial"/>
          <w:sz w:val="22"/>
          <w:szCs w:val="22"/>
        </w:rPr>
      </w:pPr>
      <w:r>
        <w:rPr>
          <w:rFonts w:ascii="Arial" w:hAnsi="Arial" w:cs="Arial"/>
          <w:sz w:val="22"/>
          <w:szCs w:val="22"/>
        </w:rPr>
        <w:t>Reglamento municipal del Servicio de Ayuda a Domicilio (S.A.D.), Centro Especial de Recuperación Integral (C.E.R.I.), Transporte Adaptado y Teleasistencia Domiciliaria.</w:t>
      </w:r>
    </w:p>
    <w:p w:rsidR="009B4233" w:rsidRDefault="006B08B9">
      <w:pPr>
        <w:ind w:left="355"/>
        <w:jc w:val="both"/>
        <w:rPr>
          <w:rFonts w:ascii="Arial" w:hAnsi="Arial" w:cs="Arial"/>
          <w:sz w:val="22"/>
          <w:szCs w:val="22"/>
        </w:rPr>
      </w:pPr>
      <w:r>
        <w:rPr>
          <w:rFonts w:ascii="Arial" w:hAnsi="Arial" w:cs="Arial"/>
          <w:sz w:val="22"/>
          <w:szCs w:val="22"/>
        </w:rPr>
        <w:t>DESARROLLO RURAL Y PESQUERO</w:t>
      </w:r>
    </w:p>
    <w:p w:rsidR="009B4233" w:rsidRDefault="006B08B9">
      <w:pPr>
        <w:widowControl/>
        <w:numPr>
          <w:ilvl w:val="0"/>
          <w:numId w:val="14"/>
        </w:numPr>
        <w:suppressAutoHyphens w:val="0"/>
        <w:spacing w:after="120" w:line="254" w:lineRule="auto"/>
        <w:ind w:hanging="424"/>
        <w:jc w:val="both"/>
        <w:textAlignment w:val="auto"/>
        <w:rPr>
          <w:rFonts w:ascii="Arial" w:hAnsi="Arial" w:cs="Arial"/>
          <w:sz w:val="22"/>
          <w:szCs w:val="22"/>
        </w:rPr>
      </w:pPr>
      <w:r>
        <w:rPr>
          <w:rFonts w:ascii="Arial" w:hAnsi="Arial" w:cs="Arial"/>
          <w:sz w:val="22"/>
          <w:szCs w:val="22"/>
        </w:rPr>
        <w:t xml:space="preserve">Ordenanza </w:t>
      </w:r>
      <w:r>
        <w:rPr>
          <w:rFonts w:ascii="Arial" w:hAnsi="Arial" w:cs="Arial"/>
          <w:sz w:val="22"/>
          <w:szCs w:val="22"/>
        </w:rPr>
        <w:t>portuaria por la que se establecen los usos y gestión del Puerto de Candelaria.</w:t>
      </w:r>
    </w:p>
    <w:p w:rsidR="009B4233" w:rsidRDefault="006B08B9">
      <w:pPr>
        <w:ind w:left="355"/>
        <w:jc w:val="both"/>
        <w:rPr>
          <w:rFonts w:ascii="Arial" w:hAnsi="Arial" w:cs="Arial"/>
          <w:sz w:val="22"/>
          <w:szCs w:val="22"/>
        </w:rPr>
      </w:pPr>
      <w:r>
        <w:rPr>
          <w:rFonts w:ascii="Arial" w:hAnsi="Arial" w:cs="Arial"/>
          <w:sz w:val="22"/>
          <w:szCs w:val="22"/>
        </w:rPr>
        <w:t>COMERCIO</w:t>
      </w:r>
    </w:p>
    <w:p w:rsidR="009B4233" w:rsidRDefault="006B08B9">
      <w:pPr>
        <w:widowControl/>
        <w:numPr>
          <w:ilvl w:val="0"/>
          <w:numId w:val="14"/>
        </w:numPr>
        <w:suppressAutoHyphens w:val="0"/>
        <w:spacing w:after="371" w:line="254" w:lineRule="auto"/>
        <w:ind w:hanging="424"/>
        <w:jc w:val="both"/>
        <w:textAlignment w:val="auto"/>
        <w:rPr>
          <w:rFonts w:ascii="Arial" w:hAnsi="Arial" w:cs="Arial"/>
          <w:sz w:val="22"/>
          <w:szCs w:val="22"/>
        </w:rPr>
      </w:pPr>
      <w:r>
        <w:rPr>
          <w:rFonts w:ascii="Arial" w:hAnsi="Arial" w:cs="Arial"/>
          <w:sz w:val="22"/>
          <w:szCs w:val="22"/>
        </w:rPr>
        <w:t>Ordenanza reguladora de espectáculos públicos y actividades recreativas temporales en la vía pública del término municipal de Candelaria.</w:t>
      </w:r>
    </w:p>
    <w:p w:rsidR="009B4233" w:rsidRDefault="006B08B9">
      <w:pPr>
        <w:widowControl/>
        <w:suppressAutoHyphens w:val="0"/>
        <w:spacing w:after="371" w:line="254" w:lineRule="auto"/>
        <w:jc w:val="both"/>
      </w:pPr>
      <w:r>
        <w:rPr>
          <w:rFonts w:ascii="Arial" w:eastAsia="Calibri" w:hAnsi="Arial" w:cs="Arial"/>
          <w:b/>
          <w:sz w:val="22"/>
          <w:szCs w:val="22"/>
        </w:rPr>
        <w:t>TERCERO</w:t>
      </w:r>
      <w:r>
        <w:rPr>
          <w:rFonts w:ascii="Arial" w:hAnsi="Arial" w:cs="Arial"/>
          <w:sz w:val="22"/>
          <w:szCs w:val="22"/>
        </w:rPr>
        <w:t xml:space="preserve">. Publicar el Plan en </w:t>
      </w:r>
      <w:r>
        <w:rPr>
          <w:rFonts w:ascii="Arial" w:hAnsi="Arial" w:cs="Arial"/>
          <w:sz w:val="22"/>
          <w:szCs w:val="22"/>
        </w:rPr>
        <w:t>el Portal de Transparencia y en la sede electrónica del Ayuntamiento de Candelaria una vez aprobada la modificación.</w:t>
      </w:r>
    </w:p>
    <w:p w:rsidR="009B4233" w:rsidRDefault="006B08B9">
      <w:pPr>
        <w:spacing w:after="287"/>
        <w:jc w:val="both"/>
      </w:pPr>
      <w:r>
        <w:rPr>
          <w:rFonts w:ascii="Arial" w:eastAsia="Calibri" w:hAnsi="Arial" w:cs="Arial"/>
          <w:b/>
          <w:sz w:val="22"/>
          <w:szCs w:val="22"/>
        </w:rPr>
        <w:t>CUARTO</w:t>
      </w:r>
      <w:r>
        <w:rPr>
          <w:rFonts w:ascii="Arial" w:hAnsi="Arial" w:cs="Arial"/>
          <w:sz w:val="22"/>
          <w:szCs w:val="22"/>
        </w:rPr>
        <w:t>. Notificar a cada concejalía delegada de la que dependa el Reglamento u Ordenanza correspondiente a los efectos de su debida elabora</w:t>
      </w:r>
      <w:r>
        <w:rPr>
          <w:rFonts w:ascii="Arial" w:hAnsi="Arial" w:cs="Arial"/>
          <w:sz w:val="22"/>
          <w:szCs w:val="22"/>
        </w:rPr>
        <w:t>ción y aprobación o modificación durante el año 2025.</w:t>
      </w:r>
    </w:p>
    <w:p w:rsidR="009B4233" w:rsidRDefault="006B08B9">
      <w:pPr>
        <w:jc w:val="both"/>
      </w:pPr>
      <w:r>
        <w:rPr>
          <w:rFonts w:ascii="Arial" w:eastAsia="Calibri" w:hAnsi="Arial" w:cs="Arial"/>
          <w:b/>
          <w:sz w:val="22"/>
          <w:szCs w:val="22"/>
        </w:rPr>
        <w:t xml:space="preserve">QUINTO. </w:t>
      </w:r>
      <w:r>
        <w:rPr>
          <w:rFonts w:ascii="Arial" w:hAnsi="Arial" w:cs="Arial"/>
          <w:sz w:val="22"/>
          <w:szCs w:val="22"/>
        </w:rPr>
        <w:t xml:space="preserve">El procedimiento de aprobación de los reglamentos y ordenanzas municipales incluidos en este Plan Normativo Anual que se deben aprobar en este presente año 2021 es el establecido en el artículo </w:t>
      </w:r>
      <w:r>
        <w:rPr>
          <w:rFonts w:ascii="Arial" w:hAnsi="Arial" w:cs="Arial"/>
          <w:sz w:val="22"/>
          <w:szCs w:val="22"/>
        </w:rPr>
        <w:t>133 de la ley 30/2015, de 1 de octubre, en el artículo 49 de la Ley 7/1985, de 2 de abril reguladora de las Bases del Régimen local y el resto de leyes y reglamentos aplicables.”</w:t>
      </w:r>
    </w:p>
    <w:p w:rsidR="009B4233" w:rsidRDefault="009B4233">
      <w:pPr>
        <w:jc w:val="both"/>
        <w:rPr>
          <w:rFonts w:ascii="Arial" w:hAnsi="Arial" w:cs="Arial"/>
          <w:b/>
          <w:sz w:val="22"/>
          <w:szCs w:val="22"/>
        </w:rPr>
      </w:pPr>
    </w:p>
    <w:p w:rsidR="009B4233" w:rsidRDefault="006B08B9">
      <w:pPr>
        <w:jc w:val="both"/>
        <w:rPr>
          <w:rFonts w:ascii="Arial" w:hAnsi="Arial" w:cs="Arial"/>
          <w:b/>
          <w:sz w:val="22"/>
          <w:szCs w:val="22"/>
        </w:rPr>
      </w:pPr>
      <w:r>
        <w:rPr>
          <w:rFonts w:ascii="Arial" w:hAnsi="Arial" w:cs="Arial"/>
          <w:b/>
          <w:sz w:val="22"/>
          <w:szCs w:val="22"/>
        </w:rPr>
        <w:t xml:space="preserve">DICTAMEN FAVORABLE DE LA COMISIÓN INFORMATIVA DE HACIENDA, RECURSOS HUMANOS </w:t>
      </w:r>
      <w:r>
        <w:rPr>
          <w:rFonts w:ascii="Arial" w:hAnsi="Arial" w:cs="Arial"/>
          <w:b/>
          <w:sz w:val="22"/>
          <w:szCs w:val="22"/>
        </w:rPr>
        <w:t>Y SERVICIOS GENERALES DE 22 DE SEPTIEMBRE DE 2025. En el punto de urgencia y previa ratificación de la inclusión del presente asunto en el orden del día por la unanimidad de los 6 concejales presentes, se procedió al debate y votación sobre el fondo del as</w:t>
      </w:r>
      <w:r>
        <w:rPr>
          <w:rFonts w:ascii="Arial" w:hAnsi="Arial" w:cs="Arial"/>
          <w:b/>
          <w:sz w:val="22"/>
          <w:szCs w:val="22"/>
        </w:rPr>
        <w:t>unto, con el siguiente resultado:</w:t>
      </w:r>
    </w:p>
    <w:p w:rsidR="009B4233" w:rsidRDefault="009B4233">
      <w:pPr>
        <w:jc w:val="both"/>
        <w:rPr>
          <w:rFonts w:ascii="Arial" w:hAnsi="Arial" w:cs="Arial"/>
          <w:b/>
          <w:sz w:val="22"/>
          <w:szCs w:val="22"/>
        </w:rPr>
      </w:pPr>
    </w:p>
    <w:p w:rsidR="009B4233" w:rsidRDefault="006B08B9">
      <w:pPr>
        <w:jc w:val="both"/>
        <w:rPr>
          <w:rFonts w:ascii="Arial" w:hAnsi="Arial" w:cs="Arial"/>
          <w:sz w:val="22"/>
          <w:szCs w:val="22"/>
        </w:rPr>
      </w:pPr>
      <w:r>
        <w:rPr>
          <w:rFonts w:ascii="Arial" w:hAnsi="Arial" w:cs="Arial"/>
          <w:sz w:val="22"/>
          <w:szCs w:val="22"/>
        </w:rPr>
        <w:t>Votos a favor: 4.</w:t>
      </w:r>
    </w:p>
    <w:p w:rsidR="009B4233" w:rsidRDefault="006B08B9">
      <w:pPr>
        <w:jc w:val="both"/>
        <w:rPr>
          <w:rFonts w:ascii="Arial" w:hAnsi="Arial" w:cs="Arial"/>
          <w:sz w:val="22"/>
          <w:szCs w:val="22"/>
        </w:rPr>
      </w:pPr>
      <w:r>
        <w:rPr>
          <w:rFonts w:ascii="Arial" w:hAnsi="Arial" w:cs="Arial"/>
          <w:sz w:val="22"/>
          <w:szCs w:val="22"/>
        </w:rPr>
        <w:t>4 de los concejales del Grupo Socialista:</w:t>
      </w:r>
    </w:p>
    <w:p w:rsidR="009B4233" w:rsidRDefault="006B08B9">
      <w:pPr>
        <w:jc w:val="both"/>
        <w:rPr>
          <w:rFonts w:ascii="Arial" w:hAnsi="Arial" w:cs="Arial"/>
          <w:sz w:val="22"/>
          <w:szCs w:val="22"/>
        </w:rPr>
      </w:pPr>
      <w:r>
        <w:rPr>
          <w:rFonts w:ascii="Arial" w:hAnsi="Arial" w:cs="Arial"/>
          <w:sz w:val="22"/>
          <w:szCs w:val="22"/>
        </w:rPr>
        <w:t>Don Airam Pérez Chinea, Don José Francisco Pinto Ramos, Doña Margarita Eva Tendero Barroso y Doña Mónica Montserrat Yanes Delgado.</w:t>
      </w:r>
    </w:p>
    <w:p w:rsidR="009B4233" w:rsidRDefault="009B4233">
      <w:pPr>
        <w:jc w:val="both"/>
        <w:rPr>
          <w:rFonts w:ascii="Arial" w:hAnsi="Arial" w:cs="Arial"/>
          <w:sz w:val="22"/>
          <w:szCs w:val="22"/>
        </w:rPr>
      </w:pPr>
    </w:p>
    <w:p w:rsidR="009B4233" w:rsidRDefault="006B08B9">
      <w:pPr>
        <w:jc w:val="both"/>
        <w:rPr>
          <w:rFonts w:ascii="Arial" w:hAnsi="Arial" w:cs="Arial"/>
          <w:sz w:val="22"/>
          <w:szCs w:val="22"/>
        </w:rPr>
      </w:pPr>
      <w:r>
        <w:rPr>
          <w:rFonts w:ascii="Arial" w:hAnsi="Arial" w:cs="Arial"/>
          <w:sz w:val="22"/>
          <w:szCs w:val="22"/>
        </w:rPr>
        <w:t>Votos en contra: 0.</w:t>
      </w:r>
    </w:p>
    <w:p w:rsidR="009B4233" w:rsidRDefault="009B4233">
      <w:pPr>
        <w:jc w:val="both"/>
        <w:rPr>
          <w:rFonts w:ascii="Arial" w:hAnsi="Arial" w:cs="Arial"/>
          <w:sz w:val="22"/>
          <w:szCs w:val="22"/>
        </w:rPr>
      </w:pPr>
    </w:p>
    <w:p w:rsidR="009B4233" w:rsidRDefault="006B08B9">
      <w:pPr>
        <w:jc w:val="both"/>
        <w:rPr>
          <w:rFonts w:ascii="Arial" w:hAnsi="Arial" w:cs="Arial"/>
          <w:sz w:val="22"/>
          <w:szCs w:val="22"/>
        </w:rPr>
      </w:pPr>
      <w:r>
        <w:rPr>
          <w:rFonts w:ascii="Arial" w:hAnsi="Arial" w:cs="Arial"/>
          <w:sz w:val="22"/>
          <w:szCs w:val="22"/>
        </w:rPr>
        <w:t>Abstenci</w:t>
      </w:r>
      <w:r>
        <w:rPr>
          <w:rFonts w:ascii="Arial" w:hAnsi="Arial" w:cs="Arial"/>
          <w:sz w:val="22"/>
          <w:szCs w:val="22"/>
        </w:rPr>
        <w:t>ones: 2.</w:t>
      </w:r>
    </w:p>
    <w:p w:rsidR="009B4233" w:rsidRDefault="006B08B9">
      <w:pPr>
        <w:jc w:val="both"/>
        <w:rPr>
          <w:rFonts w:ascii="Arial" w:hAnsi="Arial" w:cs="Arial"/>
          <w:sz w:val="22"/>
          <w:szCs w:val="22"/>
        </w:rPr>
      </w:pPr>
      <w:r>
        <w:rPr>
          <w:rFonts w:ascii="Arial" w:hAnsi="Arial" w:cs="Arial"/>
          <w:sz w:val="22"/>
          <w:szCs w:val="22"/>
        </w:rPr>
        <w:t>1 del concejal del Grupo Popular, Don Jacobo López Fariña.</w:t>
      </w:r>
    </w:p>
    <w:p w:rsidR="009B4233" w:rsidRDefault="006B08B9">
      <w:pPr>
        <w:jc w:val="both"/>
        <w:rPr>
          <w:rFonts w:ascii="Arial" w:hAnsi="Arial" w:cs="Arial"/>
          <w:sz w:val="22"/>
          <w:szCs w:val="22"/>
        </w:rPr>
      </w:pPr>
      <w:r>
        <w:rPr>
          <w:rFonts w:ascii="Arial" w:hAnsi="Arial" w:cs="Arial"/>
          <w:sz w:val="22"/>
          <w:szCs w:val="22"/>
        </w:rPr>
        <w:t>1 del concejal del Grupo Mixto (CC), Don José Yeray Padilla Cruz.</w:t>
      </w:r>
    </w:p>
    <w:p w:rsidR="009B4233" w:rsidRDefault="009B4233">
      <w:pPr>
        <w:jc w:val="both"/>
        <w:rPr>
          <w:rFonts w:ascii="Arial" w:hAnsi="Arial" w:cs="Arial"/>
          <w:b/>
          <w:sz w:val="22"/>
          <w:szCs w:val="22"/>
        </w:rPr>
      </w:pPr>
    </w:p>
    <w:p w:rsidR="009B4233" w:rsidRDefault="006B08B9">
      <w:pPr>
        <w:rPr>
          <w:rFonts w:ascii="Arial" w:hAnsi="Arial" w:cs="Arial"/>
          <w:b/>
          <w:sz w:val="22"/>
          <w:szCs w:val="22"/>
        </w:rPr>
      </w:pPr>
      <w:r>
        <w:rPr>
          <w:rFonts w:ascii="Arial" w:hAnsi="Arial" w:cs="Arial"/>
          <w:b/>
          <w:sz w:val="22"/>
          <w:szCs w:val="22"/>
        </w:rPr>
        <w:t>JUNTA DE PORTAVOCES DE 22 DE SEPTIEMBRE DE 2025.</w:t>
      </w:r>
    </w:p>
    <w:p w:rsidR="009B4233" w:rsidRDefault="006B08B9">
      <w:pPr>
        <w:rPr>
          <w:rFonts w:ascii="Arial" w:hAnsi="Arial" w:cs="Arial"/>
          <w:sz w:val="22"/>
          <w:szCs w:val="22"/>
        </w:rPr>
      </w:pPr>
      <w:r>
        <w:rPr>
          <w:rFonts w:ascii="Arial" w:hAnsi="Arial" w:cs="Arial"/>
          <w:sz w:val="22"/>
          <w:szCs w:val="22"/>
        </w:rPr>
        <w:t xml:space="preserve">Quedó oída. </w:t>
      </w:r>
    </w:p>
    <w:p w:rsidR="009B4233" w:rsidRDefault="009B4233">
      <w:pPr>
        <w:rPr>
          <w:rFonts w:ascii="Arial" w:hAnsi="Arial" w:cs="Arial"/>
          <w:b/>
          <w:sz w:val="22"/>
          <w:szCs w:val="22"/>
        </w:rPr>
      </w:pPr>
    </w:p>
    <w:p w:rsidR="009B4233" w:rsidRDefault="006B08B9">
      <w:pPr>
        <w:rPr>
          <w:rFonts w:ascii="Arial" w:hAnsi="Arial" w:cs="Arial"/>
          <w:b/>
          <w:sz w:val="22"/>
          <w:szCs w:val="22"/>
        </w:rPr>
      </w:pPr>
      <w:r>
        <w:rPr>
          <w:rFonts w:ascii="Arial" w:hAnsi="Arial" w:cs="Arial"/>
          <w:b/>
          <w:sz w:val="22"/>
          <w:szCs w:val="22"/>
        </w:rPr>
        <w:t>VOTACIÓN EN EL PLENO DE 25 DE SEPTIEMBRE DE 2025.</w:t>
      </w:r>
    </w:p>
    <w:p w:rsidR="009B4233" w:rsidRDefault="006B08B9">
      <w:pPr>
        <w:jc w:val="both"/>
        <w:rPr>
          <w:rFonts w:ascii="Arial" w:hAnsi="Arial" w:cs="Arial"/>
          <w:sz w:val="22"/>
          <w:szCs w:val="22"/>
        </w:rPr>
      </w:pPr>
      <w:r>
        <w:rPr>
          <w:rFonts w:ascii="Arial" w:hAnsi="Arial" w:cs="Arial"/>
          <w:sz w:val="22"/>
          <w:szCs w:val="22"/>
        </w:rPr>
        <w:t xml:space="preserve">Votos a </w:t>
      </w:r>
      <w:r>
        <w:rPr>
          <w:rFonts w:ascii="Arial" w:hAnsi="Arial" w:cs="Arial"/>
          <w:sz w:val="22"/>
          <w:szCs w:val="22"/>
        </w:rPr>
        <w:t>favor: 20.</w:t>
      </w:r>
    </w:p>
    <w:p w:rsidR="009B4233" w:rsidRDefault="009B4233">
      <w:pPr>
        <w:jc w:val="both"/>
        <w:rPr>
          <w:rFonts w:ascii="Arial" w:hAnsi="Arial" w:cs="Arial"/>
          <w:sz w:val="22"/>
          <w:szCs w:val="22"/>
        </w:rPr>
      </w:pPr>
    </w:p>
    <w:p w:rsidR="009B4233" w:rsidRDefault="006B08B9">
      <w:pPr>
        <w:jc w:val="both"/>
        <w:rPr>
          <w:rFonts w:ascii="Arial" w:hAnsi="Arial" w:cs="Arial"/>
          <w:sz w:val="22"/>
          <w:szCs w:val="22"/>
        </w:rPr>
      </w:pPr>
      <w:r>
        <w:rPr>
          <w:rFonts w:ascii="Arial" w:hAnsi="Arial" w:cs="Arial"/>
          <w:sz w:val="22"/>
          <w:szCs w:val="22"/>
        </w:rPr>
        <w:t>11 concejales del Grupo Socialista: Doña María Concepción Brito Núñez, Don Jorge Baute Delgado, Don José Francisco Pinto Ramos, Doña Olivia Concepción Pérez Díaz, Don Reinaldo José Triviño Blanco, Don Manuel Alberto González Pestano, Doña Marga</w:t>
      </w:r>
      <w:r>
        <w:rPr>
          <w:rFonts w:ascii="Arial" w:hAnsi="Arial" w:cs="Arial"/>
          <w:sz w:val="22"/>
          <w:szCs w:val="22"/>
        </w:rPr>
        <w:t xml:space="preserve">rita Eva Tendero Barroso, Don Airam Pérez Chinea, Doña María del Carmen Clemente Díaz, Don Olegario Francisco Alonso Bello, Doña Mónica Monserrat Yanes Delgado. </w:t>
      </w:r>
    </w:p>
    <w:p w:rsidR="009B4233" w:rsidRDefault="009B4233">
      <w:pPr>
        <w:jc w:val="both"/>
        <w:rPr>
          <w:rFonts w:ascii="Arial" w:hAnsi="Arial" w:cs="Arial"/>
          <w:sz w:val="22"/>
          <w:szCs w:val="22"/>
        </w:rPr>
      </w:pPr>
    </w:p>
    <w:p w:rsidR="009B4233" w:rsidRDefault="006B08B9">
      <w:pPr>
        <w:jc w:val="both"/>
        <w:rPr>
          <w:rFonts w:ascii="Arial" w:hAnsi="Arial" w:cs="Arial"/>
          <w:sz w:val="22"/>
          <w:szCs w:val="22"/>
        </w:rPr>
      </w:pPr>
      <w:r>
        <w:rPr>
          <w:rFonts w:ascii="Arial" w:hAnsi="Arial" w:cs="Arial"/>
          <w:sz w:val="22"/>
          <w:szCs w:val="22"/>
        </w:rPr>
        <w:t>5 concejales del Grupo Popular: Don Jacobo López Fariña, Don Miguel Eduardo Hernández Chitty,</w:t>
      </w:r>
      <w:r>
        <w:rPr>
          <w:rFonts w:ascii="Arial" w:hAnsi="Arial" w:cs="Arial"/>
          <w:sz w:val="22"/>
          <w:szCs w:val="22"/>
        </w:rPr>
        <w:t xml:space="preserve"> Doña María Carlota Díaz González, Don José Daniel Sosa González, y Doña Shaila Castellano Batista. </w:t>
      </w:r>
    </w:p>
    <w:p w:rsidR="009B4233" w:rsidRDefault="009B4233">
      <w:pPr>
        <w:jc w:val="both"/>
        <w:rPr>
          <w:rFonts w:ascii="Arial" w:hAnsi="Arial" w:cs="Arial"/>
          <w:sz w:val="22"/>
          <w:szCs w:val="22"/>
        </w:rPr>
      </w:pPr>
    </w:p>
    <w:p w:rsidR="009B4233" w:rsidRDefault="006B08B9">
      <w:pPr>
        <w:jc w:val="both"/>
        <w:rPr>
          <w:rFonts w:ascii="Arial" w:hAnsi="Arial" w:cs="Arial"/>
          <w:sz w:val="22"/>
          <w:szCs w:val="22"/>
        </w:rPr>
      </w:pPr>
      <w:r>
        <w:rPr>
          <w:rFonts w:ascii="Arial" w:hAnsi="Arial" w:cs="Arial"/>
          <w:sz w:val="22"/>
          <w:szCs w:val="22"/>
        </w:rPr>
        <w:t>4 concejales del Grupo Mixto: Doña Ángela Cruz Perera y Don José Yeray Padilla Cruz (CC), Don José Tortosa Pallarés (VOX) y Doña Violeta López Jiménez (US</w:t>
      </w:r>
      <w:r>
        <w:rPr>
          <w:rFonts w:ascii="Arial" w:hAnsi="Arial" w:cs="Arial"/>
          <w:sz w:val="22"/>
          <w:szCs w:val="22"/>
        </w:rPr>
        <w:t>P).</w:t>
      </w:r>
    </w:p>
    <w:p w:rsidR="009B4233" w:rsidRDefault="009B4233">
      <w:pPr>
        <w:jc w:val="both"/>
        <w:rPr>
          <w:rFonts w:ascii="Arial" w:hAnsi="Arial" w:cs="Arial"/>
          <w:sz w:val="22"/>
          <w:szCs w:val="22"/>
        </w:rPr>
      </w:pPr>
    </w:p>
    <w:p w:rsidR="009B4233" w:rsidRDefault="006B08B9">
      <w:pPr>
        <w:jc w:val="both"/>
        <w:rPr>
          <w:rFonts w:ascii="Arial" w:hAnsi="Arial" w:cs="Arial"/>
          <w:sz w:val="22"/>
          <w:szCs w:val="22"/>
        </w:rPr>
      </w:pPr>
      <w:r>
        <w:rPr>
          <w:rFonts w:ascii="Arial" w:hAnsi="Arial" w:cs="Arial"/>
          <w:sz w:val="22"/>
          <w:szCs w:val="22"/>
        </w:rPr>
        <w:t>Votos en contra: 0.</w:t>
      </w:r>
    </w:p>
    <w:p w:rsidR="009B4233" w:rsidRDefault="009B4233">
      <w:pPr>
        <w:jc w:val="both"/>
        <w:rPr>
          <w:rFonts w:ascii="Arial" w:hAnsi="Arial" w:cs="Arial"/>
          <w:sz w:val="22"/>
          <w:szCs w:val="22"/>
        </w:rPr>
      </w:pPr>
    </w:p>
    <w:p w:rsidR="009B4233" w:rsidRDefault="006B08B9">
      <w:pPr>
        <w:jc w:val="both"/>
        <w:rPr>
          <w:rFonts w:ascii="Arial" w:hAnsi="Arial" w:cs="Arial"/>
          <w:sz w:val="22"/>
          <w:szCs w:val="22"/>
        </w:rPr>
      </w:pPr>
      <w:r>
        <w:rPr>
          <w:rFonts w:ascii="Arial" w:hAnsi="Arial" w:cs="Arial"/>
          <w:sz w:val="22"/>
          <w:szCs w:val="22"/>
        </w:rPr>
        <w:t>Abstenciones: 0.</w:t>
      </w:r>
    </w:p>
    <w:p w:rsidR="009B4233" w:rsidRDefault="009B4233">
      <w:pPr>
        <w:jc w:val="both"/>
        <w:rPr>
          <w:rFonts w:ascii="Arial" w:hAnsi="Arial" w:cs="Arial"/>
          <w:sz w:val="22"/>
          <w:szCs w:val="22"/>
        </w:rPr>
      </w:pPr>
    </w:p>
    <w:p w:rsidR="009B4233" w:rsidRDefault="009B4233">
      <w:pPr>
        <w:jc w:val="both"/>
        <w:rPr>
          <w:rFonts w:ascii="Arial" w:hAnsi="Arial" w:cs="Arial"/>
          <w:sz w:val="22"/>
          <w:szCs w:val="22"/>
        </w:rPr>
      </w:pPr>
    </w:p>
    <w:p w:rsidR="009B4233" w:rsidRDefault="006B08B9">
      <w:pPr>
        <w:jc w:val="both"/>
        <w:rPr>
          <w:rFonts w:ascii="Arial" w:hAnsi="Arial" w:cs="Arial"/>
          <w:b/>
          <w:sz w:val="22"/>
          <w:szCs w:val="22"/>
        </w:rPr>
      </w:pPr>
      <w:r>
        <w:rPr>
          <w:rFonts w:ascii="Arial" w:hAnsi="Arial" w:cs="Arial"/>
          <w:b/>
          <w:sz w:val="22"/>
          <w:szCs w:val="22"/>
        </w:rPr>
        <w:t xml:space="preserve">                        </w:t>
      </w:r>
    </w:p>
    <w:p w:rsidR="009B4233" w:rsidRDefault="009B4233">
      <w:pPr>
        <w:pStyle w:val="Textoindependiente"/>
        <w:jc w:val="both"/>
        <w:rPr>
          <w:rFonts w:cs="Arial"/>
          <w:szCs w:val="22"/>
        </w:rPr>
      </w:pPr>
    </w:p>
    <w:p w:rsidR="009B4233" w:rsidRDefault="009B4233">
      <w:pPr>
        <w:pStyle w:val="Textoindependiente"/>
        <w:jc w:val="center"/>
        <w:rPr>
          <w:rFonts w:cs="Arial"/>
          <w:b/>
          <w:szCs w:val="22"/>
        </w:rPr>
      </w:pPr>
    </w:p>
    <w:p w:rsidR="009B4233" w:rsidRDefault="009B4233">
      <w:pPr>
        <w:pStyle w:val="Textoindependiente"/>
        <w:jc w:val="center"/>
        <w:rPr>
          <w:rFonts w:cs="Arial"/>
          <w:b/>
          <w:szCs w:val="22"/>
        </w:rPr>
      </w:pPr>
    </w:p>
    <w:p w:rsidR="009B4233" w:rsidRDefault="009B4233">
      <w:pPr>
        <w:pStyle w:val="Textoindependiente"/>
        <w:jc w:val="center"/>
        <w:rPr>
          <w:rFonts w:cs="Arial"/>
          <w:b/>
          <w:szCs w:val="22"/>
        </w:rPr>
      </w:pPr>
    </w:p>
    <w:p w:rsidR="009B4233" w:rsidRDefault="009B4233">
      <w:pPr>
        <w:pStyle w:val="Textoindependiente"/>
        <w:jc w:val="center"/>
        <w:rPr>
          <w:rFonts w:cs="Arial"/>
          <w:b/>
          <w:szCs w:val="22"/>
        </w:rPr>
      </w:pPr>
    </w:p>
    <w:p w:rsidR="009B4233" w:rsidRDefault="009B4233">
      <w:pPr>
        <w:pStyle w:val="Textoindependiente"/>
        <w:jc w:val="center"/>
        <w:rPr>
          <w:rFonts w:cs="Arial"/>
          <w:b/>
          <w:szCs w:val="22"/>
        </w:rPr>
      </w:pPr>
    </w:p>
    <w:p w:rsidR="009B4233" w:rsidRDefault="009B4233">
      <w:pPr>
        <w:pStyle w:val="Textoindependiente"/>
        <w:jc w:val="center"/>
        <w:rPr>
          <w:rFonts w:cs="Arial"/>
          <w:b/>
          <w:szCs w:val="22"/>
        </w:rPr>
      </w:pPr>
    </w:p>
    <w:p w:rsidR="009B4233" w:rsidRDefault="006B08B9">
      <w:pPr>
        <w:pStyle w:val="Textoindependiente"/>
        <w:jc w:val="center"/>
        <w:rPr>
          <w:rFonts w:cs="Arial"/>
          <w:b/>
          <w:szCs w:val="22"/>
        </w:rPr>
      </w:pPr>
      <w:r>
        <w:rPr>
          <w:rFonts w:cs="Arial"/>
          <w:b/>
          <w:szCs w:val="22"/>
        </w:rPr>
        <w:t>ACUERDO DEL PLENO DE 25 DE SEPTIEMBRE DE 2025.</w:t>
      </w:r>
    </w:p>
    <w:p w:rsidR="009B4233" w:rsidRDefault="009B4233">
      <w:pPr>
        <w:pStyle w:val="Textoindependiente"/>
        <w:jc w:val="center"/>
        <w:rPr>
          <w:rFonts w:cs="Arial"/>
          <w:b/>
          <w:szCs w:val="22"/>
        </w:rPr>
      </w:pPr>
    </w:p>
    <w:p w:rsidR="009B4233" w:rsidRDefault="006B08B9">
      <w:pPr>
        <w:jc w:val="both"/>
      </w:pPr>
      <w:r>
        <w:rPr>
          <w:rFonts w:ascii="Arial" w:eastAsia="Calibri" w:hAnsi="Arial" w:cs="Arial"/>
          <w:b/>
          <w:sz w:val="22"/>
          <w:szCs w:val="22"/>
        </w:rPr>
        <w:t>PRIMERO. -</w:t>
      </w:r>
      <w:r>
        <w:rPr>
          <w:rFonts w:ascii="Arial" w:hAnsi="Arial" w:cs="Arial"/>
          <w:b/>
          <w:sz w:val="22"/>
          <w:szCs w:val="22"/>
        </w:rPr>
        <w:t xml:space="preserve"> Realizar la modificación del Plan Anual Normativo 2025 para incluir la aprobación de las siguientes normas:</w:t>
      </w:r>
    </w:p>
    <w:p w:rsidR="009B4233" w:rsidRDefault="009B4233">
      <w:pPr>
        <w:jc w:val="both"/>
        <w:rPr>
          <w:rFonts w:ascii="Arial" w:hAnsi="Arial" w:cs="Arial"/>
          <w:b/>
          <w:sz w:val="22"/>
          <w:szCs w:val="22"/>
        </w:rPr>
      </w:pPr>
    </w:p>
    <w:p w:rsidR="009B4233" w:rsidRDefault="006B08B9">
      <w:pPr>
        <w:widowControl/>
        <w:numPr>
          <w:ilvl w:val="0"/>
          <w:numId w:val="15"/>
        </w:numPr>
        <w:suppressAutoHyphens w:val="0"/>
        <w:spacing w:line="254" w:lineRule="auto"/>
        <w:ind w:right="68" w:hanging="360"/>
        <w:jc w:val="both"/>
        <w:textAlignment w:val="auto"/>
        <w:rPr>
          <w:rFonts w:ascii="Arial" w:hAnsi="Arial" w:cs="Arial"/>
          <w:b/>
          <w:sz w:val="22"/>
          <w:szCs w:val="22"/>
        </w:rPr>
      </w:pPr>
      <w:r>
        <w:rPr>
          <w:rFonts w:ascii="Arial" w:hAnsi="Arial" w:cs="Arial"/>
          <w:b/>
          <w:sz w:val="22"/>
          <w:szCs w:val="22"/>
        </w:rPr>
        <w:t>Modificación de la Ordenanza reguladora de la prestación patrimonial de carácter público no tributario de los servicios municipales de gestión del ciclo integral del agua del Ayuntamiento de la Villa de Candelaria.</w:t>
      </w:r>
    </w:p>
    <w:p w:rsidR="009B4233" w:rsidRDefault="006B08B9">
      <w:pPr>
        <w:widowControl/>
        <w:numPr>
          <w:ilvl w:val="0"/>
          <w:numId w:val="15"/>
        </w:numPr>
        <w:suppressAutoHyphens w:val="0"/>
        <w:spacing w:after="87" w:line="254" w:lineRule="auto"/>
        <w:ind w:right="68" w:hanging="360"/>
        <w:jc w:val="both"/>
        <w:textAlignment w:val="auto"/>
        <w:rPr>
          <w:rFonts w:ascii="Arial" w:hAnsi="Arial" w:cs="Arial"/>
          <w:b/>
          <w:sz w:val="22"/>
          <w:szCs w:val="22"/>
        </w:rPr>
      </w:pPr>
      <w:r>
        <w:rPr>
          <w:rFonts w:ascii="Arial" w:hAnsi="Arial" w:cs="Arial"/>
          <w:b/>
          <w:sz w:val="22"/>
          <w:szCs w:val="22"/>
        </w:rPr>
        <w:t>Ordenanza reguladora de limpieza de los e</w:t>
      </w:r>
      <w:r>
        <w:rPr>
          <w:rFonts w:ascii="Arial" w:hAnsi="Arial" w:cs="Arial"/>
          <w:b/>
          <w:sz w:val="22"/>
          <w:szCs w:val="22"/>
        </w:rPr>
        <w:t>spacios públicos, gestión de residuos y economía circular del municipio de Candelaria.</w:t>
      </w:r>
    </w:p>
    <w:p w:rsidR="009B4233" w:rsidRDefault="006B08B9">
      <w:pPr>
        <w:widowControl/>
        <w:numPr>
          <w:ilvl w:val="0"/>
          <w:numId w:val="15"/>
        </w:numPr>
        <w:suppressAutoHyphens w:val="0"/>
        <w:spacing w:after="120" w:line="254" w:lineRule="auto"/>
        <w:ind w:right="68" w:hanging="360"/>
        <w:jc w:val="both"/>
        <w:textAlignment w:val="auto"/>
        <w:rPr>
          <w:rFonts w:ascii="Arial" w:hAnsi="Arial" w:cs="Arial"/>
          <w:b/>
          <w:sz w:val="22"/>
          <w:szCs w:val="22"/>
        </w:rPr>
      </w:pPr>
      <w:r>
        <w:rPr>
          <w:rFonts w:ascii="Arial" w:hAnsi="Arial" w:cs="Arial"/>
          <w:b/>
          <w:sz w:val="22"/>
          <w:szCs w:val="22"/>
        </w:rPr>
        <w:t>Modificación de la ordenanza fiscal de la tasa por la prestación del servicio de recogida, transporte y tratamiento de residuos sólidos urbanos.</w:t>
      </w:r>
    </w:p>
    <w:p w:rsidR="009B4233" w:rsidRDefault="006B08B9">
      <w:pPr>
        <w:widowControl/>
        <w:numPr>
          <w:ilvl w:val="0"/>
          <w:numId w:val="15"/>
        </w:numPr>
        <w:suppressAutoHyphens w:val="0"/>
        <w:spacing w:after="527" w:line="254" w:lineRule="auto"/>
        <w:ind w:right="68" w:hanging="360"/>
        <w:jc w:val="both"/>
        <w:textAlignment w:val="auto"/>
        <w:rPr>
          <w:rFonts w:ascii="Arial" w:hAnsi="Arial" w:cs="Arial"/>
          <w:b/>
          <w:sz w:val="22"/>
          <w:szCs w:val="22"/>
        </w:rPr>
      </w:pPr>
      <w:r>
        <w:rPr>
          <w:rFonts w:ascii="Arial" w:hAnsi="Arial" w:cs="Arial"/>
          <w:b/>
          <w:sz w:val="22"/>
          <w:szCs w:val="22"/>
        </w:rPr>
        <w:t xml:space="preserve">ESTATUTOS DE LA ENTIDAD </w:t>
      </w:r>
      <w:r>
        <w:rPr>
          <w:rFonts w:ascii="Arial" w:hAnsi="Arial" w:cs="Arial"/>
          <w:b/>
          <w:sz w:val="22"/>
          <w:szCs w:val="22"/>
        </w:rPr>
        <w:t>URBANÍSTICA DE CONSERVACIÓN DEL POLÍGONO INDUSTRIAL VALLE DE GÜÏMAR (E.U.C. POLÍGONO VALLE Güímar)</w:t>
      </w:r>
    </w:p>
    <w:p w:rsidR="009B4233" w:rsidRDefault="006B08B9">
      <w:pPr>
        <w:spacing w:after="527"/>
        <w:jc w:val="both"/>
      </w:pPr>
      <w:r>
        <w:rPr>
          <w:rFonts w:ascii="Arial" w:eastAsia="Calibri" w:hAnsi="Arial" w:cs="Arial"/>
          <w:b/>
          <w:sz w:val="22"/>
          <w:szCs w:val="22"/>
        </w:rPr>
        <w:t>SEGUNDO</w:t>
      </w:r>
      <w:r>
        <w:rPr>
          <w:rFonts w:ascii="Arial" w:hAnsi="Arial" w:cs="Arial"/>
          <w:b/>
          <w:sz w:val="22"/>
          <w:szCs w:val="22"/>
        </w:rPr>
        <w:t>.- El Plan Anual Normativo 2025, con las modificaciones que se proponen, quedaría distribuido de la siguiente manera:</w:t>
      </w:r>
    </w:p>
    <w:p w:rsidR="009B4233" w:rsidRDefault="006B08B9">
      <w:pPr>
        <w:jc w:val="both"/>
        <w:rPr>
          <w:rFonts w:ascii="Arial" w:hAnsi="Arial" w:cs="Arial"/>
          <w:b/>
          <w:sz w:val="22"/>
          <w:szCs w:val="22"/>
        </w:rPr>
      </w:pPr>
      <w:r>
        <w:rPr>
          <w:rFonts w:ascii="Arial" w:hAnsi="Arial" w:cs="Arial"/>
          <w:b/>
          <w:sz w:val="22"/>
          <w:szCs w:val="22"/>
        </w:rPr>
        <w:t>HACIENDA:</w:t>
      </w:r>
    </w:p>
    <w:p w:rsidR="009B4233" w:rsidRDefault="006B08B9">
      <w:pPr>
        <w:widowControl/>
        <w:numPr>
          <w:ilvl w:val="0"/>
          <w:numId w:val="16"/>
        </w:numPr>
        <w:suppressAutoHyphens w:val="0"/>
        <w:spacing w:after="120" w:line="254" w:lineRule="auto"/>
        <w:ind w:hanging="360"/>
        <w:jc w:val="both"/>
        <w:textAlignment w:val="auto"/>
        <w:rPr>
          <w:rFonts w:ascii="Arial" w:hAnsi="Arial" w:cs="Arial"/>
          <w:b/>
          <w:sz w:val="22"/>
          <w:szCs w:val="22"/>
        </w:rPr>
      </w:pPr>
      <w:r>
        <w:rPr>
          <w:rFonts w:ascii="Arial" w:hAnsi="Arial" w:cs="Arial"/>
          <w:b/>
          <w:sz w:val="22"/>
          <w:szCs w:val="22"/>
        </w:rPr>
        <w:t>Ordenanza fiscal regul</w:t>
      </w:r>
      <w:r>
        <w:rPr>
          <w:rFonts w:ascii="Arial" w:hAnsi="Arial" w:cs="Arial"/>
          <w:b/>
          <w:sz w:val="22"/>
          <w:szCs w:val="22"/>
        </w:rPr>
        <w:t>adora de la tasa de expedición de documentos.</w:t>
      </w:r>
    </w:p>
    <w:p w:rsidR="009B4233" w:rsidRDefault="006B08B9">
      <w:pPr>
        <w:widowControl/>
        <w:numPr>
          <w:ilvl w:val="0"/>
          <w:numId w:val="16"/>
        </w:numPr>
        <w:suppressAutoHyphens w:val="0"/>
        <w:spacing w:after="120" w:line="254" w:lineRule="auto"/>
        <w:ind w:hanging="424"/>
        <w:jc w:val="both"/>
        <w:textAlignment w:val="auto"/>
        <w:rPr>
          <w:rFonts w:ascii="Arial" w:hAnsi="Arial" w:cs="Arial"/>
          <w:b/>
          <w:sz w:val="22"/>
          <w:szCs w:val="22"/>
        </w:rPr>
      </w:pPr>
      <w:r>
        <w:rPr>
          <w:rFonts w:ascii="Arial" w:hAnsi="Arial" w:cs="Arial"/>
          <w:b/>
          <w:sz w:val="22"/>
          <w:szCs w:val="22"/>
        </w:rPr>
        <w:t>Reglamento de control interno de la actividad económico-financiera del Ayuntamiento.</w:t>
      </w:r>
    </w:p>
    <w:p w:rsidR="009B4233" w:rsidRDefault="006B08B9">
      <w:pPr>
        <w:widowControl/>
        <w:numPr>
          <w:ilvl w:val="0"/>
          <w:numId w:val="16"/>
        </w:numPr>
        <w:suppressAutoHyphens w:val="0"/>
        <w:spacing w:after="120" w:line="254" w:lineRule="auto"/>
        <w:ind w:hanging="424"/>
        <w:jc w:val="both"/>
        <w:textAlignment w:val="auto"/>
        <w:rPr>
          <w:rFonts w:ascii="Arial" w:hAnsi="Arial" w:cs="Arial"/>
          <w:b/>
          <w:sz w:val="22"/>
          <w:szCs w:val="22"/>
        </w:rPr>
      </w:pPr>
      <w:r>
        <w:rPr>
          <w:rFonts w:ascii="Arial" w:hAnsi="Arial" w:cs="Arial"/>
          <w:b/>
          <w:sz w:val="22"/>
          <w:szCs w:val="22"/>
        </w:rPr>
        <w:t>Ordenanza reguladora de la prestación patrimonial pública no tributaria de abastecimiento y saneamiento de agua potable.</w:t>
      </w:r>
    </w:p>
    <w:p w:rsidR="009B4233" w:rsidRDefault="006B08B9">
      <w:pPr>
        <w:widowControl/>
        <w:numPr>
          <w:ilvl w:val="0"/>
          <w:numId w:val="16"/>
        </w:numPr>
        <w:suppressAutoHyphens w:val="0"/>
        <w:spacing w:after="120" w:line="254" w:lineRule="auto"/>
        <w:ind w:hanging="424"/>
        <w:jc w:val="both"/>
        <w:textAlignment w:val="auto"/>
        <w:rPr>
          <w:rFonts w:ascii="Arial" w:hAnsi="Arial" w:cs="Arial"/>
          <w:b/>
          <w:sz w:val="22"/>
          <w:szCs w:val="22"/>
        </w:rPr>
      </w:pPr>
      <w:r>
        <w:rPr>
          <w:rFonts w:ascii="Arial" w:hAnsi="Arial" w:cs="Arial"/>
          <w:b/>
          <w:sz w:val="22"/>
          <w:szCs w:val="22"/>
        </w:rPr>
        <w:t>Modificación de la Ordenanza reguladora de la prestación patrimonial de carácter público no tributario de los servicios municipales de gestión del ciclo integral del agua del Ayuntamiento de la Villa de Candelaria.</w:t>
      </w:r>
    </w:p>
    <w:p w:rsidR="009B4233" w:rsidRDefault="006B08B9">
      <w:pPr>
        <w:widowControl/>
        <w:numPr>
          <w:ilvl w:val="0"/>
          <w:numId w:val="16"/>
        </w:numPr>
        <w:suppressAutoHyphens w:val="0"/>
        <w:spacing w:after="120" w:line="254" w:lineRule="auto"/>
        <w:ind w:hanging="424"/>
        <w:jc w:val="both"/>
        <w:textAlignment w:val="auto"/>
        <w:rPr>
          <w:rFonts w:ascii="Arial" w:hAnsi="Arial" w:cs="Arial"/>
          <w:b/>
          <w:sz w:val="22"/>
          <w:szCs w:val="22"/>
        </w:rPr>
      </w:pPr>
      <w:r>
        <w:rPr>
          <w:rFonts w:ascii="Arial" w:hAnsi="Arial" w:cs="Arial"/>
          <w:b/>
          <w:sz w:val="22"/>
          <w:szCs w:val="22"/>
        </w:rPr>
        <w:t>Ordenanza reguladora de limpieza de los e</w:t>
      </w:r>
      <w:r>
        <w:rPr>
          <w:rFonts w:ascii="Arial" w:hAnsi="Arial" w:cs="Arial"/>
          <w:b/>
          <w:sz w:val="22"/>
          <w:szCs w:val="22"/>
        </w:rPr>
        <w:t>spacios públicos, gestión de residuos y economía circular del municipio de Candelaria.</w:t>
      </w:r>
    </w:p>
    <w:p w:rsidR="009B4233" w:rsidRDefault="006B08B9">
      <w:pPr>
        <w:widowControl/>
        <w:numPr>
          <w:ilvl w:val="0"/>
          <w:numId w:val="16"/>
        </w:numPr>
        <w:suppressAutoHyphens w:val="0"/>
        <w:spacing w:after="526" w:line="254" w:lineRule="auto"/>
        <w:ind w:hanging="424"/>
        <w:jc w:val="both"/>
        <w:textAlignment w:val="auto"/>
        <w:rPr>
          <w:rFonts w:ascii="Arial" w:hAnsi="Arial" w:cs="Arial"/>
          <w:b/>
          <w:sz w:val="22"/>
          <w:szCs w:val="22"/>
        </w:rPr>
      </w:pPr>
      <w:r>
        <w:rPr>
          <w:rFonts w:ascii="Arial" w:hAnsi="Arial" w:cs="Arial"/>
          <w:b/>
          <w:sz w:val="22"/>
          <w:szCs w:val="22"/>
        </w:rPr>
        <w:t>Modificación de la Ordenanza fiscal de la tasa por la prestación del servicio de recogida, transporte y tratamiento de residuos sólidos urbanos.</w:t>
      </w:r>
    </w:p>
    <w:p w:rsidR="009B4233" w:rsidRDefault="006B08B9">
      <w:pPr>
        <w:jc w:val="both"/>
        <w:rPr>
          <w:rFonts w:ascii="Arial" w:hAnsi="Arial" w:cs="Arial"/>
          <w:b/>
          <w:sz w:val="22"/>
          <w:szCs w:val="22"/>
        </w:rPr>
      </w:pPr>
      <w:r>
        <w:rPr>
          <w:rFonts w:ascii="Arial" w:hAnsi="Arial" w:cs="Arial"/>
          <w:b/>
          <w:sz w:val="22"/>
          <w:szCs w:val="22"/>
        </w:rPr>
        <w:t>RELACIONES INSTITUCIONAL</w:t>
      </w:r>
      <w:r>
        <w:rPr>
          <w:rFonts w:ascii="Arial" w:hAnsi="Arial" w:cs="Arial"/>
          <w:b/>
          <w:sz w:val="22"/>
          <w:szCs w:val="22"/>
        </w:rPr>
        <w:t>ES Y PROTOCOLO:</w:t>
      </w:r>
    </w:p>
    <w:p w:rsidR="009B4233" w:rsidRDefault="006B08B9">
      <w:pPr>
        <w:widowControl/>
        <w:numPr>
          <w:ilvl w:val="0"/>
          <w:numId w:val="16"/>
        </w:numPr>
        <w:suppressAutoHyphens w:val="0"/>
        <w:spacing w:after="120" w:line="254" w:lineRule="auto"/>
        <w:ind w:hanging="424"/>
        <w:jc w:val="both"/>
        <w:textAlignment w:val="auto"/>
        <w:rPr>
          <w:rFonts w:ascii="Arial" w:hAnsi="Arial" w:cs="Arial"/>
          <w:b/>
          <w:sz w:val="22"/>
          <w:szCs w:val="22"/>
        </w:rPr>
      </w:pPr>
      <w:r>
        <w:rPr>
          <w:rFonts w:ascii="Arial" w:hAnsi="Arial" w:cs="Arial"/>
          <w:b/>
          <w:sz w:val="22"/>
          <w:szCs w:val="22"/>
        </w:rPr>
        <w:t>Modificación del reglamento de honores, distinciones y ceremonial.</w:t>
      </w:r>
    </w:p>
    <w:p w:rsidR="009B4233" w:rsidRDefault="006B08B9">
      <w:pPr>
        <w:ind w:left="512"/>
        <w:jc w:val="both"/>
        <w:rPr>
          <w:rFonts w:ascii="Arial" w:hAnsi="Arial" w:cs="Arial"/>
          <w:b/>
          <w:sz w:val="22"/>
          <w:szCs w:val="22"/>
        </w:rPr>
      </w:pPr>
      <w:r>
        <w:rPr>
          <w:rFonts w:ascii="Arial" w:hAnsi="Arial" w:cs="Arial"/>
          <w:b/>
          <w:sz w:val="22"/>
          <w:szCs w:val="22"/>
        </w:rPr>
        <w:t>MEDIO AMBIENTE NATURAL</w:t>
      </w:r>
    </w:p>
    <w:p w:rsidR="009B4233" w:rsidRDefault="006B08B9">
      <w:pPr>
        <w:widowControl/>
        <w:numPr>
          <w:ilvl w:val="0"/>
          <w:numId w:val="16"/>
        </w:numPr>
        <w:suppressAutoHyphens w:val="0"/>
        <w:spacing w:after="120" w:line="254" w:lineRule="auto"/>
        <w:ind w:hanging="424"/>
        <w:jc w:val="both"/>
        <w:textAlignment w:val="auto"/>
        <w:rPr>
          <w:rFonts w:ascii="Arial" w:hAnsi="Arial" w:cs="Arial"/>
          <w:b/>
          <w:sz w:val="22"/>
          <w:szCs w:val="22"/>
        </w:rPr>
      </w:pPr>
      <w:r>
        <w:rPr>
          <w:rFonts w:ascii="Arial" w:hAnsi="Arial" w:cs="Arial"/>
          <w:b/>
          <w:sz w:val="22"/>
          <w:szCs w:val="22"/>
        </w:rPr>
        <w:t>Aprobación de la ordenanza reguladora de uso de senderos de la red de senderos locales de Candelaria.</w:t>
      </w:r>
    </w:p>
    <w:p w:rsidR="009B4233" w:rsidRDefault="006B08B9">
      <w:pPr>
        <w:jc w:val="both"/>
        <w:rPr>
          <w:rFonts w:ascii="Arial" w:hAnsi="Arial" w:cs="Arial"/>
          <w:b/>
          <w:sz w:val="22"/>
          <w:szCs w:val="22"/>
        </w:rPr>
      </w:pPr>
      <w:r>
        <w:rPr>
          <w:rFonts w:ascii="Arial" w:hAnsi="Arial" w:cs="Arial"/>
          <w:b/>
          <w:sz w:val="22"/>
          <w:szCs w:val="22"/>
        </w:rPr>
        <w:t>CULTURA:</w:t>
      </w:r>
    </w:p>
    <w:p w:rsidR="009B4233" w:rsidRDefault="006B08B9">
      <w:pPr>
        <w:widowControl/>
        <w:numPr>
          <w:ilvl w:val="0"/>
          <w:numId w:val="16"/>
        </w:numPr>
        <w:suppressAutoHyphens w:val="0"/>
        <w:spacing w:after="120" w:line="254" w:lineRule="auto"/>
        <w:ind w:hanging="424"/>
        <w:jc w:val="both"/>
        <w:textAlignment w:val="auto"/>
        <w:rPr>
          <w:rFonts w:ascii="Arial" w:hAnsi="Arial" w:cs="Arial"/>
          <w:b/>
          <w:sz w:val="22"/>
          <w:szCs w:val="22"/>
        </w:rPr>
      </w:pPr>
      <w:r>
        <w:rPr>
          <w:rFonts w:ascii="Arial" w:hAnsi="Arial" w:cs="Arial"/>
          <w:b/>
          <w:sz w:val="22"/>
          <w:szCs w:val="22"/>
        </w:rPr>
        <w:t>Aprobación del Reglamento de red de esp</w:t>
      </w:r>
      <w:r>
        <w:rPr>
          <w:rFonts w:ascii="Arial" w:hAnsi="Arial" w:cs="Arial"/>
          <w:b/>
          <w:sz w:val="22"/>
          <w:szCs w:val="22"/>
        </w:rPr>
        <w:t>acios culturales del ayuntamiento de Candelaria.</w:t>
      </w:r>
    </w:p>
    <w:p w:rsidR="009B4233" w:rsidRDefault="006B08B9">
      <w:pPr>
        <w:ind w:left="355"/>
        <w:jc w:val="both"/>
        <w:rPr>
          <w:rFonts w:ascii="Arial" w:hAnsi="Arial" w:cs="Arial"/>
          <w:b/>
          <w:sz w:val="22"/>
          <w:szCs w:val="22"/>
        </w:rPr>
      </w:pPr>
      <w:r>
        <w:rPr>
          <w:rFonts w:ascii="Arial" w:hAnsi="Arial" w:cs="Arial"/>
          <w:b/>
          <w:sz w:val="22"/>
          <w:szCs w:val="22"/>
        </w:rPr>
        <w:t>PARTICIPACIÓN CIUDADANA:</w:t>
      </w:r>
    </w:p>
    <w:p w:rsidR="009B4233" w:rsidRDefault="006B08B9">
      <w:pPr>
        <w:widowControl/>
        <w:numPr>
          <w:ilvl w:val="0"/>
          <w:numId w:val="16"/>
        </w:numPr>
        <w:suppressAutoHyphens w:val="0"/>
        <w:spacing w:after="120" w:line="254" w:lineRule="auto"/>
        <w:ind w:hanging="424"/>
        <w:jc w:val="both"/>
        <w:textAlignment w:val="auto"/>
        <w:rPr>
          <w:rFonts w:ascii="Arial" w:hAnsi="Arial" w:cs="Arial"/>
          <w:b/>
          <w:sz w:val="22"/>
          <w:szCs w:val="22"/>
        </w:rPr>
      </w:pPr>
      <w:r>
        <w:rPr>
          <w:rFonts w:ascii="Arial" w:hAnsi="Arial" w:cs="Arial"/>
          <w:b/>
          <w:sz w:val="22"/>
          <w:szCs w:val="22"/>
        </w:rPr>
        <w:t>Reglamento de participación ciudadana del municipio de Candelaria.</w:t>
      </w:r>
    </w:p>
    <w:p w:rsidR="009B4233" w:rsidRDefault="006B08B9">
      <w:pPr>
        <w:widowControl/>
        <w:numPr>
          <w:ilvl w:val="0"/>
          <w:numId w:val="16"/>
        </w:numPr>
        <w:suppressAutoHyphens w:val="0"/>
        <w:spacing w:after="120" w:line="254" w:lineRule="auto"/>
        <w:ind w:hanging="424"/>
        <w:jc w:val="both"/>
        <w:textAlignment w:val="auto"/>
        <w:rPr>
          <w:rFonts w:ascii="Arial" w:hAnsi="Arial" w:cs="Arial"/>
          <w:b/>
          <w:sz w:val="22"/>
          <w:szCs w:val="22"/>
        </w:rPr>
      </w:pPr>
      <w:r>
        <w:rPr>
          <w:rFonts w:ascii="Arial" w:hAnsi="Arial" w:cs="Arial"/>
          <w:b/>
          <w:sz w:val="22"/>
          <w:szCs w:val="22"/>
        </w:rPr>
        <w:t>Ordenanza de convivencia ciudadana.</w:t>
      </w:r>
    </w:p>
    <w:p w:rsidR="009B4233" w:rsidRDefault="006B08B9">
      <w:pPr>
        <w:ind w:left="355"/>
        <w:jc w:val="both"/>
        <w:rPr>
          <w:rFonts w:ascii="Arial" w:hAnsi="Arial" w:cs="Arial"/>
          <w:b/>
          <w:sz w:val="22"/>
          <w:szCs w:val="22"/>
        </w:rPr>
      </w:pPr>
      <w:r>
        <w:rPr>
          <w:rFonts w:ascii="Arial" w:hAnsi="Arial" w:cs="Arial"/>
          <w:b/>
          <w:sz w:val="22"/>
          <w:szCs w:val="22"/>
        </w:rPr>
        <w:t>PLANIFICACIÓN URBANÍSTICA:</w:t>
      </w:r>
    </w:p>
    <w:p w:rsidR="009B4233" w:rsidRDefault="006B08B9">
      <w:pPr>
        <w:widowControl/>
        <w:numPr>
          <w:ilvl w:val="0"/>
          <w:numId w:val="16"/>
        </w:numPr>
        <w:suppressAutoHyphens w:val="0"/>
        <w:spacing w:after="120" w:line="254" w:lineRule="auto"/>
        <w:ind w:hanging="424"/>
        <w:jc w:val="both"/>
        <w:textAlignment w:val="auto"/>
        <w:rPr>
          <w:rFonts w:ascii="Arial" w:hAnsi="Arial" w:cs="Arial"/>
          <w:b/>
          <w:sz w:val="22"/>
          <w:szCs w:val="22"/>
        </w:rPr>
      </w:pPr>
      <w:r>
        <w:rPr>
          <w:rFonts w:ascii="Arial" w:hAnsi="Arial" w:cs="Arial"/>
          <w:b/>
          <w:sz w:val="22"/>
          <w:szCs w:val="22"/>
        </w:rPr>
        <w:t>Ordenanza específica reguladora del servicio de sane</w:t>
      </w:r>
      <w:r>
        <w:rPr>
          <w:rFonts w:ascii="Arial" w:hAnsi="Arial" w:cs="Arial"/>
          <w:b/>
          <w:sz w:val="22"/>
          <w:szCs w:val="22"/>
        </w:rPr>
        <w:t>amiento del Polígono industrial del Valle de Güimar.</w:t>
      </w:r>
    </w:p>
    <w:p w:rsidR="009B4233" w:rsidRDefault="006B08B9">
      <w:pPr>
        <w:widowControl/>
        <w:numPr>
          <w:ilvl w:val="0"/>
          <w:numId w:val="16"/>
        </w:numPr>
        <w:suppressAutoHyphens w:val="0"/>
        <w:spacing w:after="120" w:line="254" w:lineRule="auto"/>
        <w:ind w:hanging="424"/>
        <w:jc w:val="both"/>
        <w:textAlignment w:val="auto"/>
        <w:rPr>
          <w:rFonts w:ascii="Arial" w:hAnsi="Arial" w:cs="Arial"/>
          <w:b/>
          <w:sz w:val="22"/>
          <w:szCs w:val="22"/>
        </w:rPr>
      </w:pPr>
      <w:r>
        <w:rPr>
          <w:rFonts w:ascii="Arial" w:hAnsi="Arial" w:cs="Arial"/>
          <w:b/>
          <w:sz w:val="22"/>
          <w:szCs w:val="22"/>
        </w:rPr>
        <w:t>ESTATUTOS DE LA ENTIDAD URBANÍSTICA DE CONSERVACIÓN DEL POLÍGONO INDUSTRIAL VALLE DE GÜÏMAR (E.U.C. POLÍGONO VALLE Güímar)</w:t>
      </w:r>
    </w:p>
    <w:p w:rsidR="009B4233" w:rsidRDefault="006B08B9">
      <w:pPr>
        <w:ind w:left="355"/>
        <w:jc w:val="both"/>
        <w:rPr>
          <w:rFonts w:ascii="Arial" w:hAnsi="Arial" w:cs="Arial"/>
          <w:b/>
          <w:sz w:val="22"/>
          <w:szCs w:val="22"/>
        </w:rPr>
      </w:pPr>
      <w:r>
        <w:rPr>
          <w:rFonts w:ascii="Arial" w:hAnsi="Arial" w:cs="Arial"/>
          <w:b/>
          <w:sz w:val="22"/>
          <w:szCs w:val="22"/>
        </w:rPr>
        <w:t>EMPRESAS CONCESIONARIAS:</w:t>
      </w:r>
    </w:p>
    <w:p w:rsidR="009B4233" w:rsidRDefault="006B08B9">
      <w:pPr>
        <w:widowControl/>
        <w:numPr>
          <w:ilvl w:val="0"/>
          <w:numId w:val="17"/>
        </w:numPr>
        <w:suppressAutoHyphens w:val="0"/>
        <w:spacing w:after="120" w:line="254" w:lineRule="auto"/>
        <w:ind w:hanging="360"/>
        <w:jc w:val="both"/>
        <w:textAlignment w:val="auto"/>
        <w:rPr>
          <w:rFonts w:ascii="Arial" w:hAnsi="Arial" w:cs="Arial"/>
          <w:b/>
          <w:sz w:val="22"/>
          <w:szCs w:val="22"/>
        </w:rPr>
      </w:pPr>
      <w:r>
        <w:rPr>
          <w:rFonts w:ascii="Arial" w:hAnsi="Arial" w:cs="Arial"/>
          <w:b/>
          <w:sz w:val="22"/>
          <w:szCs w:val="22"/>
        </w:rPr>
        <w:t>Reglamento interno de la Escuela Infantil y la Ordenanz</w:t>
      </w:r>
      <w:r>
        <w:rPr>
          <w:rFonts w:ascii="Arial" w:hAnsi="Arial" w:cs="Arial"/>
          <w:b/>
          <w:sz w:val="22"/>
          <w:szCs w:val="22"/>
        </w:rPr>
        <w:t>a reguladora.</w:t>
      </w:r>
    </w:p>
    <w:p w:rsidR="009B4233" w:rsidRDefault="006B08B9">
      <w:pPr>
        <w:ind w:left="355"/>
        <w:jc w:val="both"/>
        <w:rPr>
          <w:rFonts w:ascii="Arial" w:hAnsi="Arial" w:cs="Arial"/>
          <w:b/>
          <w:sz w:val="22"/>
          <w:szCs w:val="22"/>
        </w:rPr>
      </w:pPr>
      <w:r>
        <w:rPr>
          <w:rFonts w:ascii="Arial" w:hAnsi="Arial" w:cs="Arial"/>
          <w:b/>
          <w:sz w:val="22"/>
          <w:szCs w:val="22"/>
        </w:rPr>
        <w:t>SERVICIOS SOCIALES</w:t>
      </w:r>
    </w:p>
    <w:p w:rsidR="009B4233" w:rsidRDefault="006B08B9">
      <w:pPr>
        <w:widowControl/>
        <w:numPr>
          <w:ilvl w:val="0"/>
          <w:numId w:val="17"/>
        </w:numPr>
        <w:suppressAutoHyphens w:val="0"/>
        <w:spacing w:after="120" w:line="254" w:lineRule="auto"/>
        <w:ind w:hanging="424"/>
        <w:jc w:val="both"/>
        <w:textAlignment w:val="auto"/>
        <w:rPr>
          <w:rFonts w:ascii="Arial" w:hAnsi="Arial" w:cs="Arial"/>
          <w:b/>
          <w:sz w:val="22"/>
          <w:szCs w:val="22"/>
        </w:rPr>
      </w:pPr>
      <w:r>
        <w:rPr>
          <w:rFonts w:ascii="Arial" w:hAnsi="Arial" w:cs="Arial"/>
          <w:b/>
          <w:sz w:val="22"/>
          <w:szCs w:val="22"/>
        </w:rPr>
        <w:t>Reglamento municipal del Servicio de Ayuda a Domicilio (S.A.D.), Centro Especial de Recuperación Integral (C.E.R.I.), Transporte Adaptado y Teleasistencia Domiciliaria.</w:t>
      </w:r>
    </w:p>
    <w:p w:rsidR="009B4233" w:rsidRDefault="006B08B9">
      <w:pPr>
        <w:ind w:left="355"/>
        <w:jc w:val="both"/>
        <w:rPr>
          <w:rFonts w:ascii="Arial" w:hAnsi="Arial" w:cs="Arial"/>
          <w:b/>
          <w:sz w:val="22"/>
          <w:szCs w:val="22"/>
        </w:rPr>
      </w:pPr>
      <w:r>
        <w:rPr>
          <w:rFonts w:ascii="Arial" w:hAnsi="Arial" w:cs="Arial"/>
          <w:b/>
          <w:sz w:val="22"/>
          <w:szCs w:val="22"/>
        </w:rPr>
        <w:t>DESARROLLO RURAL Y PESQUERO</w:t>
      </w:r>
    </w:p>
    <w:p w:rsidR="009B4233" w:rsidRDefault="006B08B9">
      <w:pPr>
        <w:widowControl/>
        <w:numPr>
          <w:ilvl w:val="0"/>
          <w:numId w:val="17"/>
        </w:numPr>
        <w:suppressAutoHyphens w:val="0"/>
        <w:spacing w:after="120" w:line="254" w:lineRule="auto"/>
        <w:ind w:hanging="424"/>
        <w:jc w:val="both"/>
        <w:textAlignment w:val="auto"/>
        <w:rPr>
          <w:rFonts w:ascii="Arial" w:hAnsi="Arial" w:cs="Arial"/>
          <w:b/>
          <w:sz w:val="22"/>
          <w:szCs w:val="22"/>
        </w:rPr>
      </w:pPr>
      <w:r>
        <w:rPr>
          <w:rFonts w:ascii="Arial" w:hAnsi="Arial" w:cs="Arial"/>
          <w:b/>
          <w:sz w:val="22"/>
          <w:szCs w:val="22"/>
        </w:rPr>
        <w:t>Ordenanza portuaria por la</w:t>
      </w:r>
      <w:r>
        <w:rPr>
          <w:rFonts w:ascii="Arial" w:hAnsi="Arial" w:cs="Arial"/>
          <w:b/>
          <w:sz w:val="22"/>
          <w:szCs w:val="22"/>
        </w:rPr>
        <w:t xml:space="preserve"> que se establecen los usos y gestión del Puerto de Candelaria.</w:t>
      </w:r>
    </w:p>
    <w:p w:rsidR="009B4233" w:rsidRDefault="006B08B9">
      <w:pPr>
        <w:ind w:left="355"/>
        <w:jc w:val="both"/>
        <w:rPr>
          <w:rFonts w:ascii="Arial" w:hAnsi="Arial" w:cs="Arial"/>
          <w:b/>
          <w:sz w:val="22"/>
          <w:szCs w:val="22"/>
        </w:rPr>
      </w:pPr>
      <w:r>
        <w:rPr>
          <w:rFonts w:ascii="Arial" w:hAnsi="Arial" w:cs="Arial"/>
          <w:b/>
          <w:sz w:val="22"/>
          <w:szCs w:val="22"/>
        </w:rPr>
        <w:t>COMERCIO</w:t>
      </w:r>
    </w:p>
    <w:p w:rsidR="009B4233" w:rsidRDefault="006B08B9">
      <w:pPr>
        <w:widowControl/>
        <w:numPr>
          <w:ilvl w:val="0"/>
          <w:numId w:val="17"/>
        </w:numPr>
        <w:suppressAutoHyphens w:val="0"/>
        <w:spacing w:after="371" w:line="254" w:lineRule="auto"/>
        <w:ind w:hanging="424"/>
        <w:jc w:val="both"/>
        <w:textAlignment w:val="auto"/>
        <w:rPr>
          <w:rFonts w:ascii="Arial" w:hAnsi="Arial" w:cs="Arial"/>
          <w:b/>
          <w:sz w:val="22"/>
          <w:szCs w:val="22"/>
        </w:rPr>
      </w:pPr>
      <w:r>
        <w:rPr>
          <w:rFonts w:ascii="Arial" w:hAnsi="Arial" w:cs="Arial"/>
          <w:b/>
          <w:sz w:val="22"/>
          <w:szCs w:val="22"/>
        </w:rPr>
        <w:t>Ordenanza reguladora de espectáculos públicos y actividades recreativas temporales en la vía pública del término municipal de Candelaria.</w:t>
      </w:r>
    </w:p>
    <w:p w:rsidR="009B4233" w:rsidRDefault="006B08B9">
      <w:pPr>
        <w:spacing w:after="287"/>
        <w:jc w:val="both"/>
      </w:pPr>
      <w:r>
        <w:rPr>
          <w:rFonts w:ascii="Arial" w:eastAsia="Calibri" w:hAnsi="Arial" w:cs="Arial"/>
          <w:b/>
          <w:sz w:val="22"/>
          <w:szCs w:val="22"/>
        </w:rPr>
        <w:t>TERCERO</w:t>
      </w:r>
      <w:r>
        <w:rPr>
          <w:rFonts w:ascii="Arial" w:hAnsi="Arial" w:cs="Arial"/>
          <w:b/>
          <w:sz w:val="22"/>
          <w:szCs w:val="22"/>
        </w:rPr>
        <w:t>. Publicar el Plan en el Portal de Tra</w:t>
      </w:r>
      <w:r>
        <w:rPr>
          <w:rFonts w:ascii="Arial" w:hAnsi="Arial" w:cs="Arial"/>
          <w:b/>
          <w:sz w:val="22"/>
          <w:szCs w:val="22"/>
        </w:rPr>
        <w:t>nsparencia y en la sede electrónica del Ayuntamiento de Candelaria una vez aprobada la modificación.</w:t>
      </w:r>
    </w:p>
    <w:p w:rsidR="009B4233" w:rsidRDefault="006B08B9">
      <w:pPr>
        <w:spacing w:after="287"/>
        <w:jc w:val="both"/>
      </w:pPr>
      <w:r>
        <w:rPr>
          <w:rFonts w:ascii="Arial" w:eastAsia="Calibri" w:hAnsi="Arial" w:cs="Arial"/>
          <w:b/>
          <w:sz w:val="22"/>
          <w:szCs w:val="22"/>
        </w:rPr>
        <w:t>CUARTO</w:t>
      </w:r>
      <w:r>
        <w:rPr>
          <w:rFonts w:ascii="Arial" w:hAnsi="Arial" w:cs="Arial"/>
          <w:b/>
          <w:sz w:val="22"/>
          <w:szCs w:val="22"/>
        </w:rPr>
        <w:t>. Notificar a cada concejalía delegada de la que dependa el Reglamento u Ordenanza correspondiente a los efectos de su debida elaboración y aprobació</w:t>
      </w:r>
      <w:r>
        <w:rPr>
          <w:rFonts w:ascii="Arial" w:hAnsi="Arial" w:cs="Arial"/>
          <w:b/>
          <w:sz w:val="22"/>
          <w:szCs w:val="22"/>
        </w:rPr>
        <w:t>n o modificación durante el año 2025.</w:t>
      </w:r>
    </w:p>
    <w:p w:rsidR="009B4233" w:rsidRDefault="006B08B9">
      <w:pPr>
        <w:spacing w:after="287"/>
        <w:jc w:val="both"/>
      </w:pPr>
      <w:r>
        <w:rPr>
          <w:rFonts w:ascii="Arial" w:eastAsia="Calibri" w:hAnsi="Arial" w:cs="Arial"/>
          <w:b/>
          <w:sz w:val="22"/>
          <w:szCs w:val="22"/>
        </w:rPr>
        <w:t xml:space="preserve">QUINTO. </w:t>
      </w:r>
      <w:r>
        <w:rPr>
          <w:rFonts w:ascii="Arial" w:hAnsi="Arial" w:cs="Arial"/>
          <w:b/>
          <w:sz w:val="22"/>
          <w:szCs w:val="22"/>
        </w:rPr>
        <w:t>El procedimiento de aprobación de los reglamentos y ordenanzas municipales incluidos en este Plan Normativo Anual que se deben aprobar en este presente año 2021 es el establecido en el artículo 133 de la ley 30</w:t>
      </w:r>
      <w:r>
        <w:rPr>
          <w:rFonts w:ascii="Arial" w:hAnsi="Arial" w:cs="Arial"/>
          <w:b/>
          <w:sz w:val="22"/>
          <w:szCs w:val="22"/>
        </w:rPr>
        <w:t>/2015, de 1 de octubre, en el artículo 49 de la Ley 7/1985, de 2 de abril reguladora de las Bases del Régimen local y el resto de leyes y reglamentos aplicables.</w:t>
      </w:r>
    </w:p>
    <w:p w:rsidR="009B4233" w:rsidRDefault="009B4233">
      <w:pPr>
        <w:widowControl/>
        <w:suppressAutoHyphens w:val="0"/>
        <w:autoSpaceDE w:val="0"/>
        <w:spacing w:after="218"/>
        <w:jc w:val="both"/>
        <w:textAlignment w:val="auto"/>
        <w:rPr>
          <w:rFonts w:ascii="Arial" w:hAnsi="Arial" w:cs="Arial"/>
          <w:b/>
          <w:color w:val="000000"/>
          <w:kern w:val="0"/>
          <w:sz w:val="22"/>
          <w:szCs w:val="22"/>
          <w:lang w:bidi="ar-SA"/>
        </w:rPr>
      </w:pPr>
    </w:p>
    <w:p w:rsidR="009B4233" w:rsidRDefault="009B4233">
      <w:pPr>
        <w:widowControl/>
        <w:suppressAutoHyphens w:val="0"/>
        <w:autoSpaceDE w:val="0"/>
        <w:spacing w:after="218"/>
        <w:jc w:val="both"/>
        <w:textAlignment w:val="auto"/>
        <w:rPr>
          <w:rFonts w:ascii="Arial" w:hAnsi="Arial" w:cs="Arial"/>
          <w:b/>
          <w:color w:val="000000"/>
          <w:kern w:val="0"/>
          <w:sz w:val="22"/>
          <w:szCs w:val="22"/>
          <w:lang w:bidi="ar-SA"/>
        </w:rPr>
      </w:pPr>
    </w:p>
    <w:p w:rsidR="009B4233" w:rsidRDefault="009B4233">
      <w:pPr>
        <w:widowControl/>
        <w:suppressAutoHyphens w:val="0"/>
        <w:autoSpaceDE w:val="0"/>
        <w:spacing w:after="218"/>
        <w:jc w:val="both"/>
        <w:textAlignment w:val="auto"/>
        <w:rPr>
          <w:rFonts w:ascii="Arial" w:hAnsi="Arial" w:cs="Arial"/>
          <w:b/>
          <w:color w:val="000000"/>
          <w:kern w:val="0"/>
          <w:sz w:val="22"/>
          <w:szCs w:val="22"/>
          <w:lang w:bidi="ar-SA"/>
        </w:rPr>
      </w:pPr>
    </w:p>
    <w:p w:rsidR="009B4233" w:rsidRDefault="009B4233">
      <w:pPr>
        <w:widowControl/>
        <w:suppressAutoHyphens w:val="0"/>
        <w:autoSpaceDE w:val="0"/>
        <w:spacing w:after="218"/>
        <w:jc w:val="both"/>
        <w:textAlignment w:val="auto"/>
        <w:rPr>
          <w:rFonts w:ascii="Arial" w:hAnsi="Arial" w:cs="Arial"/>
          <w:b/>
          <w:color w:val="000000"/>
          <w:kern w:val="0"/>
          <w:sz w:val="22"/>
          <w:szCs w:val="22"/>
          <w:lang w:bidi="ar-SA"/>
        </w:rPr>
      </w:pPr>
    </w:p>
    <w:p w:rsidR="009B4233" w:rsidRDefault="009B4233">
      <w:pPr>
        <w:widowControl/>
        <w:suppressAutoHyphens w:val="0"/>
        <w:autoSpaceDE w:val="0"/>
        <w:spacing w:after="218"/>
        <w:jc w:val="both"/>
        <w:textAlignment w:val="auto"/>
        <w:rPr>
          <w:rFonts w:ascii="Arial" w:hAnsi="Arial" w:cs="Arial"/>
          <w:b/>
          <w:color w:val="000000"/>
          <w:kern w:val="0"/>
          <w:sz w:val="22"/>
          <w:szCs w:val="22"/>
          <w:lang w:bidi="ar-SA"/>
        </w:rPr>
      </w:pPr>
    </w:p>
    <w:p w:rsidR="009B4233" w:rsidRDefault="009B4233">
      <w:pPr>
        <w:widowControl/>
        <w:suppressAutoHyphens w:val="0"/>
        <w:autoSpaceDE w:val="0"/>
        <w:spacing w:after="218"/>
        <w:jc w:val="both"/>
        <w:textAlignment w:val="auto"/>
        <w:rPr>
          <w:rFonts w:ascii="Arial" w:hAnsi="Arial" w:cs="Arial"/>
          <w:b/>
          <w:color w:val="000000"/>
          <w:kern w:val="0"/>
          <w:sz w:val="22"/>
          <w:szCs w:val="22"/>
          <w:lang w:bidi="ar-SA"/>
        </w:rPr>
      </w:pPr>
    </w:p>
    <w:p w:rsidR="009B4233" w:rsidRDefault="009B4233">
      <w:pPr>
        <w:widowControl/>
        <w:suppressAutoHyphens w:val="0"/>
        <w:autoSpaceDE w:val="0"/>
        <w:spacing w:after="218"/>
        <w:jc w:val="both"/>
        <w:textAlignment w:val="auto"/>
        <w:rPr>
          <w:rFonts w:ascii="Arial" w:hAnsi="Arial" w:cs="Arial"/>
          <w:b/>
          <w:color w:val="000000"/>
          <w:kern w:val="0"/>
          <w:sz w:val="22"/>
          <w:szCs w:val="22"/>
          <w:lang w:bidi="ar-SA"/>
        </w:rPr>
      </w:pPr>
    </w:p>
    <w:p w:rsidR="009B4233" w:rsidRDefault="009B4233">
      <w:pPr>
        <w:widowControl/>
        <w:suppressAutoHyphens w:val="0"/>
        <w:autoSpaceDE w:val="0"/>
        <w:spacing w:after="218"/>
        <w:jc w:val="both"/>
        <w:textAlignment w:val="auto"/>
        <w:rPr>
          <w:rFonts w:ascii="Arial" w:hAnsi="Arial" w:cs="Arial"/>
          <w:b/>
          <w:color w:val="000000"/>
          <w:kern w:val="0"/>
          <w:sz w:val="22"/>
          <w:szCs w:val="22"/>
          <w:lang w:bidi="ar-SA"/>
        </w:rPr>
      </w:pPr>
    </w:p>
    <w:p w:rsidR="009B4233" w:rsidRDefault="009B4233">
      <w:pPr>
        <w:widowControl/>
        <w:suppressAutoHyphens w:val="0"/>
        <w:autoSpaceDE w:val="0"/>
        <w:spacing w:after="218"/>
        <w:jc w:val="both"/>
        <w:textAlignment w:val="auto"/>
        <w:rPr>
          <w:rFonts w:ascii="Arial" w:hAnsi="Arial" w:cs="Arial"/>
          <w:b/>
          <w:color w:val="000000"/>
          <w:kern w:val="0"/>
          <w:sz w:val="22"/>
          <w:szCs w:val="22"/>
          <w:lang w:bidi="ar-SA"/>
        </w:rPr>
      </w:pPr>
    </w:p>
    <w:p w:rsidR="009B4233" w:rsidRDefault="006B08B9">
      <w:pPr>
        <w:widowControl/>
        <w:suppressAutoHyphens w:val="0"/>
        <w:autoSpaceDE w:val="0"/>
        <w:spacing w:after="218"/>
        <w:jc w:val="both"/>
        <w:textAlignment w:val="auto"/>
        <w:rPr>
          <w:rFonts w:ascii="Arial" w:hAnsi="Arial" w:cs="Arial"/>
          <w:b/>
          <w:color w:val="000000"/>
          <w:kern w:val="0"/>
          <w:lang w:bidi="ar-SA"/>
        </w:rPr>
      </w:pPr>
      <w:r>
        <w:rPr>
          <w:rFonts w:ascii="Arial" w:hAnsi="Arial" w:cs="Arial"/>
          <w:b/>
          <w:color w:val="000000"/>
          <w:kern w:val="0"/>
          <w:lang w:bidi="ar-SA"/>
        </w:rPr>
        <w:t xml:space="preserve">2.- Expediente 7026/2025. Propuesta del Concejal delegado de Hacienda de 15 de </w:t>
      </w:r>
      <w:r>
        <w:rPr>
          <w:rFonts w:ascii="Arial" w:hAnsi="Arial" w:cs="Arial"/>
          <w:b/>
          <w:color w:val="000000"/>
          <w:kern w:val="0"/>
          <w:lang w:bidi="ar-SA"/>
        </w:rPr>
        <w:t>septiembre de 2025 de aprobación definitiva de la Cuenta General del ejercicio 2024</w:t>
      </w:r>
    </w:p>
    <w:p w:rsidR="009B4233" w:rsidRDefault="009B4233">
      <w:pPr>
        <w:jc w:val="both"/>
        <w:rPr>
          <w:rFonts w:ascii="Arial" w:hAnsi="Arial" w:cs="Arial"/>
          <w:b/>
          <w:sz w:val="22"/>
          <w:szCs w:val="22"/>
        </w:rPr>
      </w:pPr>
    </w:p>
    <w:p w:rsidR="009B4233" w:rsidRDefault="006B08B9">
      <w:pPr>
        <w:jc w:val="both"/>
        <w:rPr>
          <w:rFonts w:ascii="Arial" w:hAnsi="Arial" w:cs="Arial"/>
          <w:b/>
          <w:sz w:val="22"/>
          <w:szCs w:val="22"/>
        </w:rPr>
      </w:pPr>
      <w:r>
        <w:rPr>
          <w:rFonts w:ascii="Arial" w:hAnsi="Arial" w:cs="Arial"/>
          <w:b/>
          <w:sz w:val="22"/>
          <w:szCs w:val="22"/>
        </w:rPr>
        <w:t xml:space="preserve">Consta en el expediente Informe de Intervención emitido por Don Nicolás Rojo Garnica, que desempeña el puesto de trabajo de Interventor Municipal, de 15 de septiembre de </w:t>
      </w:r>
      <w:r>
        <w:rPr>
          <w:rFonts w:ascii="Arial" w:hAnsi="Arial" w:cs="Arial"/>
          <w:b/>
          <w:sz w:val="22"/>
          <w:szCs w:val="22"/>
        </w:rPr>
        <w:t>2025, del siguiente tenor literal:</w:t>
      </w: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6B08B9">
      <w:pPr>
        <w:spacing w:after="582" w:line="249" w:lineRule="auto"/>
        <w:ind w:right="4"/>
        <w:jc w:val="center"/>
      </w:pPr>
      <w:r>
        <w:rPr>
          <w:rFonts w:ascii="Arial" w:eastAsia="Arial" w:hAnsi="Arial" w:cs="Arial"/>
          <w:b/>
          <w:sz w:val="22"/>
          <w:szCs w:val="22"/>
          <w:u w:val="single" w:color="000000"/>
        </w:rPr>
        <w:t>“INFORME DE INTERVENCIÓN</w:t>
      </w:r>
    </w:p>
    <w:p w:rsidR="009B4233" w:rsidRDefault="006B08B9">
      <w:pPr>
        <w:ind w:left="-15" w:right="-9"/>
        <w:jc w:val="both"/>
        <w:rPr>
          <w:rFonts w:ascii="Arial" w:hAnsi="Arial" w:cs="Arial"/>
          <w:sz w:val="22"/>
          <w:szCs w:val="22"/>
        </w:rPr>
      </w:pPr>
      <w:r>
        <w:rPr>
          <w:rFonts w:ascii="Arial" w:hAnsi="Arial" w:cs="Arial"/>
          <w:sz w:val="22"/>
          <w:szCs w:val="22"/>
        </w:rPr>
        <w:t xml:space="preserve">El expediente de la Cuenta General del ejercicio 2024, una vez dictaminada por la Comisión Especial de Cuentas, el 30 de julio de 2025, se ha publicado en el BOP de fecha 4 de agosto de 2025, y </w:t>
      </w:r>
      <w:r>
        <w:rPr>
          <w:rFonts w:ascii="Arial" w:hAnsi="Arial" w:cs="Arial"/>
          <w:sz w:val="22"/>
          <w:szCs w:val="22"/>
        </w:rPr>
        <w:t>expuesto al público por un plazo de 15 días hábiles, conforme al artículo 209 del Real Decreto Legislativo 2/2004, de 5 de marzo, por el que se aprueba el Texto Refundido de la Ley Reguladora de las Haciendas Locales a efectos de presentar alegaciones cont</w:t>
      </w:r>
      <w:r>
        <w:rPr>
          <w:rFonts w:ascii="Arial" w:hAnsi="Arial" w:cs="Arial"/>
          <w:sz w:val="22"/>
          <w:szCs w:val="22"/>
        </w:rPr>
        <w:t>ra el mismo.</w:t>
      </w:r>
    </w:p>
    <w:p w:rsidR="009B4233" w:rsidRDefault="009B4233">
      <w:pPr>
        <w:ind w:left="-15" w:right="-9"/>
        <w:jc w:val="both"/>
        <w:rPr>
          <w:rFonts w:ascii="Arial" w:hAnsi="Arial" w:cs="Arial"/>
          <w:sz w:val="22"/>
          <w:szCs w:val="22"/>
        </w:rPr>
      </w:pPr>
    </w:p>
    <w:p w:rsidR="009B4233" w:rsidRDefault="006B08B9">
      <w:pPr>
        <w:spacing w:after="616"/>
        <w:ind w:left="-15" w:right="-9"/>
        <w:jc w:val="both"/>
        <w:rPr>
          <w:rFonts w:ascii="Arial" w:hAnsi="Arial" w:cs="Arial"/>
          <w:sz w:val="22"/>
          <w:szCs w:val="22"/>
        </w:rPr>
      </w:pPr>
      <w:r>
        <w:rPr>
          <w:rFonts w:ascii="Arial" w:hAnsi="Arial" w:cs="Arial"/>
          <w:sz w:val="22"/>
          <w:szCs w:val="22"/>
        </w:rPr>
        <w:t>Este Interventor, Informa que, consultado el registro de entrada del Ayuntamiento de Candelaria, en relación al Anuncio de Cuenta General del ejercicio 2024, desde el 5 al 26 de agosto de 2025, no constan presentadas alegaciones al mismo.”</w:t>
      </w:r>
    </w:p>
    <w:p w:rsidR="009B4233" w:rsidRDefault="009B4233">
      <w:pPr>
        <w:spacing w:after="616"/>
        <w:ind w:left="-15" w:right="-9"/>
        <w:jc w:val="both"/>
        <w:rPr>
          <w:rFonts w:ascii="Arial" w:hAnsi="Arial" w:cs="Arial"/>
          <w:sz w:val="22"/>
          <w:szCs w:val="22"/>
        </w:rPr>
      </w:pPr>
    </w:p>
    <w:p w:rsidR="009B4233" w:rsidRDefault="009B4233">
      <w:pPr>
        <w:spacing w:after="616"/>
        <w:ind w:left="-15" w:right="-9"/>
        <w:jc w:val="both"/>
        <w:rPr>
          <w:rFonts w:ascii="Arial" w:hAnsi="Arial" w:cs="Arial"/>
          <w:sz w:val="22"/>
          <w:szCs w:val="22"/>
        </w:rPr>
      </w:pPr>
    </w:p>
    <w:p w:rsidR="009B4233" w:rsidRDefault="009B4233">
      <w:pPr>
        <w:spacing w:after="616"/>
        <w:ind w:left="-15" w:right="-9"/>
        <w:jc w:val="both"/>
        <w:rPr>
          <w:rFonts w:ascii="Arial" w:hAnsi="Arial" w:cs="Arial"/>
          <w:sz w:val="22"/>
          <w:szCs w:val="22"/>
        </w:rPr>
      </w:pPr>
    </w:p>
    <w:p w:rsidR="009B4233" w:rsidRDefault="006B08B9">
      <w:pPr>
        <w:spacing w:after="616"/>
        <w:ind w:left="-15" w:right="-9"/>
        <w:jc w:val="both"/>
      </w:pPr>
      <w:r>
        <w:rPr>
          <w:rFonts w:ascii="Arial" w:hAnsi="Arial" w:cs="Arial"/>
          <w:b/>
          <w:sz w:val="22"/>
          <w:szCs w:val="22"/>
        </w:rPr>
        <w:t>Consta en el expediente Informe de Intervención emitido por Don Nicolás Rojo Garnica, que desempeña el puesto de trabajo de Interventor Municipal, de 15 de septiembre de 2025, del siguiente tenor literal:</w:t>
      </w: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6B08B9">
      <w:pPr>
        <w:spacing w:after="264"/>
        <w:ind w:left="-5" w:right="486"/>
        <w:jc w:val="center"/>
        <w:rPr>
          <w:rFonts w:ascii="Arial" w:hAnsi="Arial" w:cs="Arial"/>
          <w:b/>
          <w:sz w:val="22"/>
          <w:szCs w:val="22"/>
        </w:rPr>
      </w:pPr>
      <w:r>
        <w:rPr>
          <w:rFonts w:ascii="Arial" w:hAnsi="Arial" w:cs="Arial"/>
          <w:b/>
          <w:sz w:val="22"/>
          <w:szCs w:val="22"/>
        </w:rPr>
        <w:t>“INFORME DE INTERVENCIÓN</w:t>
      </w:r>
    </w:p>
    <w:p w:rsidR="009B4233" w:rsidRDefault="006B08B9">
      <w:pPr>
        <w:spacing w:line="264" w:lineRule="auto"/>
        <w:ind w:left="-5"/>
      </w:pPr>
      <w:r>
        <w:rPr>
          <w:rFonts w:ascii="Arial" w:eastAsia="Calibri" w:hAnsi="Arial" w:cs="Arial"/>
          <w:b/>
          <w:sz w:val="22"/>
          <w:szCs w:val="22"/>
        </w:rPr>
        <w:t>ASUNTO: APROBACIÓN DEFI</w:t>
      </w:r>
      <w:r>
        <w:rPr>
          <w:rFonts w:ascii="Arial" w:eastAsia="Calibri" w:hAnsi="Arial" w:cs="Arial"/>
          <w:b/>
          <w:sz w:val="22"/>
          <w:szCs w:val="22"/>
        </w:rPr>
        <w:t>NITIVA DE LA CUENTA GENERAL DEL EJERCICIO 2024</w:t>
      </w:r>
    </w:p>
    <w:p w:rsidR="009B4233" w:rsidRDefault="006B08B9">
      <w:pPr>
        <w:spacing w:after="651" w:line="249" w:lineRule="auto"/>
        <w:ind w:left="4" w:right="-564"/>
      </w:pPr>
      <w:r>
        <w:rPr>
          <w:rFonts w:ascii="Arial" w:hAnsi="Arial" w:cs="Arial"/>
          <w:noProof/>
          <w:sz w:val="22"/>
          <w:szCs w:val="22"/>
          <w:lang w:eastAsia="es-ES" w:bidi="ar-SA"/>
        </w:rPr>
        <mc:AlternateContent>
          <mc:Choice Requires="wps">
            <w:drawing>
              <wp:anchor distT="0" distB="0" distL="114300" distR="114300" simplePos="0" relativeHeight="251652608" behindDoc="0" locked="0" layoutInCell="1" allowOverlap="1">
                <wp:simplePos x="0" y="0"/>
                <wp:positionH relativeFrom="column">
                  <wp:posOffset>0</wp:posOffset>
                </wp:positionH>
                <wp:positionV relativeFrom="paragraph">
                  <wp:posOffset>0</wp:posOffset>
                </wp:positionV>
                <wp:extent cx="6059171" cy="0"/>
                <wp:effectExtent l="19050" t="19050" r="36829" b="38100"/>
                <wp:wrapSquare wrapText="bothSides"/>
                <wp:docPr id="13" name="Grupo 4675"/>
                <wp:cNvGraphicFramePr/>
                <a:graphic xmlns:a="http://schemas.openxmlformats.org/drawingml/2006/main">
                  <a:graphicData uri="http://schemas.microsoft.com/office/word/2010/wordprocessingShape">
                    <wps:wsp>
                      <wps:cNvSpPr/>
                      <wps:spPr>
                        <a:xfrm>
                          <a:off x="0" y="0"/>
                          <a:ext cx="6059171" cy="0"/>
                        </a:xfrm>
                        <a:custGeom>
                          <a:avLst/>
                          <a:gdLst>
                            <a:gd name="f0" fmla="val w"/>
                            <a:gd name="f1" fmla="val h"/>
                            <a:gd name="f2" fmla="val ss"/>
                            <a:gd name="f3" fmla="val 0"/>
                            <a:gd name="f4" fmla="val 6059170"/>
                            <a:gd name="f5" fmla="abs f0"/>
                            <a:gd name="f6" fmla="abs f1"/>
                            <a:gd name="f7" fmla="abs f2"/>
                            <a:gd name="f8" fmla="*/ f0 1 6059170"/>
                            <a:gd name="f9" fmla="+- f3 0 f3"/>
                            <a:gd name="f10" fmla="+- f4 0 f3"/>
                            <a:gd name="f11" fmla="?: f5 f0 1"/>
                            <a:gd name="f12" fmla="?: f6 f1 1"/>
                            <a:gd name="f13" fmla="?: f7 f2 1"/>
                            <a:gd name="f14" fmla="*/ f10 1 6059170"/>
                            <a:gd name="f15" fmla="*/ f9 1 0"/>
                            <a:gd name="f16" fmla="*/ f11 1 6059170"/>
                            <a:gd name="f17" fmla="*/ f12 1 21600"/>
                            <a:gd name="f18" fmla="*/ 21600 f12 1"/>
                            <a:gd name="f19" fmla="*/ 0 1 f14"/>
                            <a:gd name="f20" fmla="*/ 6059170 1 f14"/>
                            <a:gd name="f21" fmla="*/ 0 1 f15"/>
                            <a:gd name="f22" fmla="min f17 f16"/>
                            <a:gd name="f23" fmla="*/ f18 1 f13"/>
                            <a:gd name="f24" fmla="*/ f19 f8 1"/>
                            <a:gd name="f25" fmla="*/ f20 f8 1"/>
                            <a:gd name="f26" fmla="val f23"/>
                            <a:gd name="f27" fmla="*/ f3 f22 1"/>
                            <a:gd name="f28" fmla="+- f26 0 f3"/>
                            <a:gd name="f29" fmla="*/ f28 1 0"/>
                            <a:gd name="f30" fmla="*/ f21 f29 1"/>
                            <a:gd name="f31" fmla="*/ f30 f22 1"/>
                          </a:gdLst>
                          <a:ahLst/>
                          <a:cxnLst>
                            <a:cxn ang="3cd4">
                              <a:pos x="hc" y="t"/>
                            </a:cxn>
                            <a:cxn ang="0">
                              <a:pos x="r" y="vc"/>
                            </a:cxn>
                            <a:cxn ang="cd4">
                              <a:pos x="hc" y="b"/>
                            </a:cxn>
                            <a:cxn ang="cd2">
                              <a:pos x="l" y="vc"/>
                            </a:cxn>
                          </a:cxnLst>
                          <a:rect l="f24" t="f31" r="f25" b="f31"/>
                          <a:pathLst>
                            <a:path w="6059170">
                              <a:moveTo>
                                <a:pt x="f3" y="f27"/>
                              </a:moveTo>
                              <a:lnTo>
                                <a:pt x="f4" y="f27"/>
                              </a:lnTo>
                            </a:path>
                          </a:pathLst>
                        </a:custGeom>
                        <a:noFill/>
                        <a:ln w="25402" cap="sq">
                          <a:solidFill>
                            <a:srgbClr val="993366"/>
                          </a:solidFill>
                          <a:prstDash val="solid"/>
                          <a:miter/>
                        </a:ln>
                      </wps:spPr>
                      <wps:bodyPr lIns="0" tIns="0" rIns="0" bIns="0"/>
                    </wps:wsp>
                  </a:graphicData>
                </a:graphic>
              </wp:anchor>
            </w:drawing>
          </mc:Choice>
          <mc:Fallback>
            <w:pict>
              <v:shape w14:anchorId="611FFDEB" id="Grupo 4675" o:spid="_x0000_s1026" style="position:absolute;margin-left:0;margin-top:0;width:477.1pt;height:0;z-index:251652608;visibility:visible;mso-wrap-style:square;mso-wrap-distance-left:9pt;mso-wrap-distance-top:0;mso-wrap-distance-right:9pt;mso-wrap-distance-bottom:0;mso-position-horizontal:absolute;mso-position-horizontal-relative:text;mso-position-vertical:absolute;mso-position-vertical-relative:text;v-text-anchor:top" coordsize="60591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" path="m,l6059170,e" filled="f" strokecolor="#936" strokeweight=".70561mm">
                <v:stroke joinstyle="miter" endcap="square"/>
                <v:path arrowok="t" o:connecttype="custom" o:connectlocs="3029586,0;6059171,1;3029586,1;0,1" o:connectangles="270,0,90,180" textboxrect="0,0,6059170,0"/>
                <w10:wrap type="square"/>
              </v:shape>
            </w:pict>
          </mc:Fallback>
        </mc:AlternateContent>
      </w:r>
    </w:p>
    <w:p w:rsidR="009B4233" w:rsidRDefault="006B08B9">
      <w:pPr>
        <w:spacing w:after="110"/>
        <w:ind w:left="-15" w:right="486" w:firstLine="708"/>
        <w:jc w:val="both"/>
        <w:rPr>
          <w:rFonts w:ascii="Arial" w:hAnsi="Arial" w:cs="Arial"/>
          <w:sz w:val="22"/>
          <w:szCs w:val="22"/>
        </w:rPr>
      </w:pPr>
      <w:r>
        <w:rPr>
          <w:rFonts w:ascii="Arial" w:hAnsi="Arial" w:cs="Arial"/>
          <w:sz w:val="22"/>
          <w:szCs w:val="22"/>
        </w:rPr>
        <w:t>Con fecha 30 de julio de 2025, se dictaminó la Cuenta General del ejercicio 2024, publicándose en el Boletín Oficial de la Provincia, de fecha 4 de agosto de 2025, exponiéndose durante un plazo de 15 días, d</w:t>
      </w:r>
      <w:r>
        <w:rPr>
          <w:rFonts w:ascii="Arial" w:hAnsi="Arial" w:cs="Arial"/>
          <w:sz w:val="22"/>
          <w:szCs w:val="22"/>
        </w:rPr>
        <w:t xml:space="preserve">onde los cuales los interesados podrán presentar reclamaciones, reparos y observaciones. </w:t>
      </w:r>
    </w:p>
    <w:p w:rsidR="009B4233" w:rsidRDefault="006B08B9">
      <w:pPr>
        <w:spacing w:after="386"/>
        <w:ind w:left="-15" w:right="486" w:firstLine="708"/>
        <w:jc w:val="both"/>
        <w:rPr>
          <w:rFonts w:ascii="Arial" w:hAnsi="Arial" w:cs="Arial"/>
          <w:sz w:val="22"/>
          <w:szCs w:val="22"/>
        </w:rPr>
      </w:pPr>
      <w:r>
        <w:rPr>
          <w:rFonts w:ascii="Arial" w:hAnsi="Arial" w:cs="Arial"/>
          <w:sz w:val="22"/>
          <w:szCs w:val="22"/>
        </w:rPr>
        <w:t xml:space="preserve">Una vez finalizado el plazo de exposición al público, el día 26 de agosto de 2025, se emite, por el interventor municipal, informe señalando “Que consultado el </w:t>
      </w:r>
      <w:r>
        <w:rPr>
          <w:rFonts w:ascii="Arial" w:hAnsi="Arial" w:cs="Arial"/>
          <w:sz w:val="22"/>
          <w:szCs w:val="22"/>
        </w:rPr>
        <w:t>registro de entrada del Ayuntamiento de Candelaria, en relación al Anuncio de Cuenta General del ejercicio 2024, desde 5 al 26 de agosto de 2025, no constan presentadas alegaciones al mismo”.</w:t>
      </w:r>
    </w:p>
    <w:p w:rsidR="009B4233" w:rsidRDefault="006B08B9">
      <w:pPr>
        <w:spacing w:after="552" w:line="218" w:lineRule="auto"/>
        <w:ind w:left="-15" w:right="478" w:firstLine="698"/>
        <w:jc w:val="both"/>
      </w:pPr>
      <w:r>
        <w:rPr>
          <w:rFonts w:ascii="Arial" w:eastAsia="Calibri" w:hAnsi="Arial" w:cs="Arial"/>
          <w:sz w:val="22"/>
          <w:szCs w:val="22"/>
        </w:rPr>
        <w:t xml:space="preserve">La Cuenta General está integrada por las cuentas del </w:t>
      </w:r>
      <w:r>
        <w:rPr>
          <w:rFonts w:ascii="Arial" w:eastAsia="Calibri" w:hAnsi="Arial" w:cs="Arial"/>
          <w:sz w:val="22"/>
          <w:szCs w:val="22"/>
        </w:rPr>
        <w:t>Ayuntamiento de Candelaria, las de la Sociedad Municipal de Viviendas y Servicios Municipales de Candelaria SLU y las de la Entidad Pública Empresarial de Gestión de Empresas y Servicios Públicos del Ayuntamiento de Candelaria:</w:t>
      </w:r>
    </w:p>
    <w:p w:rsidR="009B4233" w:rsidRDefault="006B08B9">
      <w:pPr>
        <w:spacing w:after="236" w:line="249" w:lineRule="auto"/>
        <w:ind w:right="482"/>
        <w:jc w:val="center"/>
      </w:pPr>
      <w:r>
        <w:rPr>
          <w:rFonts w:ascii="Arial" w:eastAsia="Calibri" w:hAnsi="Arial" w:cs="Arial"/>
          <w:b/>
          <w:sz w:val="22"/>
          <w:szCs w:val="22"/>
        </w:rPr>
        <w:t>Ayuntamiento de Candelaria</w:t>
      </w:r>
    </w:p>
    <w:p w:rsidR="009B4233" w:rsidRDefault="006B08B9">
      <w:pPr>
        <w:spacing w:after="272" w:line="218" w:lineRule="auto"/>
        <w:ind w:left="-15" w:right="478"/>
        <w:jc w:val="both"/>
      </w:pPr>
      <w:r>
        <w:rPr>
          <w:rFonts w:ascii="Arial" w:eastAsia="Calibri" w:hAnsi="Arial" w:cs="Arial"/>
          <w:sz w:val="22"/>
          <w:szCs w:val="22"/>
        </w:rPr>
        <w:t>R</w:t>
      </w:r>
      <w:r>
        <w:rPr>
          <w:rFonts w:ascii="Arial" w:eastAsia="Calibri" w:hAnsi="Arial" w:cs="Arial"/>
          <w:sz w:val="22"/>
          <w:szCs w:val="22"/>
        </w:rPr>
        <w:t>ecoge las siguientes cuentas:</w:t>
      </w:r>
    </w:p>
    <w:p w:rsidR="009B4233" w:rsidRDefault="006B08B9">
      <w:pPr>
        <w:spacing w:after="230" w:line="264" w:lineRule="auto"/>
        <w:ind w:left="-5"/>
        <w:jc w:val="both"/>
      </w:pPr>
      <w:r>
        <w:rPr>
          <w:rFonts w:ascii="Arial" w:eastAsia="Calibri" w:hAnsi="Arial" w:cs="Arial"/>
          <w:sz w:val="22"/>
          <w:szCs w:val="22"/>
        </w:rPr>
        <w:t>1.-</w:t>
      </w:r>
      <w:r>
        <w:rPr>
          <w:rFonts w:ascii="Arial" w:eastAsia="Calibri" w:hAnsi="Arial" w:cs="Arial"/>
          <w:b/>
          <w:sz w:val="22"/>
          <w:szCs w:val="22"/>
        </w:rPr>
        <w:t xml:space="preserve">Balance </w:t>
      </w:r>
    </w:p>
    <w:p w:rsidR="009B4233" w:rsidRDefault="006B08B9">
      <w:pPr>
        <w:spacing w:after="230" w:line="264" w:lineRule="auto"/>
        <w:ind w:left="-5"/>
        <w:jc w:val="both"/>
      </w:pPr>
      <w:r>
        <w:rPr>
          <w:rFonts w:ascii="Arial" w:eastAsia="Calibri" w:hAnsi="Arial" w:cs="Arial"/>
          <w:sz w:val="22"/>
          <w:szCs w:val="22"/>
        </w:rPr>
        <w:t>2.-</w:t>
      </w:r>
      <w:r>
        <w:rPr>
          <w:rFonts w:ascii="Arial" w:eastAsia="Calibri" w:hAnsi="Arial" w:cs="Arial"/>
          <w:b/>
          <w:sz w:val="22"/>
          <w:szCs w:val="22"/>
        </w:rPr>
        <w:t>Cuenta del Resultado Económico Patrimonial Resultados del ejercicio</w:t>
      </w:r>
    </w:p>
    <w:p w:rsidR="009B4233" w:rsidRDefault="006B08B9">
      <w:pPr>
        <w:spacing w:after="272" w:line="218" w:lineRule="auto"/>
        <w:ind w:left="-15" w:right="478"/>
        <w:jc w:val="both"/>
      </w:pPr>
      <w:r>
        <w:rPr>
          <w:rFonts w:ascii="Arial" w:eastAsia="Calibri" w:hAnsi="Arial" w:cs="Arial"/>
          <w:sz w:val="22"/>
          <w:szCs w:val="22"/>
        </w:rPr>
        <w:t>3.-</w:t>
      </w:r>
      <w:r>
        <w:rPr>
          <w:rFonts w:ascii="Arial" w:eastAsia="Calibri" w:hAnsi="Arial" w:cs="Arial"/>
          <w:b/>
          <w:sz w:val="22"/>
          <w:szCs w:val="22"/>
        </w:rPr>
        <w:t xml:space="preserve">Liquidación del Presupuesto, </w:t>
      </w:r>
      <w:r>
        <w:rPr>
          <w:rFonts w:ascii="Arial" w:eastAsia="Calibri" w:hAnsi="Arial" w:cs="Arial"/>
          <w:sz w:val="22"/>
          <w:szCs w:val="22"/>
        </w:rPr>
        <w:t>cuyos resultados son los que a continuación se detallan:</w:t>
      </w:r>
    </w:p>
    <w:p w:rsidR="009B4233" w:rsidRDefault="009B4233">
      <w:pPr>
        <w:spacing w:after="272" w:line="218" w:lineRule="auto"/>
        <w:ind w:left="-15" w:right="478"/>
        <w:jc w:val="both"/>
        <w:rPr>
          <w:rFonts w:ascii="Arial" w:hAnsi="Arial" w:cs="Arial"/>
          <w:sz w:val="22"/>
          <w:szCs w:val="22"/>
        </w:rPr>
      </w:pPr>
    </w:p>
    <w:p w:rsidR="009B4233" w:rsidRDefault="006B08B9">
      <w:pPr>
        <w:spacing w:line="264" w:lineRule="auto"/>
        <w:ind w:left="730"/>
        <w:jc w:val="center"/>
      </w:pPr>
      <w:r>
        <w:rPr>
          <w:rFonts w:ascii="Arial" w:eastAsia="Calibri" w:hAnsi="Arial" w:cs="Arial"/>
          <w:b/>
          <w:sz w:val="22"/>
          <w:szCs w:val="22"/>
        </w:rPr>
        <w:t>RESULTADO PRESUPUESTARIO</w:t>
      </w:r>
    </w:p>
    <w:p w:rsidR="009B4233" w:rsidRDefault="006B08B9">
      <w:pPr>
        <w:spacing w:after="338" w:line="249" w:lineRule="auto"/>
        <w:ind w:left="-2"/>
      </w:pPr>
      <w:r>
        <w:rPr>
          <w:rFonts w:ascii="Arial" w:hAnsi="Arial" w:cs="Arial"/>
          <w:noProof/>
          <w:sz w:val="22"/>
          <w:szCs w:val="22"/>
          <w:lang w:eastAsia="es-ES" w:bidi="ar-SA"/>
        </w:rPr>
        <w:drawing>
          <wp:inline distT="0" distB="0" distL="0" distR="0">
            <wp:extent cx="5608316" cy="2918463"/>
            <wp:effectExtent l="0" t="0" r="0" b="0"/>
            <wp:docPr id="14" name="Imagen 13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rcRect/>
                    <a:stretch>
                      <a:fillRect/>
                    </a:stretch>
                  </pic:blipFill>
                  <pic:spPr>
                    <a:xfrm>
                      <a:off x="0" y="0"/>
                      <a:ext cx="5608316" cy="2918463"/>
                    </a:xfrm>
                    <a:prstGeom prst="rect">
                      <a:avLst/>
                    </a:prstGeom>
                    <a:noFill/>
                    <a:ln>
                      <a:noFill/>
                      <a:prstDash/>
                    </a:ln>
                  </pic:spPr>
                </pic:pic>
              </a:graphicData>
            </a:graphic>
          </wp:inline>
        </w:drawing>
      </w:r>
    </w:p>
    <w:p w:rsidR="009B4233" w:rsidRDefault="006B08B9">
      <w:pPr>
        <w:spacing w:line="264" w:lineRule="auto"/>
        <w:ind w:left="-5"/>
      </w:pPr>
      <w:r>
        <w:rPr>
          <w:rFonts w:ascii="Arial" w:eastAsia="Calibri" w:hAnsi="Arial" w:cs="Arial"/>
          <w:b/>
          <w:sz w:val="22"/>
          <w:szCs w:val="22"/>
        </w:rPr>
        <w:t xml:space="preserve">         REMANENTE DE TESO</w:t>
      </w:r>
      <w:r>
        <w:rPr>
          <w:rFonts w:ascii="Arial" w:eastAsia="Calibri" w:hAnsi="Arial" w:cs="Arial"/>
          <w:b/>
          <w:sz w:val="22"/>
          <w:szCs w:val="22"/>
        </w:rPr>
        <w:t>RERIA</w:t>
      </w:r>
    </w:p>
    <w:p w:rsidR="009B4233" w:rsidRDefault="006B08B9">
      <w:pPr>
        <w:spacing w:after="543" w:line="249" w:lineRule="auto"/>
        <w:ind w:left="-2"/>
      </w:pPr>
      <w:r>
        <w:rPr>
          <w:rFonts w:ascii="Arial" w:hAnsi="Arial" w:cs="Arial"/>
          <w:noProof/>
          <w:sz w:val="22"/>
          <w:szCs w:val="22"/>
          <w:lang w:eastAsia="es-ES" w:bidi="ar-SA"/>
        </w:rPr>
        <w:drawing>
          <wp:inline distT="0" distB="0" distL="0" distR="0">
            <wp:extent cx="5539736" cy="3040379"/>
            <wp:effectExtent l="0" t="0" r="3814" b="7621"/>
            <wp:docPr id="15" name="Imagen 13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rcRect/>
                    <a:stretch>
                      <a:fillRect/>
                    </a:stretch>
                  </pic:blipFill>
                  <pic:spPr>
                    <a:xfrm>
                      <a:off x="0" y="0"/>
                      <a:ext cx="5539736" cy="3040379"/>
                    </a:xfrm>
                    <a:prstGeom prst="rect">
                      <a:avLst/>
                    </a:prstGeom>
                    <a:noFill/>
                    <a:ln>
                      <a:noFill/>
                      <a:prstDash/>
                    </a:ln>
                  </pic:spPr>
                </pic:pic>
              </a:graphicData>
            </a:graphic>
          </wp:inline>
        </w:drawing>
      </w:r>
    </w:p>
    <w:p w:rsidR="009B4233" w:rsidRDefault="006B08B9">
      <w:pPr>
        <w:spacing w:after="272" w:line="218" w:lineRule="auto"/>
        <w:ind w:left="-15" w:right="478" w:firstLine="698"/>
        <w:jc w:val="both"/>
      </w:pPr>
      <w:r>
        <w:rPr>
          <w:rFonts w:ascii="Arial" w:eastAsia="Calibri" w:hAnsi="Arial" w:cs="Arial"/>
          <w:sz w:val="22"/>
          <w:szCs w:val="22"/>
        </w:rPr>
        <w:t xml:space="preserve">Hay que señalar que con la entrada en vigor de la Ley 27/2013, de 27 de diciembre, de racionalización y sostenibilidad de la Administración Local, se incluye un nuevo artículo 193 bis, en el Texto Refundido de la Ley reguladora de las Haciendas </w:t>
      </w:r>
      <w:r>
        <w:rPr>
          <w:rFonts w:ascii="Arial" w:eastAsia="Calibri" w:hAnsi="Arial" w:cs="Arial"/>
          <w:sz w:val="22"/>
          <w:szCs w:val="22"/>
        </w:rPr>
        <w:t xml:space="preserve">Locales, aprobado mediante </w:t>
      </w:r>
      <w:hyperlink r:id="rId17" w:history="1">
        <w:r>
          <w:rPr>
            <w:rFonts w:ascii="Arial" w:eastAsia="Calibri" w:hAnsi="Arial" w:cs="Arial"/>
            <w:color w:val="000080"/>
            <w:sz w:val="22"/>
            <w:szCs w:val="22"/>
            <w:u w:val="single" w:color="000080"/>
          </w:rPr>
          <w:t>Real Decreto Legislativo 2/2004,</w:t>
        </w:r>
      </w:hyperlink>
      <w:r>
        <w:rPr>
          <w:rFonts w:ascii="Arial" w:eastAsia="Calibri" w:hAnsi="Arial" w:cs="Arial"/>
          <w:color w:val="000080"/>
          <w:sz w:val="22"/>
          <w:szCs w:val="22"/>
        </w:rPr>
        <w:t xml:space="preserve"> </w:t>
      </w:r>
      <w:hyperlink r:id="rId18" w:history="1">
        <w:r>
          <w:rPr>
            <w:rFonts w:ascii="Arial" w:eastAsia="Calibri" w:hAnsi="Arial" w:cs="Arial"/>
            <w:color w:val="000080"/>
            <w:sz w:val="22"/>
            <w:szCs w:val="22"/>
            <w:u w:val="single" w:color="000080"/>
          </w:rPr>
          <w:t>de 5 de marzo</w:t>
        </w:r>
      </w:hyperlink>
      <w:r>
        <w:rPr>
          <w:rFonts w:ascii="Arial" w:eastAsia="Calibri" w:hAnsi="Arial" w:cs="Arial"/>
          <w:sz w:val="22"/>
          <w:szCs w:val="22"/>
        </w:rPr>
        <w:t xml:space="preserve">, establece un nuevo </w:t>
      </w:r>
      <w:r>
        <w:rPr>
          <w:rFonts w:ascii="Arial" w:eastAsia="Calibri" w:hAnsi="Arial" w:cs="Arial"/>
          <w:sz w:val="22"/>
          <w:szCs w:val="22"/>
        </w:rPr>
        <w:t>criterio de cálculo de los derechos de difícil o imposible recaudación, para su aplicación a partir del ejercicio 2014, quedando con la siguiente redacción:</w:t>
      </w:r>
    </w:p>
    <w:p w:rsidR="009B4233" w:rsidRDefault="006B08B9">
      <w:pPr>
        <w:spacing w:after="264"/>
        <w:ind w:left="-5" w:right="486"/>
        <w:rPr>
          <w:rFonts w:ascii="Arial" w:hAnsi="Arial" w:cs="Arial"/>
          <w:sz w:val="22"/>
          <w:szCs w:val="22"/>
        </w:rPr>
      </w:pPr>
      <w:r>
        <w:rPr>
          <w:rFonts w:ascii="Arial" w:hAnsi="Arial" w:cs="Arial"/>
          <w:sz w:val="22"/>
          <w:szCs w:val="22"/>
        </w:rPr>
        <w:t xml:space="preserve">«Artículo 193 bis Derechos de difícil o imposible recaudación </w:t>
      </w:r>
    </w:p>
    <w:p w:rsidR="009B4233" w:rsidRDefault="006B08B9">
      <w:pPr>
        <w:spacing w:after="266"/>
        <w:ind w:left="-15" w:right="486" w:firstLine="708"/>
        <w:jc w:val="both"/>
        <w:rPr>
          <w:rFonts w:ascii="Arial" w:hAnsi="Arial" w:cs="Arial"/>
          <w:sz w:val="22"/>
          <w:szCs w:val="22"/>
        </w:rPr>
      </w:pPr>
      <w:r>
        <w:rPr>
          <w:rFonts w:ascii="Arial" w:hAnsi="Arial" w:cs="Arial"/>
          <w:sz w:val="22"/>
          <w:szCs w:val="22"/>
        </w:rPr>
        <w:t>Las Entidades Locales deberán inform</w:t>
      </w:r>
      <w:r>
        <w:rPr>
          <w:rFonts w:ascii="Arial" w:hAnsi="Arial" w:cs="Arial"/>
          <w:sz w:val="22"/>
          <w:szCs w:val="22"/>
        </w:rPr>
        <w:t>ar al Ministerio de Hacienda y Administraciones Públicas y a su Pleno, u órgano equivalente, del resultado de la aplicación de los criterios determinantes de los derechos de difícil o imposible recaudación con los siguientes límites mínimos:</w:t>
      </w:r>
    </w:p>
    <w:p w:rsidR="009B4233" w:rsidRDefault="006B08B9">
      <w:pPr>
        <w:widowControl/>
        <w:numPr>
          <w:ilvl w:val="0"/>
          <w:numId w:val="18"/>
        </w:numPr>
        <w:suppressAutoHyphens w:val="0"/>
        <w:spacing w:after="5" w:line="242" w:lineRule="auto"/>
        <w:ind w:right="486" w:hanging="10"/>
        <w:jc w:val="both"/>
        <w:textAlignment w:val="auto"/>
        <w:rPr>
          <w:rFonts w:ascii="Arial" w:hAnsi="Arial" w:cs="Arial"/>
          <w:sz w:val="22"/>
          <w:szCs w:val="22"/>
        </w:rPr>
      </w:pPr>
      <w:r>
        <w:rPr>
          <w:rFonts w:ascii="Arial" w:hAnsi="Arial" w:cs="Arial"/>
          <w:sz w:val="22"/>
          <w:szCs w:val="22"/>
        </w:rPr>
        <w:t>Los derechos p</w:t>
      </w:r>
      <w:r>
        <w:rPr>
          <w:rFonts w:ascii="Arial" w:hAnsi="Arial" w:cs="Arial"/>
          <w:sz w:val="22"/>
          <w:szCs w:val="22"/>
        </w:rPr>
        <w:t>endientes de cobro liquidados dentro de los presupuestos de los dos ejercicios anteriores al que corresponde la liquidación, se minorarán, como mínimo, en un 25 por ciento.</w:t>
      </w:r>
    </w:p>
    <w:p w:rsidR="009B4233" w:rsidRDefault="006B08B9">
      <w:pPr>
        <w:widowControl/>
        <w:numPr>
          <w:ilvl w:val="0"/>
          <w:numId w:val="18"/>
        </w:numPr>
        <w:suppressAutoHyphens w:val="0"/>
        <w:spacing w:after="5" w:line="242" w:lineRule="auto"/>
        <w:ind w:right="486" w:hanging="10"/>
        <w:jc w:val="both"/>
        <w:textAlignment w:val="auto"/>
        <w:rPr>
          <w:rFonts w:ascii="Arial" w:hAnsi="Arial" w:cs="Arial"/>
          <w:sz w:val="22"/>
          <w:szCs w:val="22"/>
        </w:rPr>
      </w:pPr>
      <w:r>
        <w:rPr>
          <w:rFonts w:ascii="Arial" w:hAnsi="Arial" w:cs="Arial"/>
          <w:sz w:val="22"/>
          <w:szCs w:val="22"/>
        </w:rPr>
        <w:t>Los derechos pendientes de cobro liquidados dentro de los presupuestos del ejercici</w:t>
      </w:r>
      <w:r>
        <w:rPr>
          <w:rFonts w:ascii="Arial" w:hAnsi="Arial" w:cs="Arial"/>
          <w:sz w:val="22"/>
          <w:szCs w:val="22"/>
        </w:rPr>
        <w:t>o tercero anterior al que corresponde la liquidación, se minorarán, como mínimo, en un 50 por ciento.</w:t>
      </w:r>
    </w:p>
    <w:p w:rsidR="009B4233" w:rsidRDefault="006B08B9">
      <w:pPr>
        <w:widowControl/>
        <w:numPr>
          <w:ilvl w:val="0"/>
          <w:numId w:val="18"/>
        </w:numPr>
        <w:suppressAutoHyphens w:val="0"/>
        <w:spacing w:after="5" w:line="242" w:lineRule="auto"/>
        <w:ind w:right="486" w:hanging="10"/>
        <w:jc w:val="both"/>
        <w:textAlignment w:val="auto"/>
        <w:rPr>
          <w:rFonts w:ascii="Arial" w:hAnsi="Arial" w:cs="Arial"/>
          <w:sz w:val="22"/>
          <w:szCs w:val="22"/>
        </w:rPr>
      </w:pPr>
      <w:r>
        <w:rPr>
          <w:rFonts w:ascii="Arial" w:hAnsi="Arial" w:cs="Arial"/>
          <w:sz w:val="22"/>
          <w:szCs w:val="22"/>
        </w:rPr>
        <w:t xml:space="preserve">Los derechos pendientes de cobro liquidados dentro de los presupuestos de los ejercicios cuarto a quinto anteriores al que corresponde la liquidación, se </w:t>
      </w:r>
      <w:r>
        <w:rPr>
          <w:rFonts w:ascii="Arial" w:hAnsi="Arial" w:cs="Arial"/>
          <w:sz w:val="22"/>
          <w:szCs w:val="22"/>
        </w:rPr>
        <w:t>minorarán, como mínimo, en un 75 por ciento.</w:t>
      </w:r>
    </w:p>
    <w:p w:rsidR="009B4233" w:rsidRDefault="006B08B9">
      <w:pPr>
        <w:widowControl/>
        <w:numPr>
          <w:ilvl w:val="0"/>
          <w:numId w:val="18"/>
        </w:numPr>
        <w:suppressAutoHyphens w:val="0"/>
        <w:spacing w:after="266" w:line="242" w:lineRule="auto"/>
        <w:ind w:right="486" w:hanging="10"/>
        <w:jc w:val="both"/>
        <w:textAlignment w:val="auto"/>
        <w:rPr>
          <w:rFonts w:ascii="Arial" w:hAnsi="Arial" w:cs="Arial"/>
          <w:sz w:val="22"/>
          <w:szCs w:val="22"/>
        </w:rPr>
      </w:pPr>
      <w:r>
        <w:rPr>
          <w:rFonts w:ascii="Arial" w:hAnsi="Arial" w:cs="Arial"/>
          <w:sz w:val="22"/>
          <w:szCs w:val="22"/>
        </w:rPr>
        <w:t>Los derechos pendientes de cobro liquidados dentro de los presupuestos de los restantes ejercicios anteriores al que corresponde la liquidación, se minorarán en un 100 por ciento.»</w:t>
      </w:r>
    </w:p>
    <w:p w:rsidR="009B4233" w:rsidRDefault="006B08B9">
      <w:pPr>
        <w:spacing w:after="272" w:line="218" w:lineRule="auto"/>
        <w:ind w:left="-15" w:right="478" w:firstLine="698"/>
        <w:jc w:val="both"/>
      </w:pPr>
      <w:r>
        <w:rPr>
          <w:rFonts w:ascii="Arial" w:eastAsia="Calibri" w:hAnsi="Arial" w:cs="Arial"/>
          <w:sz w:val="22"/>
          <w:szCs w:val="22"/>
        </w:rPr>
        <w:t xml:space="preserve">Este artículo modificado del </w:t>
      </w:r>
      <w:r>
        <w:rPr>
          <w:rFonts w:ascii="Arial" w:eastAsia="Calibri" w:hAnsi="Arial" w:cs="Arial"/>
          <w:sz w:val="22"/>
          <w:szCs w:val="22"/>
        </w:rPr>
        <w:t>Texto Refundido de la Ley Reguladora de las Haciendas Locales, ha dado lugar a su reflejo en las Bases de Ejecución del Presupuesto General vigente.</w:t>
      </w:r>
    </w:p>
    <w:p w:rsidR="009B4233" w:rsidRDefault="006B08B9">
      <w:pPr>
        <w:ind w:left="-15" w:right="486" w:firstLine="708"/>
        <w:jc w:val="both"/>
        <w:rPr>
          <w:rFonts w:ascii="Arial" w:hAnsi="Arial" w:cs="Arial"/>
          <w:sz w:val="22"/>
          <w:szCs w:val="22"/>
        </w:rPr>
      </w:pPr>
      <w:r>
        <w:rPr>
          <w:rFonts w:ascii="Arial" w:hAnsi="Arial" w:cs="Arial"/>
          <w:sz w:val="22"/>
          <w:szCs w:val="22"/>
        </w:rPr>
        <w:t>Así, de los datos obtenidos de ejercicios cerrados, tenemos detallados los importes cobrados en dichos ejer</w:t>
      </w:r>
      <w:r>
        <w:rPr>
          <w:rFonts w:ascii="Arial" w:hAnsi="Arial" w:cs="Arial"/>
          <w:sz w:val="22"/>
          <w:szCs w:val="22"/>
        </w:rPr>
        <w:t>cicios, la cantidad que está pendiente de cobro y el saldo de dudoso cobro, de acuerdo con los porcentajes establecidos en las Bases del Presupuesto:</w:t>
      </w:r>
    </w:p>
    <w:tbl>
      <w:tblPr>
        <w:tblW w:w="9172" w:type="dxa"/>
        <w:tblInd w:w="-120" w:type="dxa"/>
        <w:tblCellMar>
          <w:left w:w="10" w:type="dxa"/>
          <w:right w:w="10" w:type="dxa"/>
        </w:tblCellMar>
        <w:tblLook w:val="0000" w:firstRow="0" w:lastRow="0" w:firstColumn="0" w:lastColumn="0" w:noHBand="0" w:noVBand="0"/>
      </w:tblPr>
      <w:tblGrid>
        <w:gridCol w:w="2048"/>
        <w:gridCol w:w="2256"/>
        <w:gridCol w:w="1733"/>
        <w:gridCol w:w="272"/>
        <w:gridCol w:w="265"/>
        <w:gridCol w:w="2598"/>
      </w:tblGrid>
      <w:tr w:rsidR="009B4233">
        <w:tblPrEx>
          <w:tblCellMar>
            <w:top w:w="0" w:type="dxa"/>
            <w:bottom w:w="0" w:type="dxa"/>
          </w:tblCellMar>
        </w:tblPrEx>
        <w:trPr>
          <w:trHeight w:val="770"/>
        </w:trPr>
        <w:tc>
          <w:tcPr>
            <w:tcW w:w="2048" w:type="dxa"/>
            <w:tcBorders>
              <w:top w:val="single" w:sz="4" w:space="0" w:color="000000"/>
              <w:left w:val="single" w:sz="4" w:space="0" w:color="000000"/>
              <w:bottom w:val="single" w:sz="4" w:space="0" w:color="000000"/>
              <w:right w:val="single" w:sz="4" w:space="0" w:color="000000"/>
            </w:tcBorders>
            <w:shd w:val="clear" w:color="auto" w:fill="auto"/>
            <w:tcMar>
              <w:top w:w="12" w:type="dxa"/>
              <w:left w:w="0" w:type="dxa"/>
              <w:bottom w:w="0" w:type="dxa"/>
              <w:right w:w="43" w:type="dxa"/>
            </w:tcMar>
          </w:tcPr>
          <w:p w:rsidR="009B4233" w:rsidRDefault="006B08B9">
            <w:pPr>
              <w:spacing w:line="249" w:lineRule="auto"/>
              <w:ind w:left="110"/>
            </w:pPr>
            <w:r>
              <w:rPr>
                <w:rFonts w:ascii="Arial" w:eastAsia="Calibri" w:hAnsi="Arial" w:cs="Arial"/>
                <w:b/>
                <w:sz w:val="22"/>
                <w:szCs w:val="22"/>
              </w:rPr>
              <w:t>EJERCICIO</w:t>
            </w:r>
          </w:p>
        </w:tc>
        <w:tc>
          <w:tcPr>
            <w:tcW w:w="2256" w:type="dxa"/>
            <w:tcBorders>
              <w:top w:val="single" w:sz="4" w:space="0" w:color="000000"/>
              <w:left w:val="single" w:sz="4" w:space="0" w:color="000000"/>
              <w:bottom w:val="single" w:sz="4" w:space="0" w:color="000000"/>
              <w:right w:val="single" w:sz="4" w:space="0" w:color="000000"/>
            </w:tcBorders>
            <w:shd w:val="clear" w:color="auto" w:fill="auto"/>
            <w:tcMar>
              <w:top w:w="12" w:type="dxa"/>
              <w:left w:w="0" w:type="dxa"/>
              <w:bottom w:w="0" w:type="dxa"/>
              <w:right w:w="43" w:type="dxa"/>
            </w:tcMar>
          </w:tcPr>
          <w:p w:rsidR="009B4233" w:rsidRDefault="006B08B9">
            <w:pPr>
              <w:spacing w:line="249" w:lineRule="auto"/>
              <w:ind w:left="110"/>
            </w:pPr>
            <w:r>
              <w:rPr>
                <w:rFonts w:ascii="Arial" w:eastAsia="Calibri" w:hAnsi="Arial" w:cs="Arial"/>
                <w:b/>
                <w:sz w:val="22"/>
                <w:szCs w:val="22"/>
              </w:rPr>
              <w:t xml:space="preserve">IMPORTES </w:t>
            </w:r>
          </w:p>
          <w:p w:rsidR="009B4233" w:rsidRDefault="006B08B9">
            <w:pPr>
              <w:spacing w:line="249" w:lineRule="auto"/>
              <w:ind w:left="110"/>
            </w:pPr>
            <w:r>
              <w:rPr>
                <w:rFonts w:ascii="Arial" w:eastAsia="Calibri" w:hAnsi="Arial" w:cs="Arial"/>
                <w:b/>
                <w:sz w:val="22"/>
                <w:szCs w:val="22"/>
              </w:rPr>
              <w:t>COBRADOS 2024</w:t>
            </w:r>
          </w:p>
        </w:tc>
        <w:tc>
          <w:tcPr>
            <w:tcW w:w="1733" w:type="dxa"/>
            <w:tcBorders>
              <w:top w:val="single" w:sz="4" w:space="0" w:color="000000"/>
              <w:left w:val="single" w:sz="4" w:space="0" w:color="000000"/>
              <w:bottom w:val="single" w:sz="4" w:space="0" w:color="000000"/>
            </w:tcBorders>
            <w:shd w:val="clear" w:color="auto" w:fill="auto"/>
            <w:tcMar>
              <w:top w:w="12" w:type="dxa"/>
              <w:left w:w="0" w:type="dxa"/>
              <w:bottom w:w="0" w:type="dxa"/>
              <w:right w:w="43" w:type="dxa"/>
            </w:tcMar>
          </w:tcPr>
          <w:p w:rsidR="009B4233" w:rsidRDefault="006B08B9">
            <w:pPr>
              <w:spacing w:line="249" w:lineRule="auto"/>
              <w:ind w:left="110"/>
            </w:pPr>
            <w:r>
              <w:rPr>
                <w:rFonts w:ascii="Arial" w:eastAsia="Calibri" w:hAnsi="Arial" w:cs="Arial"/>
                <w:b/>
                <w:sz w:val="22"/>
                <w:szCs w:val="22"/>
              </w:rPr>
              <w:t xml:space="preserve">IMPORTES </w:t>
            </w:r>
          </w:p>
          <w:p w:rsidR="009B4233" w:rsidRDefault="006B08B9">
            <w:pPr>
              <w:spacing w:line="249" w:lineRule="auto"/>
              <w:ind w:left="110"/>
            </w:pPr>
            <w:r>
              <w:rPr>
                <w:rFonts w:ascii="Arial" w:eastAsia="Calibri" w:hAnsi="Arial" w:cs="Arial"/>
                <w:b/>
                <w:sz w:val="22"/>
                <w:szCs w:val="22"/>
              </w:rPr>
              <w:t>PENDIENTES</w:t>
            </w:r>
          </w:p>
          <w:p w:rsidR="009B4233" w:rsidRDefault="006B08B9">
            <w:pPr>
              <w:spacing w:line="249" w:lineRule="auto"/>
              <w:ind w:left="110"/>
            </w:pPr>
            <w:r>
              <w:rPr>
                <w:rFonts w:ascii="Arial" w:eastAsia="Calibri" w:hAnsi="Arial" w:cs="Arial"/>
                <w:b/>
                <w:sz w:val="22"/>
                <w:szCs w:val="22"/>
              </w:rPr>
              <w:t>31/12/2024</w:t>
            </w:r>
          </w:p>
        </w:tc>
        <w:tc>
          <w:tcPr>
            <w:tcW w:w="272" w:type="dxa"/>
            <w:tcBorders>
              <w:top w:val="single" w:sz="4" w:space="0" w:color="000000"/>
              <w:bottom w:val="single" w:sz="4" w:space="0" w:color="000000"/>
            </w:tcBorders>
            <w:shd w:val="clear" w:color="auto" w:fill="auto"/>
            <w:tcMar>
              <w:top w:w="12" w:type="dxa"/>
              <w:left w:w="0" w:type="dxa"/>
              <w:bottom w:w="0" w:type="dxa"/>
              <w:right w:w="43" w:type="dxa"/>
            </w:tcMar>
            <w:vAlign w:val="center"/>
          </w:tcPr>
          <w:p w:rsidR="009B4233" w:rsidRDefault="006B08B9">
            <w:pPr>
              <w:spacing w:line="249" w:lineRule="auto"/>
            </w:pPr>
            <w:r>
              <w:rPr>
                <w:rFonts w:ascii="Arial" w:eastAsia="Calibri" w:hAnsi="Arial" w:cs="Arial"/>
                <w:b/>
                <w:sz w:val="22"/>
                <w:szCs w:val="22"/>
              </w:rPr>
              <w:t xml:space="preserve"> </w:t>
            </w:r>
          </w:p>
        </w:tc>
        <w:tc>
          <w:tcPr>
            <w:tcW w:w="265" w:type="dxa"/>
            <w:tcBorders>
              <w:top w:val="single" w:sz="4" w:space="0" w:color="000000"/>
              <w:bottom w:val="single" w:sz="4" w:space="0" w:color="000000"/>
              <w:right w:val="single" w:sz="4" w:space="0" w:color="000000"/>
            </w:tcBorders>
            <w:shd w:val="clear" w:color="auto" w:fill="auto"/>
            <w:tcMar>
              <w:top w:w="12" w:type="dxa"/>
              <w:left w:w="0" w:type="dxa"/>
              <w:bottom w:w="0" w:type="dxa"/>
              <w:right w:w="43" w:type="dxa"/>
            </w:tcMar>
            <w:vAlign w:val="center"/>
          </w:tcPr>
          <w:p w:rsidR="009B4233" w:rsidRDefault="006B08B9">
            <w:pPr>
              <w:spacing w:line="249" w:lineRule="auto"/>
            </w:pPr>
            <w:r>
              <w:rPr>
                <w:rFonts w:ascii="Arial" w:eastAsia="Calibri" w:hAnsi="Arial" w:cs="Arial"/>
                <w:b/>
                <w:sz w:val="22"/>
                <w:szCs w:val="22"/>
              </w:rPr>
              <w:t xml:space="preserve">A </w:t>
            </w:r>
          </w:p>
        </w:tc>
        <w:tc>
          <w:tcPr>
            <w:tcW w:w="2598" w:type="dxa"/>
            <w:tcBorders>
              <w:top w:val="single" w:sz="4" w:space="0" w:color="000000"/>
              <w:left w:val="single" w:sz="4" w:space="0" w:color="000000"/>
              <w:bottom w:val="single" w:sz="4" w:space="0" w:color="000000"/>
              <w:right w:val="single" w:sz="4" w:space="0" w:color="000000"/>
            </w:tcBorders>
            <w:shd w:val="clear" w:color="auto" w:fill="auto"/>
            <w:tcMar>
              <w:top w:w="12" w:type="dxa"/>
              <w:left w:w="0" w:type="dxa"/>
              <w:bottom w:w="0" w:type="dxa"/>
              <w:right w:w="43" w:type="dxa"/>
            </w:tcMar>
          </w:tcPr>
          <w:p w:rsidR="009B4233" w:rsidRDefault="006B08B9">
            <w:pPr>
              <w:spacing w:line="249" w:lineRule="auto"/>
              <w:ind w:left="110"/>
            </w:pPr>
            <w:r>
              <w:rPr>
                <w:rFonts w:ascii="Arial" w:eastAsia="Calibri" w:hAnsi="Arial" w:cs="Arial"/>
                <w:b/>
                <w:sz w:val="22"/>
                <w:szCs w:val="22"/>
              </w:rPr>
              <w:t>SALDO</w:t>
            </w:r>
            <w:r>
              <w:rPr>
                <w:rFonts w:ascii="Arial" w:eastAsia="Calibri" w:hAnsi="Arial" w:cs="Arial"/>
                <w:b/>
                <w:sz w:val="22"/>
                <w:szCs w:val="22"/>
              </w:rPr>
              <w:tab/>
              <w:t xml:space="preserve"> </w:t>
            </w:r>
            <w:r>
              <w:rPr>
                <w:rFonts w:ascii="Arial" w:eastAsia="Calibri" w:hAnsi="Arial" w:cs="Arial"/>
                <w:b/>
                <w:sz w:val="22"/>
                <w:szCs w:val="22"/>
              </w:rPr>
              <w:tab/>
              <w:t>DUDOSO COBRO</w:t>
            </w:r>
          </w:p>
        </w:tc>
      </w:tr>
      <w:tr w:rsidR="009B4233">
        <w:tblPrEx>
          <w:tblCellMar>
            <w:top w:w="0" w:type="dxa"/>
            <w:bottom w:w="0" w:type="dxa"/>
          </w:tblCellMar>
        </w:tblPrEx>
        <w:trPr>
          <w:trHeight w:val="262"/>
        </w:trPr>
        <w:tc>
          <w:tcPr>
            <w:tcW w:w="2048" w:type="dxa"/>
            <w:tcBorders>
              <w:top w:val="single" w:sz="4" w:space="0" w:color="000000"/>
              <w:left w:val="single" w:sz="4" w:space="0" w:color="000000"/>
              <w:bottom w:val="single" w:sz="4" w:space="0" w:color="000000"/>
              <w:right w:val="single" w:sz="4" w:space="0" w:color="000000"/>
            </w:tcBorders>
            <w:shd w:val="clear" w:color="auto" w:fill="auto"/>
            <w:tcMar>
              <w:top w:w="12" w:type="dxa"/>
              <w:left w:w="0" w:type="dxa"/>
              <w:bottom w:w="0" w:type="dxa"/>
              <w:right w:w="43" w:type="dxa"/>
            </w:tcMar>
          </w:tcPr>
          <w:p w:rsidR="009B4233" w:rsidRDefault="006B08B9">
            <w:pPr>
              <w:spacing w:line="249" w:lineRule="auto"/>
              <w:ind w:left="110"/>
            </w:pPr>
            <w:r>
              <w:rPr>
                <w:rFonts w:ascii="Arial" w:eastAsia="Calibri" w:hAnsi="Arial" w:cs="Arial"/>
                <w:sz w:val="22"/>
                <w:szCs w:val="22"/>
              </w:rPr>
              <w:t>2023</w:t>
            </w:r>
          </w:p>
        </w:tc>
        <w:tc>
          <w:tcPr>
            <w:tcW w:w="2256" w:type="dxa"/>
            <w:tcBorders>
              <w:top w:val="single" w:sz="4" w:space="0" w:color="000000"/>
              <w:left w:val="single" w:sz="4" w:space="0" w:color="000000"/>
              <w:bottom w:val="single" w:sz="4" w:space="0" w:color="000000"/>
              <w:right w:val="single" w:sz="4" w:space="0" w:color="000000"/>
            </w:tcBorders>
            <w:shd w:val="clear" w:color="auto" w:fill="auto"/>
            <w:tcMar>
              <w:top w:w="12" w:type="dxa"/>
              <w:left w:w="0" w:type="dxa"/>
              <w:bottom w:w="0" w:type="dxa"/>
              <w:right w:w="43" w:type="dxa"/>
            </w:tcMar>
          </w:tcPr>
          <w:p w:rsidR="009B4233" w:rsidRDefault="006B08B9">
            <w:pPr>
              <w:spacing w:line="249" w:lineRule="auto"/>
              <w:ind w:left="110"/>
            </w:pPr>
            <w:r>
              <w:rPr>
                <w:rFonts w:ascii="Arial" w:eastAsia="Calibri" w:hAnsi="Arial" w:cs="Arial"/>
                <w:sz w:val="22"/>
                <w:szCs w:val="22"/>
              </w:rPr>
              <w:t>68.017,10 €</w:t>
            </w:r>
          </w:p>
        </w:tc>
        <w:tc>
          <w:tcPr>
            <w:tcW w:w="1733" w:type="dxa"/>
            <w:tcBorders>
              <w:top w:val="single" w:sz="4" w:space="0" w:color="000000"/>
              <w:left w:val="single" w:sz="4" w:space="0" w:color="000000"/>
              <w:bottom w:val="single" w:sz="4" w:space="0" w:color="000000"/>
            </w:tcBorders>
            <w:shd w:val="clear" w:color="auto" w:fill="auto"/>
            <w:tcMar>
              <w:top w:w="12" w:type="dxa"/>
              <w:left w:w="0" w:type="dxa"/>
              <w:bottom w:w="0" w:type="dxa"/>
              <w:right w:w="43" w:type="dxa"/>
            </w:tcMar>
          </w:tcPr>
          <w:p w:rsidR="009B4233" w:rsidRDefault="006B08B9">
            <w:pPr>
              <w:spacing w:line="249" w:lineRule="auto"/>
              <w:ind w:left="110"/>
            </w:pPr>
            <w:r>
              <w:rPr>
                <w:rFonts w:ascii="Arial" w:eastAsia="Calibri" w:hAnsi="Arial" w:cs="Arial"/>
                <w:sz w:val="22"/>
                <w:szCs w:val="22"/>
              </w:rPr>
              <w:t>87.341,09 €</w:t>
            </w:r>
          </w:p>
        </w:tc>
        <w:tc>
          <w:tcPr>
            <w:tcW w:w="272" w:type="dxa"/>
            <w:tcBorders>
              <w:top w:val="single" w:sz="4" w:space="0" w:color="000000"/>
              <w:bottom w:val="single" w:sz="4" w:space="0" w:color="000000"/>
            </w:tcBorders>
            <w:shd w:val="clear" w:color="auto" w:fill="auto"/>
            <w:tcMar>
              <w:top w:w="12" w:type="dxa"/>
              <w:left w:w="0" w:type="dxa"/>
              <w:bottom w:w="0" w:type="dxa"/>
              <w:right w:w="43" w:type="dxa"/>
            </w:tcMar>
          </w:tcPr>
          <w:p w:rsidR="009B4233" w:rsidRDefault="009B4233">
            <w:pPr>
              <w:spacing w:after="160" w:line="249" w:lineRule="auto"/>
              <w:rPr>
                <w:rFonts w:ascii="Arial" w:hAnsi="Arial" w:cs="Arial"/>
                <w:sz w:val="22"/>
                <w:szCs w:val="22"/>
              </w:rPr>
            </w:pPr>
          </w:p>
        </w:tc>
        <w:tc>
          <w:tcPr>
            <w:tcW w:w="265" w:type="dxa"/>
            <w:tcBorders>
              <w:top w:val="single" w:sz="4" w:space="0" w:color="000000"/>
              <w:bottom w:val="single" w:sz="4" w:space="0" w:color="000000"/>
              <w:right w:val="single" w:sz="4" w:space="0" w:color="000000"/>
            </w:tcBorders>
            <w:shd w:val="clear" w:color="auto" w:fill="auto"/>
            <w:tcMar>
              <w:top w:w="12" w:type="dxa"/>
              <w:left w:w="0" w:type="dxa"/>
              <w:bottom w:w="0" w:type="dxa"/>
              <w:right w:w="43" w:type="dxa"/>
            </w:tcMar>
          </w:tcPr>
          <w:p w:rsidR="009B4233" w:rsidRDefault="009B4233">
            <w:pPr>
              <w:spacing w:after="160" w:line="249" w:lineRule="auto"/>
              <w:rPr>
                <w:rFonts w:ascii="Arial" w:hAnsi="Arial" w:cs="Arial"/>
                <w:sz w:val="22"/>
                <w:szCs w:val="22"/>
              </w:rPr>
            </w:pPr>
          </w:p>
        </w:tc>
        <w:tc>
          <w:tcPr>
            <w:tcW w:w="2598" w:type="dxa"/>
            <w:tcBorders>
              <w:top w:val="single" w:sz="4" w:space="0" w:color="000000"/>
              <w:left w:val="single" w:sz="4" w:space="0" w:color="000000"/>
              <w:bottom w:val="single" w:sz="4" w:space="0" w:color="000000"/>
              <w:right w:val="single" w:sz="4" w:space="0" w:color="000000"/>
            </w:tcBorders>
            <w:shd w:val="clear" w:color="auto" w:fill="auto"/>
            <w:tcMar>
              <w:top w:w="12" w:type="dxa"/>
              <w:left w:w="0" w:type="dxa"/>
              <w:bottom w:w="0" w:type="dxa"/>
              <w:right w:w="43" w:type="dxa"/>
            </w:tcMar>
          </w:tcPr>
          <w:p w:rsidR="009B4233" w:rsidRDefault="006B08B9">
            <w:pPr>
              <w:spacing w:line="249" w:lineRule="auto"/>
              <w:ind w:left="110"/>
            </w:pPr>
            <w:r>
              <w:rPr>
                <w:rFonts w:ascii="Arial" w:eastAsia="Calibri" w:hAnsi="Arial" w:cs="Arial"/>
                <w:sz w:val="22"/>
                <w:szCs w:val="22"/>
              </w:rPr>
              <w:t>21.835,27 €</w:t>
            </w:r>
          </w:p>
        </w:tc>
      </w:tr>
      <w:tr w:rsidR="009B4233">
        <w:tblPrEx>
          <w:tblCellMar>
            <w:top w:w="0" w:type="dxa"/>
            <w:bottom w:w="0" w:type="dxa"/>
          </w:tblCellMar>
        </w:tblPrEx>
        <w:trPr>
          <w:trHeight w:val="264"/>
        </w:trPr>
        <w:tc>
          <w:tcPr>
            <w:tcW w:w="2048" w:type="dxa"/>
            <w:tcBorders>
              <w:top w:val="single" w:sz="4" w:space="0" w:color="000000"/>
              <w:left w:val="single" w:sz="4" w:space="0" w:color="000000"/>
              <w:bottom w:val="single" w:sz="4" w:space="0" w:color="000000"/>
              <w:right w:val="single" w:sz="4" w:space="0" w:color="000000"/>
            </w:tcBorders>
            <w:shd w:val="clear" w:color="auto" w:fill="auto"/>
            <w:tcMar>
              <w:top w:w="12" w:type="dxa"/>
              <w:left w:w="0" w:type="dxa"/>
              <w:bottom w:w="0" w:type="dxa"/>
              <w:right w:w="43" w:type="dxa"/>
            </w:tcMar>
          </w:tcPr>
          <w:p w:rsidR="009B4233" w:rsidRDefault="006B08B9">
            <w:pPr>
              <w:spacing w:line="249" w:lineRule="auto"/>
              <w:ind w:left="110"/>
            </w:pPr>
            <w:r>
              <w:rPr>
                <w:rFonts w:ascii="Arial" w:eastAsia="Calibri" w:hAnsi="Arial" w:cs="Arial"/>
                <w:sz w:val="22"/>
                <w:szCs w:val="22"/>
              </w:rPr>
              <w:t>2022</w:t>
            </w:r>
          </w:p>
        </w:tc>
        <w:tc>
          <w:tcPr>
            <w:tcW w:w="2256" w:type="dxa"/>
            <w:tcBorders>
              <w:top w:val="single" w:sz="4" w:space="0" w:color="000000"/>
              <w:left w:val="single" w:sz="4" w:space="0" w:color="000000"/>
              <w:bottom w:val="single" w:sz="4" w:space="0" w:color="000000"/>
              <w:right w:val="single" w:sz="4" w:space="0" w:color="000000"/>
            </w:tcBorders>
            <w:shd w:val="clear" w:color="auto" w:fill="auto"/>
            <w:tcMar>
              <w:top w:w="12" w:type="dxa"/>
              <w:left w:w="0" w:type="dxa"/>
              <w:bottom w:w="0" w:type="dxa"/>
              <w:right w:w="43" w:type="dxa"/>
            </w:tcMar>
          </w:tcPr>
          <w:p w:rsidR="009B4233" w:rsidRDefault="006B08B9">
            <w:pPr>
              <w:spacing w:line="249" w:lineRule="auto"/>
              <w:ind w:left="110"/>
            </w:pPr>
            <w:r>
              <w:rPr>
                <w:rFonts w:ascii="Arial" w:eastAsia="Calibri" w:hAnsi="Arial" w:cs="Arial"/>
                <w:sz w:val="22"/>
                <w:szCs w:val="22"/>
              </w:rPr>
              <w:t>58.023,15 €</w:t>
            </w:r>
          </w:p>
        </w:tc>
        <w:tc>
          <w:tcPr>
            <w:tcW w:w="1733" w:type="dxa"/>
            <w:tcBorders>
              <w:top w:val="single" w:sz="4" w:space="0" w:color="000000"/>
              <w:left w:val="single" w:sz="4" w:space="0" w:color="000000"/>
              <w:bottom w:val="single" w:sz="4" w:space="0" w:color="000000"/>
            </w:tcBorders>
            <w:shd w:val="clear" w:color="auto" w:fill="auto"/>
            <w:tcMar>
              <w:top w:w="12" w:type="dxa"/>
              <w:left w:w="0" w:type="dxa"/>
              <w:bottom w:w="0" w:type="dxa"/>
              <w:right w:w="43" w:type="dxa"/>
            </w:tcMar>
          </w:tcPr>
          <w:p w:rsidR="009B4233" w:rsidRDefault="006B08B9">
            <w:pPr>
              <w:spacing w:line="249" w:lineRule="auto"/>
              <w:ind w:left="110"/>
            </w:pPr>
            <w:r>
              <w:rPr>
                <w:rFonts w:ascii="Arial" w:eastAsia="Calibri" w:hAnsi="Arial" w:cs="Arial"/>
                <w:sz w:val="22"/>
                <w:szCs w:val="22"/>
              </w:rPr>
              <w:t>93.386,94 €</w:t>
            </w:r>
          </w:p>
        </w:tc>
        <w:tc>
          <w:tcPr>
            <w:tcW w:w="272" w:type="dxa"/>
            <w:tcBorders>
              <w:top w:val="single" w:sz="4" w:space="0" w:color="000000"/>
              <w:bottom w:val="single" w:sz="4" w:space="0" w:color="000000"/>
            </w:tcBorders>
            <w:shd w:val="clear" w:color="auto" w:fill="auto"/>
            <w:tcMar>
              <w:top w:w="12" w:type="dxa"/>
              <w:left w:w="0" w:type="dxa"/>
              <w:bottom w:w="0" w:type="dxa"/>
              <w:right w:w="43" w:type="dxa"/>
            </w:tcMar>
          </w:tcPr>
          <w:p w:rsidR="009B4233" w:rsidRDefault="009B4233">
            <w:pPr>
              <w:spacing w:after="160" w:line="249" w:lineRule="auto"/>
              <w:rPr>
                <w:rFonts w:ascii="Arial" w:hAnsi="Arial" w:cs="Arial"/>
                <w:sz w:val="22"/>
                <w:szCs w:val="22"/>
              </w:rPr>
            </w:pPr>
          </w:p>
        </w:tc>
        <w:tc>
          <w:tcPr>
            <w:tcW w:w="265" w:type="dxa"/>
            <w:tcBorders>
              <w:top w:val="single" w:sz="4" w:space="0" w:color="000000"/>
              <w:bottom w:val="single" w:sz="4" w:space="0" w:color="000000"/>
              <w:right w:val="single" w:sz="4" w:space="0" w:color="000000"/>
            </w:tcBorders>
            <w:shd w:val="clear" w:color="auto" w:fill="auto"/>
            <w:tcMar>
              <w:top w:w="12" w:type="dxa"/>
              <w:left w:w="0" w:type="dxa"/>
              <w:bottom w:w="0" w:type="dxa"/>
              <w:right w:w="43" w:type="dxa"/>
            </w:tcMar>
          </w:tcPr>
          <w:p w:rsidR="009B4233" w:rsidRDefault="009B4233">
            <w:pPr>
              <w:spacing w:after="160" w:line="249" w:lineRule="auto"/>
              <w:rPr>
                <w:rFonts w:ascii="Arial" w:hAnsi="Arial" w:cs="Arial"/>
                <w:sz w:val="22"/>
                <w:szCs w:val="22"/>
              </w:rPr>
            </w:pPr>
          </w:p>
        </w:tc>
        <w:tc>
          <w:tcPr>
            <w:tcW w:w="2598" w:type="dxa"/>
            <w:tcBorders>
              <w:top w:val="single" w:sz="4" w:space="0" w:color="000000"/>
              <w:left w:val="single" w:sz="4" w:space="0" w:color="000000"/>
              <w:bottom w:val="single" w:sz="4" w:space="0" w:color="000000"/>
              <w:right w:val="single" w:sz="4" w:space="0" w:color="000000"/>
            </w:tcBorders>
            <w:shd w:val="clear" w:color="auto" w:fill="auto"/>
            <w:tcMar>
              <w:top w:w="12" w:type="dxa"/>
              <w:left w:w="0" w:type="dxa"/>
              <w:bottom w:w="0" w:type="dxa"/>
              <w:right w:w="43" w:type="dxa"/>
            </w:tcMar>
          </w:tcPr>
          <w:p w:rsidR="009B4233" w:rsidRDefault="006B08B9">
            <w:pPr>
              <w:spacing w:line="249" w:lineRule="auto"/>
              <w:ind w:left="110"/>
            </w:pPr>
            <w:r>
              <w:rPr>
                <w:rFonts w:ascii="Arial" w:eastAsia="Calibri" w:hAnsi="Arial" w:cs="Arial"/>
                <w:sz w:val="22"/>
                <w:szCs w:val="22"/>
              </w:rPr>
              <w:t>23.346,74 €</w:t>
            </w:r>
          </w:p>
        </w:tc>
      </w:tr>
      <w:tr w:rsidR="009B4233">
        <w:tblPrEx>
          <w:tblCellMar>
            <w:top w:w="0" w:type="dxa"/>
            <w:bottom w:w="0" w:type="dxa"/>
          </w:tblCellMar>
        </w:tblPrEx>
        <w:trPr>
          <w:trHeight w:val="262"/>
        </w:trPr>
        <w:tc>
          <w:tcPr>
            <w:tcW w:w="2048" w:type="dxa"/>
            <w:tcBorders>
              <w:top w:val="single" w:sz="4" w:space="0" w:color="000000"/>
              <w:left w:val="single" w:sz="4" w:space="0" w:color="000000"/>
              <w:bottom w:val="single" w:sz="4" w:space="0" w:color="000000"/>
              <w:right w:val="single" w:sz="4" w:space="0" w:color="000000"/>
            </w:tcBorders>
            <w:shd w:val="clear" w:color="auto" w:fill="auto"/>
            <w:tcMar>
              <w:top w:w="12" w:type="dxa"/>
              <w:left w:w="0" w:type="dxa"/>
              <w:bottom w:w="0" w:type="dxa"/>
              <w:right w:w="43" w:type="dxa"/>
            </w:tcMar>
          </w:tcPr>
          <w:p w:rsidR="009B4233" w:rsidRDefault="006B08B9">
            <w:pPr>
              <w:spacing w:line="249" w:lineRule="auto"/>
              <w:ind w:left="110"/>
            </w:pPr>
            <w:r>
              <w:rPr>
                <w:rFonts w:ascii="Arial" w:eastAsia="Calibri" w:hAnsi="Arial" w:cs="Arial"/>
                <w:sz w:val="22"/>
                <w:szCs w:val="22"/>
              </w:rPr>
              <w:t>2021</w:t>
            </w:r>
          </w:p>
        </w:tc>
        <w:tc>
          <w:tcPr>
            <w:tcW w:w="2256" w:type="dxa"/>
            <w:tcBorders>
              <w:top w:val="single" w:sz="4" w:space="0" w:color="000000"/>
              <w:left w:val="single" w:sz="4" w:space="0" w:color="000000"/>
              <w:bottom w:val="single" w:sz="4" w:space="0" w:color="000000"/>
              <w:right w:val="single" w:sz="4" w:space="0" w:color="000000"/>
            </w:tcBorders>
            <w:shd w:val="clear" w:color="auto" w:fill="auto"/>
            <w:tcMar>
              <w:top w:w="12" w:type="dxa"/>
              <w:left w:w="0" w:type="dxa"/>
              <w:bottom w:w="0" w:type="dxa"/>
              <w:right w:w="43" w:type="dxa"/>
            </w:tcMar>
          </w:tcPr>
          <w:p w:rsidR="009B4233" w:rsidRDefault="006B08B9">
            <w:pPr>
              <w:spacing w:line="249" w:lineRule="auto"/>
              <w:ind w:left="110"/>
            </w:pPr>
            <w:r>
              <w:rPr>
                <w:rFonts w:ascii="Arial" w:eastAsia="Calibri" w:hAnsi="Arial" w:cs="Arial"/>
                <w:sz w:val="22"/>
                <w:szCs w:val="22"/>
              </w:rPr>
              <w:t>28.155,87 €</w:t>
            </w:r>
          </w:p>
        </w:tc>
        <w:tc>
          <w:tcPr>
            <w:tcW w:w="1733" w:type="dxa"/>
            <w:tcBorders>
              <w:top w:val="single" w:sz="4" w:space="0" w:color="000000"/>
              <w:left w:val="single" w:sz="4" w:space="0" w:color="000000"/>
              <w:bottom w:val="single" w:sz="4" w:space="0" w:color="000000"/>
            </w:tcBorders>
            <w:shd w:val="clear" w:color="auto" w:fill="auto"/>
            <w:tcMar>
              <w:top w:w="12" w:type="dxa"/>
              <w:left w:w="0" w:type="dxa"/>
              <w:bottom w:w="0" w:type="dxa"/>
              <w:right w:w="43" w:type="dxa"/>
            </w:tcMar>
          </w:tcPr>
          <w:p w:rsidR="009B4233" w:rsidRDefault="006B08B9">
            <w:pPr>
              <w:spacing w:line="249" w:lineRule="auto"/>
              <w:ind w:left="110"/>
            </w:pPr>
            <w:r>
              <w:rPr>
                <w:rFonts w:ascii="Arial" w:eastAsia="Calibri" w:hAnsi="Arial" w:cs="Arial"/>
                <w:sz w:val="22"/>
                <w:szCs w:val="22"/>
              </w:rPr>
              <w:t>137.845,17 €</w:t>
            </w:r>
          </w:p>
        </w:tc>
        <w:tc>
          <w:tcPr>
            <w:tcW w:w="272" w:type="dxa"/>
            <w:tcBorders>
              <w:top w:val="single" w:sz="4" w:space="0" w:color="000000"/>
              <w:bottom w:val="single" w:sz="4" w:space="0" w:color="000000"/>
            </w:tcBorders>
            <w:shd w:val="clear" w:color="auto" w:fill="auto"/>
            <w:tcMar>
              <w:top w:w="12" w:type="dxa"/>
              <w:left w:w="0" w:type="dxa"/>
              <w:bottom w:w="0" w:type="dxa"/>
              <w:right w:w="43" w:type="dxa"/>
            </w:tcMar>
          </w:tcPr>
          <w:p w:rsidR="009B4233" w:rsidRDefault="009B4233">
            <w:pPr>
              <w:spacing w:after="160" w:line="249" w:lineRule="auto"/>
              <w:rPr>
                <w:rFonts w:ascii="Arial" w:hAnsi="Arial" w:cs="Arial"/>
                <w:sz w:val="22"/>
                <w:szCs w:val="22"/>
              </w:rPr>
            </w:pPr>
          </w:p>
        </w:tc>
        <w:tc>
          <w:tcPr>
            <w:tcW w:w="265" w:type="dxa"/>
            <w:tcBorders>
              <w:top w:val="single" w:sz="4" w:space="0" w:color="000000"/>
              <w:bottom w:val="single" w:sz="4" w:space="0" w:color="000000"/>
              <w:right w:val="single" w:sz="4" w:space="0" w:color="000000"/>
            </w:tcBorders>
            <w:shd w:val="clear" w:color="auto" w:fill="auto"/>
            <w:tcMar>
              <w:top w:w="12" w:type="dxa"/>
              <w:left w:w="0" w:type="dxa"/>
              <w:bottom w:w="0" w:type="dxa"/>
              <w:right w:w="43" w:type="dxa"/>
            </w:tcMar>
          </w:tcPr>
          <w:p w:rsidR="009B4233" w:rsidRDefault="009B4233">
            <w:pPr>
              <w:spacing w:after="160" w:line="249" w:lineRule="auto"/>
              <w:rPr>
                <w:rFonts w:ascii="Arial" w:hAnsi="Arial" w:cs="Arial"/>
                <w:sz w:val="22"/>
                <w:szCs w:val="22"/>
              </w:rPr>
            </w:pPr>
          </w:p>
        </w:tc>
        <w:tc>
          <w:tcPr>
            <w:tcW w:w="2598" w:type="dxa"/>
            <w:tcBorders>
              <w:top w:val="single" w:sz="4" w:space="0" w:color="000000"/>
              <w:left w:val="single" w:sz="4" w:space="0" w:color="000000"/>
              <w:bottom w:val="single" w:sz="4" w:space="0" w:color="000000"/>
              <w:right w:val="single" w:sz="4" w:space="0" w:color="000000"/>
            </w:tcBorders>
            <w:shd w:val="clear" w:color="auto" w:fill="auto"/>
            <w:tcMar>
              <w:top w:w="12" w:type="dxa"/>
              <w:left w:w="0" w:type="dxa"/>
              <w:bottom w:w="0" w:type="dxa"/>
              <w:right w:w="43" w:type="dxa"/>
            </w:tcMar>
          </w:tcPr>
          <w:p w:rsidR="009B4233" w:rsidRDefault="006B08B9">
            <w:pPr>
              <w:spacing w:line="249" w:lineRule="auto"/>
              <w:ind w:left="110"/>
            </w:pPr>
            <w:r>
              <w:rPr>
                <w:rFonts w:ascii="Arial" w:eastAsia="Calibri" w:hAnsi="Arial" w:cs="Arial"/>
                <w:sz w:val="22"/>
                <w:szCs w:val="22"/>
              </w:rPr>
              <w:t>68.922,59 €</w:t>
            </w:r>
          </w:p>
        </w:tc>
      </w:tr>
      <w:tr w:rsidR="009B4233">
        <w:tblPrEx>
          <w:tblCellMar>
            <w:top w:w="0" w:type="dxa"/>
            <w:bottom w:w="0" w:type="dxa"/>
          </w:tblCellMar>
        </w:tblPrEx>
        <w:trPr>
          <w:trHeight w:val="264"/>
        </w:trPr>
        <w:tc>
          <w:tcPr>
            <w:tcW w:w="2048" w:type="dxa"/>
            <w:tcBorders>
              <w:top w:val="single" w:sz="4" w:space="0" w:color="000000"/>
              <w:left w:val="single" w:sz="4" w:space="0" w:color="000000"/>
              <w:bottom w:val="single" w:sz="4" w:space="0" w:color="000000"/>
              <w:right w:val="single" w:sz="4" w:space="0" w:color="000000"/>
            </w:tcBorders>
            <w:shd w:val="clear" w:color="auto" w:fill="auto"/>
            <w:tcMar>
              <w:top w:w="12" w:type="dxa"/>
              <w:left w:w="0" w:type="dxa"/>
              <w:bottom w:w="0" w:type="dxa"/>
              <w:right w:w="43" w:type="dxa"/>
            </w:tcMar>
          </w:tcPr>
          <w:p w:rsidR="009B4233" w:rsidRDefault="006B08B9">
            <w:pPr>
              <w:spacing w:line="249" w:lineRule="auto"/>
              <w:ind w:left="110"/>
            </w:pPr>
            <w:r>
              <w:rPr>
                <w:rFonts w:ascii="Arial" w:eastAsia="Calibri" w:hAnsi="Arial" w:cs="Arial"/>
                <w:sz w:val="22"/>
                <w:szCs w:val="22"/>
              </w:rPr>
              <w:t>2020</w:t>
            </w:r>
          </w:p>
        </w:tc>
        <w:tc>
          <w:tcPr>
            <w:tcW w:w="2256" w:type="dxa"/>
            <w:tcBorders>
              <w:top w:val="single" w:sz="4" w:space="0" w:color="000000"/>
              <w:left w:val="single" w:sz="4" w:space="0" w:color="000000"/>
              <w:bottom w:val="single" w:sz="4" w:space="0" w:color="000000"/>
              <w:right w:val="single" w:sz="4" w:space="0" w:color="000000"/>
            </w:tcBorders>
            <w:shd w:val="clear" w:color="auto" w:fill="auto"/>
            <w:tcMar>
              <w:top w:w="12" w:type="dxa"/>
              <w:left w:w="0" w:type="dxa"/>
              <w:bottom w:w="0" w:type="dxa"/>
              <w:right w:w="43" w:type="dxa"/>
            </w:tcMar>
          </w:tcPr>
          <w:p w:rsidR="009B4233" w:rsidRDefault="006B08B9">
            <w:pPr>
              <w:spacing w:line="249" w:lineRule="auto"/>
              <w:ind w:left="110"/>
            </w:pPr>
            <w:r>
              <w:rPr>
                <w:rFonts w:ascii="Arial" w:eastAsia="Calibri" w:hAnsi="Arial" w:cs="Arial"/>
                <w:sz w:val="22"/>
                <w:szCs w:val="22"/>
              </w:rPr>
              <w:t>4.630,34 €</w:t>
            </w:r>
          </w:p>
        </w:tc>
        <w:tc>
          <w:tcPr>
            <w:tcW w:w="1733" w:type="dxa"/>
            <w:tcBorders>
              <w:top w:val="single" w:sz="4" w:space="0" w:color="000000"/>
              <w:left w:val="single" w:sz="4" w:space="0" w:color="000000"/>
              <w:bottom w:val="single" w:sz="4" w:space="0" w:color="000000"/>
            </w:tcBorders>
            <w:shd w:val="clear" w:color="auto" w:fill="auto"/>
            <w:tcMar>
              <w:top w:w="12" w:type="dxa"/>
              <w:left w:w="0" w:type="dxa"/>
              <w:bottom w:w="0" w:type="dxa"/>
              <w:right w:w="43" w:type="dxa"/>
            </w:tcMar>
          </w:tcPr>
          <w:p w:rsidR="009B4233" w:rsidRDefault="006B08B9">
            <w:pPr>
              <w:spacing w:line="249" w:lineRule="auto"/>
              <w:ind w:left="110"/>
            </w:pPr>
            <w:r>
              <w:rPr>
                <w:rFonts w:ascii="Arial" w:eastAsia="Calibri" w:hAnsi="Arial" w:cs="Arial"/>
                <w:sz w:val="22"/>
                <w:szCs w:val="22"/>
              </w:rPr>
              <w:t>73.878,84 €</w:t>
            </w:r>
          </w:p>
        </w:tc>
        <w:tc>
          <w:tcPr>
            <w:tcW w:w="272" w:type="dxa"/>
            <w:tcBorders>
              <w:top w:val="single" w:sz="4" w:space="0" w:color="000000"/>
              <w:bottom w:val="single" w:sz="4" w:space="0" w:color="000000"/>
            </w:tcBorders>
            <w:shd w:val="clear" w:color="auto" w:fill="auto"/>
            <w:tcMar>
              <w:top w:w="12" w:type="dxa"/>
              <w:left w:w="0" w:type="dxa"/>
              <w:bottom w:w="0" w:type="dxa"/>
              <w:right w:w="43" w:type="dxa"/>
            </w:tcMar>
          </w:tcPr>
          <w:p w:rsidR="009B4233" w:rsidRDefault="009B4233">
            <w:pPr>
              <w:spacing w:after="160" w:line="249" w:lineRule="auto"/>
              <w:rPr>
                <w:rFonts w:ascii="Arial" w:hAnsi="Arial" w:cs="Arial"/>
                <w:sz w:val="22"/>
                <w:szCs w:val="22"/>
              </w:rPr>
            </w:pPr>
          </w:p>
        </w:tc>
        <w:tc>
          <w:tcPr>
            <w:tcW w:w="265" w:type="dxa"/>
            <w:tcBorders>
              <w:top w:val="single" w:sz="4" w:space="0" w:color="000000"/>
              <w:bottom w:val="single" w:sz="4" w:space="0" w:color="000000"/>
              <w:right w:val="single" w:sz="4" w:space="0" w:color="000000"/>
            </w:tcBorders>
            <w:shd w:val="clear" w:color="auto" w:fill="auto"/>
            <w:tcMar>
              <w:top w:w="12" w:type="dxa"/>
              <w:left w:w="0" w:type="dxa"/>
              <w:bottom w:w="0" w:type="dxa"/>
              <w:right w:w="43" w:type="dxa"/>
            </w:tcMar>
          </w:tcPr>
          <w:p w:rsidR="009B4233" w:rsidRDefault="009B4233">
            <w:pPr>
              <w:spacing w:after="160" w:line="249" w:lineRule="auto"/>
              <w:rPr>
                <w:rFonts w:ascii="Arial" w:hAnsi="Arial" w:cs="Arial"/>
                <w:sz w:val="22"/>
                <w:szCs w:val="22"/>
              </w:rPr>
            </w:pPr>
          </w:p>
        </w:tc>
        <w:tc>
          <w:tcPr>
            <w:tcW w:w="2598" w:type="dxa"/>
            <w:tcBorders>
              <w:top w:val="single" w:sz="4" w:space="0" w:color="000000"/>
              <w:left w:val="single" w:sz="4" w:space="0" w:color="000000"/>
              <w:bottom w:val="single" w:sz="4" w:space="0" w:color="000000"/>
              <w:right w:val="single" w:sz="4" w:space="0" w:color="000000"/>
            </w:tcBorders>
            <w:shd w:val="clear" w:color="auto" w:fill="auto"/>
            <w:tcMar>
              <w:top w:w="12" w:type="dxa"/>
              <w:left w:w="0" w:type="dxa"/>
              <w:bottom w:w="0" w:type="dxa"/>
              <w:right w:w="43" w:type="dxa"/>
            </w:tcMar>
          </w:tcPr>
          <w:p w:rsidR="009B4233" w:rsidRDefault="006B08B9">
            <w:pPr>
              <w:spacing w:line="249" w:lineRule="auto"/>
              <w:ind w:left="110"/>
            </w:pPr>
            <w:r>
              <w:rPr>
                <w:rFonts w:ascii="Arial" w:eastAsia="Calibri" w:hAnsi="Arial" w:cs="Arial"/>
                <w:sz w:val="22"/>
                <w:szCs w:val="22"/>
              </w:rPr>
              <w:t>55.409,13 €</w:t>
            </w:r>
          </w:p>
        </w:tc>
      </w:tr>
      <w:tr w:rsidR="009B4233">
        <w:tblPrEx>
          <w:tblCellMar>
            <w:top w:w="0" w:type="dxa"/>
            <w:bottom w:w="0" w:type="dxa"/>
          </w:tblCellMar>
        </w:tblPrEx>
        <w:trPr>
          <w:trHeight w:val="262"/>
        </w:trPr>
        <w:tc>
          <w:tcPr>
            <w:tcW w:w="2048" w:type="dxa"/>
            <w:tcBorders>
              <w:top w:val="single" w:sz="4" w:space="0" w:color="000000"/>
              <w:left w:val="single" w:sz="4" w:space="0" w:color="000000"/>
              <w:bottom w:val="single" w:sz="4" w:space="0" w:color="000000"/>
              <w:right w:val="single" w:sz="4" w:space="0" w:color="000000"/>
            </w:tcBorders>
            <w:shd w:val="clear" w:color="auto" w:fill="auto"/>
            <w:tcMar>
              <w:top w:w="12" w:type="dxa"/>
              <w:left w:w="0" w:type="dxa"/>
              <w:bottom w:w="0" w:type="dxa"/>
              <w:right w:w="43" w:type="dxa"/>
            </w:tcMar>
          </w:tcPr>
          <w:p w:rsidR="009B4233" w:rsidRDefault="006B08B9">
            <w:pPr>
              <w:spacing w:line="249" w:lineRule="auto"/>
              <w:ind w:left="110"/>
            </w:pPr>
            <w:r>
              <w:rPr>
                <w:rFonts w:ascii="Arial" w:eastAsia="Calibri" w:hAnsi="Arial" w:cs="Arial"/>
                <w:sz w:val="22"/>
                <w:szCs w:val="22"/>
              </w:rPr>
              <w:t>2019</w:t>
            </w:r>
          </w:p>
        </w:tc>
        <w:tc>
          <w:tcPr>
            <w:tcW w:w="2256" w:type="dxa"/>
            <w:tcBorders>
              <w:top w:val="single" w:sz="4" w:space="0" w:color="000000"/>
              <w:left w:val="single" w:sz="4" w:space="0" w:color="000000"/>
              <w:bottom w:val="single" w:sz="4" w:space="0" w:color="000000"/>
              <w:right w:val="single" w:sz="4" w:space="0" w:color="000000"/>
            </w:tcBorders>
            <w:shd w:val="clear" w:color="auto" w:fill="auto"/>
            <w:tcMar>
              <w:top w:w="12" w:type="dxa"/>
              <w:left w:w="0" w:type="dxa"/>
              <w:bottom w:w="0" w:type="dxa"/>
              <w:right w:w="43" w:type="dxa"/>
            </w:tcMar>
          </w:tcPr>
          <w:p w:rsidR="009B4233" w:rsidRDefault="006B08B9">
            <w:pPr>
              <w:spacing w:line="249" w:lineRule="auto"/>
              <w:ind w:left="110"/>
            </w:pPr>
            <w:r>
              <w:rPr>
                <w:rFonts w:ascii="Arial" w:eastAsia="Calibri" w:hAnsi="Arial" w:cs="Arial"/>
                <w:sz w:val="22"/>
                <w:szCs w:val="22"/>
              </w:rPr>
              <w:t>15.255,81 €</w:t>
            </w:r>
          </w:p>
        </w:tc>
        <w:tc>
          <w:tcPr>
            <w:tcW w:w="1733" w:type="dxa"/>
            <w:tcBorders>
              <w:top w:val="single" w:sz="4" w:space="0" w:color="000000"/>
              <w:left w:val="single" w:sz="4" w:space="0" w:color="000000"/>
              <w:bottom w:val="single" w:sz="4" w:space="0" w:color="000000"/>
            </w:tcBorders>
            <w:shd w:val="clear" w:color="auto" w:fill="auto"/>
            <w:tcMar>
              <w:top w:w="12" w:type="dxa"/>
              <w:left w:w="0" w:type="dxa"/>
              <w:bottom w:w="0" w:type="dxa"/>
              <w:right w:w="43" w:type="dxa"/>
            </w:tcMar>
          </w:tcPr>
          <w:p w:rsidR="009B4233" w:rsidRDefault="006B08B9">
            <w:pPr>
              <w:spacing w:line="249" w:lineRule="auto"/>
              <w:ind w:left="110"/>
            </w:pPr>
            <w:r>
              <w:rPr>
                <w:rFonts w:ascii="Arial" w:eastAsia="Calibri" w:hAnsi="Arial" w:cs="Arial"/>
                <w:sz w:val="22"/>
                <w:szCs w:val="22"/>
              </w:rPr>
              <w:t>59.260,30 €</w:t>
            </w:r>
          </w:p>
        </w:tc>
        <w:tc>
          <w:tcPr>
            <w:tcW w:w="272" w:type="dxa"/>
            <w:tcBorders>
              <w:top w:val="single" w:sz="4" w:space="0" w:color="000000"/>
              <w:bottom w:val="single" w:sz="4" w:space="0" w:color="000000"/>
            </w:tcBorders>
            <w:shd w:val="clear" w:color="auto" w:fill="auto"/>
            <w:tcMar>
              <w:top w:w="12" w:type="dxa"/>
              <w:left w:w="0" w:type="dxa"/>
              <w:bottom w:w="0" w:type="dxa"/>
              <w:right w:w="43" w:type="dxa"/>
            </w:tcMar>
          </w:tcPr>
          <w:p w:rsidR="009B4233" w:rsidRDefault="009B4233">
            <w:pPr>
              <w:spacing w:after="160" w:line="249" w:lineRule="auto"/>
              <w:rPr>
                <w:rFonts w:ascii="Arial" w:hAnsi="Arial" w:cs="Arial"/>
                <w:sz w:val="22"/>
                <w:szCs w:val="22"/>
              </w:rPr>
            </w:pPr>
          </w:p>
        </w:tc>
        <w:tc>
          <w:tcPr>
            <w:tcW w:w="265" w:type="dxa"/>
            <w:tcBorders>
              <w:top w:val="single" w:sz="4" w:space="0" w:color="000000"/>
              <w:bottom w:val="single" w:sz="4" w:space="0" w:color="000000"/>
              <w:right w:val="single" w:sz="4" w:space="0" w:color="000000"/>
            </w:tcBorders>
            <w:shd w:val="clear" w:color="auto" w:fill="auto"/>
            <w:tcMar>
              <w:top w:w="12" w:type="dxa"/>
              <w:left w:w="0" w:type="dxa"/>
              <w:bottom w:w="0" w:type="dxa"/>
              <w:right w:w="43" w:type="dxa"/>
            </w:tcMar>
          </w:tcPr>
          <w:p w:rsidR="009B4233" w:rsidRDefault="009B4233">
            <w:pPr>
              <w:spacing w:after="160" w:line="249" w:lineRule="auto"/>
              <w:rPr>
                <w:rFonts w:ascii="Arial" w:hAnsi="Arial" w:cs="Arial"/>
                <w:sz w:val="22"/>
                <w:szCs w:val="22"/>
              </w:rPr>
            </w:pPr>
          </w:p>
        </w:tc>
        <w:tc>
          <w:tcPr>
            <w:tcW w:w="2598" w:type="dxa"/>
            <w:tcBorders>
              <w:top w:val="single" w:sz="4" w:space="0" w:color="000000"/>
              <w:left w:val="single" w:sz="4" w:space="0" w:color="000000"/>
              <w:bottom w:val="single" w:sz="4" w:space="0" w:color="000000"/>
              <w:right w:val="single" w:sz="4" w:space="0" w:color="000000"/>
            </w:tcBorders>
            <w:shd w:val="clear" w:color="auto" w:fill="auto"/>
            <w:tcMar>
              <w:top w:w="12" w:type="dxa"/>
              <w:left w:w="0" w:type="dxa"/>
              <w:bottom w:w="0" w:type="dxa"/>
              <w:right w:w="43" w:type="dxa"/>
            </w:tcMar>
          </w:tcPr>
          <w:p w:rsidR="009B4233" w:rsidRDefault="006B08B9">
            <w:pPr>
              <w:spacing w:line="249" w:lineRule="auto"/>
              <w:ind w:left="110"/>
            </w:pPr>
            <w:r>
              <w:rPr>
                <w:rFonts w:ascii="Arial" w:eastAsia="Calibri" w:hAnsi="Arial" w:cs="Arial"/>
                <w:sz w:val="22"/>
                <w:szCs w:val="22"/>
              </w:rPr>
              <w:t>44.445,23 €</w:t>
            </w:r>
          </w:p>
        </w:tc>
      </w:tr>
      <w:tr w:rsidR="009B4233">
        <w:tblPrEx>
          <w:tblCellMar>
            <w:top w:w="0" w:type="dxa"/>
            <w:bottom w:w="0" w:type="dxa"/>
          </w:tblCellMar>
        </w:tblPrEx>
        <w:trPr>
          <w:trHeight w:val="264"/>
        </w:trPr>
        <w:tc>
          <w:tcPr>
            <w:tcW w:w="2048" w:type="dxa"/>
            <w:tcBorders>
              <w:top w:val="single" w:sz="4" w:space="0" w:color="000000"/>
              <w:left w:val="single" w:sz="4" w:space="0" w:color="000000"/>
              <w:bottom w:val="single" w:sz="4" w:space="0" w:color="000000"/>
              <w:right w:val="single" w:sz="4" w:space="0" w:color="000000"/>
            </w:tcBorders>
            <w:shd w:val="clear" w:color="auto" w:fill="auto"/>
            <w:tcMar>
              <w:top w:w="12" w:type="dxa"/>
              <w:left w:w="0" w:type="dxa"/>
              <w:bottom w:w="0" w:type="dxa"/>
              <w:right w:w="43" w:type="dxa"/>
            </w:tcMar>
          </w:tcPr>
          <w:p w:rsidR="009B4233" w:rsidRDefault="006B08B9">
            <w:pPr>
              <w:spacing w:line="249" w:lineRule="auto"/>
              <w:ind w:left="110"/>
            </w:pPr>
            <w:r>
              <w:rPr>
                <w:rFonts w:ascii="Arial" w:eastAsia="Calibri" w:hAnsi="Arial" w:cs="Arial"/>
                <w:sz w:val="22"/>
                <w:szCs w:val="22"/>
              </w:rPr>
              <w:t>2018-1997</w:t>
            </w:r>
          </w:p>
        </w:tc>
        <w:tc>
          <w:tcPr>
            <w:tcW w:w="2256" w:type="dxa"/>
            <w:tcBorders>
              <w:top w:val="single" w:sz="4" w:space="0" w:color="000000"/>
              <w:left w:val="single" w:sz="4" w:space="0" w:color="000000"/>
              <w:bottom w:val="single" w:sz="4" w:space="0" w:color="000000"/>
              <w:right w:val="single" w:sz="4" w:space="0" w:color="000000"/>
            </w:tcBorders>
            <w:shd w:val="clear" w:color="auto" w:fill="auto"/>
            <w:tcMar>
              <w:top w:w="12" w:type="dxa"/>
              <w:left w:w="0" w:type="dxa"/>
              <w:bottom w:w="0" w:type="dxa"/>
              <w:right w:w="43" w:type="dxa"/>
            </w:tcMar>
          </w:tcPr>
          <w:p w:rsidR="009B4233" w:rsidRDefault="006B08B9">
            <w:pPr>
              <w:spacing w:line="249" w:lineRule="auto"/>
              <w:ind w:left="110"/>
            </w:pPr>
            <w:r>
              <w:rPr>
                <w:rFonts w:ascii="Arial" w:eastAsia="Calibri" w:hAnsi="Arial" w:cs="Arial"/>
                <w:sz w:val="22"/>
                <w:szCs w:val="22"/>
              </w:rPr>
              <w:t>39.679,91 €</w:t>
            </w:r>
          </w:p>
        </w:tc>
        <w:tc>
          <w:tcPr>
            <w:tcW w:w="1733" w:type="dxa"/>
            <w:tcBorders>
              <w:top w:val="single" w:sz="4" w:space="0" w:color="000000"/>
              <w:left w:val="single" w:sz="4" w:space="0" w:color="000000"/>
              <w:bottom w:val="single" w:sz="4" w:space="0" w:color="000000"/>
            </w:tcBorders>
            <w:shd w:val="clear" w:color="auto" w:fill="auto"/>
            <w:tcMar>
              <w:top w:w="12" w:type="dxa"/>
              <w:left w:w="0" w:type="dxa"/>
              <w:bottom w:w="0" w:type="dxa"/>
              <w:right w:w="43" w:type="dxa"/>
            </w:tcMar>
          </w:tcPr>
          <w:p w:rsidR="009B4233" w:rsidRDefault="006B08B9">
            <w:pPr>
              <w:spacing w:line="249" w:lineRule="auto"/>
              <w:ind w:left="110"/>
            </w:pPr>
            <w:r>
              <w:rPr>
                <w:rFonts w:ascii="Arial" w:eastAsia="Calibri" w:hAnsi="Arial" w:cs="Arial"/>
                <w:sz w:val="22"/>
                <w:szCs w:val="22"/>
              </w:rPr>
              <w:t>1.722.454,91 €</w:t>
            </w:r>
          </w:p>
        </w:tc>
        <w:tc>
          <w:tcPr>
            <w:tcW w:w="272" w:type="dxa"/>
            <w:tcBorders>
              <w:top w:val="single" w:sz="4" w:space="0" w:color="000000"/>
              <w:bottom w:val="single" w:sz="4" w:space="0" w:color="000000"/>
            </w:tcBorders>
            <w:shd w:val="clear" w:color="auto" w:fill="auto"/>
            <w:tcMar>
              <w:top w:w="12" w:type="dxa"/>
              <w:left w:w="0" w:type="dxa"/>
              <w:bottom w:w="0" w:type="dxa"/>
              <w:right w:w="43" w:type="dxa"/>
            </w:tcMar>
          </w:tcPr>
          <w:p w:rsidR="009B4233" w:rsidRDefault="009B4233">
            <w:pPr>
              <w:spacing w:after="160" w:line="249" w:lineRule="auto"/>
              <w:rPr>
                <w:rFonts w:ascii="Arial" w:hAnsi="Arial" w:cs="Arial"/>
                <w:sz w:val="22"/>
                <w:szCs w:val="22"/>
              </w:rPr>
            </w:pPr>
          </w:p>
        </w:tc>
        <w:tc>
          <w:tcPr>
            <w:tcW w:w="265" w:type="dxa"/>
            <w:tcBorders>
              <w:top w:val="single" w:sz="4" w:space="0" w:color="000000"/>
              <w:bottom w:val="single" w:sz="4" w:space="0" w:color="000000"/>
              <w:right w:val="single" w:sz="4" w:space="0" w:color="000000"/>
            </w:tcBorders>
            <w:shd w:val="clear" w:color="auto" w:fill="auto"/>
            <w:tcMar>
              <w:top w:w="12" w:type="dxa"/>
              <w:left w:w="0" w:type="dxa"/>
              <w:bottom w:w="0" w:type="dxa"/>
              <w:right w:w="43" w:type="dxa"/>
            </w:tcMar>
          </w:tcPr>
          <w:p w:rsidR="009B4233" w:rsidRDefault="009B4233">
            <w:pPr>
              <w:spacing w:after="160" w:line="249" w:lineRule="auto"/>
              <w:rPr>
                <w:rFonts w:ascii="Arial" w:hAnsi="Arial" w:cs="Arial"/>
                <w:sz w:val="22"/>
                <w:szCs w:val="22"/>
              </w:rPr>
            </w:pPr>
          </w:p>
        </w:tc>
        <w:tc>
          <w:tcPr>
            <w:tcW w:w="2598" w:type="dxa"/>
            <w:tcBorders>
              <w:top w:val="single" w:sz="4" w:space="0" w:color="000000"/>
              <w:left w:val="single" w:sz="4" w:space="0" w:color="000000"/>
              <w:bottom w:val="single" w:sz="4" w:space="0" w:color="000000"/>
              <w:right w:val="single" w:sz="4" w:space="0" w:color="000000"/>
            </w:tcBorders>
            <w:shd w:val="clear" w:color="auto" w:fill="auto"/>
            <w:tcMar>
              <w:top w:w="12" w:type="dxa"/>
              <w:left w:w="0" w:type="dxa"/>
              <w:bottom w:w="0" w:type="dxa"/>
              <w:right w:w="43" w:type="dxa"/>
            </w:tcMar>
          </w:tcPr>
          <w:p w:rsidR="009B4233" w:rsidRDefault="006B08B9">
            <w:pPr>
              <w:spacing w:line="249" w:lineRule="auto"/>
              <w:ind w:left="110"/>
            </w:pPr>
            <w:r>
              <w:rPr>
                <w:rFonts w:ascii="Arial" w:eastAsia="Calibri" w:hAnsi="Arial" w:cs="Arial"/>
                <w:sz w:val="22"/>
                <w:szCs w:val="22"/>
              </w:rPr>
              <w:t>1.722.454,91 €</w:t>
            </w:r>
          </w:p>
        </w:tc>
      </w:tr>
      <w:tr w:rsidR="009B4233">
        <w:tblPrEx>
          <w:tblCellMar>
            <w:top w:w="0" w:type="dxa"/>
            <w:bottom w:w="0" w:type="dxa"/>
          </w:tblCellMar>
        </w:tblPrEx>
        <w:trPr>
          <w:trHeight w:val="262"/>
        </w:trPr>
        <w:tc>
          <w:tcPr>
            <w:tcW w:w="2048" w:type="dxa"/>
            <w:tcBorders>
              <w:top w:val="single" w:sz="4" w:space="0" w:color="000000"/>
              <w:left w:val="single" w:sz="4" w:space="0" w:color="000000"/>
              <w:bottom w:val="single" w:sz="4" w:space="0" w:color="000000"/>
              <w:right w:val="single" w:sz="4" w:space="0" w:color="000000"/>
            </w:tcBorders>
            <w:shd w:val="clear" w:color="auto" w:fill="auto"/>
            <w:tcMar>
              <w:top w:w="12" w:type="dxa"/>
              <w:left w:w="0" w:type="dxa"/>
              <w:bottom w:w="0" w:type="dxa"/>
              <w:right w:w="43" w:type="dxa"/>
            </w:tcMar>
          </w:tcPr>
          <w:p w:rsidR="009B4233" w:rsidRDefault="006B08B9">
            <w:pPr>
              <w:spacing w:line="249" w:lineRule="auto"/>
              <w:ind w:left="110"/>
            </w:pPr>
            <w:r>
              <w:rPr>
                <w:rFonts w:ascii="Arial" w:eastAsia="Calibri" w:hAnsi="Arial" w:cs="Arial"/>
                <w:b/>
                <w:sz w:val="22"/>
                <w:szCs w:val="22"/>
              </w:rPr>
              <w:t>TOTAL</w:t>
            </w:r>
          </w:p>
        </w:tc>
        <w:tc>
          <w:tcPr>
            <w:tcW w:w="2256" w:type="dxa"/>
            <w:tcBorders>
              <w:top w:val="single" w:sz="4" w:space="0" w:color="000000"/>
              <w:left w:val="single" w:sz="4" w:space="0" w:color="000000"/>
              <w:bottom w:val="single" w:sz="4" w:space="0" w:color="000000"/>
              <w:right w:val="single" w:sz="4" w:space="0" w:color="000000"/>
            </w:tcBorders>
            <w:shd w:val="clear" w:color="auto" w:fill="auto"/>
            <w:tcMar>
              <w:top w:w="12" w:type="dxa"/>
              <w:left w:w="0" w:type="dxa"/>
              <w:bottom w:w="0" w:type="dxa"/>
              <w:right w:w="43" w:type="dxa"/>
            </w:tcMar>
          </w:tcPr>
          <w:p w:rsidR="009B4233" w:rsidRDefault="006B08B9">
            <w:pPr>
              <w:spacing w:line="249" w:lineRule="auto"/>
              <w:ind w:left="110"/>
            </w:pPr>
            <w:r>
              <w:rPr>
                <w:rFonts w:ascii="Arial" w:eastAsia="Calibri" w:hAnsi="Arial" w:cs="Arial"/>
                <w:b/>
                <w:sz w:val="22"/>
                <w:szCs w:val="22"/>
              </w:rPr>
              <w:t>213.762,18 €</w:t>
            </w:r>
          </w:p>
        </w:tc>
        <w:tc>
          <w:tcPr>
            <w:tcW w:w="1733" w:type="dxa"/>
            <w:tcBorders>
              <w:top w:val="single" w:sz="4" w:space="0" w:color="000000"/>
              <w:left w:val="single" w:sz="4" w:space="0" w:color="000000"/>
              <w:bottom w:val="single" w:sz="4" w:space="0" w:color="000000"/>
            </w:tcBorders>
            <w:shd w:val="clear" w:color="auto" w:fill="auto"/>
            <w:tcMar>
              <w:top w:w="12" w:type="dxa"/>
              <w:left w:w="0" w:type="dxa"/>
              <w:bottom w:w="0" w:type="dxa"/>
              <w:right w:w="43" w:type="dxa"/>
            </w:tcMar>
          </w:tcPr>
          <w:p w:rsidR="009B4233" w:rsidRDefault="006B08B9">
            <w:pPr>
              <w:spacing w:line="249" w:lineRule="auto"/>
              <w:ind w:left="110"/>
            </w:pPr>
            <w:r>
              <w:rPr>
                <w:rFonts w:ascii="Arial" w:eastAsia="Calibri" w:hAnsi="Arial" w:cs="Arial"/>
                <w:b/>
                <w:sz w:val="22"/>
                <w:szCs w:val="22"/>
              </w:rPr>
              <w:t>2.174.167,25 €</w:t>
            </w:r>
          </w:p>
        </w:tc>
        <w:tc>
          <w:tcPr>
            <w:tcW w:w="272" w:type="dxa"/>
            <w:tcBorders>
              <w:top w:val="single" w:sz="4" w:space="0" w:color="000000"/>
              <w:bottom w:val="single" w:sz="4" w:space="0" w:color="000000"/>
            </w:tcBorders>
            <w:shd w:val="clear" w:color="auto" w:fill="auto"/>
            <w:tcMar>
              <w:top w:w="12" w:type="dxa"/>
              <w:left w:w="0" w:type="dxa"/>
              <w:bottom w:w="0" w:type="dxa"/>
              <w:right w:w="43" w:type="dxa"/>
            </w:tcMar>
          </w:tcPr>
          <w:p w:rsidR="009B4233" w:rsidRDefault="009B4233">
            <w:pPr>
              <w:spacing w:after="160" w:line="249" w:lineRule="auto"/>
              <w:rPr>
                <w:rFonts w:ascii="Arial" w:hAnsi="Arial" w:cs="Arial"/>
                <w:sz w:val="22"/>
                <w:szCs w:val="22"/>
              </w:rPr>
            </w:pPr>
          </w:p>
        </w:tc>
        <w:tc>
          <w:tcPr>
            <w:tcW w:w="265" w:type="dxa"/>
            <w:tcBorders>
              <w:top w:val="single" w:sz="4" w:space="0" w:color="000000"/>
              <w:bottom w:val="single" w:sz="4" w:space="0" w:color="000000"/>
              <w:right w:val="single" w:sz="4" w:space="0" w:color="000000"/>
            </w:tcBorders>
            <w:shd w:val="clear" w:color="auto" w:fill="auto"/>
            <w:tcMar>
              <w:top w:w="12" w:type="dxa"/>
              <w:left w:w="0" w:type="dxa"/>
              <w:bottom w:w="0" w:type="dxa"/>
              <w:right w:w="43" w:type="dxa"/>
            </w:tcMar>
          </w:tcPr>
          <w:p w:rsidR="009B4233" w:rsidRDefault="009B4233">
            <w:pPr>
              <w:spacing w:after="160" w:line="249" w:lineRule="auto"/>
              <w:rPr>
                <w:rFonts w:ascii="Arial" w:hAnsi="Arial" w:cs="Arial"/>
                <w:sz w:val="22"/>
                <w:szCs w:val="22"/>
              </w:rPr>
            </w:pPr>
          </w:p>
        </w:tc>
        <w:tc>
          <w:tcPr>
            <w:tcW w:w="2598" w:type="dxa"/>
            <w:tcBorders>
              <w:top w:val="single" w:sz="4" w:space="0" w:color="000000"/>
              <w:left w:val="single" w:sz="4" w:space="0" w:color="000000"/>
              <w:bottom w:val="single" w:sz="4" w:space="0" w:color="000000"/>
              <w:right w:val="single" w:sz="4" w:space="0" w:color="000000"/>
            </w:tcBorders>
            <w:shd w:val="clear" w:color="auto" w:fill="auto"/>
            <w:tcMar>
              <w:top w:w="12" w:type="dxa"/>
              <w:left w:w="0" w:type="dxa"/>
              <w:bottom w:w="0" w:type="dxa"/>
              <w:right w:w="43" w:type="dxa"/>
            </w:tcMar>
          </w:tcPr>
          <w:p w:rsidR="009B4233" w:rsidRDefault="006B08B9">
            <w:pPr>
              <w:spacing w:line="249" w:lineRule="auto"/>
              <w:ind w:left="110"/>
            </w:pPr>
            <w:r>
              <w:rPr>
                <w:rFonts w:ascii="Arial" w:eastAsia="Calibri" w:hAnsi="Arial" w:cs="Arial"/>
                <w:b/>
                <w:sz w:val="22"/>
                <w:szCs w:val="22"/>
              </w:rPr>
              <w:t>1.936.413,87 €</w:t>
            </w:r>
          </w:p>
        </w:tc>
      </w:tr>
    </w:tbl>
    <w:p w:rsidR="009B4233" w:rsidRDefault="006B08B9">
      <w:pPr>
        <w:spacing w:after="506" w:line="264" w:lineRule="auto"/>
        <w:ind w:left="-5"/>
      </w:pPr>
      <w:r>
        <w:rPr>
          <w:rFonts w:ascii="Arial" w:eastAsia="Calibri" w:hAnsi="Arial" w:cs="Arial"/>
          <w:sz w:val="22"/>
          <w:szCs w:val="22"/>
        </w:rPr>
        <w:t>4.-</w:t>
      </w:r>
      <w:r>
        <w:rPr>
          <w:rFonts w:ascii="Arial" w:eastAsia="Calibri" w:hAnsi="Arial" w:cs="Arial"/>
          <w:b/>
          <w:sz w:val="22"/>
          <w:szCs w:val="22"/>
        </w:rPr>
        <w:t xml:space="preserve"> Memoria.</w:t>
      </w:r>
    </w:p>
    <w:p w:rsidR="009B4233" w:rsidRDefault="006B08B9">
      <w:pPr>
        <w:spacing w:after="236" w:line="249" w:lineRule="auto"/>
        <w:ind w:left="7"/>
        <w:jc w:val="both"/>
      </w:pPr>
      <w:r>
        <w:rPr>
          <w:rFonts w:ascii="Arial" w:eastAsia="Calibri" w:hAnsi="Arial" w:cs="Arial"/>
          <w:b/>
          <w:sz w:val="22"/>
          <w:szCs w:val="22"/>
          <w:u w:val="single" w:color="000000"/>
        </w:rPr>
        <w:t>Entidad Pública Empresarial de Gestión de Empresas y Servicios</w:t>
      </w:r>
    </w:p>
    <w:p w:rsidR="009B4233" w:rsidRDefault="006B08B9">
      <w:pPr>
        <w:spacing w:after="272" w:line="218" w:lineRule="auto"/>
        <w:ind w:left="-15" w:firstLine="360"/>
        <w:jc w:val="both"/>
        <w:rPr>
          <w:rFonts w:ascii="Arial" w:eastAsia="Calibri" w:hAnsi="Arial" w:cs="Arial"/>
          <w:sz w:val="22"/>
          <w:szCs w:val="22"/>
        </w:rPr>
      </w:pPr>
      <w:r>
        <w:rPr>
          <w:rFonts w:ascii="Arial" w:eastAsia="Calibri" w:hAnsi="Arial" w:cs="Arial"/>
          <w:sz w:val="22"/>
          <w:szCs w:val="22"/>
        </w:rPr>
        <w:t>Destaca la Cuenta de Pérdidas y Ganancias del ejercicio, conforme el siguiente detalle:</w:t>
      </w:r>
    </w:p>
    <w:p w:rsidR="009B4233" w:rsidRDefault="009B4233">
      <w:pPr>
        <w:spacing w:after="272" w:line="218" w:lineRule="auto"/>
        <w:ind w:left="-15" w:firstLine="360"/>
        <w:jc w:val="both"/>
        <w:rPr>
          <w:rFonts w:ascii="Arial" w:eastAsia="Calibri" w:hAnsi="Arial" w:cs="Arial"/>
          <w:sz w:val="22"/>
          <w:szCs w:val="22"/>
        </w:rPr>
      </w:pPr>
    </w:p>
    <w:p w:rsidR="009B4233" w:rsidRDefault="009B4233">
      <w:pPr>
        <w:spacing w:after="272" w:line="218" w:lineRule="auto"/>
        <w:ind w:left="-15" w:firstLine="360"/>
        <w:jc w:val="both"/>
        <w:rPr>
          <w:rFonts w:ascii="Arial" w:eastAsia="Calibri" w:hAnsi="Arial" w:cs="Arial"/>
          <w:sz w:val="22"/>
          <w:szCs w:val="22"/>
        </w:rPr>
      </w:pPr>
    </w:p>
    <w:p w:rsidR="009B4233" w:rsidRDefault="009B4233">
      <w:pPr>
        <w:spacing w:after="272" w:line="218" w:lineRule="auto"/>
        <w:ind w:left="-15" w:firstLine="360"/>
        <w:jc w:val="both"/>
        <w:rPr>
          <w:rFonts w:ascii="Arial" w:hAnsi="Arial" w:cs="Arial"/>
          <w:sz w:val="22"/>
          <w:szCs w:val="22"/>
        </w:rPr>
      </w:pPr>
    </w:p>
    <w:p w:rsidR="009B4233" w:rsidRDefault="006B08B9">
      <w:pPr>
        <w:widowControl/>
        <w:numPr>
          <w:ilvl w:val="0"/>
          <w:numId w:val="19"/>
        </w:numPr>
        <w:suppressAutoHyphens w:val="0"/>
        <w:spacing w:line="249" w:lineRule="auto"/>
        <w:ind w:right="135" w:hanging="374"/>
        <w:jc w:val="center"/>
        <w:textAlignment w:val="auto"/>
        <w:rPr>
          <w:rFonts w:ascii="Arial" w:hAnsi="Arial" w:cs="Arial"/>
          <w:sz w:val="22"/>
          <w:szCs w:val="22"/>
        </w:rPr>
      </w:pPr>
      <w:r>
        <w:rPr>
          <w:rFonts w:ascii="Arial" w:hAnsi="Arial" w:cs="Arial"/>
          <w:sz w:val="22"/>
          <w:szCs w:val="22"/>
        </w:rPr>
        <w:t>INGRESOS:</w:t>
      </w:r>
    </w:p>
    <w:tbl>
      <w:tblPr>
        <w:tblW w:w="6912" w:type="dxa"/>
        <w:tblInd w:w="604" w:type="dxa"/>
        <w:tblCellMar>
          <w:left w:w="10" w:type="dxa"/>
          <w:right w:w="10" w:type="dxa"/>
        </w:tblCellMar>
        <w:tblLook w:val="0000" w:firstRow="0" w:lastRow="0" w:firstColumn="0" w:lastColumn="0" w:noHBand="0" w:noVBand="0"/>
      </w:tblPr>
      <w:tblGrid>
        <w:gridCol w:w="3784"/>
        <w:gridCol w:w="3128"/>
      </w:tblGrid>
      <w:tr w:rsidR="009B4233">
        <w:tblPrEx>
          <w:tblCellMar>
            <w:top w:w="0" w:type="dxa"/>
            <w:bottom w:w="0" w:type="dxa"/>
          </w:tblCellMar>
        </w:tblPrEx>
        <w:trPr>
          <w:trHeight w:val="522"/>
        </w:trPr>
        <w:tc>
          <w:tcPr>
            <w:tcW w:w="3784" w:type="dxa"/>
            <w:tcBorders>
              <w:top w:val="single" w:sz="4" w:space="0" w:color="000000"/>
              <w:left w:val="single" w:sz="4" w:space="0" w:color="000000"/>
              <w:bottom w:val="single" w:sz="4" w:space="0" w:color="000000"/>
              <w:right w:val="single" w:sz="4" w:space="0" w:color="000000"/>
            </w:tcBorders>
            <w:shd w:val="clear" w:color="auto" w:fill="auto"/>
            <w:tcMar>
              <w:top w:w="10" w:type="dxa"/>
              <w:left w:w="115" w:type="dxa"/>
              <w:bottom w:w="0" w:type="dxa"/>
              <w:right w:w="115" w:type="dxa"/>
            </w:tcMar>
          </w:tcPr>
          <w:p w:rsidR="009B4233" w:rsidRDefault="006B08B9">
            <w:pPr>
              <w:spacing w:line="249" w:lineRule="auto"/>
              <w:ind w:left="2"/>
              <w:jc w:val="center"/>
              <w:rPr>
                <w:rFonts w:ascii="Arial" w:hAnsi="Arial" w:cs="Arial"/>
                <w:sz w:val="22"/>
                <w:szCs w:val="22"/>
              </w:rPr>
            </w:pPr>
            <w:r>
              <w:rPr>
                <w:rFonts w:ascii="Arial" w:hAnsi="Arial" w:cs="Arial"/>
                <w:sz w:val="22"/>
                <w:szCs w:val="22"/>
              </w:rPr>
              <w:t>INGRESOS</w:t>
            </w:r>
          </w:p>
        </w:tc>
        <w:tc>
          <w:tcPr>
            <w:tcW w:w="3128" w:type="dxa"/>
            <w:tcBorders>
              <w:top w:val="single" w:sz="4" w:space="0" w:color="000000"/>
              <w:left w:val="single" w:sz="4" w:space="0" w:color="000000"/>
              <w:bottom w:val="single" w:sz="4" w:space="0" w:color="000000"/>
              <w:right w:val="single" w:sz="4" w:space="0" w:color="000000"/>
            </w:tcBorders>
            <w:shd w:val="clear" w:color="auto" w:fill="auto"/>
            <w:tcMar>
              <w:top w:w="10" w:type="dxa"/>
              <w:left w:w="115" w:type="dxa"/>
              <w:bottom w:w="0" w:type="dxa"/>
              <w:right w:w="115" w:type="dxa"/>
            </w:tcMar>
          </w:tcPr>
          <w:p w:rsidR="009B4233" w:rsidRDefault="006B08B9">
            <w:pPr>
              <w:spacing w:line="249" w:lineRule="auto"/>
              <w:ind w:left="1"/>
              <w:jc w:val="center"/>
              <w:rPr>
                <w:rFonts w:ascii="Arial" w:hAnsi="Arial" w:cs="Arial"/>
                <w:sz w:val="22"/>
                <w:szCs w:val="22"/>
              </w:rPr>
            </w:pPr>
            <w:r>
              <w:rPr>
                <w:rFonts w:ascii="Arial" w:hAnsi="Arial" w:cs="Arial"/>
                <w:sz w:val="22"/>
                <w:szCs w:val="22"/>
              </w:rPr>
              <w:t>INGRESO REAL 2024</w:t>
            </w:r>
          </w:p>
        </w:tc>
      </w:tr>
      <w:tr w:rsidR="009B4233">
        <w:tblPrEx>
          <w:tblCellMar>
            <w:top w:w="0" w:type="dxa"/>
            <w:bottom w:w="0" w:type="dxa"/>
          </w:tblCellMar>
        </w:tblPrEx>
        <w:trPr>
          <w:trHeight w:val="524"/>
        </w:trPr>
        <w:tc>
          <w:tcPr>
            <w:tcW w:w="3784" w:type="dxa"/>
            <w:tcBorders>
              <w:top w:val="single" w:sz="4" w:space="0" w:color="000000"/>
              <w:left w:val="single" w:sz="4" w:space="0" w:color="000000"/>
              <w:bottom w:val="single" w:sz="4" w:space="0" w:color="000000"/>
              <w:right w:val="single" w:sz="4" w:space="0" w:color="000000"/>
            </w:tcBorders>
            <w:shd w:val="clear" w:color="auto" w:fill="auto"/>
            <w:tcMar>
              <w:top w:w="10" w:type="dxa"/>
              <w:left w:w="115" w:type="dxa"/>
              <w:bottom w:w="0" w:type="dxa"/>
              <w:right w:w="115" w:type="dxa"/>
            </w:tcMar>
          </w:tcPr>
          <w:p w:rsidR="009B4233" w:rsidRDefault="006B08B9">
            <w:pPr>
              <w:spacing w:line="249" w:lineRule="auto"/>
              <w:ind w:left="2"/>
              <w:jc w:val="center"/>
              <w:rPr>
                <w:rFonts w:ascii="Arial" w:hAnsi="Arial" w:cs="Arial"/>
                <w:sz w:val="22"/>
                <w:szCs w:val="22"/>
              </w:rPr>
            </w:pPr>
            <w:r>
              <w:rPr>
                <w:rFonts w:ascii="Arial" w:hAnsi="Arial" w:cs="Arial"/>
                <w:sz w:val="22"/>
                <w:szCs w:val="22"/>
              </w:rPr>
              <w:t>Importe Neto de la Cifra de Negocios</w:t>
            </w:r>
          </w:p>
        </w:tc>
        <w:tc>
          <w:tcPr>
            <w:tcW w:w="3128" w:type="dxa"/>
            <w:tcBorders>
              <w:top w:val="single" w:sz="4" w:space="0" w:color="000000"/>
              <w:left w:val="single" w:sz="4" w:space="0" w:color="000000"/>
              <w:bottom w:val="single" w:sz="4" w:space="0" w:color="000000"/>
              <w:right w:val="single" w:sz="4" w:space="0" w:color="000000"/>
            </w:tcBorders>
            <w:shd w:val="clear" w:color="auto" w:fill="auto"/>
            <w:tcMar>
              <w:top w:w="10" w:type="dxa"/>
              <w:left w:w="115" w:type="dxa"/>
              <w:bottom w:w="0" w:type="dxa"/>
              <w:right w:w="115" w:type="dxa"/>
            </w:tcMar>
          </w:tcPr>
          <w:p w:rsidR="009B4233" w:rsidRDefault="006B08B9">
            <w:pPr>
              <w:spacing w:line="249" w:lineRule="auto"/>
              <w:ind w:left="3"/>
              <w:jc w:val="center"/>
            </w:pPr>
            <w:r>
              <w:rPr>
                <w:rFonts w:ascii="Arial" w:eastAsia="Calibri" w:hAnsi="Arial" w:cs="Arial"/>
                <w:sz w:val="22"/>
                <w:szCs w:val="22"/>
              </w:rPr>
              <w:t>108.601,82 €</w:t>
            </w:r>
          </w:p>
        </w:tc>
      </w:tr>
      <w:tr w:rsidR="009B4233">
        <w:tblPrEx>
          <w:tblCellMar>
            <w:top w:w="0" w:type="dxa"/>
            <w:bottom w:w="0" w:type="dxa"/>
          </w:tblCellMar>
        </w:tblPrEx>
        <w:trPr>
          <w:trHeight w:val="522"/>
        </w:trPr>
        <w:tc>
          <w:tcPr>
            <w:tcW w:w="3784" w:type="dxa"/>
            <w:tcBorders>
              <w:top w:val="single" w:sz="4" w:space="0" w:color="000000"/>
              <w:left w:val="single" w:sz="4" w:space="0" w:color="000000"/>
              <w:bottom w:val="single" w:sz="4" w:space="0" w:color="000000"/>
              <w:right w:val="single" w:sz="4" w:space="0" w:color="000000"/>
            </w:tcBorders>
            <w:shd w:val="clear" w:color="auto" w:fill="auto"/>
            <w:tcMar>
              <w:top w:w="10" w:type="dxa"/>
              <w:left w:w="115" w:type="dxa"/>
              <w:bottom w:w="0" w:type="dxa"/>
              <w:right w:w="115" w:type="dxa"/>
            </w:tcMar>
          </w:tcPr>
          <w:p w:rsidR="009B4233" w:rsidRDefault="006B08B9">
            <w:pPr>
              <w:spacing w:line="249" w:lineRule="auto"/>
              <w:ind w:left="2"/>
              <w:jc w:val="center"/>
              <w:rPr>
                <w:rFonts w:ascii="Arial" w:hAnsi="Arial" w:cs="Arial"/>
                <w:sz w:val="22"/>
                <w:szCs w:val="22"/>
              </w:rPr>
            </w:pPr>
            <w:r>
              <w:rPr>
                <w:rFonts w:ascii="Arial" w:hAnsi="Arial" w:cs="Arial"/>
                <w:sz w:val="22"/>
                <w:szCs w:val="22"/>
              </w:rPr>
              <w:t>Otros Ingresos de Explotación</w:t>
            </w:r>
          </w:p>
        </w:tc>
        <w:tc>
          <w:tcPr>
            <w:tcW w:w="3128" w:type="dxa"/>
            <w:tcBorders>
              <w:top w:val="single" w:sz="4" w:space="0" w:color="000000"/>
              <w:left w:val="single" w:sz="4" w:space="0" w:color="000000"/>
              <w:bottom w:val="single" w:sz="4" w:space="0" w:color="000000"/>
              <w:right w:val="single" w:sz="4" w:space="0" w:color="000000"/>
            </w:tcBorders>
            <w:shd w:val="clear" w:color="auto" w:fill="auto"/>
            <w:tcMar>
              <w:top w:w="10" w:type="dxa"/>
              <w:left w:w="115" w:type="dxa"/>
              <w:bottom w:w="0" w:type="dxa"/>
              <w:right w:w="115" w:type="dxa"/>
            </w:tcMar>
          </w:tcPr>
          <w:p w:rsidR="009B4233" w:rsidRDefault="006B08B9">
            <w:pPr>
              <w:spacing w:line="249" w:lineRule="auto"/>
              <w:ind w:left="3"/>
              <w:jc w:val="center"/>
            </w:pPr>
            <w:r>
              <w:rPr>
                <w:rFonts w:ascii="Arial" w:eastAsia="Calibri" w:hAnsi="Arial" w:cs="Arial"/>
                <w:sz w:val="22"/>
                <w:szCs w:val="22"/>
              </w:rPr>
              <w:t>596.462,86 €</w:t>
            </w:r>
          </w:p>
        </w:tc>
      </w:tr>
      <w:tr w:rsidR="009B4233">
        <w:tblPrEx>
          <w:tblCellMar>
            <w:top w:w="0" w:type="dxa"/>
            <w:bottom w:w="0" w:type="dxa"/>
          </w:tblCellMar>
        </w:tblPrEx>
        <w:trPr>
          <w:trHeight w:val="524"/>
        </w:trPr>
        <w:tc>
          <w:tcPr>
            <w:tcW w:w="3784" w:type="dxa"/>
            <w:tcBorders>
              <w:top w:val="single" w:sz="4" w:space="0" w:color="000000"/>
              <w:left w:val="single" w:sz="4" w:space="0" w:color="000000"/>
              <w:bottom w:val="single" w:sz="4" w:space="0" w:color="000000"/>
              <w:right w:val="single" w:sz="4" w:space="0" w:color="000000"/>
            </w:tcBorders>
            <w:shd w:val="clear" w:color="auto" w:fill="auto"/>
            <w:tcMar>
              <w:top w:w="10" w:type="dxa"/>
              <w:left w:w="115" w:type="dxa"/>
              <w:bottom w:w="0" w:type="dxa"/>
              <w:right w:w="115" w:type="dxa"/>
            </w:tcMar>
          </w:tcPr>
          <w:p w:rsidR="009B4233" w:rsidRDefault="006B08B9">
            <w:pPr>
              <w:spacing w:line="249" w:lineRule="auto"/>
              <w:ind w:left="3"/>
              <w:jc w:val="center"/>
              <w:rPr>
                <w:rFonts w:ascii="Arial" w:hAnsi="Arial" w:cs="Arial"/>
                <w:sz w:val="22"/>
                <w:szCs w:val="22"/>
              </w:rPr>
            </w:pPr>
            <w:r>
              <w:rPr>
                <w:rFonts w:ascii="Arial" w:hAnsi="Arial" w:cs="Arial"/>
                <w:sz w:val="22"/>
                <w:szCs w:val="22"/>
              </w:rPr>
              <w:t>Otros Ingresos</w:t>
            </w:r>
          </w:p>
        </w:tc>
        <w:tc>
          <w:tcPr>
            <w:tcW w:w="3128" w:type="dxa"/>
            <w:tcBorders>
              <w:top w:val="single" w:sz="4" w:space="0" w:color="000000"/>
              <w:left w:val="single" w:sz="4" w:space="0" w:color="000000"/>
              <w:bottom w:val="single" w:sz="4" w:space="0" w:color="000000"/>
              <w:right w:val="single" w:sz="4" w:space="0" w:color="000000"/>
            </w:tcBorders>
            <w:shd w:val="clear" w:color="auto" w:fill="auto"/>
            <w:tcMar>
              <w:top w:w="10" w:type="dxa"/>
              <w:left w:w="115" w:type="dxa"/>
              <w:bottom w:w="0" w:type="dxa"/>
              <w:right w:w="115" w:type="dxa"/>
            </w:tcMar>
          </w:tcPr>
          <w:p w:rsidR="009B4233" w:rsidRDefault="006B08B9">
            <w:pPr>
              <w:spacing w:line="249" w:lineRule="auto"/>
              <w:ind w:left="3"/>
              <w:jc w:val="center"/>
            </w:pPr>
            <w:r>
              <w:rPr>
                <w:rFonts w:ascii="Arial" w:eastAsia="Calibri" w:hAnsi="Arial" w:cs="Arial"/>
                <w:sz w:val="22"/>
                <w:szCs w:val="22"/>
              </w:rPr>
              <w:t>0,00  €</w:t>
            </w:r>
          </w:p>
        </w:tc>
      </w:tr>
      <w:tr w:rsidR="009B4233">
        <w:tblPrEx>
          <w:tblCellMar>
            <w:top w:w="0" w:type="dxa"/>
            <w:bottom w:w="0" w:type="dxa"/>
          </w:tblCellMar>
        </w:tblPrEx>
        <w:trPr>
          <w:trHeight w:val="522"/>
        </w:trPr>
        <w:tc>
          <w:tcPr>
            <w:tcW w:w="3784" w:type="dxa"/>
            <w:tcBorders>
              <w:top w:val="single" w:sz="4" w:space="0" w:color="000000"/>
              <w:left w:val="single" w:sz="4" w:space="0" w:color="000000"/>
              <w:bottom w:val="single" w:sz="4" w:space="0" w:color="000000"/>
              <w:right w:val="single" w:sz="4" w:space="0" w:color="000000"/>
            </w:tcBorders>
            <w:shd w:val="clear" w:color="auto" w:fill="auto"/>
            <w:tcMar>
              <w:top w:w="10" w:type="dxa"/>
              <w:left w:w="115" w:type="dxa"/>
              <w:bottom w:w="0" w:type="dxa"/>
              <w:right w:w="115" w:type="dxa"/>
            </w:tcMar>
          </w:tcPr>
          <w:p w:rsidR="009B4233" w:rsidRDefault="006B08B9">
            <w:pPr>
              <w:spacing w:line="249" w:lineRule="auto"/>
              <w:ind w:left="5"/>
              <w:jc w:val="center"/>
              <w:rPr>
                <w:rFonts w:ascii="Arial" w:hAnsi="Arial" w:cs="Arial"/>
                <w:sz w:val="22"/>
                <w:szCs w:val="22"/>
              </w:rPr>
            </w:pPr>
            <w:r>
              <w:rPr>
                <w:rFonts w:ascii="Arial" w:hAnsi="Arial" w:cs="Arial"/>
                <w:sz w:val="22"/>
                <w:szCs w:val="22"/>
              </w:rPr>
              <w:t>TOTAL</w:t>
            </w:r>
          </w:p>
        </w:tc>
        <w:tc>
          <w:tcPr>
            <w:tcW w:w="3128" w:type="dxa"/>
            <w:tcBorders>
              <w:top w:val="single" w:sz="4" w:space="0" w:color="000000"/>
              <w:left w:val="single" w:sz="4" w:space="0" w:color="000000"/>
              <w:bottom w:val="single" w:sz="4" w:space="0" w:color="000000"/>
              <w:right w:val="single" w:sz="4" w:space="0" w:color="000000"/>
            </w:tcBorders>
            <w:shd w:val="clear" w:color="auto" w:fill="auto"/>
            <w:tcMar>
              <w:top w:w="10" w:type="dxa"/>
              <w:left w:w="115" w:type="dxa"/>
              <w:bottom w:w="0" w:type="dxa"/>
              <w:right w:w="115" w:type="dxa"/>
            </w:tcMar>
          </w:tcPr>
          <w:p w:rsidR="009B4233" w:rsidRDefault="006B08B9">
            <w:pPr>
              <w:spacing w:line="249" w:lineRule="auto"/>
              <w:ind w:left="3"/>
              <w:jc w:val="center"/>
            </w:pPr>
            <w:r>
              <w:rPr>
                <w:rFonts w:ascii="Arial" w:eastAsia="Calibri" w:hAnsi="Arial" w:cs="Arial"/>
                <w:sz w:val="22"/>
                <w:szCs w:val="22"/>
              </w:rPr>
              <w:t>705.064,68 €</w:t>
            </w:r>
          </w:p>
        </w:tc>
      </w:tr>
    </w:tbl>
    <w:p w:rsidR="009B4233" w:rsidRDefault="006B08B9">
      <w:pPr>
        <w:widowControl/>
        <w:numPr>
          <w:ilvl w:val="0"/>
          <w:numId w:val="19"/>
        </w:numPr>
        <w:suppressAutoHyphens w:val="0"/>
        <w:spacing w:after="537" w:line="249" w:lineRule="auto"/>
        <w:ind w:right="135" w:hanging="374"/>
        <w:jc w:val="center"/>
        <w:textAlignment w:val="auto"/>
        <w:rPr>
          <w:rFonts w:ascii="Arial" w:hAnsi="Arial" w:cs="Arial"/>
          <w:sz w:val="22"/>
          <w:szCs w:val="22"/>
        </w:rPr>
      </w:pPr>
      <w:r>
        <w:rPr>
          <w:rFonts w:ascii="Arial" w:hAnsi="Arial" w:cs="Arial"/>
          <w:sz w:val="22"/>
          <w:szCs w:val="22"/>
        </w:rPr>
        <w:t>GASTOS</w:t>
      </w:r>
    </w:p>
    <w:tbl>
      <w:tblPr>
        <w:tblW w:w="7240" w:type="dxa"/>
        <w:tblInd w:w="1126" w:type="dxa"/>
        <w:tblCellMar>
          <w:left w:w="10" w:type="dxa"/>
          <w:right w:w="10" w:type="dxa"/>
        </w:tblCellMar>
        <w:tblLook w:val="0000" w:firstRow="0" w:lastRow="0" w:firstColumn="0" w:lastColumn="0" w:noHBand="0" w:noVBand="0"/>
      </w:tblPr>
      <w:tblGrid>
        <w:gridCol w:w="3140"/>
        <w:gridCol w:w="1139"/>
        <w:gridCol w:w="2961"/>
      </w:tblGrid>
      <w:tr w:rsidR="009B4233">
        <w:tblPrEx>
          <w:tblCellMar>
            <w:top w:w="0" w:type="dxa"/>
            <w:bottom w:w="0" w:type="dxa"/>
          </w:tblCellMar>
        </w:tblPrEx>
        <w:trPr>
          <w:trHeight w:val="522"/>
        </w:trPr>
        <w:tc>
          <w:tcPr>
            <w:tcW w:w="3140" w:type="dxa"/>
            <w:tcBorders>
              <w:top w:val="single" w:sz="4" w:space="0" w:color="000000"/>
              <w:left w:val="single" w:sz="4" w:space="0" w:color="000000"/>
              <w:bottom w:val="single" w:sz="4" w:space="0" w:color="000000"/>
            </w:tcBorders>
            <w:shd w:val="clear" w:color="auto" w:fill="auto"/>
            <w:tcMar>
              <w:top w:w="10" w:type="dxa"/>
              <w:left w:w="0" w:type="dxa"/>
              <w:bottom w:w="0" w:type="dxa"/>
              <w:right w:w="51" w:type="dxa"/>
            </w:tcMar>
          </w:tcPr>
          <w:p w:rsidR="009B4233" w:rsidRDefault="006B08B9">
            <w:pPr>
              <w:spacing w:line="249" w:lineRule="auto"/>
              <w:ind w:left="110"/>
              <w:rPr>
                <w:rFonts w:ascii="Arial" w:hAnsi="Arial" w:cs="Arial"/>
                <w:sz w:val="22"/>
                <w:szCs w:val="22"/>
              </w:rPr>
            </w:pPr>
            <w:r>
              <w:rPr>
                <w:rFonts w:ascii="Arial" w:hAnsi="Arial" w:cs="Arial"/>
                <w:sz w:val="22"/>
                <w:szCs w:val="22"/>
              </w:rPr>
              <w:t>GASTOS</w:t>
            </w:r>
          </w:p>
        </w:tc>
        <w:tc>
          <w:tcPr>
            <w:tcW w:w="1139" w:type="dxa"/>
            <w:tcBorders>
              <w:top w:val="single" w:sz="4" w:space="0" w:color="000000"/>
              <w:bottom w:val="single" w:sz="4" w:space="0" w:color="000000"/>
              <w:right w:val="single" w:sz="4" w:space="0" w:color="000000"/>
            </w:tcBorders>
            <w:shd w:val="clear" w:color="auto" w:fill="auto"/>
            <w:tcMar>
              <w:top w:w="10" w:type="dxa"/>
              <w:left w:w="0" w:type="dxa"/>
              <w:bottom w:w="0" w:type="dxa"/>
              <w:right w:w="51" w:type="dxa"/>
            </w:tcMar>
          </w:tcPr>
          <w:p w:rsidR="009B4233" w:rsidRDefault="009B4233">
            <w:pPr>
              <w:spacing w:after="160" w:line="249" w:lineRule="auto"/>
              <w:rPr>
                <w:rFonts w:ascii="Arial" w:hAnsi="Arial" w:cs="Arial"/>
                <w:sz w:val="22"/>
                <w:szCs w:val="22"/>
              </w:rPr>
            </w:pPr>
          </w:p>
        </w:tc>
        <w:tc>
          <w:tcPr>
            <w:tcW w:w="2961" w:type="dxa"/>
            <w:tcBorders>
              <w:top w:val="single" w:sz="4" w:space="0" w:color="000000"/>
              <w:left w:val="single" w:sz="4" w:space="0" w:color="000000"/>
              <w:bottom w:val="single" w:sz="4" w:space="0" w:color="000000"/>
              <w:right w:val="single" w:sz="4" w:space="0" w:color="000000"/>
            </w:tcBorders>
            <w:shd w:val="clear" w:color="auto" w:fill="auto"/>
            <w:tcMar>
              <w:top w:w="10" w:type="dxa"/>
              <w:left w:w="0" w:type="dxa"/>
              <w:bottom w:w="0" w:type="dxa"/>
              <w:right w:w="51" w:type="dxa"/>
            </w:tcMar>
          </w:tcPr>
          <w:p w:rsidR="009B4233" w:rsidRDefault="006B08B9">
            <w:pPr>
              <w:spacing w:line="249" w:lineRule="auto"/>
              <w:ind w:left="110"/>
              <w:rPr>
                <w:rFonts w:ascii="Arial" w:hAnsi="Arial" w:cs="Arial"/>
                <w:sz w:val="22"/>
                <w:szCs w:val="22"/>
              </w:rPr>
            </w:pPr>
            <w:r>
              <w:rPr>
                <w:rFonts w:ascii="Arial" w:hAnsi="Arial" w:cs="Arial"/>
                <w:sz w:val="22"/>
                <w:szCs w:val="22"/>
              </w:rPr>
              <w:t>GASTO REAL 2024</w:t>
            </w:r>
          </w:p>
        </w:tc>
      </w:tr>
      <w:tr w:rsidR="009B4233">
        <w:tblPrEx>
          <w:tblCellMar>
            <w:top w:w="0" w:type="dxa"/>
            <w:bottom w:w="0" w:type="dxa"/>
          </w:tblCellMar>
        </w:tblPrEx>
        <w:trPr>
          <w:trHeight w:val="524"/>
        </w:trPr>
        <w:tc>
          <w:tcPr>
            <w:tcW w:w="3140" w:type="dxa"/>
            <w:tcBorders>
              <w:top w:val="single" w:sz="4" w:space="0" w:color="000000"/>
              <w:left w:val="single" w:sz="4" w:space="0" w:color="000000"/>
              <w:bottom w:val="single" w:sz="4" w:space="0" w:color="000000"/>
            </w:tcBorders>
            <w:shd w:val="clear" w:color="auto" w:fill="auto"/>
            <w:tcMar>
              <w:top w:w="10" w:type="dxa"/>
              <w:left w:w="0" w:type="dxa"/>
              <w:bottom w:w="0" w:type="dxa"/>
              <w:right w:w="51" w:type="dxa"/>
            </w:tcMar>
          </w:tcPr>
          <w:p w:rsidR="009B4233" w:rsidRDefault="006B08B9">
            <w:pPr>
              <w:spacing w:line="249" w:lineRule="auto"/>
              <w:ind w:left="110"/>
              <w:rPr>
                <w:rFonts w:ascii="Arial" w:hAnsi="Arial" w:cs="Arial"/>
                <w:sz w:val="22"/>
                <w:szCs w:val="22"/>
              </w:rPr>
            </w:pPr>
            <w:r>
              <w:rPr>
                <w:rFonts w:ascii="Arial" w:hAnsi="Arial" w:cs="Arial"/>
                <w:sz w:val="22"/>
                <w:szCs w:val="22"/>
              </w:rPr>
              <w:t>Gastos de Personal</w:t>
            </w:r>
          </w:p>
        </w:tc>
        <w:tc>
          <w:tcPr>
            <w:tcW w:w="1139" w:type="dxa"/>
            <w:tcBorders>
              <w:top w:val="single" w:sz="4" w:space="0" w:color="000000"/>
              <w:bottom w:val="single" w:sz="4" w:space="0" w:color="000000"/>
              <w:right w:val="single" w:sz="4" w:space="0" w:color="000000"/>
            </w:tcBorders>
            <w:shd w:val="clear" w:color="auto" w:fill="auto"/>
            <w:tcMar>
              <w:top w:w="10" w:type="dxa"/>
              <w:left w:w="0" w:type="dxa"/>
              <w:bottom w:w="0" w:type="dxa"/>
              <w:right w:w="51" w:type="dxa"/>
            </w:tcMar>
          </w:tcPr>
          <w:p w:rsidR="009B4233" w:rsidRDefault="009B4233">
            <w:pPr>
              <w:spacing w:after="160" w:line="249" w:lineRule="auto"/>
              <w:rPr>
                <w:rFonts w:ascii="Arial" w:hAnsi="Arial" w:cs="Arial"/>
                <w:sz w:val="22"/>
                <w:szCs w:val="22"/>
              </w:rPr>
            </w:pPr>
          </w:p>
        </w:tc>
        <w:tc>
          <w:tcPr>
            <w:tcW w:w="2961" w:type="dxa"/>
            <w:tcBorders>
              <w:top w:val="single" w:sz="4" w:space="0" w:color="000000"/>
              <w:left w:val="single" w:sz="4" w:space="0" w:color="000000"/>
              <w:bottom w:val="single" w:sz="4" w:space="0" w:color="000000"/>
              <w:right w:val="single" w:sz="4" w:space="0" w:color="000000"/>
            </w:tcBorders>
            <w:shd w:val="clear" w:color="auto" w:fill="auto"/>
            <w:tcMar>
              <w:top w:w="10" w:type="dxa"/>
              <w:left w:w="0" w:type="dxa"/>
              <w:bottom w:w="0" w:type="dxa"/>
              <w:right w:w="51" w:type="dxa"/>
            </w:tcMar>
          </w:tcPr>
          <w:p w:rsidR="009B4233" w:rsidRDefault="006B08B9">
            <w:pPr>
              <w:spacing w:line="249" w:lineRule="auto"/>
              <w:ind w:left="55"/>
              <w:jc w:val="center"/>
            </w:pPr>
            <w:r>
              <w:rPr>
                <w:rFonts w:ascii="Arial" w:eastAsia="Calibri" w:hAnsi="Arial" w:cs="Arial"/>
                <w:sz w:val="22"/>
                <w:szCs w:val="22"/>
              </w:rPr>
              <w:t>529.404,34 €</w:t>
            </w:r>
          </w:p>
        </w:tc>
      </w:tr>
      <w:tr w:rsidR="009B4233">
        <w:tblPrEx>
          <w:tblCellMar>
            <w:top w:w="0" w:type="dxa"/>
            <w:bottom w:w="0" w:type="dxa"/>
          </w:tblCellMar>
        </w:tblPrEx>
        <w:trPr>
          <w:trHeight w:val="522"/>
        </w:trPr>
        <w:tc>
          <w:tcPr>
            <w:tcW w:w="3140" w:type="dxa"/>
            <w:tcBorders>
              <w:top w:val="single" w:sz="4" w:space="0" w:color="000000"/>
              <w:left w:val="single" w:sz="4" w:space="0" w:color="000000"/>
              <w:bottom w:val="single" w:sz="4" w:space="0" w:color="000000"/>
            </w:tcBorders>
            <w:shd w:val="clear" w:color="auto" w:fill="auto"/>
            <w:tcMar>
              <w:top w:w="10" w:type="dxa"/>
              <w:left w:w="0" w:type="dxa"/>
              <w:bottom w:w="0" w:type="dxa"/>
              <w:right w:w="51" w:type="dxa"/>
            </w:tcMar>
          </w:tcPr>
          <w:p w:rsidR="009B4233" w:rsidRDefault="006B08B9">
            <w:pPr>
              <w:spacing w:line="249" w:lineRule="auto"/>
              <w:ind w:left="110"/>
              <w:rPr>
                <w:rFonts w:ascii="Arial" w:hAnsi="Arial" w:cs="Arial"/>
                <w:sz w:val="22"/>
                <w:szCs w:val="22"/>
              </w:rPr>
            </w:pPr>
            <w:r>
              <w:rPr>
                <w:rFonts w:ascii="Arial" w:hAnsi="Arial" w:cs="Arial"/>
                <w:sz w:val="22"/>
                <w:szCs w:val="22"/>
              </w:rPr>
              <w:t>Otros Gastos de Explotación</w:t>
            </w:r>
          </w:p>
        </w:tc>
        <w:tc>
          <w:tcPr>
            <w:tcW w:w="1139" w:type="dxa"/>
            <w:tcBorders>
              <w:top w:val="single" w:sz="4" w:space="0" w:color="000000"/>
              <w:bottom w:val="single" w:sz="4" w:space="0" w:color="000000"/>
              <w:right w:val="single" w:sz="4" w:space="0" w:color="000000"/>
            </w:tcBorders>
            <w:shd w:val="clear" w:color="auto" w:fill="auto"/>
            <w:tcMar>
              <w:top w:w="10" w:type="dxa"/>
              <w:left w:w="0" w:type="dxa"/>
              <w:bottom w:w="0" w:type="dxa"/>
              <w:right w:w="51" w:type="dxa"/>
            </w:tcMar>
          </w:tcPr>
          <w:p w:rsidR="009B4233" w:rsidRDefault="009B4233">
            <w:pPr>
              <w:spacing w:after="160" w:line="249" w:lineRule="auto"/>
              <w:rPr>
                <w:rFonts w:ascii="Arial" w:hAnsi="Arial" w:cs="Arial"/>
                <w:sz w:val="22"/>
                <w:szCs w:val="22"/>
              </w:rPr>
            </w:pPr>
          </w:p>
        </w:tc>
        <w:tc>
          <w:tcPr>
            <w:tcW w:w="2961" w:type="dxa"/>
            <w:tcBorders>
              <w:top w:val="single" w:sz="4" w:space="0" w:color="000000"/>
              <w:left w:val="single" w:sz="4" w:space="0" w:color="000000"/>
              <w:bottom w:val="single" w:sz="4" w:space="0" w:color="000000"/>
              <w:right w:val="single" w:sz="4" w:space="0" w:color="000000"/>
            </w:tcBorders>
            <w:shd w:val="clear" w:color="auto" w:fill="auto"/>
            <w:tcMar>
              <w:top w:w="10" w:type="dxa"/>
              <w:left w:w="0" w:type="dxa"/>
              <w:bottom w:w="0" w:type="dxa"/>
              <w:right w:w="51" w:type="dxa"/>
            </w:tcMar>
          </w:tcPr>
          <w:p w:rsidR="009B4233" w:rsidRDefault="006B08B9">
            <w:pPr>
              <w:spacing w:line="249" w:lineRule="auto"/>
              <w:ind w:left="55"/>
              <w:jc w:val="center"/>
            </w:pPr>
            <w:r>
              <w:rPr>
                <w:rFonts w:ascii="Arial" w:eastAsia="Calibri" w:hAnsi="Arial" w:cs="Arial"/>
                <w:sz w:val="22"/>
                <w:szCs w:val="22"/>
              </w:rPr>
              <w:t>37.244,93 €</w:t>
            </w:r>
          </w:p>
        </w:tc>
      </w:tr>
      <w:tr w:rsidR="009B4233">
        <w:tblPrEx>
          <w:tblCellMar>
            <w:top w:w="0" w:type="dxa"/>
            <w:bottom w:w="0" w:type="dxa"/>
          </w:tblCellMar>
        </w:tblPrEx>
        <w:trPr>
          <w:trHeight w:val="524"/>
        </w:trPr>
        <w:tc>
          <w:tcPr>
            <w:tcW w:w="3140" w:type="dxa"/>
            <w:tcBorders>
              <w:top w:val="single" w:sz="4" w:space="0" w:color="000000"/>
              <w:left w:val="single" w:sz="4" w:space="0" w:color="000000"/>
              <w:bottom w:val="single" w:sz="4" w:space="0" w:color="000000"/>
            </w:tcBorders>
            <w:shd w:val="clear" w:color="auto" w:fill="auto"/>
            <w:tcMar>
              <w:top w:w="10" w:type="dxa"/>
              <w:left w:w="0" w:type="dxa"/>
              <w:bottom w:w="0" w:type="dxa"/>
              <w:right w:w="51" w:type="dxa"/>
            </w:tcMar>
          </w:tcPr>
          <w:p w:rsidR="009B4233" w:rsidRDefault="006B08B9">
            <w:pPr>
              <w:spacing w:line="249" w:lineRule="auto"/>
              <w:ind w:left="110"/>
              <w:rPr>
                <w:rFonts w:ascii="Arial" w:hAnsi="Arial" w:cs="Arial"/>
                <w:sz w:val="22"/>
                <w:szCs w:val="22"/>
              </w:rPr>
            </w:pPr>
            <w:r>
              <w:rPr>
                <w:rFonts w:ascii="Arial" w:hAnsi="Arial" w:cs="Arial"/>
                <w:sz w:val="22"/>
                <w:szCs w:val="22"/>
              </w:rPr>
              <w:t>Aprovisionamientos</w:t>
            </w:r>
          </w:p>
        </w:tc>
        <w:tc>
          <w:tcPr>
            <w:tcW w:w="1139" w:type="dxa"/>
            <w:tcBorders>
              <w:top w:val="single" w:sz="4" w:space="0" w:color="000000"/>
              <w:bottom w:val="single" w:sz="4" w:space="0" w:color="000000"/>
              <w:right w:val="single" w:sz="4" w:space="0" w:color="000000"/>
            </w:tcBorders>
            <w:shd w:val="clear" w:color="auto" w:fill="auto"/>
            <w:tcMar>
              <w:top w:w="10" w:type="dxa"/>
              <w:left w:w="0" w:type="dxa"/>
              <w:bottom w:w="0" w:type="dxa"/>
              <w:right w:w="51" w:type="dxa"/>
            </w:tcMar>
          </w:tcPr>
          <w:p w:rsidR="009B4233" w:rsidRDefault="009B4233">
            <w:pPr>
              <w:spacing w:after="160" w:line="249" w:lineRule="auto"/>
              <w:rPr>
                <w:rFonts w:ascii="Arial" w:hAnsi="Arial" w:cs="Arial"/>
                <w:sz w:val="22"/>
                <w:szCs w:val="22"/>
              </w:rPr>
            </w:pPr>
          </w:p>
        </w:tc>
        <w:tc>
          <w:tcPr>
            <w:tcW w:w="2961" w:type="dxa"/>
            <w:tcBorders>
              <w:top w:val="single" w:sz="4" w:space="0" w:color="000000"/>
              <w:left w:val="single" w:sz="4" w:space="0" w:color="000000"/>
              <w:bottom w:val="single" w:sz="4" w:space="0" w:color="000000"/>
              <w:right w:val="single" w:sz="4" w:space="0" w:color="000000"/>
            </w:tcBorders>
            <w:shd w:val="clear" w:color="auto" w:fill="auto"/>
            <w:tcMar>
              <w:top w:w="10" w:type="dxa"/>
              <w:left w:w="0" w:type="dxa"/>
              <w:bottom w:w="0" w:type="dxa"/>
              <w:right w:w="51" w:type="dxa"/>
            </w:tcMar>
          </w:tcPr>
          <w:p w:rsidR="009B4233" w:rsidRDefault="006B08B9">
            <w:pPr>
              <w:spacing w:line="249" w:lineRule="auto"/>
              <w:ind w:left="55"/>
              <w:jc w:val="center"/>
            </w:pPr>
            <w:r>
              <w:rPr>
                <w:rFonts w:ascii="Arial" w:eastAsia="Calibri" w:hAnsi="Arial" w:cs="Arial"/>
                <w:sz w:val="22"/>
                <w:szCs w:val="22"/>
              </w:rPr>
              <w:t>24,12 €</w:t>
            </w:r>
          </w:p>
        </w:tc>
      </w:tr>
      <w:tr w:rsidR="009B4233">
        <w:tblPrEx>
          <w:tblCellMar>
            <w:top w:w="0" w:type="dxa"/>
            <w:bottom w:w="0" w:type="dxa"/>
          </w:tblCellMar>
        </w:tblPrEx>
        <w:trPr>
          <w:trHeight w:val="522"/>
        </w:trPr>
        <w:tc>
          <w:tcPr>
            <w:tcW w:w="3140" w:type="dxa"/>
            <w:tcBorders>
              <w:top w:val="single" w:sz="4" w:space="0" w:color="000000"/>
              <w:left w:val="single" w:sz="4" w:space="0" w:color="000000"/>
              <w:bottom w:val="single" w:sz="4" w:space="0" w:color="000000"/>
            </w:tcBorders>
            <w:shd w:val="clear" w:color="auto" w:fill="auto"/>
            <w:tcMar>
              <w:top w:w="10" w:type="dxa"/>
              <w:left w:w="0" w:type="dxa"/>
              <w:bottom w:w="0" w:type="dxa"/>
              <w:right w:w="51" w:type="dxa"/>
            </w:tcMar>
          </w:tcPr>
          <w:p w:rsidR="009B4233" w:rsidRDefault="006B08B9">
            <w:pPr>
              <w:spacing w:line="249" w:lineRule="auto"/>
              <w:ind w:left="110"/>
              <w:rPr>
                <w:rFonts w:ascii="Arial" w:hAnsi="Arial" w:cs="Arial"/>
                <w:sz w:val="22"/>
                <w:szCs w:val="22"/>
              </w:rPr>
            </w:pPr>
            <w:r>
              <w:rPr>
                <w:rFonts w:ascii="Arial" w:hAnsi="Arial" w:cs="Arial"/>
                <w:sz w:val="22"/>
                <w:szCs w:val="22"/>
              </w:rPr>
              <w:t>Gastos Financieros</w:t>
            </w:r>
          </w:p>
        </w:tc>
        <w:tc>
          <w:tcPr>
            <w:tcW w:w="1139" w:type="dxa"/>
            <w:tcBorders>
              <w:top w:val="single" w:sz="4" w:space="0" w:color="000000"/>
              <w:bottom w:val="single" w:sz="4" w:space="0" w:color="000000"/>
              <w:right w:val="single" w:sz="4" w:space="0" w:color="000000"/>
            </w:tcBorders>
            <w:shd w:val="clear" w:color="auto" w:fill="auto"/>
            <w:tcMar>
              <w:top w:w="10" w:type="dxa"/>
              <w:left w:w="0" w:type="dxa"/>
              <w:bottom w:w="0" w:type="dxa"/>
              <w:right w:w="51" w:type="dxa"/>
            </w:tcMar>
          </w:tcPr>
          <w:p w:rsidR="009B4233" w:rsidRDefault="009B4233">
            <w:pPr>
              <w:spacing w:after="160" w:line="249" w:lineRule="auto"/>
              <w:rPr>
                <w:rFonts w:ascii="Arial" w:hAnsi="Arial" w:cs="Arial"/>
                <w:sz w:val="22"/>
                <w:szCs w:val="22"/>
              </w:rPr>
            </w:pPr>
          </w:p>
        </w:tc>
        <w:tc>
          <w:tcPr>
            <w:tcW w:w="2961" w:type="dxa"/>
            <w:tcBorders>
              <w:top w:val="single" w:sz="4" w:space="0" w:color="000000"/>
              <w:left w:val="single" w:sz="4" w:space="0" w:color="000000"/>
              <w:bottom w:val="single" w:sz="4" w:space="0" w:color="000000"/>
              <w:right w:val="single" w:sz="4" w:space="0" w:color="000000"/>
            </w:tcBorders>
            <w:shd w:val="clear" w:color="auto" w:fill="auto"/>
            <w:tcMar>
              <w:top w:w="10" w:type="dxa"/>
              <w:left w:w="0" w:type="dxa"/>
              <w:bottom w:w="0" w:type="dxa"/>
              <w:right w:w="51" w:type="dxa"/>
            </w:tcMar>
          </w:tcPr>
          <w:p w:rsidR="009B4233" w:rsidRDefault="006B08B9">
            <w:pPr>
              <w:spacing w:line="249" w:lineRule="auto"/>
              <w:ind w:left="53"/>
              <w:jc w:val="center"/>
            </w:pPr>
            <w:r>
              <w:rPr>
                <w:rFonts w:ascii="Arial" w:eastAsia="Calibri" w:hAnsi="Arial" w:cs="Arial"/>
                <w:sz w:val="22"/>
                <w:szCs w:val="22"/>
              </w:rPr>
              <w:t>0,00 €</w:t>
            </w:r>
          </w:p>
        </w:tc>
      </w:tr>
      <w:tr w:rsidR="009B4233">
        <w:tblPrEx>
          <w:tblCellMar>
            <w:top w:w="0" w:type="dxa"/>
            <w:bottom w:w="0" w:type="dxa"/>
          </w:tblCellMar>
        </w:tblPrEx>
        <w:trPr>
          <w:trHeight w:val="524"/>
        </w:trPr>
        <w:tc>
          <w:tcPr>
            <w:tcW w:w="3140" w:type="dxa"/>
            <w:tcBorders>
              <w:top w:val="single" w:sz="4" w:space="0" w:color="000000"/>
              <w:left w:val="single" w:sz="4" w:space="0" w:color="000000"/>
              <w:bottom w:val="single" w:sz="4" w:space="0" w:color="000000"/>
            </w:tcBorders>
            <w:shd w:val="clear" w:color="auto" w:fill="auto"/>
            <w:tcMar>
              <w:top w:w="10" w:type="dxa"/>
              <w:left w:w="0" w:type="dxa"/>
              <w:bottom w:w="0" w:type="dxa"/>
              <w:right w:w="51" w:type="dxa"/>
            </w:tcMar>
          </w:tcPr>
          <w:p w:rsidR="009B4233" w:rsidRDefault="006B08B9">
            <w:pPr>
              <w:spacing w:line="249" w:lineRule="auto"/>
              <w:ind w:left="110"/>
              <w:rPr>
                <w:rFonts w:ascii="Arial" w:hAnsi="Arial" w:cs="Arial"/>
                <w:sz w:val="22"/>
                <w:szCs w:val="22"/>
              </w:rPr>
            </w:pPr>
            <w:r>
              <w:rPr>
                <w:rFonts w:ascii="Arial" w:hAnsi="Arial" w:cs="Arial"/>
                <w:sz w:val="22"/>
                <w:szCs w:val="22"/>
              </w:rPr>
              <w:t>Otros Gastos</w:t>
            </w:r>
          </w:p>
        </w:tc>
        <w:tc>
          <w:tcPr>
            <w:tcW w:w="1139" w:type="dxa"/>
            <w:tcBorders>
              <w:top w:val="single" w:sz="4" w:space="0" w:color="000000"/>
              <w:bottom w:val="single" w:sz="4" w:space="0" w:color="000000"/>
              <w:right w:val="single" w:sz="4" w:space="0" w:color="000000"/>
            </w:tcBorders>
            <w:shd w:val="clear" w:color="auto" w:fill="auto"/>
            <w:tcMar>
              <w:top w:w="10" w:type="dxa"/>
              <w:left w:w="0" w:type="dxa"/>
              <w:bottom w:w="0" w:type="dxa"/>
              <w:right w:w="51" w:type="dxa"/>
            </w:tcMar>
          </w:tcPr>
          <w:p w:rsidR="009B4233" w:rsidRDefault="009B4233">
            <w:pPr>
              <w:spacing w:after="160" w:line="249" w:lineRule="auto"/>
              <w:rPr>
                <w:rFonts w:ascii="Arial" w:hAnsi="Arial" w:cs="Arial"/>
                <w:sz w:val="22"/>
                <w:szCs w:val="22"/>
              </w:rPr>
            </w:pPr>
          </w:p>
        </w:tc>
        <w:tc>
          <w:tcPr>
            <w:tcW w:w="2961" w:type="dxa"/>
            <w:tcBorders>
              <w:top w:val="single" w:sz="4" w:space="0" w:color="000000"/>
              <w:left w:val="single" w:sz="4" w:space="0" w:color="000000"/>
              <w:bottom w:val="single" w:sz="4" w:space="0" w:color="000000"/>
              <w:right w:val="single" w:sz="4" w:space="0" w:color="000000"/>
            </w:tcBorders>
            <w:shd w:val="clear" w:color="auto" w:fill="auto"/>
            <w:tcMar>
              <w:top w:w="10" w:type="dxa"/>
              <w:left w:w="0" w:type="dxa"/>
              <w:bottom w:w="0" w:type="dxa"/>
              <w:right w:w="51" w:type="dxa"/>
            </w:tcMar>
          </w:tcPr>
          <w:p w:rsidR="009B4233" w:rsidRDefault="006B08B9">
            <w:pPr>
              <w:spacing w:line="249" w:lineRule="auto"/>
              <w:ind w:left="55"/>
              <w:jc w:val="center"/>
            </w:pPr>
            <w:r>
              <w:rPr>
                <w:rFonts w:ascii="Arial" w:eastAsia="Calibri" w:hAnsi="Arial" w:cs="Arial"/>
                <w:sz w:val="22"/>
                <w:szCs w:val="22"/>
              </w:rPr>
              <w:t>10.494,20 €</w:t>
            </w:r>
          </w:p>
        </w:tc>
      </w:tr>
      <w:tr w:rsidR="009B4233">
        <w:tblPrEx>
          <w:tblCellMar>
            <w:top w:w="0" w:type="dxa"/>
            <w:bottom w:w="0" w:type="dxa"/>
          </w:tblCellMar>
        </w:tblPrEx>
        <w:trPr>
          <w:trHeight w:val="522"/>
        </w:trPr>
        <w:tc>
          <w:tcPr>
            <w:tcW w:w="3140" w:type="dxa"/>
            <w:tcBorders>
              <w:top w:val="single" w:sz="4" w:space="0" w:color="000000"/>
              <w:left w:val="single" w:sz="4" w:space="0" w:color="000000"/>
              <w:bottom w:val="single" w:sz="4" w:space="0" w:color="000000"/>
            </w:tcBorders>
            <w:shd w:val="clear" w:color="auto" w:fill="auto"/>
            <w:tcMar>
              <w:top w:w="10" w:type="dxa"/>
              <w:left w:w="0" w:type="dxa"/>
              <w:bottom w:w="0" w:type="dxa"/>
              <w:right w:w="51" w:type="dxa"/>
            </w:tcMar>
          </w:tcPr>
          <w:p w:rsidR="009B4233" w:rsidRDefault="006B08B9">
            <w:pPr>
              <w:spacing w:line="249" w:lineRule="auto"/>
              <w:ind w:left="110"/>
              <w:rPr>
                <w:rFonts w:ascii="Arial" w:hAnsi="Arial" w:cs="Arial"/>
                <w:sz w:val="22"/>
                <w:szCs w:val="22"/>
              </w:rPr>
            </w:pPr>
            <w:r>
              <w:rPr>
                <w:rFonts w:ascii="Arial" w:hAnsi="Arial" w:cs="Arial"/>
                <w:sz w:val="22"/>
                <w:szCs w:val="22"/>
              </w:rPr>
              <w:t>Amortización del Inmovilizado</w:t>
            </w:r>
          </w:p>
        </w:tc>
        <w:tc>
          <w:tcPr>
            <w:tcW w:w="1139" w:type="dxa"/>
            <w:tcBorders>
              <w:top w:val="single" w:sz="4" w:space="0" w:color="000000"/>
              <w:bottom w:val="single" w:sz="4" w:space="0" w:color="000000"/>
              <w:right w:val="single" w:sz="4" w:space="0" w:color="000000"/>
            </w:tcBorders>
            <w:shd w:val="clear" w:color="auto" w:fill="auto"/>
            <w:tcMar>
              <w:top w:w="10" w:type="dxa"/>
              <w:left w:w="0" w:type="dxa"/>
              <w:bottom w:w="0" w:type="dxa"/>
              <w:right w:w="51" w:type="dxa"/>
            </w:tcMar>
          </w:tcPr>
          <w:p w:rsidR="009B4233" w:rsidRDefault="009B4233">
            <w:pPr>
              <w:spacing w:after="160" w:line="249" w:lineRule="auto"/>
              <w:rPr>
                <w:rFonts w:ascii="Arial" w:hAnsi="Arial" w:cs="Arial"/>
                <w:sz w:val="22"/>
                <w:szCs w:val="22"/>
              </w:rPr>
            </w:pPr>
          </w:p>
        </w:tc>
        <w:tc>
          <w:tcPr>
            <w:tcW w:w="2961" w:type="dxa"/>
            <w:tcBorders>
              <w:top w:val="single" w:sz="4" w:space="0" w:color="000000"/>
              <w:left w:val="single" w:sz="4" w:space="0" w:color="000000"/>
              <w:bottom w:val="single" w:sz="4" w:space="0" w:color="000000"/>
              <w:right w:val="single" w:sz="4" w:space="0" w:color="000000"/>
            </w:tcBorders>
            <w:shd w:val="clear" w:color="auto" w:fill="auto"/>
            <w:tcMar>
              <w:top w:w="10" w:type="dxa"/>
              <w:left w:w="0" w:type="dxa"/>
              <w:bottom w:w="0" w:type="dxa"/>
              <w:right w:w="51" w:type="dxa"/>
            </w:tcMar>
          </w:tcPr>
          <w:p w:rsidR="009B4233" w:rsidRDefault="006B08B9">
            <w:pPr>
              <w:spacing w:line="249" w:lineRule="auto"/>
              <w:ind w:left="55"/>
              <w:jc w:val="center"/>
            </w:pPr>
            <w:r>
              <w:rPr>
                <w:rFonts w:ascii="Arial" w:eastAsia="Calibri" w:hAnsi="Arial" w:cs="Arial"/>
                <w:sz w:val="22"/>
                <w:szCs w:val="22"/>
              </w:rPr>
              <w:t>41.584,59 €</w:t>
            </w:r>
          </w:p>
        </w:tc>
      </w:tr>
      <w:tr w:rsidR="009B4233">
        <w:tblPrEx>
          <w:tblCellMar>
            <w:top w:w="0" w:type="dxa"/>
            <w:bottom w:w="0" w:type="dxa"/>
          </w:tblCellMar>
        </w:tblPrEx>
        <w:trPr>
          <w:trHeight w:val="470"/>
        </w:trPr>
        <w:tc>
          <w:tcPr>
            <w:tcW w:w="3140" w:type="dxa"/>
            <w:tcBorders>
              <w:top w:val="single" w:sz="4" w:space="0" w:color="000000"/>
              <w:left w:val="single" w:sz="4" w:space="0" w:color="000000"/>
              <w:bottom w:val="single" w:sz="4" w:space="0" w:color="000000"/>
            </w:tcBorders>
            <w:shd w:val="clear" w:color="auto" w:fill="auto"/>
            <w:tcMar>
              <w:top w:w="10" w:type="dxa"/>
              <w:left w:w="0" w:type="dxa"/>
              <w:bottom w:w="0" w:type="dxa"/>
              <w:right w:w="51" w:type="dxa"/>
            </w:tcMar>
          </w:tcPr>
          <w:p w:rsidR="009B4233" w:rsidRDefault="006B08B9">
            <w:pPr>
              <w:spacing w:line="249" w:lineRule="auto"/>
              <w:ind w:left="110"/>
            </w:pPr>
            <w:r>
              <w:rPr>
                <w:rFonts w:ascii="Arial" w:eastAsia="Calibri" w:hAnsi="Arial" w:cs="Arial"/>
                <w:b/>
                <w:sz w:val="22"/>
                <w:szCs w:val="22"/>
              </w:rPr>
              <w:t>Variación</w:t>
            </w:r>
            <w:r>
              <w:rPr>
                <w:rFonts w:ascii="Arial" w:eastAsia="Calibri" w:hAnsi="Arial" w:cs="Arial"/>
                <w:b/>
                <w:sz w:val="22"/>
                <w:szCs w:val="22"/>
              </w:rPr>
              <w:tab/>
              <w:t xml:space="preserve"> </w:t>
            </w:r>
            <w:r>
              <w:rPr>
                <w:rFonts w:ascii="Arial" w:eastAsia="Calibri" w:hAnsi="Arial" w:cs="Arial"/>
                <w:b/>
                <w:sz w:val="22"/>
                <w:szCs w:val="22"/>
              </w:rPr>
              <w:tab/>
              <w:t>Existencias</w:t>
            </w:r>
            <w:r>
              <w:rPr>
                <w:rFonts w:ascii="Arial" w:eastAsia="Calibri" w:hAnsi="Arial" w:cs="Arial"/>
                <w:b/>
                <w:sz w:val="22"/>
                <w:szCs w:val="22"/>
              </w:rPr>
              <w:tab/>
              <w:t xml:space="preserve"> Terminados</w:t>
            </w:r>
          </w:p>
        </w:tc>
        <w:tc>
          <w:tcPr>
            <w:tcW w:w="1139" w:type="dxa"/>
            <w:tcBorders>
              <w:top w:val="single" w:sz="4" w:space="0" w:color="000000"/>
              <w:bottom w:val="single" w:sz="4" w:space="0" w:color="000000"/>
              <w:right w:val="single" w:sz="4" w:space="0" w:color="000000"/>
            </w:tcBorders>
            <w:shd w:val="clear" w:color="auto" w:fill="auto"/>
            <w:tcMar>
              <w:top w:w="10" w:type="dxa"/>
              <w:left w:w="0" w:type="dxa"/>
              <w:bottom w:w="0" w:type="dxa"/>
              <w:right w:w="51" w:type="dxa"/>
            </w:tcMar>
          </w:tcPr>
          <w:p w:rsidR="009B4233" w:rsidRDefault="006B08B9">
            <w:pPr>
              <w:spacing w:line="249" w:lineRule="auto"/>
            </w:pPr>
            <w:r>
              <w:rPr>
                <w:rFonts w:ascii="Arial" w:eastAsia="Calibri" w:hAnsi="Arial" w:cs="Arial"/>
                <w:b/>
                <w:sz w:val="22"/>
                <w:szCs w:val="22"/>
              </w:rPr>
              <w:t xml:space="preserve">Productos </w:t>
            </w:r>
          </w:p>
        </w:tc>
        <w:tc>
          <w:tcPr>
            <w:tcW w:w="2961" w:type="dxa"/>
            <w:tcBorders>
              <w:top w:val="single" w:sz="4" w:space="0" w:color="000000"/>
              <w:left w:val="single" w:sz="4" w:space="0" w:color="000000"/>
              <w:bottom w:val="single" w:sz="4" w:space="0" w:color="000000"/>
              <w:right w:val="single" w:sz="4" w:space="0" w:color="000000"/>
            </w:tcBorders>
            <w:shd w:val="clear" w:color="auto" w:fill="auto"/>
            <w:tcMar>
              <w:top w:w="10" w:type="dxa"/>
              <w:left w:w="0" w:type="dxa"/>
              <w:bottom w:w="0" w:type="dxa"/>
              <w:right w:w="51" w:type="dxa"/>
            </w:tcMar>
          </w:tcPr>
          <w:p w:rsidR="009B4233" w:rsidRDefault="006B08B9">
            <w:pPr>
              <w:spacing w:line="249" w:lineRule="auto"/>
              <w:ind w:left="55"/>
              <w:jc w:val="center"/>
            </w:pPr>
            <w:r>
              <w:rPr>
                <w:rFonts w:ascii="Arial" w:eastAsia="Calibri" w:hAnsi="Arial" w:cs="Arial"/>
                <w:sz w:val="22"/>
                <w:szCs w:val="22"/>
              </w:rPr>
              <w:t>26,36 €</w:t>
            </w:r>
          </w:p>
        </w:tc>
      </w:tr>
      <w:tr w:rsidR="009B4233">
        <w:tblPrEx>
          <w:tblCellMar>
            <w:top w:w="0" w:type="dxa"/>
            <w:bottom w:w="0" w:type="dxa"/>
          </w:tblCellMar>
        </w:tblPrEx>
        <w:trPr>
          <w:trHeight w:val="240"/>
        </w:trPr>
        <w:tc>
          <w:tcPr>
            <w:tcW w:w="3140" w:type="dxa"/>
            <w:tcBorders>
              <w:top w:val="single" w:sz="4" w:space="0" w:color="000000"/>
              <w:left w:val="single" w:sz="4" w:space="0" w:color="000000"/>
              <w:bottom w:val="single" w:sz="4" w:space="0" w:color="000000"/>
            </w:tcBorders>
            <w:shd w:val="clear" w:color="auto" w:fill="auto"/>
            <w:tcMar>
              <w:top w:w="10" w:type="dxa"/>
              <w:left w:w="0" w:type="dxa"/>
              <w:bottom w:w="0" w:type="dxa"/>
              <w:right w:w="51" w:type="dxa"/>
            </w:tcMar>
          </w:tcPr>
          <w:p w:rsidR="009B4233" w:rsidRDefault="006B08B9">
            <w:pPr>
              <w:spacing w:line="249" w:lineRule="auto"/>
              <w:ind w:left="830"/>
            </w:pPr>
            <w:r>
              <w:rPr>
                <w:rFonts w:ascii="Arial" w:eastAsia="Calibri" w:hAnsi="Arial" w:cs="Arial"/>
                <w:b/>
                <w:sz w:val="22"/>
                <w:szCs w:val="22"/>
              </w:rPr>
              <w:t>TOTAL</w:t>
            </w:r>
          </w:p>
        </w:tc>
        <w:tc>
          <w:tcPr>
            <w:tcW w:w="1139" w:type="dxa"/>
            <w:tcBorders>
              <w:top w:val="single" w:sz="4" w:space="0" w:color="000000"/>
              <w:bottom w:val="single" w:sz="4" w:space="0" w:color="000000"/>
              <w:right w:val="single" w:sz="4" w:space="0" w:color="000000"/>
            </w:tcBorders>
            <w:shd w:val="clear" w:color="auto" w:fill="auto"/>
            <w:tcMar>
              <w:top w:w="10" w:type="dxa"/>
              <w:left w:w="0" w:type="dxa"/>
              <w:bottom w:w="0" w:type="dxa"/>
              <w:right w:w="51" w:type="dxa"/>
            </w:tcMar>
          </w:tcPr>
          <w:p w:rsidR="009B4233" w:rsidRDefault="009B4233">
            <w:pPr>
              <w:spacing w:after="160" w:line="249" w:lineRule="auto"/>
              <w:rPr>
                <w:rFonts w:ascii="Arial" w:hAnsi="Arial" w:cs="Arial"/>
                <w:sz w:val="22"/>
                <w:szCs w:val="22"/>
              </w:rPr>
            </w:pPr>
          </w:p>
        </w:tc>
        <w:tc>
          <w:tcPr>
            <w:tcW w:w="2961" w:type="dxa"/>
            <w:tcBorders>
              <w:top w:val="single" w:sz="4" w:space="0" w:color="000000"/>
              <w:left w:val="single" w:sz="4" w:space="0" w:color="000000"/>
              <w:bottom w:val="single" w:sz="4" w:space="0" w:color="000000"/>
              <w:right w:val="single" w:sz="4" w:space="0" w:color="000000"/>
            </w:tcBorders>
            <w:shd w:val="clear" w:color="auto" w:fill="auto"/>
            <w:tcMar>
              <w:top w:w="10" w:type="dxa"/>
              <w:left w:w="0" w:type="dxa"/>
              <w:bottom w:w="0" w:type="dxa"/>
              <w:right w:w="51" w:type="dxa"/>
            </w:tcMar>
          </w:tcPr>
          <w:p w:rsidR="009B4233" w:rsidRDefault="006B08B9">
            <w:pPr>
              <w:spacing w:line="249" w:lineRule="auto"/>
              <w:ind w:left="55"/>
              <w:jc w:val="center"/>
            </w:pPr>
            <w:r>
              <w:rPr>
                <w:rFonts w:ascii="Arial" w:eastAsia="Calibri" w:hAnsi="Arial" w:cs="Arial"/>
                <w:sz w:val="22"/>
                <w:szCs w:val="22"/>
              </w:rPr>
              <w:t>618.778,54 €</w:t>
            </w:r>
          </w:p>
        </w:tc>
      </w:tr>
    </w:tbl>
    <w:p w:rsidR="009B4233" w:rsidRDefault="009B4233">
      <w:pPr>
        <w:spacing w:after="236" w:line="249" w:lineRule="auto"/>
        <w:ind w:left="134"/>
        <w:rPr>
          <w:rFonts w:ascii="Arial" w:eastAsia="Calibri" w:hAnsi="Arial" w:cs="Arial"/>
          <w:b/>
          <w:sz w:val="22"/>
          <w:szCs w:val="22"/>
          <w:u w:val="single" w:color="000000"/>
        </w:rPr>
      </w:pPr>
    </w:p>
    <w:p w:rsidR="009B4233" w:rsidRDefault="006B08B9">
      <w:pPr>
        <w:spacing w:after="236" w:line="249" w:lineRule="auto"/>
        <w:ind w:left="134"/>
      </w:pPr>
      <w:r>
        <w:rPr>
          <w:rFonts w:ascii="Arial" w:eastAsia="Calibri" w:hAnsi="Arial" w:cs="Arial"/>
          <w:b/>
          <w:sz w:val="22"/>
          <w:szCs w:val="22"/>
          <w:u w:val="single" w:color="000000"/>
        </w:rPr>
        <w:t xml:space="preserve">Sociedad Municipal de Viviendas y </w:t>
      </w:r>
      <w:r>
        <w:rPr>
          <w:rFonts w:ascii="Arial" w:eastAsia="Calibri" w:hAnsi="Arial" w:cs="Arial"/>
          <w:b/>
          <w:sz w:val="22"/>
          <w:szCs w:val="22"/>
          <w:u w:val="single" w:color="000000"/>
        </w:rPr>
        <w:t>Servicios Municipales de Candelaria SLU</w:t>
      </w:r>
    </w:p>
    <w:p w:rsidR="009B4233" w:rsidRDefault="006B08B9">
      <w:pPr>
        <w:spacing w:after="532" w:line="218" w:lineRule="auto"/>
        <w:ind w:left="-15" w:firstLine="360"/>
      </w:pPr>
      <w:r>
        <w:rPr>
          <w:rFonts w:ascii="Arial" w:eastAsia="Calibri" w:hAnsi="Arial" w:cs="Arial"/>
          <w:sz w:val="22"/>
          <w:szCs w:val="22"/>
        </w:rPr>
        <w:t>Destaca la Cuenta de Pérdidas y Ganancias del ejercicio, conforme el siguiente detalle:</w:t>
      </w:r>
    </w:p>
    <w:p w:rsidR="009B4233" w:rsidRDefault="006B08B9">
      <w:pPr>
        <w:widowControl/>
        <w:numPr>
          <w:ilvl w:val="0"/>
          <w:numId w:val="20"/>
        </w:numPr>
        <w:suppressAutoHyphens w:val="0"/>
        <w:spacing w:line="249" w:lineRule="auto"/>
        <w:ind w:hanging="360"/>
        <w:jc w:val="center"/>
        <w:textAlignment w:val="auto"/>
      </w:pPr>
      <w:r>
        <w:rPr>
          <w:rFonts w:ascii="Arial" w:eastAsia="Calibri" w:hAnsi="Arial" w:cs="Arial"/>
          <w:b/>
          <w:i/>
          <w:sz w:val="22"/>
          <w:szCs w:val="22"/>
          <w:u w:val="single" w:color="000000"/>
        </w:rPr>
        <w:t xml:space="preserve">INGRESOS: </w:t>
      </w:r>
    </w:p>
    <w:tbl>
      <w:tblPr>
        <w:tblW w:w="7336" w:type="dxa"/>
        <w:tblInd w:w="604" w:type="dxa"/>
        <w:tblCellMar>
          <w:left w:w="10" w:type="dxa"/>
          <w:right w:w="10" w:type="dxa"/>
        </w:tblCellMar>
        <w:tblLook w:val="0000" w:firstRow="0" w:lastRow="0" w:firstColumn="0" w:lastColumn="0" w:noHBand="0" w:noVBand="0"/>
      </w:tblPr>
      <w:tblGrid>
        <w:gridCol w:w="3642"/>
        <w:gridCol w:w="3694"/>
      </w:tblGrid>
      <w:tr w:rsidR="009B4233">
        <w:tblPrEx>
          <w:tblCellMar>
            <w:top w:w="0" w:type="dxa"/>
            <w:bottom w:w="0" w:type="dxa"/>
          </w:tblCellMar>
        </w:tblPrEx>
        <w:trPr>
          <w:trHeight w:val="194"/>
        </w:trPr>
        <w:tc>
          <w:tcPr>
            <w:tcW w:w="3642" w:type="dxa"/>
            <w:tcBorders>
              <w:top w:val="single" w:sz="4" w:space="0" w:color="000000"/>
              <w:left w:val="single" w:sz="4" w:space="0" w:color="000000"/>
              <w:bottom w:val="single" w:sz="4" w:space="0" w:color="000000"/>
              <w:right w:val="single" w:sz="4" w:space="0" w:color="000000"/>
            </w:tcBorders>
            <w:shd w:val="clear" w:color="auto" w:fill="auto"/>
            <w:tcMar>
              <w:top w:w="10" w:type="dxa"/>
              <w:left w:w="115" w:type="dxa"/>
              <w:bottom w:w="0" w:type="dxa"/>
              <w:right w:w="115" w:type="dxa"/>
            </w:tcMar>
          </w:tcPr>
          <w:p w:rsidR="009B4233" w:rsidRDefault="006B08B9">
            <w:pPr>
              <w:spacing w:line="249" w:lineRule="auto"/>
              <w:ind w:left="2"/>
              <w:jc w:val="center"/>
            </w:pPr>
            <w:r>
              <w:rPr>
                <w:rFonts w:ascii="Arial" w:eastAsia="Calibri" w:hAnsi="Arial" w:cs="Arial"/>
                <w:b/>
                <w:sz w:val="22"/>
                <w:szCs w:val="22"/>
              </w:rPr>
              <w:t>INGRESOS</w:t>
            </w:r>
          </w:p>
        </w:tc>
        <w:tc>
          <w:tcPr>
            <w:tcW w:w="3694" w:type="dxa"/>
            <w:tcBorders>
              <w:top w:val="single" w:sz="4" w:space="0" w:color="000000"/>
              <w:left w:val="single" w:sz="4" w:space="0" w:color="000000"/>
              <w:bottom w:val="single" w:sz="4" w:space="0" w:color="000000"/>
              <w:right w:val="single" w:sz="4" w:space="0" w:color="000000"/>
            </w:tcBorders>
            <w:shd w:val="clear" w:color="auto" w:fill="auto"/>
            <w:tcMar>
              <w:top w:w="10" w:type="dxa"/>
              <w:left w:w="115" w:type="dxa"/>
              <w:bottom w:w="0" w:type="dxa"/>
              <w:right w:w="115" w:type="dxa"/>
            </w:tcMar>
          </w:tcPr>
          <w:p w:rsidR="009B4233" w:rsidRDefault="006B08B9">
            <w:pPr>
              <w:spacing w:line="249" w:lineRule="auto"/>
              <w:ind w:left="4"/>
              <w:jc w:val="center"/>
            </w:pPr>
            <w:r>
              <w:rPr>
                <w:rFonts w:ascii="Arial" w:eastAsia="Calibri" w:hAnsi="Arial" w:cs="Arial"/>
                <w:b/>
                <w:sz w:val="22"/>
                <w:szCs w:val="22"/>
              </w:rPr>
              <w:t>INGRESO REAL 2024</w:t>
            </w:r>
          </w:p>
        </w:tc>
      </w:tr>
      <w:tr w:rsidR="009B4233">
        <w:tblPrEx>
          <w:tblCellMar>
            <w:top w:w="0" w:type="dxa"/>
            <w:bottom w:w="0" w:type="dxa"/>
          </w:tblCellMar>
        </w:tblPrEx>
        <w:trPr>
          <w:trHeight w:val="476"/>
        </w:trPr>
        <w:tc>
          <w:tcPr>
            <w:tcW w:w="3642" w:type="dxa"/>
            <w:tcBorders>
              <w:top w:val="single" w:sz="4" w:space="0" w:color="000000"/>
              <w:left w:val="single" w:sz="4" w:space="0" w:color="000000"/>
              <w:bottom w:val="single" w:sz="4" w:space="0" w:color="000000"/>
              <w:right w:val="single" w:sz="4" w:space="0" w:color="000000"/>
            </w:tcBorders>
            <w:shd w:val="clear" w:color="auto" w:fill="auto"/>
            <w:tcMar>
              <w:top w:w="10" w:type="dxa"/>
              <w:left w:w="115" w:type="dxa"/>
              <w:bottom w:w="0" w:type="dxa"/>
              <w:right w:w="115" w:type="dxa"/>
            </w:tcMar>
          </w:tcPr>
          <w:p w:rsidR="009B4233" w:rsidRDefault="006B08B9">
            <w:pPr>
              <w:spacing w:line="249" w:lineRule="auto"/>
              <w:ind w:left="1"/>
              <w:jc w:val="center"/>
            </w:pPr>
            <w:r>
              <w:rPr>
                <w:rFonts w:ascii="Arial" w:eastAsia="Calibri" w:hAnsi="Arial" w:cs="Arial"/>
                <w:b/>
                <w:sz w:val="22"/>
                <w:szCs w:val="22"/>
              </w:rPr>
              <w:t>Importe Neto de la Cifra de Negocios</w:t>
            </w:r>
          </w:p>
        </w:tc>
        <w:tc>
          <w:tcPr>
            <w:tcW w:w="3694" w:type="dxa"/>
            <w:tcBorders>
              <w:top w:val="single" w:sz="4" w:space="0" w:color="000000"/>
              <w:left w:val="single" w:sz="4" w:space="0" w:color="000000"/>
              <w:bottom w:val="single" w:sz="4" w:space="0" w:color="000000"/>
              <w:right w:val="single" w:sz="4" w:space="0" w:color="000000"/>
            </w:tcBorders>
            <w:shd w:val="clear" w:color="auto" w:fill="auto"/>
            <w:tcMar>
              <w:top w:w="10" w:type="dxa"/>
              <w:left w:w="115" w:type="dxa"/>
              <w:bottom w:w="0" w:type="dxa"/>
              <w:right w:w="115" w:type="dxa"/>
            </w:tcMar>
          </w:tcPr>
          <w:p w:rsidR="009B4233" w:rsidRDefault="006B08B9">
            <w:pPr>
              <w:spacing w:line="249" w:lineRule="auto"/>
              <w:ind w:left="3"/>
              <w:jc w:val="center"/>
              <w:rPr>
                <w:rFonts w:ascii="Arial" w:hAnsi="Arial" w:cs="Arial"/>
                <w:sz w:val="22"/>
                <w:szCs w:val="22"/>
              </w:rPr>
            </w:pPr>
            <w:r>
              <w:rPr>
                <w:rFonts w:ascii="Arial" w:hAnsi="Arial" w:cs="Arial"/>
                <w:sz w:val="22"/>
                <w:szCs w:val="22"/>
              </w:rPr>
              <w:t>4.683,08 €</w:t>
            </w:r>
          </w:p>
        </w:tc>
      </w:tr>
      <w:tr w:rsidR="009B4233">
        <w:tblPrEx>
          <w:tblCellMar>
            <w:top w:w="0" w:type="dxa"/>
            <w:bottom w:w="0" w:type="dxa"/>
          </w:tblCellMar>
        </w:tblPrEx>
        <w:trPr>
          <w:trHeight w:val="478"/>
        </w:trPr>
        <w:tc>
          <w:tcPr>
            <w:tcW w:w="3642" w:type="dxa"/>
            <w:tcBorders>
              <w:top w:val="single" w:sz="4" w:space="0" w:color="000000"/>
              <w:left w:val="single" w:sz="4" w:space="0" w:color="000000"/>
              <w:bottom w:val="single" w:sz="4" w:space="0" w:color="000000"/>
              <w:right w:val="single" w:sz="4" w:space="0" w:color="000000"/>
            </w:tcBorders>
            <w:shd w:val="clear" w:color="auto" w:fill="auto"/>
            <w:tcMar>
              <w:top w:w="10" w:type="dxa"/>
              <w:left w:w="115" w:type="dxa"/>
              <w:bottom w:w="0" w:type="dxa"/>
              <w:right w:w="115" w:type="dxa"/>
            </w:tcMar>
          </w:tcPr>
          <w:p w:rsidR="009B4233" w:rsidRDefault="006B08B9">
            <w:pPr>
              <w:spacing w:line="249" w:lineRule="auto"/>
              <w:jc w:val="center"/>
            </w:pPr>
            <w:r>
              <w:rPr>
                <w:rFonts w:ascii="Arial" w:eastAsia="Calibri" w:hAnsi="Arial" w:cs="Arial"/>
                <w:b/>
                <w:sz w:val="22"/>
                <w:szCs w:val="22"/>
              </w:rPr>
              <w:t>Otros Ingresos de Explotación</w:t>
            </w:r>
          </w:p>
        </w:tc>
        <w:tc>
          <w:tcPr>
            <w:tcW w:w="3694" w:type="dxa"/>
            <w:tcBorders>
              <w:top w:val="single" w:sz="4" w:space="0" w:color="000000"/>
              <w:left w:val="single" w:sz="4" w:space="0" w:color="000000"/>
              <w:bottom w:val="single" w:sz="4" w:space="0" w:color="000000"/>
              <w:right w:val="single" w:sz="4" w:space="0" w:color="000000"/>
            </w:tcBorders>
            <w:shd w:val="clear" w:color="auto" w:fill="auto"/>
            <w:tcMar>
              <w:top w:w="10" w:type="dxa"/>
              <w:left w:w="115" w:type="dxa"/>
              <w:bottom w:w="0" w:type="dxa"/>
              <w:right w:w="115" w:type="dxa"/>
            </w:tcMar>
          </w:tcPr>
          <w:p w:rsidR="009B4233" w:rsidRDefault="006B08B9">
            <w:pPr>
              <w:spacing w:line="249" w:lineRule="auto"/>
              <w:ind w:left="5"/>
              <w:jc w:val="center"/>
              <w:rPr>
                <w:rFonts w:ascii="Arial" w:hAnsi="Arial" w:cs="Arial"/>
                <w:sz w:val="22"/>
                <w:szCs w:val="22"/>
              </w:rPr>
            </w:pPr>
            <w:r>
              <w:rPr>
                <w:rFonts w:ascii="Arial" w:hAnsi="Arial" w:cs="Arial"/>
                <w:sz w:val="22"/>
                <w:szCs w:val="22"/>
              </w:rPr>
              <w:t>1.367.859,50 €</w:t>
            </w:r>
          </w:p>
        </w:tc>
      </w:tr>
      <w:tr w:rsidR="009B4233">
        <w:tblPrEx>
          <w:tblCellMar>
            <w:top w:w="0" w:type="dxa"/>
            <w:bottom w:w="0" w:type="dxa"/>
          </w:tblCellMar>
        </w:tblPrEx>
        <w:trPr>
          <w:trHeight w:val="194"/>
        </w:trPr>
        <w:tc>
          <w:tcPr>
            <w:tcW w:w="3642" w:type="dxa"/>
            <w:tcBorders>
              <w:top w:val="single" w:sz="4" w:space="0" w:color="000000"/>
              <w:left w:val="single" w:sz="4" w:space="0" w:color="000000"/>
              <w:bottom w:val="single" w:sz="4" w:space="0" w:color="000000"/>
              <w:right w:val="single" w:sz="4" w:space="0" w:color="000000"/>
            </w:tcBorders>
            <w:shd w:val="clear" w:color="auto" w:fill="auto"/>
            <w:tcMar>
              <w:top w:w="10" w:type="dxa"/>
              <w:left w:w="115" w:type="dxa"/>
              <w:bottom w:w="0" w:type="dxa"/>
              <w:right w:w="115" w:type="dxa"/>
            </w:tcMar>
          </w:tcPr>
          <w:p w:rsidR="009B4233" w:rsidRDefault="006B08B9">
            <w:pPr>
              <w:spacing w:line="249" w:lineRule="auto"/>
              <w:ind w:left="4"/>
              <w:jc w:val="center"/>
            </w:pPr>
            <w:r>
              <w:rPr>
                <w:rFonts w:ascii="Arial" w:eastAsia="Calibri" w:hAnsi="Arial" w:cs="Arial"/>
                <w:b/>
                <w:sz w:val="22"/>
                <w:szCs w:val="22"/>
              </w:rPr>
              <w:t>Otros Ingresos</w:t>
            </w:r>
          </w:p>
        </w:tc>
        <w:tc>
          <w:tcPr>
            <w:tcW w:w="3694" w:type="dxa"/>
            <w:tcBorders>
              <w:top w:val="single" w:sz="4" w:space="0" w:color="000000"/>
              <w:left w:val="single" w:sz="4" w:space="0" w:color="000000"/>
              <w:bottom w:val="single" w:sz="4" w:space="0" w:color="000000"/>
              <w:right w:val="single" w:sz="4" w:space="0" w:color="000000"/>
            </w:tcBorders>
            <w:shd w:val="clear" w:color="auto" w:fill="auto"/>
            <w:tcMar>
              <w:top w:w="10" w:type="dxa"/>
              <w:left w:w="115" w:type="dxa"/>
              <w:bottom w:w="0" w:type="dxa"/>
              <w:right w:w="115" w:type="dxa"/>
            </w:tcMar>
          </w:tcPr>
          <w:p w:rsidR="009B4233" w:rsidRDefault="006B08B9">
            <w:pPr>
              <w:spacing w:line="249" w:lineRule="auto"/>
              <w:ind w:left="3"/>
              <w:jc w:val="center"/>
              <w:rPr>
                <w:rFonts w:ascii="Arial" w:hAnsi="Arial" w:cs="Arial"/>
                <w:sz w:val="22"/>
                <w:szCs w:val="22"/>
              </w:rPr>
            </w:pPr>
            <w:r>
              <w:rPr>
                <w:rFonts w:ascii="Arial" w:hAnsi="Arial" w:cs="Arial"/>
                <w:sz w:val="22"/>
                <w:szCs w:val="22"/>
              </w:rPr>
              <w:t>6.495,95 €</w:t>
            </w:r>
          </w:p>
        </w:tc>
      </w:tr>
      <w:tr w:rsidR="009B4233">
        <w:tblPrEx>
          <w:tblCellMar>
            <w:top w:w="0" w:type="dxa"/>
            <w:bottom w:w="0" w:type="dxa"/>
          </w:tblCellMar>
        </w:tblPrEx>
        <w:trPr>
          <w:trHeight w:val="546"/>
        </w:trPr>
        <w:tc>
          <w:tcPr>
            <w:tcW w:w="3642" w:type="dxa"/>
            <w:tcBorders>
              <w:top w:val="single" w:sz="4" w:space="0" w:color="000000"/>
              <w:left w:val="single" w:sz="4" w:space="0" w:color="000000"/>
              <w:bottom w:val="single" w:sz="4" w:space="0" w:color="000000"/>
              <w:right w:val="single" w:sz="4" w:space="0" w:color="000000"/>
            </w:tcBorders>
            <w:shd w:val="clear" w:color="auto" w:fill="auto"/>
            <w:tcMar>
              <w:top w:w="10" w:type="dxa"/>
              <w:left w:w="115" w:type="dxa"/>
              <w:bottom w:w="0" w:type="dxa"/>
              <w:right w:w="115" w:type="dxa"/>
            </w:tcMar>
          </w:tcPr>
          <w:p w:rsidR="009B4233" w:rsidRDefault="009B4233">
            <w:pPr>
              <w:spacing w:after="160" w:line="249" w:lineRule="auto"/>
              <w:rPr>
                <w:rFonts w:ascii="Arial" w:hAnsi="Arial" w:cs="Arial"/>
                <w:sz w:val="22"/>
                <w:szCs w:val="22"/>
              </w:rPr>
            </w:pPr>
          </w:p>
        </w:tc>
        <w:tc>
          <w:tcPr>
            <w:tcW w:w="3694" w:type="dxa"/>
            <w:tcBorders>
              <w:top w:val="single" w:sz="4" w:space="0" w:color="000000"/>
              <w:left w:val="single" w:sz="4" w:space="0" w:color="000000"/>
              <w:bottom w:val="single" w:sz="4" w:space="0" w:color="000000"/>
              <w:right w:val="single" w:sz="4" w:space="0" w:color="000000"/>
            </w:tcBorders>
            <w:shd w:val="clear" w:color="auto" w:fill="auto"/>
            <w:tcMar>
              <w:top w:w="10" w:type="dxa"/>
              <w:left w:w="115" w:type="dxa"/>
              <w:bottom w:w="0" w:type="dxa"/>
              <w:right w:w="115" w:type="dxa"/>
            </w:tcMar>
          </w:tcPr>
          <w:p w:rsidR="009B4233" w:rsidRDefault="009B4233">
            <w:pPr>
              <w:spacing w:after="160" w:line="249" w:lineRule="auto"/>
              <w:rPr>
                <w:rFonts w:ascii="Arial" w:hAnsi="Arial" w:cs="Arial"/>
                <w:sz w:val="22"/>
                <w:szCs w:val="22"/>
              </w:rPr>
            </w:pPr>
          </w:p>
        </w:tc>
      </w:tr>
      <w:tr w:rsidR="009B4233">
        <w:tblPrEx>
          <w:tblCellMar>
            <w:top w:w="0" w:type="dxa"/>
            <w:bottom w:w="0" w:type="dxa"/>
          </w:tblCellMar>
        </w:tblPrEx>
        <w:trPr>
          <w:trHeight w:val="478"/>
        </w:trPr>
        <w:tc>
          <w:tcPr>
            <w:tcW w:w="3642" w:type="dxa"/>
            <w:tcBorders>
              <w:top w:val="single" w:sz="4" w:space="0" w:color="000000"/>
              <w:left w:val="single" w:sz="4" w:space="0" w:color="000000"/>
              <w:bottom w:val="single" w:sz="4" w:space="0" w:color="000000"/>
              <w:right w:val="single" w:sz="4" w:space="0" w:color="000000"/>
            </w:tcBorders>
            <w:shd w:val="clear" w:color="auto" w:fill="auto"/>
            <w:tcMar>
              <w:top w:w="10" w:type="dxa"/>
              <w:left w:w="115" w:type="dxa"/>
              <w:bottom w:w="0" w:type="dxa"/>
              <w:right w:w="115" w:type="dxa"/>
            </w:tcMar>
          </w:tcPr>
          <w:p w:rsidR="009B4233" w:rsidRDefault="006B08B9">
            <w:pPr>
              <w:spacing w:line="249" w:lineRule="auto"/>
              <w:ind w:left="3"/>
              <w:jc w:val="center"/>
            </w:pPr>
            <w:r>
              <w:rPr>
                <w:rFonts w:ascii="Arial" w:eastAsia="Calibri" w:hAnsi="Arial" w:cs="Arial"/>
                <w:b/>
                <w:sz w:val="22"/>
                <w:szCs w:val="22"/>
              </w:rPr>
              <w:t>TOTAL</w:t>
            </w:r>
          </w:p>
        </w:tc>
        <w:tc>
          <w:tcPr>
            <w:tcW w:w="3694" w:type="dxa"/>
            <w:tcBorders>
              <w:top w:val="single" w:sz="4" w:space="0" w:color="000000"/>
              <w:left w:val="single" w:sz="4" w:space="0" w:color="000000"/>
              <w:bottom w:val="single" w:sz="4" w:space="0" w:color="000000"/>
              <w:right w:val="single" w:sz="4" w:space="0" w:color="000000"/>
            </w:tcBorders>
            <w:shd w:val="clear" w:color="auto" w:fill="auto"/>
            <w:tcMar>
              <w:top w:w="10" w:type="dxa"/>
              <w:left w:w="115" w:type="dxa"/>
              <w:bottom w:w="0" w:type="dxa"/>
              <w:right w:w="115" w:type="dxa"/>
            </w:tcMar>
          </w:tcPr>
          <w:p w:rsidR="009B4233" w:rsidRDefault="006B08B9">
            <w:pPr>
              <w:spacing w:line="249" w:lineRule="auto"/>
              <w:ind w:left="5"/>
              <w:jc w:val="center"/>
              <w:rPr>
                <w:rFonts w:ascii="Arial" w:hAnsi="Arial" w:cs="Arial"/>
                <w:sz w:val="22"/>
                <w:szCs w:val="22"/>
              </w:rPr>
            </w:pPr>
            <w:r>
              <w:rPr>
                <w:rFonts w:ascii="Arial" w:hAnsi="Arial" w:cs="Arial"/>
                <w:sz w:val="22"/>
                <w:szCs w:val="22"/>
              </w:rPr>
              <w:t>1.379.038,53 €</w:t>
            </w:r>
          </w:p>
        </w:tc>
      </w:tr>
    </w:tbl>
    <w:p w:rsidR="009B4233" w:rsidRDefault="006B08B9">
      <w:pPr>
        <w:widowControl/>
        <w:numPr>
          <w:ilvl w:val="0"/>
          <w:numId w:val="20"/>
        </w:numPr>
        <w:suppressAutoHyphens w:val="0"/>
        <w:spacing w:line="249" w:lineRule="auto"/>
        <w:ind w:hanging="360"/>
        <w:jc w:val="center"/>
        <w:textAlignment w:val="auto"/>
      </w:pPr>
      <w:r>
        <w:rPr>
          <w:rFonts w:ascii="Arial" w:eastAsia="Calibri" w:hAnsi="Arial" w:cs="Arial"/>
          <w:b/>
          <w:sz w:val="22"/>
          <w:szCs w:val="22"/>
        </w:rPr>
        <w:t>GASTOS:</w:t>
      </w:r>
    </w:p>
    <w:tbl>
      <w:tblPr>
        <w:tblW w:w="7380" w:type="dxa"/>
        <w:tblInd w:w="560" w:type="dxa"/>
        <w:tblCellMar>
          <w:left w:w="10" w:type="dxa"/>
          <w:right w:w="10" w:type="dxa"/>
        </w:tblCellMar>
        <w:tblLook w:val="0000" w:firstRow="0" w:lastRow="0" w:firstColumn="0" w:lastColumn="0" w:noHBand="0" w:noVBand="0"/>
      </w:tblPr>
      <w:tblGrid>
        <w:gridCol w:w="3686"/>
        <w:gridCol w:w="3694"/>
      </w:tblGrid>
      <w:tr w:rsidR="009B4233">
        <w:tblPrEx>
          <w:tblCellMar>
            <w:top w:w="0" w:type="dxa"/>
            <w:bottom w:w="0" w:type="dxa"/>
          </w:tblCellMar>
        </w:tblPrEx>
        <w:trPr>
          <w:trHeight w:val="194"/>
        </w:trPr>
        <w:tc>
          <w:tcPr>
            <w:tcW w:w="3686" w:type="dxa"/>
            <w:tcBorders>
              <w:top w:val="single" w:sz="4" w:space="0" w:color="000000"/>
              <w:left w:val="single" w:sz="4" w:space="0" w:color="000000"/>
              <w:bottom w:val="single" w:sz="4" w:space="0" w:color="000000"/>
              <w:right w:val="single" w:sz="4" w:space="0" w:color="000000"/>
            </w:tcBorders>
            <w:shd w:val="clear" w:color="auto" w:fill="auto"/>
            <w:tcMar>
              <w:top w:w="10" w:type="dxa"/>
              <w:left w:w="115" w:type="dxa"/>
              <w:bottom w:w="0" w:type="dxa"/>
              <w:right w:w="115" w:type="dxa"/>
            </w:tcMar>
          </w:tcPr>
          <w:p w:rsidR="009B4233" w:rsidRDefault="006B08B9">
            <w:pPr>
              <w:spacing w:line="249" w:lineRule="auto"/>
              <w:ind w:left="722"/>
              <w:jc w:val="center"/>
            </w:pPr>
            <w:r>
              <w:rPr>
                <w:rFonts w:ascii="Arial" w:eastAsia="Calibri" w:hAnsi="Arial" w:cs="Arial"/>
                <w:b/>
                <w:sz w:val="22"/>
                <w:szCs w:val="22"/>
              </w:rPr>
              <w:t>GASTOS</w:t>
            </w:r>
          </w:p>
        </w:tc>
        <w:tc>
          <w:tcPr>
            <w:tcW w:w="3694" w:type="dxa"/>
            <w:tcBorders>
              <w:top w:val="single" w:sz="4" w:space="0" w:color="000000"/>
              <w:left w:val="single" w:sz="4" w:space="0" w:color="000000"/>
              <w:bottom w:val="single" w:sz="4" w:space="0" w:color="000000"/>
              <w:right w:val="single" w:sz="4" w:space="0" w:color="000000"/>
            </w:tcBorders>
            <w:shd w:val="clear" w:color="auto" w:fill="auto"/>
            <w:tcMar>
              <w:top w:w="10" w:type="dxa"/>
              <w:left w:w="115" w:type="dxa"/>
              <w:bottom w:w="0" w:type="dxa"/>
              <w:right w:w="115" w:type="dxa"/>
            </w:tcMar>
          </w:tcPr>
          <w:p w:rsidR="009B4233" w:rsidRDefault="006B08B9">
            <w:pPr>
              <w:spacing w:line="249" w:lineRule="auto"/>
              <w:ind w:left="4"/>
              <w:jc w:val="center"/>
            </w:pPr>
            <w:r>
              <w:rPr>
                <w:rFonts w:ascii="Arial" w:eastAsia="Calibri" w:hAnsi="Arial" w:cs="Arial"/>
                <w:b/>
                <w:sz w:val="22"/>
                <w:szCs w:val="22"/>
              </w:rPr>
              <w:t>GASTO REAL 2024</w:t>
            </w:r>
          </w:p>
        </w:tc>
      </w:tr>
      <w:tr w:rsidR="009B4233">
        <w:tblPrEx>
          <w:tblCellMar>
            <w:top w:w="0" w:type="dxa"/>
            <w:bottom w:w="0" w:type="dxa"/>
          </w:tblCellMar>
        </w:tblPrEx>
        <w:trPr>
          <w:trHeight w:val="478"/>
        </w:trPr>
        <w:tc>
          <w:tcPr>
            <w:tcW w:w="3686" w:type="dxa"/>
            <w:tcBorders>
              <w:top w:val="single" w:sz="4" w:space="0" w:color="000000"/>
              <w:left w:val="single" w:sz="4" w:space="0" w:color="000000"/>
              <w:bottom w:val="single" w:sz="4" w:space="0" w:color="000000"/>
              <w:right w:val="single" w:sz="4" w:space="0" w:color="000000"/>
            </w:tcBorders>
            <w:shd w:val="clear" w:color="auto" w:fill="auto"/>
            <w:tcMar>
              <w:top w:w="10" w:type="dxa"/>
              <w:left w:w="115" w:type="dxa"/>
              <w:bottom w:w="0" w:type="dxa"/>
              <w:right w:w="115" w:type="dxa"/>
            </w:tcMar>
          </w:tcPr>
          <w:p w:rsidR="009B4233" w:rsidRDefault="006B08B9">
            <w:pPr>
              <w:spacing w:line="249" w:lineRule="auto"/>
              <w:ind w:left="2"/>
              <w:jc w:val="center"/>
            </w:pPr>
            <w:r>
              <w:rPr>
                <w:rFonts w:ascii="Arial" w:eastAsia="Calibri" w:hAnsi="Arial" w:cs="Arial"/>
                <w:b/>
                <w:sz w:val="22"/>
                <w:szCs w:val="22"/>
              </w:rPr>
              <w:t>Gastos de Personal</w:t>
            </w:r>
          </w:p>
        </w:tc>
        <w:tc>
          <w:tcPr>
            <w:tcW w:w="3694" w:type="dxa"/>
            <w:tcBorders>
              <w:top w:val="single" w:sz="4" w:space="0" w:color="000000"/>
              <w:left w:val="single" w:sz="4" w:space="0" w:color="000000"/>
              <w:bottom w:val="single" w:sz="4" w:space="0" w:color="000000"/>
              <w:right w:val="single" w:sz="4" w:space="0" w:color="000000"/>
            </w:tcBorders>
            <w:shd w:val="clear" w:color="auto" w:fill="auto"/>
            <w:tcMar>
              <w:top w:w="10" w:type="dxa"/>
              <w:left w:w="115" w:type="dxa"/>
              <w:bottom w:w="0" w:type="dxa"/>
              <w:right w:w="115" w:type="dxa"/>
            </w:tcMar>
          </w:tcPr>
          <w:p w:rsidR="009B4233" w:rsidRDefault="006B08B9">
            <w:pPr>
              <w:spacing w:line="249" w:lineRule="auto"/>
              <w:ind w:left="5"/>
              <w:jc w:val="center"/>
              <w:rPr>
                <w:rFonts w:ascii="Arial" w:hAnsi="Arial" w:cs="Arial"/>
                <w:sz w:val="22"/>
                <w:szCs w:val="22"/>
              </w:rPr>
            </w:pPr>
            <w:r>
              <w:rPr>
                <w:rFonts w:ascii="Arial" w:hAnsi="Arial" w:cs="Arial"/>
                <w:sz w:val="22"/>
                <w:szCs w:val="22"/>
              </w:rPr>
              <w:t>1.206.767,30 €</w:t>
            </w:r>
          </w:p>
        </w:tc>
      </w:tr>
      <w:tr w:rsidR="009B4233">
        <w:tblPrEx>
          <w:tblCellMar>
            <w:top w:w="0" w:type="dxa"/>
            <w:bottom w:w="0" w:type="dxa"/>
          </w:tblCellMar>
        </w:tblPrEx>
        <w:trPr>
          <w:trHeight w:val="476"/>
        </w:trPr>
        <w:tc>
          <w:tcPr>
            <w:tcW w:w="3686" w:type="dxa"/>
            <w:tcBorders>
              <w:top w:val="single" w:sz="4" w:space="0" w:color="000000"/>
              <w:left w:val="single" w:sz="4" w:space="0" w:color="000000"/>
              <w:bottom w:val="single" w:sz="4" w:space="0" w:color="000000"/>
              <w:right w:val="single" w:sz="4" w:space="0" w:color="000000"/>
            </w:tcBorders>
            <w:shd w:val="clear" w:color="auto" w:fill="auto"/>
            <w:tcMar>
              <w:top w:w="10" w:type="dxa"/>
              <w:left w:w="115" w:type="dxa"/>
              <w:bottom w:w="0" w:type="dxa"/>
              <w:right w:w="115" w:type="dxa"/>
            </w:tcMar>
          </w:tcPr>
          <w:p w:rsidR="009B4233" w:rsidRDefault="006B08B9">
            <w:pPr>
              <w:spacing w:line="249" w:lineRule="auto"/>
              <w:jc w:val="center"/>
            </w:pPr>
            <w:r>
              <w:rPr>
                <w:rFonts w:ascii="Arial" w:eastAsia="Calibri" w:hAnsi="Arial" w:cs="Arial"/>
                <w:b/>
                <w:sz w:val="22"/>
                <w:szCs w:val="22"/>
              </w:rPr>
              <w:t>Otros Gastos de Explotación</w:t>
            </w:r>
          </w:p>
        </w:tc>
        <w:tc>
          <w:tcPr>
            <w:tcW w:w="3694" w:type="dxa"/>
            <w:tcBorders>
              <w:top w:val="single" w:sz="4" w:space="0" w:color="000000"/>
              <w:left w:val="single" w:sz="4" w:space="0" w:color="000000"/>
              <w:bottom w:val="single" w:sz="4" w:space="0" w:color="000000"/>
              <w:right w:val="single" w:sz="4" w:space="0" w:color="000000"/>
            </w:tcBorders>
            <w:shd w:val="clear" w:color="auto" w:fill="auto"/>
            <w:tcMar>
              <w:top w:w="10" w:type="dxa"/>
              <w:left w:w="115" w:type="dxa"/>
              <w:bottom w:w="0" w:type="dxa"/>
              <w:right w:w="115" w:type="dxa"/>
            </w:tcMar>
          </w:tcPr>
          <w:p w:rsidR="009B4233" w:rsidRDefault="006B08B9">
            <w:pPr>
              <w:spacing w:line="249" w:lineRule="auto"/>
              <w:ind w:left="5"/>
              <w:jc w:val="center"/>
              <w:rPr>
                <w:rFonts w:ascii="Arial" w:hAnsi="Arial" w:cs="Arial"/>
                <w:sz w:val="22"/>
                <w:szCs w:val="22"/>
              </w:rPr>
            </w:pPr>
            <w:r>
              <w:rPr>
                <w:rFonts w:ascii="Arial" w:hAnsi="Arial" w:cs="Arial"/>
                <w:sz w:val="22"/>
                <w:szCs w:val="22"/>
              </w:rPr>
              <w:t>82.396,19 €</w:t>
            </w:r>
          </w:p>
        </w:tc>
      </w:tr>
      <w:tr w:rsidR="009B4233">
        <w:tblPrEx>
          <w:tblCellMar>
            <w:top w:w="0" w:type="dxa"/>
            <w:bottom w:w="0" w:type="dxa"/>
          </w:tblCellMar>
        </w:tblPrEx>
        <w:trPr>
          <w:trHeight w:val="478"/>
        </w:trPr>
        <w:tc>
          <w:tcPr>
            <w:tcW w:w="3686" w:type="dxa"/>
            <w:tcBorders>
              <w:top w:val="single" w:sz="4" w:space="0" w:color="000000"/>
              <w:left w:val="single" w:sz="4" w:space="0" w:color="000000"/>
              <w:bottom w:val="single" w:sz="4" w:space="0" w:color="000000"/>
              <w:right w:val="single" w:sz="4" w:space="0" w:color="000000"/>
            </w:tcBorders>
            <w:shd w:val="clear" w:color="auto" w:fill="auto"/>
            <w:tcMar>
              <w:top w:w="10" w:type="dxa"/>
              <w:left w:w="115" w:type="dxa"/>
              <w:bottom w:w="0" w:type="dxa"/>
              <w:right w:w="115" w:type="dxa"/>
            </w:tcMar>
          </w:tcPr>
          <w:p w:rsidR="009B4233" w:rsidRDefault="006B08B9">
            <w:pPr>
              <w:spacing w:line="249" w:lineRule="auto"/>
              <w:ind w:left="2"/>
              <w:jc w:val="center"/>
            </w:pPr>
            <w:r>
              <w:rPr>
                <w:rFonts w:ascii="Arial" w:eastAsia="Calibri" w:hAnsi="Arial" w:cs="Arial"/>
                <w:b/>
                <w:sz w:val="22"/>
                <w:szCs w:val="22"/>
              </w:rPr>
              <w:t>Aprovisionamientos</w:t>
            </w:r>
          </w:p>
        </w:tc>
        <w:tc>
          <w:tcPr>
            <w:tcW w:w="3694" w:type="dxa"/>
            <w:tcBorders>
              <w:top w:val="single" w:sz="4" w:space="0" w:color="000000"/>
              <w:left w:val="single" w:sz="4" w:space="0" w:color="000000"/>
              <w:bottom w:val="single" w:sz="4" w:space="0" w:color="000000"/>
              <w:right w:val="single" w:sz="4" w:space="0" w:color="000000"/>
            </w:tcBorders>
            <w:shd w:val="clear" w:color="auto" w:fill="auto"/>
            <w:tcMar>
              <w:top w:w="10" w:type="dxa"/>
              <w:left w:w="115" w:type="dxa"/>
              <w:bottom w:w="0" w:type="dxa"/>
              <w:right w:w="115" w:type="dxa"/>
            </w:tcMar>
          </w:tcPr>
          <w:p w:rsidR="009B4233" w:rsidRDefault="006B08B9">
            <w:pPr>
              <w:spacing w:line="249" w:lineRule="auto"/>
              <w:ind w:left="3"/>
              <w:jc w:val="center"/>
              <w:rPr>
                <w:rFonts w:ascii="Arial" w:hAnsi="Arial" w:cs="Arial"/>
                <w:sz w:val="22"/>
                <w:szCs w:val="22"/>
              </w:rPr>
            </w:pPr>
            <w:r>
              <w:rPr>
                <w:rFonts w:ascii="Arial" w:hAnsi="Arial" w:cs="Arial"/>
                <w:sz w:val="22"/>
                <w:szCs w:val="22"/>
              </w:rPr>
              <w:t>4.073,41  €</w:t>
            </w:r>
          </w:p>
        </w:tc>
      </w:tr>
      <w:tr w:rsidR="009B4233">
        <w:tblPrEx>
          <w:tblCellMar>
            <w:top w:w="0" w:type="dxa"/>
            <w:bottom w:w="0" w:type="dxa"/>
          </w:tblCellMar>
        </w:tblPrEx>
        <w:trPr>
          <w:trHeight w:val="476"/>
        </w:trPr>
        <w:tc>
          <w:tcPr>
            <w:tcW w:w="3686" w:type="dxa"/>
            <w:tcBorders>
              <w:top w:val="single" w:sz="4" w:space="0" w:color="000000"/>
              <w:left w:val="single" w:sz="4" w:space="0" w:color="000000"/>
              <w:bottom w:val="single" w:sz="4" w:space="0" w:color="000000"/>
              <w:right w:val="single" w:sz="4" w:space="0" w:color="000000"/>
            </w:tcBorders>
            <w:shd w:val="clear" w:color="auto" w:fill="auto"/>
            <w:tcMar>
              <w:top w:w="10" w:type="dxa"/>
              <w:left w:w="115" w:type="dxa"/>
              <w:bottom w:w="0" w:type="dxa"/>
              <w:right w:w="115" w:type="dxa"/>
            </w:tcMar>
          </w:tcPr>
          <w:p w:rsidR="009B4233" w:rsidRDefault="006B08B9">
            <w:pPr>
              <w:spacing w:line="249" w:lineRule="auto"/>
              <w:ind w:left="2"/>
              <w:jc w:val="center"/>
            </w:pPr>
            <w:r>
              <w:rPr>
                <w:rFonts w:ascii="Arial" w:eastAsia="Calibri" w:hAnsi="Arial" w:cs="Arial"/>
                <w:b/>
                <w:sz w:val="22"/>
                <w:szCs w:val="22"/>
              </w:rPr>
              <w:t>Gastos Financieros</w:t>
            </w:r>
          </w:p>
        </w:tc>
        <w:tc>
          <w:tcPr>
            <w:tcW w:w="3694" w:type="dxa"/>
            <w:tcBorders>
              <w:top w:val="single" w:sz="4" w:space="0" w:color="000000"/>
              <w:left w:val="single" w:sz="4" w:space="0" w:color="000000"/>
              <w:bottom w:val="single" w:sz="4" w:space="0" w:color="000000"/>
              <w:right w:val="single" w:sz="4" w:space="0" w:color="000000"/>
            </w:tcBorders>
            <w:shd w:val="clear" w:color="auto" w:fill="auto"/>
            <w:tcMar>
              <w:top w:w="10" w:type="dxa"/>
              <w:left w:w="115" w:type="dxa"/>
              <w:bottom w:w="0" w:type="dxa"/>
              <w:right w:w="115" w:type="dxa"/>
            </w:tcMar>
          </w:tcPr>
          <w:p w:rsidR="009B4233" w:rsidRDefault="006B08B9">
            <w:pPr>
              <w:spacing w:line="249" w:lineRule="auto"/>
              <w:ind w:left="3"/>
              <w:jc w:val="center"/>
              <w:rPr>
                <w:rFonts w:ascii="Arial" w:hAnsi="Arial" w:cs="Arial"/>
                <w:sz w:val="22"/>
                <w:szCs w:val="22"/>
              </w:rPr>
            </w:pPr>
            <w:r>
              <w:rPr>
                <w:rFonts w:ascii="Arial" w:hAnsi="Arial" w:cs="Arial"/>
                <w:sz w:val="22"/>
                <w:szCs w:val="22"/>
              </w:rPr>
              <w:t>0,00 €</w:t>
            </w:r>
          </w:p>
        </w:tc>
      </w:tr>
      <w:tr w:rsidR="009B4233">
        <w:tblPrEx>
          <w:tblCellMar>
            <w:top w:w="0" w:type="dxa"/>
            <w:bottom w:w="0" w:type="dxa"/>
          </w:tblCellMar>
        </w:tblPrEx>
        <w:trPr>
          <w:trHeight w:val="478"/>
        </w:trPr>
        <w:tc>
          <w:tcPr>
            <w:tcW w:w="3686" w:type="dxa"/>
            <w:tcBorders>
              <w:top w:val="single" w:sz="4" w:space="0" w:color="000000"/>
              <w:left w:val="single" w:sz="4" w:space="0" w:color="000000"/>
              <w:bottom w:val="single" w:sz="4" w:space="0" w:color="000000"/>
              <w:right w:val="single" w:sz="4" w:space="0" w:color="000000"/>
            </w:tcBorders>
            <w:shd w:val="clear" w:color="auto" w:fill="auto"/>
            <w:tcMar>
              <w:top w:w="10" w:type="dxa"/>
              <w:left w:w="115" w:type="dxa"/>
              <w:bottom w:w="0" w:type="dxa"/>
              <w:right w:w="115" w:type="dxa"/>
            </w:tcMar>
          </w:tcPr>
          <w:p w:rsidR="009B4233" w:rsidRDefault="006B08B9">
            <w:pPr>
              <w:spacing w:line="249" w:lineRule="auto"/>
              <w:ind w:left="2"/>
              <w:jc w:val="center"/>
            </w:pPr>
            <w:r>
              <w:rPr>
                <w:rFonts w:ascii="Arial" w:eastAsia="Calibri" w:hAnsi="Arial" w:cs="Arial"/>
                <w:b/>
                <w:sz w:val="22"/>
                <w:szCs w:val="22"/>
              </w:rPr>
              <w:t>Otros Gastos</w:t>
            </w:r>
          </w:p>
        </w:tc>
        <w:tc>
          <w:tcPr>
            <w:tcW w:w="3694" w:type="dxa"/>
            <w:tcBorders>
              <w:top w:val="single" w:sz="4" w:space="0" w:color="000000"/>
              <w:left w:val="single" w:sz="4" w:space="0" w:color="000000"/>
              <w:bottom w:val="single" w:sz="4" w:space="0" w:color="000000"/>
              <w:right w:val="single" w:sz="4" w:space="0" w:color="000000"/>
            </w:tcBorders>
            <w:shd w:val="clear" w:color="auto" w:fill="auto"/>
            <w:tcMar>
              <w:top w:w="10" w:type="dxa"/>
              <w:left w:w="115" w:type="dxa"/>
              <w:bottom w:w="0" w:type="dxa"/>
              <w:right w:w="115" w:type="dxa"/>
            </w:tcMar>
          </w:tcPr>
          <w:p w:rsidR="009B4233" w:rsidRDefault="006B08B9">
            <w:pPr>
              <w:spacing w:line="249" w:lineRule="auto"/>
              <w:ind w:left="3"/>
              <w:jc w:val="center"/>
              <w:rPr>
                <w:rFonts w:ascii="Arial" w:hAnsi="Arial" w:cs="Arial"/>
                <w:sz w:val="22"/>
                <w:szCs w:val="22"/>
              </w:rPr>
            </w:pPr>
            <w:r>
              <w:rPr>
                <w:rFonts w:ascii="Arial" w:hAnsi="Arial" w:cs="Arial"/>
                <w:sz w:val="22"/>
                <w:szCs w:val="22"/>
              </w:rPr>
              <w:t>3.807,46</w:t>
            </w:r>
            <w:r>
              <w:rPr>
                <w:rFonts w:ascii="Arial" w:hAnsi="Arial" w:cs="Arial"/>
                <w:sz w:val="22"/>
                <w:szCs w:val="22"/>
              </w:rPr>
              <w:t xml:space="preserve"> €</w:t>
            </w:r>
          </w:p>
        </w:tc>
      </w:tr>
      <w:tr w:rsidR="009B4233">
        <w:tblPrEx>
          <w:tblCellMar>
            <w:top w:w="0" w:type="dxa"/>
            <w:bottom w:w="0" w:type="dxa"/>
          </w:tblCellMar>
        </w:tblPrEx>
        <w:trPr>
          <w:trHeight w:val="476"/>
        </w:trPr>
        <w:tc>
          <w:tcPr>
            <w:tcW w:w="3686" w:type="dxa"/>
            <w:tcBorders>
              <w:top w:val="single" w:sz="4" w:space="0" w:color="000000"/>
              <w:left w:val="single" w:sz="4" w:space="0" w:color="000000"/>
              <w:bottom w:val="single" w:sz="4" w:space="0" w:color="000000"/>
              <w:right w:val="single" w:sz="4" w:space="0" w:color="000000"/>
            </w:tcBorders>
            <w:shd w:val="clear" w:color="auto" w:fill="auto"/>
            <w:tcMar>
              <w:top w:w="10" w:type="dxa"/>
              <w:left w:w="115" w:type="dxa"/>
              <w:bottom w:w="0" w:type="dxa"/>
              <w:right w:w="115" w:type="dxa"/>
            </w:tcMar>
          </w:tcPr>
          <w:p w:rsidR="009B4233" w:rsidRDefault="006B08B9">
            <w:pPr>
              <w:spacing w:line="249" w:lineRule="auto"/>
              <w:ind w:left="2"/>
              <w:jc w:val="center"/>
            </w:pPr>
            <w:r>
              <w:rPr>
                <w:rFonts w:ascii="Arial" w:eastAsia="Calibri" w:hAnsi="Arial" w:cs="Arial"/>
                <w:b/>
                <w:sz w:val="22"/>
                <w:szCs w:val="22"/>
              </w:rPr>
              <w:t>Amortización del Inmovilizado</w:t>
            </w:r>
          </w:p>
        </w:tc>
        <w:tc>
          <w:tcPr>
            <w:tcW w:w="3694" w:type="dxa"/>
            <w:tcBorders>
              <w:top w:val="single" w:sz="4" w:space="0" w:color="000000"/>
              <w:left w:val="single" w:sz="4" w:space="0" w:color="000000"/>
              <w:bottom w:val="single" w:sz="4" w:space="0" w:color="000000"/>
              <w:right w:val="single" w:sz="4" w:space="0" w:color="000000"/>
            </w:tcBorders>
            <w:shd w:val="clear" w:color="auto" w:fill="auto"/>
            <w:tcMar>
              <w:top w:w="10" w:type="dxa"/>
              <w:left w:w="115" w:type="dxa"/>
              <w:bottom w:w="0" w:type="dxa"/>
              <w:right w:w="115" w:type="dxa"/>
            </w:tcMar>
          </w:tcPr>
          <w:p w:rsidR="009B4233" w:rsidRDefault="006B08B9">
            <w:pPr>
              <w:spacing w:line="249" w:lineRule="auto"/>
              <w:ind w:left="5"/>
              <w:jc w:val="center"/>
              <w:rPr>
                <w:rFonts w:ascii="Arial" w:hAnsi="Arial" w:cs="Arial"/>
                <w:sz w:val="22"/>
                <w:szCs w:val="22"/>
              </w:rPr>
            </w:pPr>
            <w:r>
              <w:rPr>
                <w:rFonts w:ascii="Arial" w:hAnsi="Arial" w:cs="Arial"/>
                <w:sz w:val="22"/>
                <w:szCs w:val="22"/>
              </w:rPr>
              <w:t>10.199,99 €</w:t>
            </w:r>
          </w:p>
        </w:tc>
      </w:tr>
      <w:tr w:rsidR="009B4233">
        <w:tblPrEx>
          <w:tblCellMar>
            <w:top w:w="0" w:type="dxa"/>
            <w:bottom w:w="0" w:type="dxa"/>
          </w:tblCellMar>
        </w:tblPrEx>
        <w:trPr>
          <w:trHeight w:val="478"/>
        </w:trPr>
        <w:tc>
          <w:tcPr>
            <w:tcW w:w="3686" w:type="dxa"/>
            <w:tcBorders>
              <w:top w:val="single" w:sz="4" w:space="0" w:color="000000"/>
              <w:left w:val="single" w:sz="4" w:space="0" w:color="000000"/>
              <w:bottom w:val="single" w:sz="4" w:space="0" w:color="000000"/>
              <w:right w:val="single" w:sz="4" w:space="0" w:color="000000"/>
            </w:tcBorders>
            <w:shd w:val="clear" w:color="auto" w:fill="auto"/>
            <w:tcMar>
              <w:top w:w="10" w:type="dxa"/>
              <w:left w:w="115" w:type="dxa"/>
              <w:bottom w:w="0" w:type="dxa"/>
              <w:right w:w="115" w:type="dxa"/>
            </w:tcMar>
          </w:tcPr>
          <w:p w:rsidR="009B4233" w:rsidRDefault="006B08B9">
            <w:pPr>
              <w:spacing w:line="249" w:lineRule="auto"/>
              <w:ind w:left="723"/>
              <w:jc w:val="center"/>
            </w:pPr>
            <w:r>
              <w:rPr>
                <w:rFonts w:ascii="Arial" w:eastAsia="Calibri" w:hAnsi="Arial" w:cs="Arial"/>
                <w:b/>
                <w:sz w:val="22"/>
                <w:szCs w:val="22"/>
              </w:rPr>
              <w:t>TOTAL</w:t>
            </w:r>
          </w:p>
        </w:tc>
        <w:tc>
          <w:tcPr>
            <w:tcW w:w="3694" w:type="dxa"/>
            <w:tcBorders>
              <w:top w:val="single" w:sz="4" w:space="0" w:color="000000"/>
              <w:left w:val="single" w:sz="4" w:space="0" w:color="000000"/>
              <w:bottom w:val="single" w:sz="4" w:space="0" w:color="000000"/>
              <w:right w:val="single" w:sz="4" w:space="0" w:color="000000"/>
            </w:tcBorders>
            <w:shd w:val="clear" w:color="auto" w:fill="auto"/>
            <w:tcMar>
              <w:top w:w="10" w:type="dxa"/>
              <w:left w:w="115" w:type="dxa"/>
              <w:bottom w:w="0" w:type="dxa"/>
              <w:right w:w="115" w:type="dxa"/>
            </w:tcMar>
          </w:tcPr>
          <w:p w:rsidR="009B4233" w:rsidRDefault="006B08B9">
            <w:pPr>
              <w:spacing w:line="249" w:lineRule="auto"/>
              <w:ind w:left="5"/>
              <w:jc w:val="center"/>
              <w:rPr>
                <w:rFonts w:ascii="Arial" w:hAnsi="Arial" w:cs="Arial"/>
                <w:sz w:val="22"/>
                <w:szCs w:val="22"/>
              </w:rPr>
            </w:pPr>
            <w:r>
              <w:rPr>
                <w:rFonts w:ascii="Arial" w:hAnsi="Arial" w:cs="Arial"/>
                <w:sz w:val="22"/>
                <w:szCs w:val="22"/>
              </w:rPr>
              <w:t>1.307.244,35 €</w:t>
            </w:r>
          </w:p>
        </w:tc>
      </w:tr>
    </w:tbl>
    <w:p w:rsidR="009B4233" w:rsidRDefault="006B08B9">
      <w:pPr>
        <w:spacing w:after="506"/>
        <w:ind w:left="-15" w:right="486" w:firstLine="708"/>
        <w:jc w:val="both"/>
        <w:rPr>
          <w:rFonts w:ascii="Arial" w:hAnsi="Arial" w:cs="Arial"/>
          <w:sz w:val="22"/>
          <w:szCs w:val="22"/>
        </w:rPr>
      </w:pPr>
      <w:r>
        <w:rPr>
          <w:rFonts w:ascii="Arial" w:hAnsi="Arial" w:cs="Arial"/>
          <w:sz w:val="22"/>
          <w:szCs w:val="22"/>
        </w:rPr>
        <w:t xml:space="preserve">Por ello, este interventor informa favorablemente la adopción del acuerdo de aprobar la Cuenta General del ejercicio 2024 y su remisión, una vez aprobada, a la Audiencia de Cuentas de </w:t>
      </w:r>
      <w:r>
        <w:rPr>
          <w:rFonts w:ascii="Arial" w:hAnsi="Arial" w:cs="Arial"/>
          <w:sz w:val="22"/>
          <w:szCs w:val="22"/>
        </w:rPr>
        <w:t>Canarias para hacer posible la fiscalización externa a que se refiere el artículo 223 del ya mencionado Real Decreto Legislativo 2/2004, de 5 de marzo.”</w:t>
      </w:r>
    </w:p>
    <w:p w:rsidR="009B4233" w:rsidRDefault="006B08B9">
      <w:pPr>
        <w:jc w:val="both"/>
        <w:rPr>
          <w:rFonts w:ascii="Arial" w:hAnsi="Arial" w:cs="Arial"/>
          <w:b/>
          <w:sz w:val="22"/>
          <w:szCs w:val="22"/>
        </w:rPr>
      </w:pPr>
      <w:r>
        <w:rPr>
          <w:rFonts w:ascii="Arial" w:hAnsi="Arial" w:cs="Arial"/>
          <w:b/>
          <w:sz w:val="22"/>
          <w:szCs w:val="22"/>
        </w:rPr>
        <w:t xml:space="preserve">     </w:t>
      </w: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6B08B9">
      <w:pPr>
        <w:jc w:val="both"/>
        <w:rPr>
          <w:rFonts w:ascii="Arial" w:hAnsi="Arial" w:cs="Arial"/>
          <w:b/>
          <w:sz w:val="22"/>
          <w:szCs w:val="22"/>
        </w:rPr>
      </w:pPr>
      <w:r>
        <w:rPr>
          <w:rFonts w:ascii="Arial" w:hAnsi="Arial" w:cs="Arial"/>
          <w:b/>
          <w:sz w:val="22"/>
          <w:szCs w:val="22"/>
        </w:rPr>
        <w:t>Consta en el expediente propuesta del Concejal delegado de Hacienda, D.</w:t>
      </w:r>
      <w:r>
        <w:rPr>
          <w:rFonts w:ascii="Arial" w:hAnsi="Arial" w:cs="Arial"/>
          <w:b/>
          <w:sz w:val="22"/>
          <w:szCs w:val="22"/>
        </w:rPr>
        <w:t xml:space="preserve"> Airam Pérez Chinea, de fecha 15 de septiembre de 2025, que transcrito literalmente dice:</w:t>
      </w:r>
    </w:p>
    <w:p w:rsidR="009B4233" w:rsidRDefault="009B4233">
      <w:pPr>
        <w:jc w:val="both"/>
        <w:rPr>
          <w:rFonts w:ascii="Arial" w:hAnsi="Arial" w:cs="Arial"/>
          <w:b/>
          <w:sz w:val="22"/>
          <w:szCs w:val="22"/>
        </w:rPr>
      </w:pPr>
    </w:p>
    <w:p w:rsidR="009B4233" w:rsidRDefault="006B08B9">
      <w:pPr>
        <w:spacing w:after="230" w:line="264" w:lineRule="auto"/>
        <w:ind w:left="-5"/>
        <w:jc w:val="center"/>
      </w:pPr>
      <w:r>
        <w:rPr>
          <w:rFonts w:ascii="Arial" w:eastAsia="Calibri" w:hAnsi="Arial" w:cs="Arial"/>
          <w:b/>
          <w:sz w:val="22"/>
          <w:szCs w:val="22"/>
        </w:rPr>
        <w:t>“PROPUESTA DE LA CONCEJALÍA DELEGADA DE HACIENDA</w:t>
      </w:r>
    </w:p>
    <w:p w:rsidR="009B4233" w:rsidRDefault="006B08B9">
      <w:pPr>
        <w:spacing w:line="264" w:lineRule="auto"/>
        <w:ind w:left="-5"/>
      </w:pPr>
      <w:r>
        <w:rPr>
          <w:rFonts w:ascii="Arial" w:eastAsia="Calibri" w:hAnsi="Arial" w:cs="Arial"/>
          <w:b/>
          <w:sz w:val="22"/>
          <w:szCs w:val="22"/>
        </w:rPr>
        <w:t>ASUNTO: APROBACIÓN DEFINITIVA DE LA CUENTA GENERAL DEL EJERCICIO 2024</w:t>
      </w:r>
    </w:p>
    <w:p w:rsidR="009B4233" w:rsidRDefault="006B08B9">
      <w:pPr>
        <w:spacing w:after="651" w:line="249" w:lineRule="auto"/>
        <w:ind w:left="4" w:right="-564"/>
      </w:pPr>
      <w:r>
        <w:rPr>
          <w:rFonts w:ascii="Arial" w:hAnsi="Arial" w:cs="Arial"/>
          <w:noProof/>
          <w:sz w:val="22"/>
          <w:szCs w:val="22"/>
          <w:lang w:eastAsia="es-ES" w:bidi="ar-SA"/>
        </w:rPr>
        <mc:AlternateContent>
          <mc:Choice Requires="wps">
            <w:drawing>
              <wp:anchor distT="0" distB="0" distL="114300" distR="114300" simplePos="0" relativeHeight="251653632" behindDoc="0" locked="0" layoutInCell="1" allowOverlap="1">
                <wp:simplePos x="0" y="0"/>
                <wp:positionH relativeFrom="column">
                  <wp:posOffset>0</wp:posOffset>
                </wp:positionH>
                <wp:positionV relativeFrom="paragraph">
                  <wp:posOffset>0</wp:posOffset>
                </wp:positionV>
                <wp:extent cx="6059171" cy="0"/>
                <wp:effectExtent l="19050" t="19050" r="36829" b="38100"/>
                <wp:wrapSquare wrapText="bothSides"/>
                <wp:docPr id="16" name="Grupo 4684"/>
                <wp:cNvGraphicFramePr/>
                <a:graphic xmlns:a="http://schemas.openxmlformats.org/drawingml/2006/main">
                  <a:graphicData uri="http://schemas.microsoft.com/office/word/2010/wordprocessingShape">
                    <wps:wsp>
                      <wps:cNvSpPr/>
                      <wps:spPr>
                        <a:xfrm>
                          <a:off x="0" y="0"/>
                          <a:ext cx="6059171" cy="0"/>
                        </a:xfrm>
                        <a:custGeom>
                          <a:avLst/>
                          <a:gdLst>
                            <a:gd name="f0" fmla="val w"/>
                            <a:gd name="f1" fmla="val h"/>
                            <a:gd name="f2" fmla="val ss"/>
                            <a:gd name="f3" fmla="val 0"/>
                            <a:gd name="f4" fmla="val 6059170"/>
                            <a:gd name="f5" fmla="abs f0"/>
                            <a:gd name="f6" fmla="abs f1"/>
                            <a:gd name="f7" fmla="abs f2"/>
                            <a:gd name="f8" fmla="*/ f0 1 6059170"/>
                            <a:gd name="f9" fmla="+- f3 0 f3"/>
                            <a:gd name="f10" fmla="+- f4 0 f3"/>
                            <a:gd name="f11" fmla="?: f5 f0 1"/>
                            <a:gd name="f12" fmla="?: f6 f1 1"/>
                            <a:gd name="f13" fmla="?: f7 f2 1"/>
                            <a:gd name="f14" fmla="*/ f10 1 6059170"/>
                            <a:gd name="f15" fmla="*/ f9 1 0"/>
                            <a:gd name="f16" fmla="*/ f11 1 6059170"/>
                            <a:gd name="f17" fmla="*/ f12 1 21600"/>
                            <a:gd name="f18" fmla="*/ 21600 f12 1"/>
                            <a:gd name="f19" fmla="*/ 0 1 f14"/>
                            <a:gd name="f20" fmla="*/ 6059170 1 f14"/>
                            <a:gd name="f21" fmla="*/ 0 1 f15"/>
                            <a:gd name="f22" fmla="min f17 f16"/>
                            <a:gd name="f23" fmla="*/ f18 1 f13"/>
                            <a:gd name="f24" fmla="*/ f19 f8 1"/>
                            <a:gd name="f25" fmla="*/ f20 f8 1"/>
                            <a:gd name="f26" fmla="val f23"/>
                            <a:gd name="f27" fmla="*/ f3 f22 1"/>
                            <a:gd name="f28" fmla="+- f26 0 f3"/>
                            <a:gd name="f29" fmla="*/ f28 1 0"/>
                            <a:gd name="f30" fmla="*/ f21 f29 1"/>
                            <a:gd name="f31" fmla="*/ f30 f22 1"/>
                          </a:gdLst>
                          <a:ahLst/>
                          <a:cxnLst>
                            <a:cxn ang="3cd4">
                              <a:pos x="hc" y="t"/>
                            </a:cxn>
                            <a:cxn ang="0">
                              <a:pos x="r" y="vc"/>
                            </a:cxn>
                            <a:cxn ang="cd4">
                              <a:pos x="hc" y="b"/>
                            </a:cxn>
                            <a:cxn ang="cd2">
                              <a:pos x="l" y="vc"/>
                            </a:cxn>
                          </a:cxnLst>
                          <a:rect l="f24" t="f31" r="f25" b="f31"/>
                          <a:pathLst>
                            <a:path w="6059170">
                              <a:moveTo>
                                <a:pt x="f3" y="f27"/>
                              </a:moveTo>
                              <a:lnTo>
                                <a:pt x="f4" y="f27"/>
                              </a:lnTo>
                            </a:path>
                          </a:pathLst>
                        </a:custGeom>
                        <a:noFill/>
                        <a:ln w="25402" cap="sq">
                          <a:solidFill>
                            <a:srgbClr val="993366"/>
                          </a:solidFill>
                          <a:prstDash val="solid"/>
                          <a:miter/>
                        </a:ln>
                      </wps:spPr>
                      <wps:bodyPr lIns="0" tIns="0" rIns="0" bIns="0"/>
                    </wps:wsp>
                  </a:graphicData>
                </a:graphic>
              </wp:anchor>
            </w:drawing>
          </mc:Choice>
          <mc:Fallback>
            <w:pict>
              <v:shape w14:anchorId="2772AECB" id="Grupo 4684" o:spid="_x0000_s1026" style="position:absolute;margin-left:0;margin-top:0;width:477.1pt;height:0;z-index:251653632;visibility:visible;mso-wrap-style:square;mso-wrap-distance-left:9pt;mso-wrap-distance-top:0;mso-wrap-distance-right:9pt;mso-wrap-distance-bottom:0;mso-position-horizontal:absolute;mso-position-horizontal-relative:text;mso-position-vertical:absolute;mso-position-vertical-relative:text;v-text-anchor:top" coordsize="60591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" path="m,l6059170,e" filled="f" strokecolor="#936" strokeweight=".70561mm">
                <v:stroke joinstyle="miter" endcap="square"/>
                <v:path arrowok="t" o:connecttype="custom" o:connectlocs="3029586,0;6059171,1;3029586,1;0,1" o:connectangles="270,0,90,180" textboxrect="0,0,6059170,0"/>
                <w10:wrap type="square"/>
              </v:shape>
            </w:pict>
          </mc:Fallback>
        </mc:AlternateContent>
      </w:r>
    </w:p>
    <w:p w:rsidR="009B4233" w:rsidRDefault="006B08B9">
      <w:pPr>
        <w:spacing w:after="120"/>
        <w:ind w:left="-15" w:right="486" w:firstLine="708"/>
        <w:jc w:val="both"/>
        <w:rPr>
          <w:rFonts w:ascii="Arial" w:hAnsi="Arial" w:cs="Arial"/>
          <w:sz w:val="22"/>
          <w:szCs w:val="22"/>
        </w:rPr>
      </w:pPr>
      <w:r>
        <w:rPr>
          <w:rFonts w:ascii="Arial" w:hAnsi="Arial" w:cs="Arial"/>
          <w:sz w:val="22"/>
          <w:szCs w:val="22"/>
        </w:rPr>
        <w:t xml:space="preserve">Con fecha 30 de julio de 2025, se dictaminó </w:t>
      </w:r>
      <w:r>
        <w:rPr>
          <w:rFonts w:ascii="Arial" w:hAnsi="Arial" w:cs="Arial"/>
          <w:sz w:val="22"/>
          <w:szCs w:val="22"/>
        </w:rPr>
        <w:t xml:space="preserve">la Cuenta General del ejercicio 2024, publicándose en el Boletín Oficial de la Provincia, de fecha 4 de agosto de 2025, exponiéndose durante un plazo de 15 días, donde los cuales los interesados podrán presentar reclamaciones, reparos y observaciones. </w:t>
      </w:r>
    </w:p>
    <w:p w:rsidR="009B4233" w:rsidRDefault="006B08B9">
      <w:pPr>
        <w:spacing w:after="396"/>
        <w:ind w:left="-15" w:right="486" w:firstLine="708"/>
        <w:jc w:val="both"/>
        <w:rPr>
          <w:rFonts w:ascii="Arial" w:hAnsi="Arial" w:cs="Arial"/>
          <w:sz w:val="22"/>
          <w:szCs w:val="22"/>
        </w:rPr>
      </w:pPr>
      <w:r>
        <w:rPr>
          <w:rFonts w:ascii="Arial" w:hAnsi="Arial" w:cs="Arial"/>
          <w:sz w:val="22"/>
          <w:szCs w:val="22"/>
        </w:rPr>
        <w:t>Una</w:t>
      </w:r>
      <w:r>
        <w:rPr>
          <w:rFonts w:ascii="Arial" w:hAnsi="Arial" w:cs="Arial"/>
          <w:sz w:val="22"/>
          <w:szCs w:val="22"/>
        </w:rPr>
        <w:t xml:space="preserve"> vez finalizado el plazo de exposición al público, el día 26 de agosto de 2025, se emite, por el interventor municipal, informe señalando “Que consultado el registro de entrada del Ayuntamiento de Candelaria, en relación al Anuncio de Cuenta General del ej</w:t>
      </w:r>
      <w:r>
        <w:rPr>
          <w:rFonts w:ascii="Arial" w:hAnsi="Arial" w:cs="Arial"/>
          <w:sz w:val="22"/>
          <w:szCs w:val="22"/>
        </w:rPr>
        <w:t>ercicio 2024, desde 5 al 26 de agosto de 2025, no constan presentadas alegaciones al mismo”.</w:t>
      </w:r>
    </w:p>
    <w:p w:rsidR="009B4233" w:rsidRDefault="006B08B9">
      <w:pPr>
        <w:spacing w:after="552"/>
        <w:ind w:left="-15" w:right="486" w:firstLine="708"/>
        <w:jc w:val="both"/>
        <w:rPr>
          <w:rFonts w:ascii="Arial" w:hAnsi="Arial" w:cs="Arial"/>
          <w:sz w:val="22"/>
          <w:szCs w:val="22"/>
        </w:rPr>
      </w:pPr>
      <w:r>
        <w:rPr>
          <w:rFonts w:ascii="Arial" w:hAnsi="Arial" w:cs="Arial"/>
          <w:sz w:val="22"/>
          <w:szCs w:val="22"/>
        </w:rPr>
        <w:t>La Cuenta General está integrada por las cuentas del Ayuntamiento de Candelaria, las de la Sociedad Municipal de Viviendas y Servicios Municipales de Candelaria SL</w:t>
      </w:r>
      <w:r>
        <w:rPr>
          <w:rFonts w:ascii="Arial" w:hAnsi="Arial" w:cs="Arial"/>
          <w:sz w:val="22"/>
          <w:szCs w:val="22"/>
        </w:rPr>
        <w:t>U y las de la Entidad Pública Empresarial de Gestión de Empresas y Servicios Públicos del Ayuntamiento de Candelaria:</w:t>
      </w:r>
    </w:p>
    <w:p w:rsidR="009B4233" w:rsidRDefault="006B08B9">
      <w:pPr>
        <w:spacing w:after="236" w:line="249" w:lineRule="auto"/>
        <w:ind w:right="482"/>
        <w:jc w:val="center"/>
      </w:pPr>
      <w:r>
        <w:rPr>
          <w:rFonts w:ascii="Arial" w:eastAsia="Calibri" w:hAnsi="Arial" w:cs="Arial"/>
          <w:b/>
          <w:sz w:val="22"/>
          <w:szCs w:val="22"/>
        </w:rPr>
        <w:t>Ayuntamiento de Candelaria</w:t>
      </w:r>
    </w:p>
    <w:p w:rsidR="009B4233" w:rsidRDefault="006B08B9">
      <w:pPr>
        <w:ind w:left="-5" w:right="486"/>
        <w:rPr>
          <w:rFonts w:ascii="Arial" w:hAnsi="Arial" w:cs="Arial"/>
          <w:sz w:val="22"/>
          <w:szCs w:val="22"/>
        </w:rPr>
      </w:pPr>
      <w:r>
        <w:rPr>
          <w:rFonts w:ascii="Arial" w:hAnsi="Arial" w:cs="Arial"/>
          <w:sz w:val="22"/>
          <w:szCs w:val="22"/>
        </w:rPr>
        <w:t>Recoge las siguientes cuentas:</w:t>
      </w:r>
    </w:p>
    <w:p w:rsidR="009B4233" w:rsidRDefault="006B08B9">
      <w:pPr>
        <w:spacing w:after="230" w:line="264" w:lineRule="auto"/>
        <w:ind w:left="-5"/>
      </w:pPr>
      <w:r>
        <w:rPr>
          <w:rFonts w:ascii="Arial" w:hAnsi="Arial" w:cs="Arial"/>
          <w:sz w:val="22"/>
          <w:szCs w:val="22"/>
        </w:rPr>
        <w:t>1.-</w:t>
      </w:r>
      <w:r>
        <w:rPr>
          <w:rFonts w:ascii="Arial" w:eastAsia="Calibri" w:hAnsi="Arial" w:cs="Arial"/>
          <w:b/>
          <w:sz w:val="22"/>
          <w:szCs w:val="22"/>
        </w:rPr>
        <w:t xml:space="preserve">Balance </w:t>
      </w:r>
    </w:p>
    <w:p w:rsidR="009B4233" w:rsidRDefault="006B08B9">
      <w:pPr>
        <w:spacing w:after="230" w:line="264" w:lineRule="auto"/>
        <w:ind w:left="-5"/>
      </w:pPr>
      <w:r>
        <w:rPr>
          <w:rFonts w:ascii="Arial" w:hAnsi="Arial" w:cs="Arial"/>
          <w:sz w:val="22"/>
          <w:szCs w:val="22"/>
        </w:rPr>
        <w:t>2.-</w:t>
      </w:r>
      <w:r>
        <w:rPr>
          <w:rFonts w:ascii="Arial" w:eastAsia="Calibri" w:hAnsi="Arial" w:cs="Arial"/>
          <w:b/>
          <w:sz w:val="22"/>
          <w:szCs w:val="22"/>
        </w:rPr>
        <w:t xml:space="preserve">Cuenta del Resultado Económico Patrimonial Resultados del </w:t>
      </w:r>
      <w:r>
        <w:rPr>
          <w:rFonts w:ascii="Arial" w:eastAsia="Calibri" w:hAnsi="Arial" w:cs="Arial"/>
          <w:b/>
          <w:sz w:val="22"/>
          <w:szCs w:val="22"/>
        </w:rPr>
        <w:t>ejercicio</w:t>
      </w:r>
    </w:p>
    <w:p w:rsidR="009B4233" w:rsidRDefault="006B08B9">
      <w:pPr>
        <w:ind w:left="-5" w:right="486"/>
      </w:pPr>
      <w:r>
        <w:rPr>
          <w:rFonts w:ascii="Arial" w:hAnsi="Arial" w:cs="Arial"/>
          <w:sz w:val="22"/>
          <w:szCs w:val="22"/>
        </w:rPr>
        <w:t>3.-</w:t>
      </w:r>
      <w:r>
        <w:rPr>
          <w:rFonts w:ascii="Arial" w:eastAsia="Calibri" w:hAnsi="Arial" w:cs="Arial"/>
          <w:b/>
          <w:sz w:val="22"/>
          <w:szCs w:val="22"/>
        </w:rPr>
        <w:t xml:space="preserve">Liquidación del Presupuesto, </w:t>
      </w:r>
      <w:r>
        <w:rPr>
          <w:rFonts w:ascii="Arial" w:hAnsi="Arial" w:cs="Arial"/>
          <w:sz w:val="22"/>
          <w:szCs w:val="22"/>
        </w:rPr>
        <w:t>cuyos resultados son los que a continuación se detallan:</w:t>
      </w:r>
    </w:p>
    <w:p w:rsidR="009B4233" w:rsidRDefault="009B4233">
      <w:pPr>
        <w:ind w:left="-5" w:right="486"/>
        <w:rPr>
          <w:rFonts w:ascii="Arial" w:hAnsi="Arial" w:cs="Arial"/>
          <w:sz w:val="22"/>
          <w:szCs w:val="22"/>
        </w:rPr>
      </w:pPr>
    </w:p>
    <w:p w:rsidR="009B4233" w:rsidRDefault="006B08B9">
      <w:pPr>
        <w:spacing w:line="264" w:lineRule="auto"/>
        <w:ind w:left="730"/>
      </w:pPr>
      <w:r>
        <w:rPr>
          <w:rFonts w:ascii="Arial" w:hAnsi="Arial" w:cs="Arial"/>
          <w:sz w:val="22"/>
          <w:szCs w:val="22"/>
        </w:rPr>
        <w:t xml:space="preserve"> </w:t>
      </w:r>
      <w:r>
        <w:rPr>
          <w:rFonts w:ascii="Arial" w:eastAsia="Calibri" w:hAnsi="Arial" w:cs="Arial"/>
          <w:b/>
          <w:sz w:val="22"/>
          <w:szCs w:val="22"/>
        </w:rPr>
        <w:t>RESULTADO PRESUPUESTARIO</w:t>
      </w:r>
    </w:p>
    <w:p w:rsidR="009B4233" w:rsidRDefault="006B08B9">
      <w:pPr>
        <w:spacing w:after="338" w:line="249" w:lineRule="auto"/>
        <w:ind w:left="-2"/>
      </w:pPr>
      <w:r>
        <w:rPr>
          <w:rFonts w:ascii="Arial" w:hAnsi="Arial" w:cs="Arial"/>
          <w:noProof/>
          <w:sz w:val="22"/>
          <w:szCs w:val="22"/>
          <w:lang w:eastAsia="es-ES" w:bidi="ar-SA"/>
        </w:rPr>
        <w:drawing>
          <wp:inline distT="0" distB="0" distL="0" distR="0">
            <wp:extent cx="5608316" cy="2918463"/>
            <wp:effectExtent l="0" t="0" r="0" b="0"/>
            <wp:docPr id="17" name="Imagen 13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rcRect/>
                    <a:stretch>
                      <a:fillRect/>
                    </a:stretch>
                  </pic:blipFill>
                  <pic:spPr>
                    <a:xfrm>
                      <a:off x="0" y="0"/>
                      <a:ext cx="5608316" cy="2918463"/>
                    </a:xfrm>
                    <a:prstGeom prst="rect">
                      <a:avLst/>
                    </a:prstGeom>
                    <a:noFill/>
                    <a:ln>
                      <a:noFill/>
                      <a:prstDash/>
                    </a:ln>
                  </pic:spPr>
                </pic:pic>
              </a:graphicData>
            </a:graphic>
          </wp:inline>
        </w:drawing>
      </w:r>
    </w:p>
    <w:p w:rsidR="009B4233" w:rsidRDefault="006B08B9">
      <w:pPr>
        <w:spacing w:line="264" w:lineRule="auto"/>
        <w:ind w:left="-5"/>
      </w:pPr>
      <w:r>
        <w:rPr>
          <w:rFonts w:ascii="Arial" w:eastAsia="Calibri" w:hAnsi="Arial" w:cs="Arial"/>
          <w:b/>
          <w:sz w:val="22"/>
          <w:szCs w:val="22"/>
        </w:rPr>
        <w:t xml:space="preserve">         REMANENTE DE TESORERIA</w:t>
      </w:r>
    </w:p>
    <w:p w:rsidR="009B4233" w:rsidRDefault="006B08B9">
      <w:pPr>
        <w:spacing w:after="543" w:line="249" w:lineRule="auto"/>
        <w:ind w:left="-2"/>
      </w:pPr>
      <w:r>
        <w:rPr>
          <w:rFonts w:ascii="Arial" w:hAnsi="Arial" w:cs="Arial"/>
          <w:noProof/>
          <w:sz w:val="22"/>
          <w:szCs w:val="22"/>
          <w:lang w:eastAsia="es-ES" w:bidi="ar-SA"/>
        </w:rPr>
        <w:drawing>
          <wp:inline distT="0" distB="0" distL="0" distR="0">
            <wp:extent cx="5539736" cy="3040379"/>
            <wp:effectExtent l="0" t="0" r="3814" b="7621"/>
            <wp:docPr id="18" name="Imagen 13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rcRect/>
                    <a:stretch>
                      <a:fillRect/>
                    </a:stretch>
                  </pic:blipFill>
                  <pic:spPr>
                    <a:xfrm>
                      <a:off x="0" y="0"/>
                      <a:ext cx="5539736" cy="3040379"/>
                    </a:xfrm>
                    <a:prstGeom prst="rect">
                      <a:avLst/>
                    </a:prstGeom>
                    <a:noFill/>
                    <a:ln>
                      <a:noFill/>
                      <a:prstDash/>
                    </a:ln>
                  </pic:spPr>
                </pic:pic>
              </a:graphicData>
            </a:graphic>
          </wp:inline>
        </w:drawing>
      </w:r>
    </w:p>
    <w:p w:rsidR="009B4233" w:rsidRDefault="006B08B9">
      <w:pPr>
        <w:ind w:left="-15" w:right="486" w:firstLine="708"/>
        <w:jc w:val="both"/>
      </w:pPr>
      <w:r>
        <w:rPr>
          <w:rFonts w:ascii="Arial" w:hAnsi="Arial" w:cs="Arial"/>
          <w:sz w:val="22"/>
          <w:szCs w:val="22"/>
        </w:rPr>
        <w:t>Hay que señalar que con la entrada en vigor de la Ley 27/2013, de 27 de diciembre, de racional</w:t>
      </w:r>
      <w:r>
        <w:rPr>
          <w:rFonts w:ascii="Arial" w:hAnsi="Arial" w:cs="Arial"/>
          <w:sz w:val="22"/>
          <w:szCs w:val="22"/>
        </w:rPr>
        <w:t xml:space="preserve">ización y sostenibilidad de la Administración Local, se incluye un nuevo artículo 193 bis, en el Texto Refundido de la Ley reguladora de las Haciendas Locales, aprobado mediante </w:t>
      </w:r>
      <w:hyperlink r:id="rId19" w:history="1">
        <w:r>
          <w:rPr>
            <w:rFonts w:ascii="Arial" w:hAnsi="Arial" w:cs="Arial"/>
            <w:color w:val="000080"/>
            <w:sz w:val="22"/>
            <w:szCs w:val="22"/>
            <w:u w:val="single" w:color="000080"/>
          </w:rPr>
          <w:t>Real Decreto Legislativo 2/2004,</w:t>
        </w:r>
      </w:hyperlink>
      <w:r>
        <w:rPr>
          <w:rFonts w:ascii="Arial" w:hAnsi="Arial" w:cs="Arial"/>
          <w:color w:val="000080"/>
          <w:sz w:val="22"/>
          <w:szCs w:val="22"/>
        </w:rPr>
        <w:t xml:space="preserve"> </w:t>
      </w:r>
      <w:hyperlink r:id="rId20" w:history="1">
        <w:r>
          <w:rPr>
            <w:rFonts w:ascii="Arial" w:hAnsi="Arial" w:cs="Arial"/>
            <w:color w:val="000080"/>
            <w:sz w:val="22"/>
            <w:szCs w:val="22"/>
            <w:u w:val="single" w:color="000080"/>
          </w:rPr>
          <w:t>de 5 de marzo</w:t>
        </w:r>
      </w:hyperlink>
      <w:r>
        <w:rPr>
          <w:rFonts w:ascii="Arial" w:hAnsi="Arial" w:cs="Arial"/>
          <w:sz w:val="22"/>
          <w:szCs w:val="22"/>
        </w:rPr>
        <w:t>, establece un nuevo criterio de cálculo de los derechos de difícil o imposible recaudación, para su aplicación a partir del e</w:t>
      </w:r>
      <w:r>
        <w:rPr>
          <w:rFonts w:ascii="Arial" w:hAnsi="Arial" w:cs="Arial"/>
          <w:sz w:val="22"/>
          <w:szCs w:val="22"/>
        </w:rPr>
        <w:t>jercicio 2014, quedando con la siguiente redacción:</w:t>
      </w:r>
    </w:p>
    <w:p w:rsidR="009B4233" w:rsidRDefault="006B08B9">
      <w:pPr>
        <w:ind w:left="-5" w:right="486"/>
        <w:jc w:val="both"/>
        <w:rPr>
          <w:rFonts w:ascii="Arial" w:hAnsi="Arial" w:cs="Arial"/>
          <w:sz w:val="22"/>
          <w:szCs w:val="22"/>
        </w:rPr>
      </w:pPr>
      <w:r>
        <w:rPr>
          <w:rFonts w:ascii="Arial" w:hAnsi="Arial" w:cs="Arial"/>
          <w:sz w:val="22"/>
          <w:szCs w:val="22"/>
        </w:rPr>
        <w:t xml:space="preserve">«Artículo 193 bis Derechos de difícil o imposible recaudación </w:t>
      </w:r>
    </w:p>
    <w:p w:rsidR="009B4233" w:rsidRDefault="006B08B9">
      <w:pPr>
        <w:ind w:left="-15" w:right="486" w:firstLine="708"/>
        <w:jc w:val="both"/>
        <w:rPr>
          <w:rFonts w:ascii="Arial" w:hAnsi="Arial" w:cs="Arial"/>
          <w:sz w:val="22"/>
          <w:szCs w:val="22"/>
        </w:rPr>
      </w:pPr>
      <w:r>
        <w:rPr>
          <w:rFonts w:ascii="Arial" w:hAnsi="Arial" w:cs="Arial"/>
          <w:sz w:val="22"/>
          <w:szCs w:val="22"/>
        </w:rPr>
        <w:t>Las Entidades Locales deberán informar al Ministerio de Hacienda y Administraciones Públicas y a su Pleno, u órgano equivalente, del resultad</w:t>
      </w:r>
      <w:r>
        <w:rPr>
          <w:rFonts w:ascii="Arial" w:hAnsi="Arial" w:cs="Arial"/>
          <w:sz w:val="22"/>
          <w:szCs w:val="22"/>
        </w:rPr>
        <w:t>o de la aplicación de los criterios determinantes de los derechos de difícil o imposible recaudación con los siguientes límites mínimos:</w:t>
      </w:r>
    </w:p>
    <w:p w:rsidR="009B4233" w:rsidRDefault="006B08B9">
      <w:pPr>
        <w:widowControl/>
        <w:numPr>
          <w:ilvl w:val="0"/>
          <w:numId w:val="21"/>
        </w:numPr>
        <w:suppressAutoHyphens w:val="0"/>
        <w:spacing w:line="218" w:lineRule="auto"/>
        <w:ind w:right="486" w:hanging="10"/>
        <w:jc w:val="both"/>
        <w:textAlignment w:val="auto"/>
        <w:rPr>
          <w:rFonts w:ascii="Arial" w:hAnsi="Arial" w:cs="Arial"/>
          <w:sz w:val="22"/>
          <w:szCs w:val="22"/>
        </w:rPr>
      </w:pPr>
      <w:r>
        <w:rPr>
          <w:rFonts w:ascii="Arial" w:hAnsi="Arial" w:cs="Arial"/>
          <w:sz w:val="22"/>
          <w:szCs w:val="22"/>
        </w:rPr>
        <w:t>Los derechos pendientes de cobro liquidados dentro de los presupuestos de los dos ejercicios anteriores al que correspo</w:t>
      </w:r>
      <w:r>
        <w:rPr>
          <w:rFonts w:ascii="Arial" w:hAnsi="Arial" w:cs="Arial"/>
          <w:sz w:val="22"/>
          <w:szCs w:val="22"/>
        </w:rPr>
        <w:t>nde la liquidación, se minorarán, como mínimo, en un 25 por ciento.</w:t>
      </w:r>
    </w:p>
    <w:p w:rsidR="009B4233" w:rsidRDefault="006B08B9">
      <w:pPr>
        <w:widowControl/>
        <w:numPr>
          <w:ilvl w:val="0"/>
          <w:numId w:val="21"/>
        </w:numPr>
        <w:suppressAutoHyphens w:val="0"/>
        <w:spacing w:line="218" w:lineRule="auto"/>
        <w:ind w:right="486" w:hanging="10"/>
        <w:jc w:val="both"/>
        <w:textAlignment w:val="auto"/>
        <w:rPr>
          <w:rFonts w:ascii="Arial" w:hAnsi="Arial" w:cs="Arial"/>
          <w:sz w:val="22"/>
          <w:szCs w:val="22"/>
        </w:rPr>
      </w:pPr>
      <w:r>
        <w:rPr>
          <w:rFonts w:ascii="Arial" w:hAnsi="Arial" w:cs="Arial"/>
          <w:sz w:val="22"/>
          <w:szCs w:val="22"/>
        </w:rPr>
        <w:t>Los derechos pendientes de cobro liquidados dentro de los presupuestos del ejercicio tercero anterior al que corresponde la liquidación, se minorarán, como mínimo, en un 50 por ciento.</w:t>
      </w:r>
    </w:p>
    <w:p w:rsidR="009B4233" w:rsidRDefault="006B08B9">
      <w:pPr>
        <w:widowControl/>
        <w:numPr>
          <w:ilvl w:val="0"/>
          <w:numId w:val="21"/>
        </w:numPr>
        <w:suppressAutoHyphens w:val="0"/>
        <w:spacing w:line="218" w:lineRule="auto"/>
        <w:ind w:right="486" w:hanging="10"/>
        <w:jc w:val="both"/>
        <w:textAlignment w:val="auto"/>
        <w:rPr>
          <w:rFonts w:ascii="Arial" w:hAnsi="Arial" w:cs="Arial"/>
          <w:sz w:val="22"/>
          <w:szCs w:val="22"/>
        </w:rPr>
      </w:pPr>
      <w:r>
        <w:rPr>
          <w:rFonts w:ascii="Arial" w:hAnsi="Arial" w:cs="Arial"/>
          <w:sz w:val="22"/>
          <w:szCs w:val="22"/>
        </w:rPr>
        <w:t>Los</w:t>
      </w:r>
      <w:r>
        <w:rPr>
          <w:rFonts w:ascii="Arial" w:hAnsi="Arial" w:cs="Arial"/>
          <w:sz w:val="22"/>
          <w:szCs w:val="22"/>
        </w:rPr>
        <w:t xml:space="preserve"> derechos pendientes de cobro liquidados dentro de los presupuestos de los ejercicios cuarto a quinto anteriores al que corresponde la liquidación, se minorarán, como mínimo, en un 75 por ciento.</w:t>
      </w:r>
    </w:p>
    <w:p w:rsidR="009B4233" w:rsidRDefault="006B08B9">
      <w:pPr>
        <w:widowControl/>
        <w:numPr>
          <w:ilvl w:val="0"/>
          <w:numId w:val="21"/>
        </w:numPr>
        <w:suppressAutoHyphens w:val="0"/>
        <w:spacing w:after="272" w:line="218" w:lineRule="auto"/>
        <w:ind w:right="486" w:hanging="10"/>
        <w:jc w:val="both"/>
        <w:textAlignment w:val="auto"/>
        <w:rPr>
          <w:rFonts w:ascii="Arial" w:hAnsi="Arial" w:cs="Arial"/>
          <w:sz w:val="22"/>
          <w:szCs w:val="22"/>
        </w:rPr>
      </w:pPr>
      <w:r>
        <w:rPr>
          <w:rFonts w:ascii="Arial" w:hAnsi="Arial" w:cs="Arial"/>
          <w:sz w:val="22"/>
          <w:szCs w:val="22"/>
        </w:rPr>
        <w:t xml:space="preserve">Los derechos pendientes de cobro liquidados dentro de los </w:t>
      </w:r>
      <w:r>
        <w:rPr>
          <w:rFonts w:ascii="Arial" w:hAnsi="Arial" w:cs="Arial"/>
          <w:sz w:val="22"/>
          <w:szCs w:val="22"/>
        </w:rPr>
        <w:t>presupuestos de los restantes ejercicios anteriores al que corresponde la liquidación, se minorarán en un 100 por ciento.»</w:t>
      </w:r>
    </w:p>
    <w:p w:rsidR="009B4233" w:rsidRDefault="006B08B9">
      <w:pPr>
        <w:ind w:left="-15" w:right="486" w:firstLine="708"/>
        <w:jc w:val="both"/>
        <w:rPr>
          <w:rFonts w:ascii="Arial" w:hAnsi="Arial" w:cs="Arial"/>
          <w:sz w:val="22"/>
          <w:szCs w:val="22"/>
        </w:rPr>
      </w:pPr>
      <w:r>
        <w:rPr>
          <w:rFonts w:ascii="Arial" w:hAnsi="Arial" w:cs="Arial"/>
          <w:sz w:val="22"/>
          <w:szCs w:val="22"/>
        </w:rPr>
        <w:t>Este artículo modificado del Texto Refundido de la Ley Reguladora de las Haciendas Locales, ha dado lugar a su reflejo en las Bases d</w:t>
      </w:r>
      <w:r>
        <w:rPr>
          <w:rFonts w:ascii="Arial" w:hAnsi="Arial" w:cs="Arial"/>
          <w:sz w:val="22"/>
          <w:szCs w:val="22"/>
        </w:rPr>
        <w:t>e Ejecución del Presupuesto General vigente.</w:t>
      </w:r>
    </w:p>
    <w:p w:rsidR="009B4233" w:rsidRDefault="006B08B9">
      <w:pPr>
        <w:spacing w:after="33"/>
        <w:ind w:left="-15" w:right="486" w:firstLine="708"/>
        <w:jc w:val="both"/>
        <w:rPr>
          <w:rFonts w:ascii="Arial" w:hAnsi="Arial" w:cs="Arial"/>
          <w:sz w:val="22"/>
          <w:szCs w:val="22"/>
        </w:rPr>
      </w:pPr>
      <w:r>
        <w:rPr>
          <w:rFonts w:ascii="Arial" w:hAnsi="Arial" w:cs="Arial"/>
          <w:sz w:val="22"/>
          <w:szCs w:val="22"/>
        </w:rPr>
        <w:t>Así, de los datos obtenidos de ejercicios cerrados, tenemos detallados los importes cobrados en dichos ejercicios, la cantidad que está pendiente de cobro y el saldo de dudoso cobro, de acuerdo con los porcentaj</w:t>
      </w:r>
      <w:r>
        <w:rPr>
          <w:rFonts w:ascii="Arial" w:hAnsi="Arial" w:cs="Arial"/>
          <w:sz w:val="22"/>
          <w:szCs w:val="22"/>
        </w:rPr>
        <w:t>es establecidos en las Bases del Presupuesto:</w:t>
      </w:r>
    </w:p>
    <w:tbl>
      <w:tblPr>
        <w:tblW w:w="9172" w:type="dxa"/>
        <w:tblInd w:w="-120" w:type="dxa"/>
        <w:tblCellMar>
          <w:left w:w="10" w:type="dxa"/>
          <w:right w:w="10" w:type="dxa"/>
        </w:tblCellMar>
        <w:tblLook w:val="0000" w:firstRow="0" w:lastRow="0" w:firstColumn="0" w:lastColumn="0" w:noHBand="0" w:noVBand="0"/>
      </w:tblPr>
      <w:tblGrid>
        <w:gridCol w:w="2048"/>
        <w:gridCol w:w="2256"/>
        <w:gridCol w:w="1733"/>
        <w:gridCol w:w="272"/>
        <w:gridCol w:w="265"/>
        <w:gridCol w:w="2598"/>
      </w:tblGrid>
      <w:tr w:rsidR="009B4233">
        <w:tblPrEx>
          <w:tblCellMar>
            <w:top w:w="0" w:type="dxa"/>
            <w:bottom w:w="0" w:type="dxa"/>
          </w:tblCellMar>
        </w:tblPrEx>
        <w:trPr>
          <w:trHeight w:val="770"/>
        </w:trPr>
        <w:tc>
          <w:tcPr>
            <w:tcW w:w="2048" w:type="dxa"/>
            <w:tcBorders>
              <w:top w:val="single" w:sz="4" w:space="0" w:color="000000"/>
              <w:left w:val="single" w:sz="4" w:space="0" w:color="000000"/>
              <w:bottom w:val="single" w:sz="4" w:space="0" w:color="000000"/>
              <w:right w:val="single" w:sz="4" w:space="0" w:color="000000"/>
            </w:tcBorders>
            <w:shd w:val="clear" w:color="auto" w:fill="auto"/>
            <w:tcMar>
              <w:top w:w="12" w:type="dxa"/>
              <w:left w:w="0" w:type="dxa"/>
              <w:bottom w:w="0" w:type="dxa"/>
              <w:right w:w="43" w:type="dxa"/>
            </w:tcMar>
          </w:tcPr>
          <w:p w:rsidR="009B4233" w:rsidRDefault="006B08B9">
            <w:pPr>
              <w:spacing w:line="249" w:lineRule="auto"/>
              <w:ind w:left="110"/>
            </w:pPr>
            <w:r>
              <w:rPr>
                <w:rFonts w:ascii="Arial" w:eastAsia="Calibri" w:hAnsi="Arial" w:cs="Arial"/>
                <w:b/>
                <w:sz w:val="22"/>
                <w:szCs w:val="22"/>
              </w:rPr>
              <w:t>EJERCICIO</w:t>
            </w:r>
          </w:p>
        </w:tc>
        <w:tc>
          <w:tcPr>
            <w:tcW w:w="2256" w:type="dxa"/>
            <w:tcBorders>
              <w:top w:val="single" w:sz="4" w:space="0" w:color="000000"/>
              <w:left w:val="single" w:sz="4" w:space="0" w:color="000000"/>
              <w:bottom w:val="single" w:sz="4" w:space="0" w:color="000000"/>
              <w:right w:val="single" w:sz="4" w:space="0" w:color="000000"/>
            </w:tcBorders>
            <w:shd w:val="clear" w:color="auto" w:fill="auto"/>
            <w:tcMar>
              <w:top w:w="12" w:type="dxa"/>
              <w:left w:w="0" w:type="dxa"/>
              <w:bottom w:w="0" w:type="dxa"/>
              <w:right w:w="43" w:type="dxa"/>
            </w:tcMar>
          </w:tcPr>
          <w:p w:rsidR="009B4233" w:rsidRDefault="006B08B9">
            <w:pPr>
              <w:spacing w:line="249" w:lineRule="auto"/>
              <w:ind w:left="110"/>
            </w:pPr>
            <w:r>
              <w:rPr>
                <w:rFonts w:ascii="Arial" w:eastAsia="Calibri" w:hAnsi="Arial" w:cs="Arial"/>
                <w:b/>
                <w:sz w:val="22"/>
                <w:szCs w:val="22"/>
              </w:rPr>
              <w:t xml:space="preserve">IMPORTES </w:t>
            </w:r>
          </w:p>
          <w:p w:rsidR="009B4233" w:rsidRDefault="006B08B9">
            <w:pPr>
              <w:spacing w:line="249" w:lineRule="auto"/>
              <w:ind w:left="110"/>
            </w:pPr>
            <w:r>
              <w:rPr>
                <w:rFonts w:ascii="Arial" w:eastAsia="Calibri" w:hAnsi="Arial" w:cs="Arial"/>
                <w:b/>
                <w:sz w:val="22"/>
                <w:szCs w:val="22"/>
              </w:rPr>
              <w:t>COBRADOS 2024</w:t>
            </w:r>
          </w:p>
        </w:tc>
        <w:tc>
          <w:tcPr>
            <w:tcW w:w="1733" w:type="dxa"/>
            <w:tcBorders>
              <w:top w:val="single" w:sz="4" w:space="0" w:color="000000"/>
              <w:left w:val="single" w:sz="4" w:space="0" w:color="000000"/>
              <w:bottom w:val="single" w:sz="4" w:space="0" w:color="000000"/>
            </w:tcBorders>
            <w:shd w:val="clear" w:color="auto" w:fill="auto"/>
            <w:tcMar>
              <w:top w:w="12" w:type="dxa"/>
              <w:left w:w="0" w:type="dxa"/>
              <w:bottom w:w="0" w:type="dxa"/>
              <w:right w:w="43" w:type="dxa"/>
            </w:tcMar>
          </w:tcPr>
          <w:p w:rsidR="009B4233" w:rsidRDefault="006B08B9">
            <w:pPr>
              <w:spacing w:line="249" w:lineRule="auto"/>
              <w:ind w:left="110"/>
            </w:pPr>
            <w:r>
              <w:rPr>
                <w:rFonts w:ascii="Arial" w:eastAsia="Calibri" w:hAnsi="Arial" w:cs="Arial"/>
                <w:b/>
                <w:sz w:val="22"/>
                <w:szCs w:val="22"/>
              </w:rPr>
              <w:t xml:space="preserve">IMPORTES </w:t>
            </w:r>
          </w:p>
          <w:p w:rsidR="009B4233" w:rsidRDefault="006B08B9">
            <w:pPr>
              <w:spacing w:line="249" w:lineRule="auto"/>
              <w:ind w:left="110"/>
            </w:pPr>
            <w:r>
              <w:rPr>
                <w:rFonts w:ascii="Arial" w:eastAsia="Calibri" w:hAnsi="Arial" w:cs="Arial"/>
                <w:b/>
                <w:sz w:val="22"/>
                <w:szCs w:val="22"/>
              </w:rPr>
              <w:t>PENDIENTES</w:t>
            </w:r>
          </w:p>
          <w:p w:rsidR="009B4233" w:rsidRDefault="006B08B9">
            <w:pPr>
              <w:spacing w:line="249" w:lineRule="auto"/>
              <w:ind w:left="110"/>
            </w:pPr>
            <w:r>
              <w:rPr>
                <w:rFonts w:ascii="Arial" w:eastAsia="Calibri" w:hAnsi="Arial" w:cs="Arial"/>
                <w:b/>
                <w:sz w:val="22"/>
                <w:szCs w:val="22"/>
              </w:rPr>
              <w:t>31/12/2024</w:t>
            </w:r>
          </w:p>
        </w:tc>
        <w:tc>
          <w:tcPr>
            <w:tcW w:w="272" w:type="dxa"/>
            <w:tcBorders>
              <w:top w:val="single" w:sz="4" w:space="0" w:color="000000"/>
              <w:bottom w:val="single" w:sz="4" w:space="0" w:color="000000"/>
            </w:tcBorders>
            <w:shd w:val="clear" w:color="auto" w:fill="auto"/>
            <w:tcMar>
              <w:top w:w="12" w:type="dxa"/>
              <w:left w:w="0" w:type="dxa"/>
              <w:bottom w:w="0" w:type="dxa"/>
              <w:right w:w="43" w:type="dxa"/>
            </w:tcMar>
            <w:vAlign w:val="center"/>
          </w:tcPr>
          <w:p w:rsidR="009B4233" w:rsidRDefault="006B08B9">
            <w:pPr>
              <w:spacing w:line="249" w:lineRule="auto"/>
            </w:pPr>
            <w:r>
              <w:rPr>
                <w:rFonts w:ascii="Arial" w:eastAsia="Calibri" w:hAnsi="Arial" w:cs="Arial"/>
                <w:b/>
                <w:sz w:val="22"/>
                <w:szCs w:val="22"/>
              </w:rPr>
              <w:t xml:space="preserve"> </w:t>
            </w:r>
          </w:p>
        </w:tc>
        <w:tc>
          <w:tcPr>
            <w:tcW w:w="265" w:type="dxa"/>
            <w:tcBorders>
              <w:top w:val="single" w:sz="4" w:space="0" w:color="000000"/>
              <w:bottom w:val="single" w:sz="4" w:space="0" w:color="000000"/>
              <w:right w:val="single" w:sz="4" w:space="0" w:color="000000"/>
            </w:tcBorders>
            <w:shd w:val="clear" w:color="auto" w:fill="auto"/>
            <w:tcMar>
              <w:top w:w="12" w:type="dxa"/>
              <w:left w:w="0" w:type="dxa"/>
              <w:bottom w:w="0" w:type="dxa"/>
              <w:right w:w="43" w:type="dxa"/>
            </w:tcMar>
            <w:vAlign w:val="center"/>
          </w:tcPr>
          <w:p w:rsidR="009B4233" w:rsidRDefault="006B08B9">
            <w:pPr>
              <w:spacing w:line="249" w:lineRule="auto"/>
            </w:pPr>
            <w:r>
              <w:rPr>
                <w:rFonts w:ascii="Arial" w:eastAsia="Calibri" w:hAnsi="Arial" w:cs="Arial"/>
                <w:b/>
                <w:sz w:val="22"/>
                <w:szCs w:val="22"/>
              </w:rPr>
              <w:t xml:space="preserve">A </w:t>
            </w:r>
          </w:p>
        </w:tc>
        <w:tc>
          <w:tcPr>
            <w:tcW w:w="2598" w:type="dxa"/>
            <w:tcBorders>
              <w:top w:val="single" w:sz="4" w:space="0" w:color="000000"/>
              <w:left w:val="single" w:sz="4" w:space="0" w:color="000000"/>
              <w:bottom w:val="single" w:sz="4" w:space="0" w:color="000000"/>
              <w:right w:val="single" w:sz="4" w:space="0" w:color="000000"/>
            </w:tcBorders>
            <w:shd w:val="clear" w:color="auto" w:fill="auto"/>
            <w:tcMar>
              <w:top w:w="12" w:type="dxa"/>
              <w:left w:w="0" w:type="dxa"/>
              <w:bottom w:w="0" w:type="dxa"/>
              <w:right w:w="43" w:type="dxa"/>
            </w:tcMar>
          </w:tcPr>
          <w:p w:rsidR="009B4233" w:rsidRDefault="006B08B9">
            <w:pPr>
              <w:spacing w:line="249" w:lineRule="auto"/>
              <w:ind w:left="110"/>
            </w:pPr>
            <w:r>
              <w:rPr>
                <w:rFonts w:ascii="Arial" w:eastAsia="Calibri" w:hAnsi="Arial" w:cs="Arial"/>
                <w:b/>
                <w:sz w:val="22"/>
                <w:szCs w:val="22"/>
              </w:rPr>
              <w:t>SALDO</w:t>
            </w:r>
            <w:r>
              <w:rPr>
                <w:rFonts w:ascii="Arial" w:eastAsia="Calibri" w:hAnsi="Arial" w:cs="Arial"/>
                <w:b/>
                <w:sz w:val="22"/>
                <w:szCs w:val="22"/>
              </w:rPr>
              <w:tab/>
              <w:t xml:space="preserve"> </w:t>
            </w:r>
            <w:r>
              <w:rPr>
                <w:rFonts w:ascii="Arial" w:eastAsia="Calibri" w:hAnsi="Arial" w:cs="Arial"/>
                <w:b/>
                <w:sz w:val="22"/>
                <w:szCs w:val="22"/>
              </w:rPr>
              <w:tab/>
              <w:t>DUDOSO COBRO</w:t>
            </w:r>
          </w:p>
        </w:tc>
      </w:tr>
      <w:tr w:rsidR="009B4233">
        <w:tblPrEx>
          <w:tblCellMar>
            <w:top w:w="0" w:type="dxa"/>
            <w:bottom w:w="0" w:type="dxa"/>
          </w:tblCellMar>
        </w:tblPrEx>
        <w:trPr>
          <w:trHeight w:val="262"/>
        </w:trPr>
        <w:tc>
          <w:tcPr>
            <w:tcW w:w="2048" w:type="dxa"/>
            <w:tcBorders>
              <w:top w:val="single" w:sz="4" w:space="0" w:color="000000"/>
              <w:left w:val="single" w:sz="4" w:space="0" w:color="000000"/>
              <w:bottom w:val="single" w:sz="4" w:space="0" w:color="000000"/>
              <w:right w:val="single" w:sz="4" w:space="0" w:color="000000"/>
            </w:tcBorders>
            <w:shd w:val="clear" w:color="auto" w:fill="auto"/>
            <w:tcMar>
              <w:top w:w="12" w:type="dxa"/>
              <w:left w:w="0" w:type="dxa"/>
              <w:bottom w:w="0" w:type="dxa"/>
              <w:right w:w="43" w:type="dxa"/>
            </w:tcMar>
          </w:tcPr>
          <w:p w:rsidR="009B4233" w:rsidRDefault="006B08B9">
            <w:pPr>
              <w:spacing w:line="249" w:lineRule="auto"/>
              <w:ind w:left="110"/>
              <w:rPr>
                <w:rFonts w:ascii="Arial" w:hAnsi="Arial" w:cs="Arial"/>
                <w:sz w:val="22"/>
                <w:szCs w:val="22"/>
              </w:rPr>
            </w:pPr>
            <w:r>
              <w:rPr>
                <w:rFonts w:ascii="Arial" w:hAnsi="Arial" w:cs="Arial"/>
                <w:sz w:val="22"/>
                <w:szCs w:val="22"/>
              </w:rPr>
              <w:t>2023</w:t>
            </w:r>
          </w:p>
        </w:tc>
        <w:tc>
          <w:tcPr>
            <w:tcW w:w="2256" w:type="dxa"/>
            <w:tcBorders>
              <w:top w:val="single" w:sz="4" w:space="0" w:color="000000"/>
              <w:left w:val="single" w:sz="4" w:space="0" w:color="000000"/>
              <w:bottom w:val="single" w:sz="4" w:space="0" w:color="000000"/>
              <w:right w:val="single" w:sz="4" w:space="0" w:color="000000"/>
            </w:tcBorders>
            <w:shd w:val="clear" w:color="auto" w:fill="auto"/>
            <w:tcMar>
              <w:top w:w="12" w:type="dxa"/>
              <w:left w:w="0" w:type="dxa"/>
              <w:bottom w:w="0" w:type="dxa"/>
              <w:right w:w="43" w:type="dxa"/>
            </w:tcMar>
          </w:tcPr>
          <w:p w:rsidR="009B4233" w:rsidRDefault="006B08B9">
            <w:pPr>
              <w:spacing w:line="249" w:lineRule="auto"/>
              <w:ind w:left="110"/>
              <w:rPr>
                <w:rFonts w:ascii="Arial" w:hAnsi="Arial" w:cs="Arial"/>
                <w:sz w:val="22"/>
                <w:szCs w:val="22"/>
              </w:rPr>
            </w:pPr>
            <w:r>
              <w:rPr>
                <w:rFonts w:ascii="Arial" w:hAnsi="Arial" w:cs="Arial"/>
                <w:sz w:val="22"/>
                <w:szCs w:val="22"/>
              </w:rPr>
              <w:t>68.017,10 €</w:t>
            </w:r>
          </w:p>
        </w:tc>
        <w:tc>
          <w:tcPr>
            <w:tcW w:w="1733" w:type="dxa"/>
            <w:tcBorders>
              <w:top w:val="single" w:sz="4" w:space="0" w:color="000000"/>
              <w:left w:val="single" w:sz="4" w:space="0" w:color="000000"/>
              <w:bottom w:val="single" w:sz="4" w:space="0" w:color="000000"/>
            </w:tcBorders>
            <w:shd w:val="clear" w:color="auto" w:fill="auto"/>
            <w:tcMar>
              <w:top w:w="12" w:type="dxa"/>
              <w:left w:w="0" w:type="dxa"/>
              <w:bottom w:w="0" w:type="dxa"/>
              <w:right w:w="43" w:type="dxa"/>
            </w:tcMar>
          </w:tcPr>
          <w:p w:rsidR="009B4233" w:rsidRDefault="006B08B9">
            <w:pPr>
              <w:spacing w:line="249" w:lineRule="auto"/>
              <w:ind w:left="110"/>
              <w:rPr>
                <w:rFonts w:ascii="Arial" w:hAnsi="Arial" w:cs="Arial"/>
                <w:sz w:val="22"/>
                <w:szCs w:val="22"/>
              </w:rPr>
            </w:pPr>
            <w:r>
              <w:rPr>
                <w:rFonts w:ascii="Arial" w:hAnsi="Arial" w:cs="Arial"/>
                <w:sz w:val="22"/>
                <w:szCs w:val="22"/>
              </w:rPr>
              <w:t>87.341,09 €</w:t>
            </w:r>
          </w:p>
        </w:tc>
        <w:tc>
          <w:tcPr>
            <w:tcW w:w="272" w:type="dxa"/>
            <w:tcBorders>
              <w:top w:val="single" w:sz="4" w:space="0" w:color="000000"/>
              <w:bottom w:val="single" w:sz="4" w:space="0" w:color="000000"/>
            </w:tcBorders>
            <w:shd w:val="clear" w:color="auto" w:fill="auto"/>
            <w:tcMar>
              <w:top w:w="12" w:type="dxa"/>
              <w:left w:w="0" w:type="dxa"/>
              <w:bottom w:w="0" w:type="dxa"/>
              <w:right w:w="43" w:type="dxa"/>
            </w:tcMar>
          </w:tcPr>
          <w:p w:rsidR="009B4233" w:rsidRDefault="009B4233">
            <w:pPr>
              <w:spacing w:after="160" w:line="249" w:lineRule="auto"/>
              <w:rPr>
                <w:rFonts w:ascii="Arial" w:hAnsi="Arial" w:cs="Arial"/>
                <w:sz w:val="22"/>
                <w:szCs w:val="22"/>
              </w:rPr>
            </w:pPr>
          </w:p>
        </w:tc>
        <w:tc>
          <w:tcPr>
            <w:tcW w:w="265" w:type="dxa"/>
            <w:tcBorders>
              <w:top w:val="single" w:sz="4" w:space="0" w:color="000000"/>
              <w:bottom w:val="single" w:sz="4" w:space="0" w:color="000000"/>
              <w:right w:val="single" w:sz="4" w:space="0" w:color="000000"/>
            </w:tcBorders>
            <w:shd w:val="clear" w:color="auto" w:fill="auto"/>
            <w:tcMar>
              <w:top w:w="12" w:type="dxa"/>
              <w:left w:w="0" w:type="dxa"/>
              <w:bottom w:w="0" w:type="dxa"/>
              <w:right w:w="43" w:type="dxa"/>
            </w:tcMar>
          </w:tcPr>
          <w:p w:rsidR="009B4233" w:rsidRDefault="009B4233">
            <w:pPr>
              <w:spacing w:after="160" w:line="249" w:lineRule="auto"/>
              <w:rPr>
                <w:rFonts w:ascii="Arial" w:hAnsi="Arial" w:cs="Arial"/>
                <w:sz w:val="22"/>
                <w:szCs w:val="22"/>
              </w:rPr>
            </w:pPr>
          </w:p>
        </w:tc>
        <w:tc>
          <w:tcPr>
            <w:tcW w:w="2598" w:type="dxa"/>
            <w:tcBorders>
              <w:top w:val="single" w:sz="4" w:space="0" w:color="000000"/>
              <w:left w:val="single" w:sz="4" w:space="0" w:color="000000"/>
              <w:bottom w:val="single" w:sz="4" w:space="0" w:color="000000"/>
              <w:right w:val="single" w:sz="4" w:space="0" w:color="000000"/>
            </w:tcBorders>
            <w:shd w:val="clear" w:color="auto" w:fill="auto"/>
            <w:tcMar>
              <w:top w:w="12" w:type="dxa"/>
              <w:left w:w="0" w:type="dxa"/>
              <w:bottom w:w="0" w:type="dxa"/>
              <w:right w:w="43" w:type="dxa"/>
            </w:tcMar>
          </w:tcPr>
          <w:p w:rsidR="009B4233" w:rsidRDefault="006B08B9">
            <w:pPr>
              <w:spacing w:line="249" w:lineRule="auto"/>
              <w:ind w:left="110"/>
              <w:rPr>
                <w:rFonts w:ascii="Arial" w:hAnsi="Arial" w:cs="Arial"/>
                <w:sz w:val="22"/>
                <w:szCs w:val="22"/>
              </w:rPr>
            </w:pPr>
            <w:r>
              <w:rPr>
                <w:rFonts w:ascii="Arial" w:hAnsi="Arial" w:cs="Arial"/>
                <w:sz w:val="22"/>
                <w:szCs w:val="22"/>
              </w:rPr>
              <w:t>21.835,27 €</w:t>
            </w:r>
          </w:p>
        </w:tc>
      </w:tr>
      <w:tr w:rsidR="009B4233">
        <w:tblPrEx>
          <w:tblCellMar>
            <w:top w:w="0" w:type="dxa"/>
            <w:bottom w:w="0" w:type="dxa"/>
          </w:tblCellMar>
        </w:tblPrEx>
        <w:trPr>
          <w:trHeight w:val="264"/>
        </w:trPr>
        <w:tc>
          <w:tcPr>
            <w:tcW w:w="2048" w:type="dxa"/>
            <w:tcBorders>
              <w:top w:val="single" w:sz="4" w:space="0" w:color="000000"/>
              <w:left w:val="single" w:sz="4" w:space="0" w:color="000000"/>
              <w:bottom w:val="single" w:sz="4" w:space="0" w:color="000000"/>
              <w:right w:val="single" w:sz="4" w:space="0" w:color="000000"/>
            </w:tcBorders>
            <w:shd w:val="clear" w:color="auto" w:fill="auto"/>
            <w:tcMar>
              <w:top w:w="12" w:type="dxa"/>
              <w:left w:w="0" w:type="dxa"/>
              <w:bottom w:w="0" w:type="dxa"/>
              <w:right w:w="43" w:type="dxa"/>
            </w:tcMar>
          </w:tcPr>
          <w:p w:rsidR="009B4233" w:rsidRDefault="006B08B9">
            <w:pPr>
              <w:spacing w:line="249" w:lineRule="auto"/>
              <w:ind w:left="110"/>
              <w:rPr>
                <w:rFonts w:ascii="Arial" w:hAnsi="Arial" w:cs="Arial"/>
                <w:sz w:val="22"/>
                <w:szCs w:val="22"/>
              </w:rPr>
            </w:pPr>
            <w:r>
              <w:rPr>
                <w:rFonts w:ascii="Arial" w:hAnsi="Arial" w:cs="Arial"/>
                <w:sz w:val="22"/>
                <w:szCs w:val="22"/>
              </w:rPr>
              <w:t>2022</w:t>
            </w:r>
          </w:p>
        </w:tc>
        <w:tc>
          <w:tcPr>
            <w:tcW w:w="2256" w:type="dxa"/>
            <w:tcBorders>
              <w:top w:val="single" w:sz="4" w:space="0" w:color="000000"/>
              <w:left w:val="single" w:sz="4" w:space="0" w:color="000000"/>
              <w:bottom w:val="single" w:sz="4" w:space="0" w:color="000000"/>
              <w:right w:val="single" w:sz="4" w:space="0" w:color="000000"/>
            </w:tcBorders>
            <w:shd w:val="clear" w:color="auto" w:fill="auto"/>
            <w:tcMar>
              <w:top w:w="12" w:type="dxa"/>
              <w:left w:w="0" w:type="dxa"/>
              <w:bottom w:w="0" w:type="dxa"/>
              <w:right w:w="43" w:type="dxa"/>
            </w:tcMar>
          </w:tcPr>
          <w:p w:rsidR="009B4233" w:rsidRDefault="006B08B9">
            <w:pPr>
              <w:spacing w:line="249" w:lineRule="auto"/>
              <w:ind w:left="110"/>
              <w:rPr>
                <w:rFonts w:ascii="Arial" w:hAnsi="Arial" w:cs="Arial"/>
                <w:sz w:val="22"/>
                <w:szCs w:val="22"/>
              </w:rPr>
            </w:pPr>
            <w:r>
              <w:rPr>
                <w:rFonts w:ascii="Arial" w:hAnsi="Arial" w:cs="Arial"/>
                <w:sz w:val="22"/>
                <w:szCs w:val="22"/>
              </w:rPr>
              <w:t>58.023,15 €</w:t>
            </w:r>
          </w:p>
        </w:tc>
        <w:tc>
          <w:tcPr>
            <w:tcW w:w="1733" w:type="dxa"/>
            <w:tcBorders>
              <w:top w:val="single" w:sz="4" w:space="0" w:color="000000"/>
              <w:left w:val="single" w:sz="4" w:space="0" w:color="000000"/>
              <w:bottom w:val="single" w:sz="4" w:space="0" w:color="000000"/>
            </w:tcBorders>
            <w:shd w:val="clear" w:color="auto" w:fill="auto"/>
            <w:tcMar>
              <w:top w:w="12" w:type="dxa"/>
              <w:left w:w="0" w:type="dxa"/>
              <w:bottom w:w="0" w:type="dxa"/>
              <w:right w:w="43" w:type="dxa"/>
            </w:tcMar>
          </w:tcPr>
          <w:p w:rsidR="009B4233" w:rsidRDefault="006B08B9">
            <w:pPr>
              <w:spacing w:line="249" w:lineRule="auto"/>
              <w:ind w:left="110"/>
              <w:rPr>
                <w:rFonts w:ascii="Arial" w:hAnsi="Arial" w:cs="Arial"/>
                <w:sz w:val="22"/>
                <w:szCs w:val="22"/>
              </w:rPr>
            </w:pPr>
            <w:r>
              <w:rPr>
                <w:rFonts w:ascii="Arial" w:hAnsi="Arial" w:cs="Arial"/>
                <w:sz w:val="22"/>
                <w:szCs w:val="22"/>
              </w:rPr>
              <w:t>93.386,94 €</w:t>
            </w:r>
          </w:p>
        </w:tc>
        <w:tc>
          <w:tcPr>
            <w:tcW w:w="272" w:type="dxa"/>
            <w:tcBorders>
              <w:top w:val="single" w:sz="4" w:space="0" w:color="000000"/>
              <w:bottom w:val="single" w:sz="4" w:space="0" w:color="000000"/>
            </w:tcBorders>
            <w:shd w:val="clear" w:color="auto" w:fill="auto"/>
            <w:tcMar>
              <w:top w:w="12" w:type="dxa"/>
              <w:left w:w="0" w:type="dxa"/>
              <w:bottom w:w="0" w:type="dxa"/>
              <w:right w:w="43" w:type="dxa"/>
            </w:tcMar>
          </w:tcPr>
          <w:p w:rsidR="009B4233" w:rsidRDefault="009B4233">
            <w:pPr>
              <w:spacing w:after="160" w:line="249" w:lineRule="auto"/>
              <w:rPr>
                <w:rFonts w:ascii="Arial" w:hAnsi="Arial" w:cs="Arial"/>
                <w:sz w:val="22"/>
                <w:szCs w:val="22"/>
              </w:rPr>
            </w:pPr>
          </w:p>
        </w:tc>
        <w:tc>
          <w:tcPr>
            <w:tcW w:w="265" w:type="dxa"/>
            <w:tcBorders>
              <w:top w:val="single" w:sz="4" w:space="0" w:color="000000"/>
              <w:bottom w:val="single" w:sz="4" w:space="0" w:color="000000"/>
              <w:right w:val="single" w:sz="4" w:space="0" w:color="000000"/>
            </w:tcBorders>
            <w:shd w:val="clear" w:color="auto" w:fill="auto"/>
            <w:tcMar>
              <w:top w:w="12" w:type="dxa"/>
              <w:left w:w="0" w:type="dxa"/>
              <w:bottom w:w="0" w:type="dxa"/>
              <w:right w:w="43" w:type="dxa"/>
            </w:tcMar>
          </w:tcPr>
          <w:p w:rsidR="009B4233" w:rsidRDefault="009B4233">
            <w:pPr>
              <w:spacing w:after="160" w:line="249" w:lineRule="auto"/>
              <w:rPr>
                <w:rFonts w:ascii="Arial" w:hAnsi="Arial" w:cs="Arial"/>
                <w:sz w:val="22"/>
                <w:szCs w:val="22"/>
              </w:rPr>
            </w:pPr>
          </w:p>
        </w:tc>
        <w:tc>
          <w:tcPr>
            <w:tcW w:w="2598" w:type="dxa"/>
            <w:tcBorders>
              <w:top w:val="single" w:sz="4" w:space="0" w:color="000000"/>
              <w:left w:val="single" w:sz="4" w:space="0" w:color="000000"/>
              <w:bottom w:val="single" w:sz="4" w:space="0" w:color="000000"/>
              <w:right w:val="single" w:sz="4" w:space="0" w:color="000000"/>
            </w:tcBorders>
            <w:shd w:val="clear" w:color="auto" w:fill="auto"/>
            <w:tcMar>
              <w:top w:w="12" w:type="dxa"/>
              <w:left w:w="0" w:type="dxa"/>
              <w:bottom w:w="0" w:type="dxa"/>
              <w:right w:w="43" w:type="dxa"/>
            </w:tcMar>
          </w:tcPr>
          <w:p w:rsidR="009B4233" w:rsidRDefault="006B08B9">
            <w:pPr>
              <w:spacing w:line="249" w:lineRule="auto"/>
              <w:ind w:left="110"/>
              <w:rPr>
                <w:rFonts w:ascii="Arial" w:hAnsi="Arial" w:cs="Arial"/>
                <w:sz w:val="22"/>
                <w:szCs w:val="22"/>
              </w:rPr>
            </w:pPr>
            <w:r>
              <w:rPr>
                <w:rFonts w:ascii="Arial" w:hAnsi="Arial" w:cs="Arial"/>
                <w:sz w:val="22"/>
                <w:szCs w:val="22"/>
              </w:rPr>
              <w:t>23.346,74 €</w:t>
            </w:r>
          </w:p>
        </w:tc>
      </w:tr>
      <w:tr w:rsidR="009B4233">
        <w:tblPrEx>
          <w:tblCellMar>
            <w:top w:w="0" w:type="dxa"/>
            <w:bottom w:w="0" w:type="dxa"/>
          </w:tblCellMar>
        </w:tblPrEx>
        <w:trPr>
          <w:trHeight w:val="262"/>
        </w:trPr>
        <w:tc>
          <w:tcPr>
            <w:tcW w:w="2048" w:type="dxa"/>
            <w:tcBorders>
              <w:top w:val="single" w:sz="4" w:space="0" w:color="000000"/>
              <w:left w:val="single" w:sz="4" w:space="0" w:color="000000"/>
              <w:bottom w:val="single" w:sz="4" w:space="0" w:color="000000"/>
              <w:right w:val="single" w:sz="4" w:space="0" w:color="000000"/>
            </w:tcBorders>
            <w:shd w:val="clear" w:color="auto" w:fill="auto"/>
            <w:tcMar>
              <w:top w:w="12" w:type="dxa"/>
              <w:left w:w="0" w:type="dxa"/>
              <w:bottom w:w="0" w:type="dxa"/>
              <w:right w:w="43" w:type="dxa"/>
            </w:tcMar>
          </w:tcPr>
          <w:p w:rsidR="009B4233" w:rsidRDefault="006B08B9">
            <w:pPr>
              <w:spacing w:line="249" w:lineRule="auto"/>
              <w:ind w:left="110"/>
              <w:rPr>
                <w:rFonts w:ascii="Arial" w:hAnsi="Arial" w:cs="Arial"/>
                <w:sz w:val="22"/>
                <w:szCs w:val="22"/>
              </w:rPr>
            </w:pPr>
            <w:r>
              <w:rPr>
                <w:rFonts w:ascii="Arial" w:hAnsi="Arial" w:cs="Arial"/>
                <w:sz w:val="22"/>
                <w:szCs w:val="22"/>
              </w:rPr>
              <w:t>2021</w:t>
            </w:r>
          </w:p>
        </w:tc>
        <w:tc>
          <w:tcPr>
            <w:tcW w:w="2256" w:type="dxa"/>
            <w:tcBorders>
              <w:top w:val="single" w:sz="4" w:space="0" w:color="000000"/>
              <w:left w:val="single" w:sz="4" w:space="0" w:color="000000"/>
              <w:bottom w:val="single" w:sz="4" w:space="0" w:color="000000"/>
              <w:right w:val="single" w:sz="4" w:space="0" w:color="000000"/>
            </w:tcBorders>
            <w:shd w:val="clear" w:color="auto" w:fill="auto"/>
            <w:tcMar>
              <w:top w:w="12" w:type="dxa"/>
              <w:left w:w="0" w:type="dxa"/>
              <w:bottom w:w="0" w:type="dxa"/>
              <w:right w:w="43" w:type="dxa"/>
            </w:tcMar>
          </w:tcPr>
          <w:p w:rsidR="009B4233" w:rsidRDefault="006B08B9">
            <w:pPr>
              <w:spacing w:line="249" w:lineRule="auto"/>
              <w:ind w:left="110"/>
              <w:rPr>
                <w:rFonts w:ascii="Arial" w:hAnsi="Arial" w:cs="Arial"/>
                <w:sz w:val="22"/>
                <w:szCs w:val="22"/>
              </w:rPr>
            </w:pPr>
            <w:r>
              <w:rPr>
                <w:rFonts w:ascii="Arial" w:hAnsi="Arial" w:cs="Arial"/>
                <w:sz w:val="22"/>
                <w:szCs w:val="22"/>
              </w:rPr>
              <w:t>28.155,87 €</w:t>
            </w:r>
          </w:p>
        </w:tc>
        <w:tc>
          <w:tcPr>
            <w:tcW w:w="1733" w:type="dxa"/>
            <w:tcBorders>
              <w:top w:val="single" w:sz="4" w:space="0" w:color="000000"/>
              <w:left w:val="single" w:sz="4" w:space="0" w:color="000000"/>
              <w:bottom w:val="single" w:sz="4" w:space="0" w:color="000000"/>
            </w:tcBorders>
            <w:shd w:val="clear" w:color="auto" w:fill="auto"/>
            <w:tcMar>
              <w:top w:w="12" w:type="dxa"/>
              <w:left w:w="0" w:type="dxa"/>
              <w:bottom w:w="0" w:type="dxa"/>
              <w:right w:w="43" w:type="dxa"/>
            </w:tcMar>
          </w:tcPr>
          <w:p w:rsidR="009B4233" w:rsidRDefault="006B08B9">
            <w:pPr>
              <w:spacing w:line="249" w:lineRule="auto"/>
              <w:ind w:left="110"/>
              <w:rPr>
                <w:rFonts w:ascii="Arial" w:hAnsi="Arial" w:cs="Arial"/>
                <w:sz w:val="22"/>
                <w:szCs w:val="22"/>
              </w:rPr>
            </w:pPr>
            <w:r>
              <w:rPr>
                <w:rFonts w:ascii="Arial" w:hAnsi="Arial" w:cs="Arial"/>
                <w:sz w:val="22"/>
                <w:szCs w:val="22"/>
              </w:rPr>
              <w:t>137.845,17 €</w:t>
            </w:r>
          </w:p>
        </w:tc>
        <w:tc>
          <w:tcPr>
            <w:tcW w:w="272" w:type="dxa"/>
            <w:tcBorders>
              <w:top w:val="single" w:sz="4" w:space="0" w:color="000000"/>
              <w:bottom w:val="single" w:sz="4" w:space="0" w:color="000000"/>
            </w:tcBorders>
            <w:shd w:val="clear" w:color="auto" w:fill="auto"/>
            <w:tcMar>
              <w:top w:w="12" w:type="dxa"/>
              <w:left w:w="0" w:type="dxa"/>
              <w:bottom w:w="0" w:type="dxa"/>
              <w:right w:w="43" w:type="dxa"/>
            </w:tcMar>
          </w:tcPr>
          <w:p w:rsidR="009B4233" w:rsidRDefault="009B4233">
            <w:pPr>
              <w:spacing w:after="160" w:line="249" w:lineRule="auto"/>
              <w:rPr>
                <w:rFonts w:ascii="Arial" w:hAnsi="Arial" w:cs="Arial"/>
                <w:sz w:val="22"/>
                <w:szCs w:val="22"/>
              </w:rPr>
            </w:pPr>
          </w:p>
        </w:tc>
        <w:tc>
          <w:tcPr>
            <w:tcW w:w="265" w:type="dxa"/>
            <w:tcBorders>
              <w:top w:val="single" w:sz="4" w:space="0" w:color="000000"/>
              <w:bottom w:val="single" w:sz="4" w:space="0" w:color="000000"/>
              <w:right w:val="single" w:sz="4" w:space="0" w:color="000000"/>
            </w:tcBorders>
            <w:shd w:val="clear" w:color="auto" w:fill="auto"/>
            <w:tcMar>
              <w:top w:w="12" w:type="dxa"/>
              <w:left w:w="0" w:type="dxa"/>
              <w:bottom w:w="0" w:type="dxa"/>
              <w:right w:w="43" w:type="dxa"/>
            </w:tcMar>
            <w:vAlign w:val="center"/>
          </w:tcPr>
          <w:p w:rsidR="009B4233" w:rsidRDefault="009B4233">
            <w:pPr>
              <w:spacing w:after="160" w:line="249" w:lineRule="auto"/>
              <w:rPr>
                <w:rFonts w:ascii="Arial" w:hAnsi="Arial" w:cs="Arial"/>
                <w:sz w:val="22"/>
                <w:szCs w:val="22"/>
              </w:rPr>
            </w:pPr>
          </w:p>
        </w:tc>
        <w:tc>
          <w:tcPr>
            <w:tcW w:w="2598" w:type="dxa"/>
            <w:tcBorders>
              <w:top w:val="single" w:sz="4" w:space="0" w:color="000000"/>
              <w:left w:val="single" w:sz="4" w:space="0" w:color="000000"/>
              <w:bottom w:val="single" w:sz="4" w:space="0" w:color="000000"/>
              <w:right w:val="single" w:sz="4" w:space="0" w:color="000000"/>
            </w:tcBorders>
            <w:shd w:val="clear" w:color="auto" w:fill="auto"/>
            <w:tcMar>
              <w:top w:w="12" w:type="dxa"/>
              <w:left w:w="0" w:type="dxa"/>
              <w:bottom w:w="0" w:type="dxa"/>
              <w:right w:w="43" w:type="dxa"/>
            </w:tcMar>
          </w:tcPr>
          <w:p w:rsidR="009B4233" w:rsidRDefault="006B08B9">
            <w:pPr>
              <w:spacing w:line="249" w:lineRule="auto"/>
              <w:ind w:left="110"/>
              <w:rPr>
                <w:rFonts w:ascii="Arial" w:hAnsi="Arial" w:cs="Arial"/>
                <w:sz w:val="22"/>
                <w:szCs w:val="22"/>
              </w:rPr>
            </w:pPr>
            <w:r>
              <w:rPr>
                <w:rFonts w:ascii="Arial" w:hAnsi="Arial" w:cs="Arial"/>
                <w:sz w:val="22"/>
                <w:szCs w:val="22"/>
              </w:rPr>
              <w:t>68.922,59 €</w:t>
            </w:r>
          </w:p>
        </w:tc>
      </w:tr>
      <w:tr w:rsidR="009B4233">
        <w:tblPrEx>
          <w:tblCellMar>
            <w:top w:w="0" w:type="dxa"/>
            <w:bottom w:w="0" w:type="dxa"/>
          </w:tblCellMar>
        </w:tblPrEx>
        <w:trPr>
          <w:trHeight w:val="264"/>
        </w:trPr>
        <w:tc>
          <w:tcPr>
            <w:tcW w:w="2048" w:type="dxa"/>
            <w:tcBorders>
              <w:top w:val="single" w:sz="4" w:space="0" w:color="000000"/>
              <w:left w:val="single" w:sz="4" w:space="0" w:color="000000"/>
              <w:bottom w:val="single" w:sz="4" w:space="0" w:color="000000"/>
              <w:right w:val="single" w:sz="4" w:space="0" w:color="000000"/>
            </w:tcBorders>
            <w:shd w:val="clear" w:color="auto" w:fill="auto"/>
            <w:tcMar>
              <w:top w:w="12" w:type="dxa"/>
              <w:left w:w="0" w:type="dxa"/>
              <w:bottom w:w="0" w:type="dxa"/>
              <w:right w:w="43" w:type="dxa"/>
            </w:tcMar>
          </w:tcPr>
          <w:p w:rsidR="009B4233" w:rsidRDefault="006B08B9">
            <w:pPr>
              <w:spacing w:line="249" w:lineRule="auto"/>
              <w:ind w:left="110"/>
              <w:rPr>
                <w:rFonts w:ascii="Arial" w:hAnsi="Arial" w:cs="Arial"/>
                <w:sz w:val="22"/>
                <w:szCs w:val="22"/>
              </w:rPr>
            </w:pPr>
            <w:r>
              <w:rPr>
                <w:rFonts w:ascii="Arial" w:hAnsi="Arial" w:cs="Arial"/>
                <w:sz w:val="22"/>
                <w:szCs w:val="22"/>
              </w:rPr>
              <w:t>2020</w:t>
            </w:r>
          </w:p>
        </w:tc>
        <w:tc>
          <w:tcPr>
            <w:tcW w:w="2256" w:type="dxa"/>
            <w:tcBorders>
              <w:top w:val="single" w:sz="4" w:space="0" w:color="000000"/>
              <w:left w:val="single" w:sz="4" w:space="0" w:color="000000"/>
              <w:bottom w:val="single" w:sz="4" w:space="0" w:color="000000"/>
              <w:right w:val="single" w:sz="4" w:space="0" w:color="000000"/>
            </w:tcBorders>
            <w:shd w:val="clear" w:color="auto" w:fill="auto"/>
            <w:tcMar>
              <w:top w:w="12" w:type="dxa"/>
              <w:left w:w="0" w:type="dxa"/>
              <w:bottom w:w="0" w:type="dxa"/>
              <w:right w:w="43" w:type="dxa"/>
            </w:tcMar>
          </w:tcPr>
          <w:p w:rsidR="009B4233" w:rsidRDefault="006B08B9">
            <w:pPr>
              <w:spacing w:line="249" w:lineRule="auto"/>
              <w:ind w:left="110"/>
              <w:rPr>
                <w:rFonts w:ascii="Arial" w:hAnsi="Arial" w:cs="Arial"/>
                <w:sz w:val="22"/>
                <w:szCs w:val="22"/>
              </w:rPr>
            </w:pPr>
            <w:r>
              <w:rPr>
                <w:rFonts w:ascii="Arial" w:hAnsi="Arial" w:cs="Arial"/>
                <w:sz w:val="22"/>
                <w:szCs w:val="22"/>
              </w:rPr>
              <w:t>4.630,34 €</w:t>
            </w:r>
          </w:p>
        </w:tc>
        <w:tc>
          <w:tcPr>
            <w:tcW w:w="1733" w:type="dxa"/>
            <w:tcBorders>
              <w:top w:val="single" w:sz="4" w:space="0" w:color="000000"/>
              <w:left w:val="single" w:sz="4" w:space="0" w:color="000000"/>
              <w:bottom w:val="single" w:sz="4" w:space="0" w:color="000000"/>
            </w:tcBorders>
            <w:shd w:val="clear" w:color="auto" w:fill="auto"/>
            <w:tcMar>
              <w:top w:w="12" w:type="dxa"/>
              <w:left w:w="0" w:type="dxa"/>
              <w:bottom w:w="0" w:type="dxa"/>
              <w:right w:w="43" w:type="dxa"/>
            </w:tcMar>
          </w:tcPr>
          <w:p w:rsidR="009B4233" w:rsidRDefault="006B08B9">
            <w:pPr>
              <w:spacing w:line="249" w:lineRule="auto"/>
              <w:ind w:left="110"/>
              <w:rPr>
                <w:rFonts w:ascii="Arial" w:hAnsi="Arial" w:cs="Arial"/>
                <w:sz w:val="22"/>
                <w:szCs w:val="22"/>
              </w:rPr>
            </w:pPr>
            <w:r>
              <w:rPr>
                <w:rFonts w:ascii="Arial" w:hAnsi="Arial" w:cs="Arial"/>
                <w:sz w:val="22"/>
                <w:szCs w:val="22"/>
              </w:rPr>
              <w:t>73.878,84 €</w:t>
            </w:r>
          </w:p>
        </w:tc>
        <w:tc>
          <w:tcPr>
            <w:tcW w:w="272" w:type="dxa"/>
            <w:tcBorders>
              <w:top w:val="single" w:sz="4" w:space="0" w:color="000000"/>
              <w:bottom w:val="single" w:sz="4" w:space="0" w:color="000000"/>
            </w:tcBorders>
            <w:shd w:val="clear" w:color="auto" w:fill="auto"/>
            <w:tcMar>
              <w:top w:w="12" w:type="dxa"/>
              <w:left w:w="0" w:type="dxa"/>
              <w:bottom w:w="0" w:type="dxa"/>
              <w:right w:w="43" w:type="dxa"/>
            </w:tcMar>
          </w:tcPr>
          <w:p w:rsidR="009B4233" w:rsidRDefault="009B4233">
            <w:pPr>
              <w:spacing w:after="160" w:line="249" w:lineRule="auto"/>
              <w:rPr>
                <w:rFonts w:ascii="Arial" w:hAnsi="Arial" w:cs="Arial"/>
                <w:sz w:val="22"/>
                <w:szCs w:val="22"/>
              </w:rPr>
            </w:pPr>
          </w:p>
        </w:tc>
        <w:tc>
          <w:tcPr>
            <w:tcW w:w="265" w:type="dxa"/>
            <w:tcBorders>
              <w:top w:val="single" w:sz="4" w:space="0" w:color="000000"/>
              <w:bottom w:val="single" w:sz="4" w:space="0" w:color="000000"/>
              <w:right w:val="single" w:sz="4" w:space="0" w:color="000000"/>
            </w:tcBorders>
            <w:shd w:val="clear" w:color="auto" w:fill="auto"/>
            <w:tcMar>
              <w:top w:w="12" w:type="dxa"/>
              <w:left w:w="0" w:type="dxa"/>
              <w:bottom w:w="0" w:type="dxa"/>
              <w:right w:w="43" w:type="dxa"/>
            </w:tcMar>
          </w:tcPr>
          <w:p w:rsidR="009B4233" w:rsidRDefault="009B4233">
            <w:pPr>
              <w:spacing w:after="160" w:line="249" w:lineRule="auto"/>
              <w:rPr>
                <w:rFonts w:ascii="Arial" w:hAnsi="Arial" w:cs="Arial"/>
                <w:sz w:val="22"/>
                <w:szCs w:val="22"/>
              </w:rPr>
            </w:pPr>
          </w:p>
        </w:tc>
        <w:tc>
          <w:tcPr>
            <w:tcW w:w="2598" w:type="dxa"/>
            <w:tcBorders>
              <w:top w:val="single" w:sz="4" w:space="0" w:color="000000"/>
              <w:left w:val="single" w:sz="4" w:space="0" w:color="000000"/>
              <w:bottom w:val="single" w:sz="4" w:space="0" w:color="000000"/>
              <w:right w:val="single" w:sz="4" w:space="0" w:color="000000"/>
            </w:tcBorders>
            <w:shd w:val="clear" w:color="auto" w:fill="auto"/>
            <w:tcMar>
              <w:top w:w="12" w:type="dxa"/>
              <w:left w:w="0" w:type="dxa"/>
              <w:bottom w:w="0" w:type="dxa"/>
              <w:right w:w="43" w:type="dxa"/>
            </w:tcMar>
          </w:tcPr>
          <w:p w:rsidR="009B4233" w:rsidRDefault="006B08B9">
            <w:pPr>
              <w:spacing w:line="249" w:lineRule="auto"/>
              <w:ind w:left="110"/>
              <w:rPr>
                <w:rFonts w:ascii="Arial" w:hAnsi="Arial" w:cs="Arial"/>
                <w:sz w:val="22"/>
                <w:szCs w:val="22"/>
              </w:rPr>
            </w:pPr>
            <w:r>
              <w:rPr>
                <w:rFonts w:ascii="Arial" w:hAnsi="Arial" w:cs="Arial"/>
                <w:sz w:val="22"/>
                <w:szCs w:val="22"/>
              </w:rPr>
              <w:t>55.409,13 €</w:t>
            </w:r>
          </w:p>
        </w:tc>
      </w:tr>
      <w:tr w:rsidR="009B4233">
        <w:tblPrEx>
          <w:tblCellMar>
            <w:top w:w="0" w:type="dxa"/>
            <w:bottom w:w="0" w:type="dxa"/>
          </w:tblCellMar>
        </w:tblPrEx>
        <w:trPr>
          <w:trHeight w:val="262"/>
        </w:trPr>
        <w:tc>
          <w:tcPr>
            <w:tcW w:w="2048" w:type="dxa"/>
            <w:tcBorders>
              <w:top w:val="single" w:sz="4" w:space="0" w:color="000000"/>
              <w:left w:val="single" w:sz="4" w:space="0" w:color="000000"/>
              <w:bottom w:val="single" w:sz="4" w:space="0" w:color="000000"/>
              <w:right w:val="single" w:sz="4" w:space="0" w:color="000000"/>
            </w:tcBorders>
            <w:shd w:val="clear" w:color="auto" w:fill="auto"/>
            <w:tcMar>
              <w:top w:w="12" w:type="dxa"/>
              <w:left w:w="0" w:type="dxa"/>
              <w:bottom w:w="0" w:type="dxa"/>
              <w:right w:w="43" w:type="dxa"/>
            </w:tcMar>
          </w:tcPr>
          <w:p w:rsidR="009B4233" w:rsidRDefault="006B08B9">
            <w:pPr>
              <w:spacing w:line="249" w:lineRule="auto"/>
              <w:ind w:left="110"/>
              <w:rPr>
                <w:rFonts w:ascii="Arial" w:hAnsi="Arial" w:cs="Arial"/>
                <w:sz w:val="22"/>
                <w:szCs w:val="22"/>
              </w:rPr>
            </w:pPr>
            <w:r>
              <w:rPr>
                <w:rFonts w:ascii="Arial" w:hAnsi="Arial" w:cs="Arial"/>
                <w:sz w:val="22"/>
                <w:szCs w:val="22"/>
              </w:rPr>
              <w:t>2019</w:t>
            </w:r>
          </w:p>
        </w:tc>
        <w:tc>
          <w:tcPr>
            <w:tcW w:w="2256" w:type="dxa"/>
            <w:tcBorders>
              <w:top w:val="single" w:sz="4" w:space="0" w:color="000000"/>
              <w:left w:val="single" w:sz="4" w:space="0" w:color="000000"/>
              <w:bottom w:val="single" w:sz="4" w:space="0" w:color="000000"/>
              <w:right w:val="single" w:sz="4" w:space="0" w:color="000000"/>
            </w:tcBorders>
            <w:shd w:val="clear" w:color="auto" w:fill="auto"/>
            <w:tcMar>
              <w:top w:w="12" w:type="dxa"/>
              <w:left w:w="0" w:type="dxa"/>
              <w:bottom w:w="0" w:type="dxa"/>
              <w:right w:w="43" w:type="dxa"/>
            </w:tcMar>
          </w:tcPr>
          <w:p w:rsidR="009B4233" w:rsidRDefault="006B08B9">
            <w:pPr>
              <w:spacing w:line="249" w:lineRule="auto"/>
              <w:ind w:left="110"/>
              <w:rPr>
                <w:rFonts w:ascii="Arial" w:hAnsi="Arial" w:cs="Arial"/>
                <w:sz w:val="22"/>
                <w:szCs w:val="22"/>
              </w:rPr>
            </w:pPr>
            <w:r>
              <w:rPr>
                <w:rFonts w:ascii="Arial" w:hAnsi="Arial" w:cs="Arial"/>
                <w:sz w:val="22"/>
                <w:szCs w:val="22"/>
              </w:rPr>
              <w:t>15.255,81 €</w:t>
            </w:r>
          </w:p>
        </w:tc>
        <w:tc>
          <w:tcPr>
            <w:tcW w:w="1733" w:type="dxa"/>
            <w:tcBorders>
              <w:top w:val="single" w:sz="4" w:space="0" w:color="000000"/>
              <w:left w:val="single" w:sz="4" w:space="0" w:color="000000"/>
              <w:bottom w:val="single" w:sz="4" w:space="0" w:color="000000"/>
            </w:tcBorders>
            <w:shd w:val="clear" w:color="auto" w:fill="auto"/>
            <w:tcMar>
              <w:top w:w="12" w:type="dxa"/>
              <w:left w:w="0" w:type="dxa"/>
              <w:bottom w:w="0" w:type="dxa"/>
              <w:right w:w="43" w:type="dxa"/>
            </w:tcMar>
          </w:tcPr>
          <w:p w:rsidR="009B4233" w:rsidRDefault="006B08B9">
            <w:pPr>
              <w:spacing w:line="249" w:lineRule="auto"/>
              <w:ind w:left="110"/>
              <w:rPr>
                <w:rFonts w:ascii="Arial" w:hAnsi="Arial" w:cs="Arial"/>
                <w:sz w:val="22"/>
                <w:szCs w:val="22"/>
              </w:rPr>
            </w:pPr>
            <w:r>
              <w:rPr>
                <w:rFonts w:ascii="Arial" w:hAnsi="Arial" w:cs="Arial"/>
                <w:sz w:val="22"/>
                <w:szCs w:val="22"/>
              </w:rPr>
              <w:t>59.260,30 €</w:t>
            </w:r>
          </w:p>
        </w:tc>
        <w:tc>
          <w:tcPr>
            <w:tcW w:w="272" w:type="dxa"/>
            <w:tcBorders>
              <w:top w:val="single" w:sz="4" w:space="0" w:color="000000"/>
              <w:bottom w:val="single" w:sz="4" w:space="0" w:color="000000"/>
            </w:tcBorders>
            <w:shd w:val="clear" w:color="auto" w:fill="auto"/>
            <w:tcMar>
              <w:top w:w="12" w:type="dxa"/>
              <w:left w:w="0" w:type="dxa"/>
              <w:bottom w:w="0" w:type="dxa"/>
              <w:right w:w="43" w:type="dxa"/>
            </w:tcMar>
          </w:tcPr>
          <w:p w:rsidR="009B4233" w:rsidRDefault="009B4233">
            <w:pPr>
              <w:spacing w:after="160" w:line="249" w:lineRule="auto"/>
              <w:rPr>
                <w:rFonts w:ascii="Arial" w:hAnsi="Arial" w:cs="Arial"/>
                <w:sz w:val="22"/>
                <w:szCs w:val="22"/>
              </w:rPr>
            </w:pPr>
          </w:p>
        </w:tc>
        <w:tc>
          <w:tcPr>
            <w:tcW w:w="265" w:type="dxa"/>
            <w:tcBorders>
              <w:top w:val="single" w:sz="4" w:space="0" w:color="000000"/>
              <w:bottom w:val="single" w:sz="4" w:space="0" w:color="000000"/>
              <w:right w:val="single" w:sz="4" w:space="0" w:color="000000"/>
            </w:tcBorders>
            <w:shd w:val="clear" w:color="auto" w:fill="auto"/>
            <w:tcMar>
              <w:top w:w="12" w:type="dxa"/>
              <w:left w:w="0" w:type="dxa"/>
              <w:bottom w:w="0" w:type="dxa"/>
              <w:right w:w="43" w:type="dxa"/>
            </w:tcMar>
          </w:tcPr>
          <w:p w:rsidR="009B4233" w:rsidRDefault="009B4233">
            <w:pPr>
              <w:spacing w:after="160" w:line="249" w:lineRule="auto"/>
              <w:rPr>
                <w:rFonts w:ascii="Arial" w:hAnsi="Arial" w:cs="Arial"/>
                <w:sz w:val="22"/>
                <w:szCs w:val="22"/>
              </w:rPr>
            </w:pPr>
          </w:p>
        </w:tc>
        <w:tc>
          <w:tcPr>
            <w:tcW w:w="2598" w:type="dxa"/>
            <w:tcBorders>
              <w:top w:val="single" w:sz="4" w:space="0" w:color="000000"/>
              <w:left w:val="single" w:sz="4" w:space="0" w:color="000000"/>
              <w:bottom w:val="single" w:sz="4" w:space="0" w:color="000000"/>
              <w:right w:val="single" w:sz="4" w:space="0" w:color="000000"/>
            </w:tcBorders>
            <w:shd w:val="clear" w:color="auto" w:fill="auto"/>
            <w:tcMar>
              <w:top w:w="12" w:type="dxa"/>
              <w:left w:w="0" w:type="dxa"/>
              <w:bottom w:w="0" w:type="dxa"/>
              <w:right w:w="43" w:type="dxa"/>
            </w:tcMar>
          </w:tcPr>
          <w:p w:rsidR="009B4233" w:rsidRDefault="006B08B9">
            <w:pPr>
              <w:spacing w:line="249" w:lineRule="auto"/>
              <w:ind w:left="110"/>
              <w:rPr>
                <w:rFonts w:ascii="Arial" w:hAnsi="Arial" w:cs="Arial"/>
                <w:sz w:val="22"/>
                <w:szCs w:val="22"/>
              </w:rPr>
            </w:pPr>
            <w:r>
              <w:rPr>
                <w:rFonts w:ascii="Arial" w:hAnsi="Arial" w:cs="Arial"/>
                <w:sz w:val="22"/>
                <w:szCs w:val="22"/>
              </w:rPr>
              <w:t>44.445,23 €</w:t>
            </w:r>
          </w:p>
        </w:tc>
      </w:tr>
      <w:tr w:rsidR="009B4233">
        <w:tblPrEx>
          <w:tblCellMar>
            <w:top w:w="0" w:type="dxa"/>
            <w:bottom w:w="0" w:type="dxa"/>
          </w:tblCellMar>
        </w:tblPrEx>
        <w:trPr>
          <w:trHeight w:val="264"/>
        </w:trPr>
        <w:tc>
          <w:tcPr>
            <w:tcW w:w="2048" w:type="dxa"/>
            <w:tcBorders>
              <w:top w:val="single" w:sz="4" w:space="0" w:color="000000"/>
              <w:left w:val="single" w:sz="4" w:space="0" w:color="000000"/>
              <w:bottom w:val="single" w:sz="4" w:space="0" w:color="000000"/>
              <w:right w:val="single" w:sz="4" w:space="0" w:color="000000"/>
            </w:tcBorders>
            <w:shd w:val="clear" w:color="auto" w:fill="auto"/>
            <w:tcMar>
              <w:top w:w="12" w:type="dxa"/>
              <w:left w:w="0" w:type="dxa"/>
              <w:bottom w:w="0" w:type="dxa"/>
              <w:right w:w="43" w:type="dxa"/>
            </w:tcMar>
          </w:tcPr>
          <w:p w:rsidR="009B4233" w:rsidRDefault="006B08B9">
            <w:pPr>
              <w:spacing w:line="249" w:lineRule="auto"/>
              <w:ind w:left="110"/>
              <w:rPr>
                <w:rFonts w:ascii="Arial" w:hAnsi="Arial" w:cs="Arial"/>
                <w:sz w:val="22"/>
                <w:szCs w:val="22"/>
              </w:rPr>
            </w:pPr>
            <w:r>
              <w:rPr>
                <w:rFonts w:ascii="Arial" w:hAnsi="Arial" w:cs="Arial"/>
                <w:sz w:val="22"/>
                <w:szCs w:val="22"/>
              </w:rPr>
              <w:t>2018-1997</w:t>
            </w:r>
          </w:p>
        </w:tc>
        <w:tc>
          <w:tcPr>
            <w:tcW w:w="2256" w:type="dxa"/>
            <w:tcBorders>
              <w:top w:val="single" w:sz="4" w:space="0" w:color="000000"/>
              <w:left w:val="single" w:sz="4" w:space="0" w:color="000000"/>
              <w:bottom w:val="single" w:sz="4" w:space="0" w:color="000000"/>
              <w:right w:val="single" w:sz="4" w:space="0" w:color="000000"/>
            </w:tcBorders>
            <w:shd w:val="clear" w:color="auto" w:fill="auto"/>
            <w:tcMar>
              <w:top w:w="12" w:type="dxa"/>
              <w:left w:w="0" w:type="dxa"/>
              <w:bottom w:w="0" w:type="dxa"/>
              <w:right w:w="43" w:type="dxa"/>
            </w:tcMar>
          </w:tcPr>
          <w:p w:rsidR="009B4233" w:rsidRDefault="006B08B9">
            <w:pPr>
              <w:spacing w:line="249" w:lineRule="auto"/>
              <w:ind w:left="110"/>
              <w:rPr>
                <w:rFonts w:ascii="Arial" w:hAnsi="Arial" w:cs="Arial"/>
                <w:sz w:val="22"/>
                <w:szCs w:val="22"/>
              </w:rPr>
            </w:pPr>
            <w:r>
              <w:rPr>
                <w:rFonts w:ascii="Arial" w:hAnsi="Arial" w:cs="Arial"/>
                <w:sz w:val="22"/>
                <w:szCs w:val="22"/>
              </w:rPr>
              <w:t>39.679,91 €</w:t>
            </w:r>
          </w:p>
        </w:tc>
        <w:tc>
          <w:tcPr>
            <w:tcW w:w="1733" w:type="dxa"/>
            <w:tcBorders>
              <w:top w:val="single" w:sz="4" w:space="0" w:color="000000"/>
              <w:left w:val="single" w:sz="4" w:space="0" w:color="000000"/>
              <w:bottom w:val="single" w:sz="4" w:space="0" w:color="000000"/>
            </w:tcBorders>
            <w:shd w:val="clear" w:color="auto" w:fill="auto"/>
            <w:tcMar>
              <w:top w:w="12" w:type="dxa"/>
              <w:left w:w="0" w:type="dxa"/>
              <w:bottom w:w="0" w:type="dxa"/>
              <w:right w:w="43" w:type="dxa"/>
            </w:tcMar>
          </w:tcPr>
          <w:p w:rsidR="009B4233" w:rsidRDefault="006B08B9">
            <w:pPr>
              <w:spacing w:line="249" w:lineRule="auto"/>
              <w:ind w:left="110"/>
              <w:rPr>
                <w:rFonts w:ascii="Arial" w:hAnsi="Arial" w:cs="Arial"/>
                <w:sz w:val="22"/>
                <w:szCs w:val="22"/>
              </w:rPr>
            </w:pPr>
            <w:r>
              <w:rPr>
                <w:rFonts w:ascii="Arial" w:hAnsi="Arial" w:cs="Arial"/>
                <w:sz w:val="22"/>
                <w:szCs w:val="22"/>
              </w:rPr>
              <w:t>1.722.454,91 €</w:t>
            </w:r>
          </w:p>
        </w:tc>
        <w:tc>
          <w:tcPr>
            <w:tcW w:w="272" w:type="dxa"/>
            <w:tcBorders>
              <w:top w:val="single" w:sz="4" w:space="0" w:color="000000"/>
              <w:bottom w:val="single" w:sz="4" w:space="0" w:color="000000"/>
            </w:tcBorders>
            <w:shd w:val="clear" w:color="auto" w:fill="auto"/>
            <w:tcMar>
              <w:top w:w="12" w:type="dxa"/>
              <w:left w:w="0" w:type="dxa"/>
              <w:bottom w:w="0" w:type="dxa"/>
              <w:right w:w="43" w:type="dxa"/>
            </w:tcMar>
          </w:tcPr>
          <w:p w:rsidR="009B4233" w:rsidRDefault="009B4233">
            <w:pPr>
              <w:spacing w:after="160" w:line="249" w:lineRule="auto"/>
              <w:rPr>
                <w:rFonts w:ascii="Arial" w:hAnsi="Arial" w:cs="Arial"/>
                <w:sz w:val="22"/>
                <w:szCs w:val="22"/>
              </w:rPr>
            </w:pPr>
          </w:p>
        </w:tc>
        <w:tc>
          <w:tcPr>
            <w:tcW w:w="265" w:type="dxa"/>
            <w:tcBorders>
              <w:top w:val="single" w:sz="4" w:space="0" w:color="000000"/>
              <w:bottom w:val="single" w:sz="4" w:space="0" w:color="000000"/>
              <w:right w:val="single" w:sz="4" w:space="0" w:color="000000"/>
            </w:tcBorders>
            <w:shd w:val="clear" w:color="auto" w:fill="auto"/>
            <w:tcMar>
              <w:top w:w="12" w:type="dxa"/>
              <w:left w:w="0" w:type="dxa"/>
              <w:bottom w:w="0" w:type="dxa"/>
              <w:right w:w="43" w:type="dxa"/>
            </w:tcMar>
          </w:tcPr>
          <w:p w:rsidR="009B4233" w:rsidRDefault="009B4233">
            <w:pPr>
              <w:spacing w:after="160" w:line="249" w:lineRule="auto"/>
              <w:rPr>
                <w:rFonts w:ascii="Arial" w:hAnsi="Arial" w:cs="Arial"/>
                <w:sz w:val="22"/>
                <w:szCs w:val="22"/>
              </w:rPr>
            </w:pPr>
          </w:p>
        </w:tc>
        <w:tc>
          <w:tcPr>
            <w:tcW w:w="2598" w:type="dxa"/>
            <w:tcBorders>
              <w:top w:val="single" w:sz="4" w:space="0" w:color="000000"/>
              <w:left w:val="single" w:sz="4" w:space="0" w:color="000000"/>
              <w:bottom w:val="single" w:sz="4" w:space="0" w:color="000000"/>
              <w:right w:val="single" w:sz="4" w:space="0" w:color="000000"/>
            </w:tcBorders>
            <w:shd w:val="clear" w:color="auto" w:fill="auto"/>
            <w:tcMar>
              <w:top w:w="12" w:type="dxa"/>
              <w:left w:w="0" w:type="dxa"/>
              <w:bottom w:w="0" w:type="dxa"/>
              <w:right w:w="43" w:type="dxa"/>
            </w:tcMar>
          </w:tcPr>
          <w:p w:rsidR="009B4233" w:rsidRDefault="006B08B9">
            <w:pPr>
              <w:spacing w:line="249" w:lineRule="auto"/>
              <w:ind w:left="110"/>
              <w:rPr>
                <w:rFonts w:ascii="Arial" w:hAnsi="Arial" w:cs="Arial"/>
                <w:sz w:val="22"/>
                <w:szCs w:val="22"/>
              </w:rPr>
            </w:pPr>
            <w:r>
              <w:rPr>
                <w:rFonts w:ascii="Arial" w:hAnsi="Arial" w:cs="Arial"/>
                <w:sz w:val="22"/>
                <w:szCs w:val="22"/>
              </w:rPr>
              <w:t>1.722.454,91 €</w:t>
            </w:r>
          </w:p>
        </w:tc>
      </w:tr>
      <w:tr w:rsidR="009B4233">
        <w:tblPrEx>
          <w:tblCellMar>
            <w:top w:w="0" w:type="dxa"/>
            <w:bottom w:w="0" w:type="dxa"/>
          </w:tblCellMar>
        </w:tblPrEx>
        <w:trPr>
          <w:trHeight w:val="262"/>
        </w:trPr>
        <w:tc>
          <w:tcPr>
            <w:tcW w:w="2048" w:type="dxa"/>
            <w:tcBorders>
              <w:top w:val="single" w:sz="4" w:space="0" w:color="000000"/>
              <w:left w:val="single" w:sz="4" w:space="0" w:color="000000"/>
              <w:bottom w:val="single" w:sz="4" w:space="0" w:color="000000"/>
              <w:right w:val="single" w:sz="4" w:space="0" w:color="000000"/>
            </w:tcBorders>
            <w:shd w:val="clear" w:color="auto" w:fill="auto"/>
            <w:tcMar>
              <w:top w:w="12" w:type="dxa"/>
              <w:left w:w="0" w:type="dxa"/>
              <w:bottom w:w="0" w:type="dxa"/>
              <w:right w:w="43" w:type="dxa"/>
            </w:tcMar>
          </w:tcPr>
          <w:p w:rsidR="009B4233" w:rsidRDefault="006B08B9">
            <w:pPr>
              <w:spacing w:line="249" w:lineRule="auto"/>
              <w:ind w:left="110"/>
            </w:pPr>
            <w:r>
              <w:rPr>
                <w:rFonts w:ascii="Arial" w:eastAsia="Calibri" w:hAnsi="Arial" w:cs="Arial"/>
                <w:b/>
                <w:sz w:val="22"/>
                <w:szCs w:val="22"/>
              </w:rPr>
              <w:t>TOTAL</w:t>
            </w:r>
          </w:p>
        </w:tc>
        <w:tc>
          <w:tcPr>
            <w:tcW w:w="2256" w:type="dxa"/>
            <w:tcBorders>
              <w:top w:val="single" w:sz="4" w:space="0" w:color="000000"/>
              <w:left w:val="single" w:sz="4" w:space="0" w:color="000000"/>
              <w:bottom w:val="single" w:sz="4" w:space="0" w:color="000000"/>
              <w:right w:val="single" w:sz="4" w:space="0" w:color="000000"/>
            </w:tcBorders>
            <w:shd w:val="clear" w:color="auto" w:fill="auto"/>
            <w:tcMar>
              <w:top w:w="12" w:type="dxa"/>
              <w:left w:w="0" w:type="dxa"/>
              <w:bottom w:w="0" w:type="dxa"/>
              <w:right w:w="43" w:type="dxa"/>
            </w:tcMar>
          </w:tcPr>
          <w:p w:rsidR="009B4233" w:rsidRDefault="006B08B9">
            <w:pPr>
              <w:spacing w:line="249" w:lineRule="auto"/>
              <w:ind w:left="110"/>
            </w:pPr>
            <w:r>
              <w:rPr>
                <w:rFonts w:ascii="Arial" w:eastAsia="Calibri" w:hAnsi="Arial" w:cs="Arial"/>
                <w:b/>
                <w:sz w:val="22"/>
                <w:szCs w:val="22"/>
              </w:rPr>
              <w:t>213.762,18 €</w:t>
            </w:r>
          </w:p>
        </w:tc>
        <w:tc>
          <w:tcPr>
            <w:tcW w:w="1733" w:type="dxa"/>
            <w:tcBorders>
              <w:top w:val="single" w:sz="4" w:space="0" w:color="000000"/>
              <w:left w:val="single" w:sz="4" w:space="0" w:color="000000"/>
              <w:bottom w:val="single" w:sz="4" w:space="0" w:color="000000"/>
            </w:tcBorders>
            <w:shd w:val="clear" w:color="auto" w:fill="auto"/>
            <w:tcMar>
              <w:top w:w="12" w:type="dxa"/>
              <w:left w:w="0" w:type="dxa"/>
              <w:bottom w:w="0" w:type="dxa"/>
              <w:right w:w="43" w:type="dxa"/>
            </w:tcMar>
          </w:tcPr>
          <w:p w:rsidR="009B4233" w:rsidRDefault="006B08B9">
            <w:pPr>
              <w:spacing w:line="249" w:lineRule="auto"/>
              <w:ind w:left="110"/>
            </w:pPr>
            <w:r>
              <w:rPr>
                <w:rFonts w:ascii="Arial" w:eastAsia="Calibri" w:hAnsi="Arial" w:cs="Arial"/>
                <w:b/>
                <w:sz w:val="22"/>
                <w:szCs w:val="22"/>
              </w:rPr>
              <w:t>2.174.167,25 €</w:t>
            </w:r>
          </w:p>
        </w:tc>
        <w:tc>
          <w:tcPr>
            <w:tcW w:w="272" w:type="dxa"/>
            <w:tcBorders>
              <w:top w:val="single" w:sz="4" w:space="0" w:color="000000"/>
              <w:bottom w:val="single" w:sz="4" w:space="0" w:color="000000"/>
            </w:tcBorders>
            <w:shd w:val="clear" w:color="auto" w:fill="auto"/>
            <w:tcMar>
              <w:top w:w="12" w:type="dxa"/>
              <w:left w:w="0" w:type="dxa"/>
              <w:bottom w:w="0" w:type="dxa"/>
              <w:right w:w="43" w:type="dxa"/>
            </w:tcMar>
          </w:tcPr>
          <w:p w:rsidR="009B4233" w:rsidRDefault="009B4233">
            <w:pPr>
              <w:spacing w:after="160" w:line="249" w:lineRule="auto"/>
              <w:rPr>
                <w:rFonts w:ascii="Arial" w:hAnsi="Arial" w:cs="Arial"/>
                <w:sz w:val="22"/>
                <w:szCs w:val="22"/>
              </w:rPr>
            </w:pPr>
          </w:p>
        </w:tc>
        <w:tc>
          <w:tcPr>
            <w:tcW w:w="265" w:type="dxa"/>
            <w:tcBorders>
              <w:top w:val="single" w:sz="4" w:space="0" w:color="000000"/>
              <w:bottom w:val="single" w:sz="4" w:space="0" w:color="000000"/>
              <w:right w:val="single" w:sz="4" w:space="0" w:color="000000"/>
            </w:tcBorders>
            <w:shd w:val="clear" w:color="auto" w:fill="auto"/>
            <w:tcMar>
              <w:top w:w="12" w:type="dxa"/>
              <w:left w:w="0" w:type="dxa"/>
              <w:bottom w:w="0" w:type="dxa"/>
              <w:right w:w="43" w:type="dxa"/>
            </w:tcMar>
          </w:tcPr>
          <w:p w:rsidR="009B4233" w:rsidRDefault="009B4233">
            <w:pPr>
              <w:spacing w:after="160" w:line="249" w:lineRule="auto"/>
              <w:rPr>
                <w:rFonts w:ascii="Arial" w:hAnsi="Arial" w:cs="Arial"/>
                <w:sz w:val="22"/>
                <w:szCs w:val="22"/>
              </w:rPr>
            </w:pPr>
          </w:p>
        </w:tc>
        <w:tc>
          <w:tcPr>
            <w:tcW w:w="2598" w:type="dxa"/>
            <w:tcBorders>
              <w:top w:val="single" w:sz="4" w:space="0" w:color="000000"/>
              <w:left w:val="single" w:sz="4" w:space="0" w:color="000000"/>
              <w:bottom w:val="single" w:sz="4" w:space="0" w:color="000000"/>
              <w:right w:val="single" w:sz="4" w:space="0" w:color="000000"/>
            </w:tcBorders>
            <w:shd w:val="clear" w:color="auto" w:fill="auto"/>
            <w:tcMar>
              <w:top w:w="12" w:type="dxa"/>
              <w:left w:w="0" w:type="dxa"/>
              <w:bottom w:w="0" w:type="dxa"/>
              <w:right w:w="43" w:type="dxa"/>
            </w:tcMar>
          </w:tcPr>
          <w:p w:rsidR="009B4233" w:rsidRDefault="006B08B9">
            <w:pPr>
              <w:spacing w:line="249" w:lineRule="auto"/>
              <w:ind w:left="110"/>
            </w:pPr>
            <w:r>
              <w:rPr>
                <w:rFonts w:ascii="Arial" w:eastAsia="Calibri" w:hAnsi="Arial" w:cs="Arial"/>
                <w:b/>
                <w:sz w:val="22"/>
                <w:szCs w:val="22"/>
              </w:rPr>
              <w:t>1.936.413,87 €</w:t>
            </w:r>
          </w:p>
        </w:tc>
      </w:tr>
    </w:tbl>
    <w:p w:rsidR="009B4233" w:rsidRDefault="006B08B9">
      <w:pPr>
        <w:spacing w:after="506" w:line="264" w:lineRule="auto"/>
        <w:ind w:left="-5"/>
      </w:pPr>
      <w:r>
        <w:rPr>
          <w:rFonts w:ascii="Arial" w:hAnsi="Arial" w:cs="Arial"/>
          <w:sz w:val="22"/>
          <w:szCs w:val="22"/>
        </w:rPr>
        <w:t>4.-</w:t>
      </w:r>
      <w:r>
        <w:rPr>
          <w:rFonts w:ascii="Arial" w:eastAsia="Calibri" w:hAnsi="Arial" w:cs="Arial"/>
          <w:b/>
          <w:sz w:val="22"/>
          <w:szCs w:val="22"/>
        </w:rPr>
        <w:t xml:space="preserve"> Memoria.</w:t>
      </w:r>
    </w:p>
    <w:p w:rsidR="009B4233" w:rsidRDefault="006B08B9">
      <w:pPr>
        <w:spacing w:after="236" w:line="249" w:lineRule="auto"/>
        <w:ind w:left="7"/>
        <w:jc w:val="both"/>
      </w:pPr>
      <w:r>
        <w:rPr>
          <w:rFonts w:ascii="Arial" w:eastAsia="Calibri" w:hAnsi="Arial" w:cs="Arial"/>
          <w:b/>
          <w:sz w:val="22"/>
          <w:szCs w:val="22"/>
          <w:u w:val="single" w:color="000000"/>
        </w:rPr>
        <w:t xml:space="preserve">Entidad Pública Empresarial de </w:t>
      </w:r>
      <w:r>
        <w:rPr>
          <w:rFonts w:ascii="Arial" w:eastAsia="Calibri" w:hAnsi="Arial" w:cs="Arial"/>
          <w:b/>
          <w:sz w:val="22"/>
          <w:szCs w:val="22"/>
          <w:u w:val="single" w:color="000000"/>
        </w:rPr>
        <w:t>Gestión de Empresas y Servicios</w:t>
      </w:r>
    </w:p>
    <w:p w:rsidR="009B4233" w:rsidRDefault="006B08B9">
      <w:pPr>
        <w:ind w:left="-15" w:firstLine="360"/>
        <w:jc w:val="both"/>
        <w:rPr>
          <w:rFonts w:ascii="Arial" w:hAnsi="Arial" w:cs="Arial"/>
          <w:sz w:val="22"/>
          <w:szCs w:val="22"/>
        </w:rPr>
      </w:pPr>
      <w:r>
        <w:rPr>
          <w:rFonts w:ascii="Arial" w:hAnsi="Arial" w:cs="Arial"/>
          <w:sz w:val="22"/>
          <w:szCs w:val="22"/>
        </w:rPr>
        <w:t>Destaca la Cuenta de Pérdidas y Ganancias del ejercicio, conforme el siguiente detalle:</w:t>
      </w:r>
    </w:p>
    <w:p w:rsidR="009B4233" w:rsidRDefault="006B08B9">
      <w:pPr>
        <w:widowControl/>
        <w:numPr>
          <w:ilvl w:val="0"/>
          <w:numId w:val="22"/>
        </w:numPr>
        <w:suppressAutoHyphens w:val="0"/>
        <w:spacing w:line="249" w:lineRule="auto"/>
        <w:ind w:right="121" w:hanging="360"/>
        <w:jc w:val="center"/>
        <w:textAlignment w:val="auto"/>
        <w:rPr>
          <w:rFonts w:ascii="Arial" w:hAnsi="Arial" w:cs="Arial"/>
          <w:sz w:val="22"/>
          <w:szCs w:val="22"/>
        </w:rPr>
      </w:pPr>
      <w:r>
        <w:rPr>
          <w:rFonts w:ascii="Arial" w:hAnsi="Arial" w:cs="Arial"/>
          <w:sz w:val="22"/>
          <w:szCs w:val="22"/>
        </w:rPr>
        <w:t>INGRESOS:</w:t>
      </w:r>
    </w:p>
    <w:tbl>
      <w:tblPr>
        <w:tblW w:w="6912" w:type="dxa"/>
        <w:tblInd w:w="604" w:type="dxa"/>
        <w:tblCellMar>
          <w:left w:w="10" w:type="dxa"/>
          <w:right w:w="10" w:type="dxa"/>
        </w:tblCellMar>
        <w:tblLook w:val="0000" w:firstRow="0" w:lastRow="0" w:firstColumn="0" w:lastColumn="0" w:noHBand="0" w:noVBand="0"/>
      </w:tblPr>
      <w:tblGrid>
        <w:gridCol w:w="3784"/>
        <w:gridCol w:w="3128"/>
      </w:tblGrid>
      <w:tr w:rsidR="009B4233">
        <w:tblPrEx>
          <w:tblCellMar>
            <w:top w:w="0" w:type="dxa"/>
            <w:bottom w:w="0" w:type="dxa"/>
          </w:tblCellMar>
        </w:tblPrEx>
        <w:trPr>
          <w:trHeight w:val="522"/>
        </w:trPr>
        <w:tc>
          <w:tcPr>
            <w:tcW w:w="3784" w:type="dxa"/>
            <w:tcBorders>
              <w:top w:val="single" w:sz="4" w:space="0" w:color="000000"/>
              <w:left w:val="single" w:sz="4" w:space="0" w:color="000000"/>
              <w:bottom w:val="single" w:sz="4" w:space="0" w:color="000000"/>
              <w:right w:val="single" w:sz="4" w:space="0" w:color="000000"/>
            </w:tcBorders>
            <w:shd w:val="clear" w:color="auto" w:fill="auto"/>
            <w:tcMar>
              <w:top w:w="10" w:type="dxa"/>
              <w:left w:w="144" w:type="dxa"/>
              <w:bottom w:w="0" w:type="dxa"/>
              <w:right w:w="115" w:type="dxa"/>
            </w:tcMar>
          </w:tcPr>
          <w:p w:rsidR="009B4233" w:rsidRDefault="006B08B9">
            <w:pPr>
              <w:spacing w:line="249" w:lineRule="auto"/>
              <w:ind w:right="26"/>
              <w:jc w:val="center"/>
            </w:pPr>
            <w:r>
              <w:rPr>
                <w:rFonts w:ascii="Arial" w:eastAsia="Calibri" w:hAnsi="Arial" w:cs="Arial"/>
                <w:b/>
                <w:sz w:val="22"/>
                <w:szCs w:val="22"/>
              </w:rPr>
              <w:t>INGRESOS</w:t>
            </w:r>
          </w:p>
        </w:tc>
        <w:tc>
          <w:tcPr>
            <w:tcW w:w="3128" w:type="dxa"/>
            <w:tcBorders>
              <w:top w:val="single" w:sz="4" w:space="0" w:color="000000"/>
              <w:left w:val="single" w:sz="4" w:space="0" w:color="000000"/>
              <w:bottom w:val="single" w:sz="4" w:space="0" w:color="000000"/>
              <w:right w:val="single" w:sz="4" w:space="0" w:color="000000"/>
            </w:tcBorders>
            <w:shd w:val="clear" w:color="auto" w:fill="auto"/>
            <w:tcMar>
              <w:top w:w="10" w:type="dxa"/>
              <w:left w:w="144" w:type="dxa"/>
              <w:bottom w:w="0" w:type="dxa"/>
              <w:right w:w="115" w:type="dxa"/>
            </w:tcMar>
          </w:tcPr>
          <w:p w:rsidR="009B4233" w:rsidRDefault="006B08B9">
            <w:pPr>
              <w:spacing w:line="249" w:lineRule="auto"/>
              <w:ind w:right="27"/>
              <w:jc w:val="center"/>
            </w:pPr>
            <w:r>
              <w:rPr>
                <w:rFonts w:ascii="Arial" w:eastAsia="Calibri" w:hAnsi="Arial" w:cs="Arial"/>
                <w:b/>
                <w:sz w:val="22"/>
                <w:szCs w:val="22"/>
              </w:rPr>
              <w:t>INGRESO REAL 2024</w:t>
            </w:r>
          </w:p>
        </w:tc>
      </w:tr>
      <w:tr w:rsidR="009B4233">
        <w:tblPrEx>
          <w:tblCellMar>
            <w:top w:w="0" w:type="dxa"/>
            <w:bottom w:w="0" w:type="dxa"/>
          </w:tblCellMar>
        </w:tblPrEx>
        <w:trPr>
          <w:trHeight w:val="524"/>
        </w:trPr>
        <w:tc>
          <w:tcPr>
            <w:tcW w:w="3784" w:type="dxa"/>
            <w:tcBorders>
              <w:top w:val="single" w:sz="4" w:space="0" w:color="000000"/>
              <w:left w:val="single" w:sz="4" w:space="0" w:color="000000"/>
              <w:bottom w:val="single" w:sz="4" w:space="0" w:color="000000"/>
              <w:right w:val="single" w:sz="4" w:space="0" w:color="000000"/>
            </w:tcBorders>
            <w:shd w:val="clear" w:color="auto" w:fill="auto"/>
            <w:tcMar>
              <w:top w:w="10" w:type="dxa"/>
              <w:left w:w="144" w:type="dxa"/>
              <w:bottom w:w="0" w:type="dxa"/>
              <w:right w:w="115" w:type="dxa"/>
            </w:tcMar>
          </w:tcPr>
          <w:p w:rsidR="009B4233" w:rsidRDefault="006B08B9">
            <w:pPr>
              <w:spacing w:line="249" w:lineRule="auto"/>
            </w:pPr>
            <w:r>
              <w:rPr>
                <w:rFonts w:ascii="Arial" w:eastAsia="Calibri" w:hAnsi="Arial" w:cs="Arial"/>
                <w:b/>
                <w:sz w:val="22"/>
                <w:szCs w:val="22"/>
              </w:rPr>
              <w:t>Importe Neto de la Cifra de Negocios</w:t>
            </w:r>
          </w:p>
        </w:tc>
        <w:tc>
          <w:tcPr>
            <w:tcW w:w="3128" w:type="dxa"/>
            <w:tcBorders>
              <w:top w:val="single" w:sz="4" w:space="0" w:color="000000"/>
              <w:left w:val="single" w:sz="4" w:space="0" w:color="000000"/>
              <w:bottom w:val="single" w:sz="4" w:space="0" w:color="000000"/>
              <w:right w:val="single" w:sz="4" w:space="0" w:color="000000"/>
            </w:tcBorders>
            <w:shd w:val="clear" w:color="auto" w:fill="auto"/>
            <w:tcMar>
              <w:top w:w="10" w:type="dxa"/>
              <w:left w:w="144" w:type="dxa"/>
              <w:bottom w:w="0" w:type="dxa"/>
              <w:right w:w="115" w:type="dxa"/>
            </w:tcMar>
          </w:tcPr>
          <w:p w:rsidR="009B4233" w:rsidRDefault="006B08B9">
            <w:pPr>
              <w:spacing w:line="249" w:lineRule="auto"/>
              <w:ind w:right="26"/>
              <w:jc w:val="center"/>
              <w:rPr>
                <w:rFonts w:ascii="Arial" w:hAnsi="Arial" w:cs="Arial"/>
                <w:sz w:val="22"/>
                <w:szCs w:val="22"/>
              </w:rPr>
            </w:pPr>
            <w:r>
              <w:rPr>
                <w:rFonts w:ascii="Arial" w:hAnsi="Arial" w:cs="Arial"/>
                <w:sz w:val="22"/>
                <w:szCs w:val="22"/>
              </w:rPr>
              <w:t>108.601,82 €</w:t>
            </w:r>
          </w:p>
        </w:tc>
      </w:tr>
      <w:tr w:rsidR="009B4233">
        <w:tblPrEx>
          <w:tblCellMar>
            <w:top w:w="0" w:type="dxa"/>
            <w:bottom w:w="0" w:type="dxa"/>
          </w:tblCellMar>
        </w:tblPrEx>
        <w:trPr>
          <w:trHeight w:val="522"/>
        </w:trPr>
        <w:tc>
          <w:tcPr>
            <w:tcW w:w="3784" w:type="dxa"/>
            <w:tcBorders>
              <w:top w:val="single" w:sz="4" w:space="0" w:color="000000"/>
              <w:left w:val="single" w:sz="4" w:space="0" w:color="000000"/>
              <w:bottom w:val="single" w:sz="4" w:space="0" w:color="000000"/>
              <w:right w:val="single" w:sz="4" w:space="0" w:color="000000"/>
            </w:tcBorders>
            <w:shd w:val="clear" w:color="auto" w:fill="auto"/>
            <w:tcMar>
              <w:top w:w="10" w:type="dxa"/>
              <w:left w:w="144" w:type="dxa"/>
              <w:bottom w:w="0" w:type="dxa"/>
              <w:right w:w="115" w:type="dxa"/>
            </w:tcMar>
          </w:tcPr>
          <w:p w:rsidR="009B4233" w:rsidRDefault="006B08B9">
            <w:pPr>
              <w:spacing w:line="249" w:lineRule="auto"/>
              <w:ind w:right="28"/>
              <w:jc w:val="center"/>
            </w:pPr>
            <w:r>
              <w:rPr>
                <w:rFonts w:ascii="Arial" w:eastAsia="Calibri" w:hAnsi="Arial" w:cs="Arial"/>
                <w:b/>
                <w:sz w:val="22"/>
                <w:szCs w:val="22"/>
              </w:rPr>
              <w:t>Otros Ingresos de Explotación</w:t>
            </w:r>
          </w:p>
        </w:tc>
        <w:tc>
          <w:tcPr>
            <w:tcW w:w="3128" w:type="dxa"/>
            <w:tcBorders>
              <w:top w:val="single" w:sz="4" w:space="0" w:color="000000"/>
              <w:left w:val="single" w:sz="4" w:space="0" w:color="000000"/>
              <w:bottom w:val="single" w:sz="4" w:space="0" w:color="000000"/>
              <w:right w:val="single" w:sz="4" w:space="0" w:color="000000"/>
            </w:tcBorders>
            <w:shd w:val="clear" w:color="auto" w:fill="auto"/>
            <w:tcMar>
              <w:top w:w="10" w:type="dxa"/>
              <w:left w:w="144" w:type="dxa"/>
              <w:bottom w:w="0" w:type="dxa"/>
              <w:right w:w="115" w:type="dxa"/>
            </w:tcMar>
          </w:tcPr>
          <w:p w:rsidR="009B4233" w:rsidRDefault="006B08B9">
            <w:pPr>
              <w:spacing w:line="249" w:lineRule="auto"/>
              <w:ind w:right="26"/>
              <w:jc w:val="center"/>
              <w:rPr>
                <w:rFonts w:ascii="Arial" w:hAnsi="Arial" w:cs="Arial"/>
                <w:sz w:val="22"/>
                <w:szCs w:val="22"/>
              </w:rPr>
            </w:pPr>
            <w:r>
              <w:rPr>
                <w:rFonts w:ascii="Arial" w:hAnsi="Arial" w:cs="Arial"/>
                <w:sz w:val="22"/>
                <w:szCs w:val="22"/>
              </w:rPr>
              <w:t>596.462,86 €</w:t>
            </w:r>
          </w:p>
        </w:tc>
      </w:tr>
      <w:tr w:rsidR="009B4233">
        <w:tblPrEx>
          <w:tblCellMar>
            <w:top w:w="0" w:type="dxa"/>
            <w:bottom w:w="0" w:type="dxa"/>
          </w:tblCellMar>
        </w:tblPrEx>
        <w:trPr>
          <w:trHeight w:val="524"/>
        </w:trPr>
        <w:tc>
          <w:tcPr>
            <w:tcW w:w="3784" w:type="dxa"/>
            <w:tcBorders>
              <w:top w:val="single" w:sz="4" w:space="0" w:color="000000"/>
              <w:left w:val="single" w:sz="4" w:space="0" w:color="000000"/>
              <w:bottom w:val="single" w:sz="4" w:space="0" w:color="000000"/>
              <w:right w:val="single" w:sz="4" w:space="0" w:color="000000"/>
            </w:tcBorders>
            <w:shd w:val="clear" w:color="auto" w:fill="auto"/>
            <w:tcMar>
              <w:top w:w="10" w:type="dxa"/>
              <w:left w:w="144" w:type="dxa"/>
              <w:bottom w:w="0" w:type="dxa"/>
              <w:right w:w="115" w:type="dxa"/>
            </w:tcMar>
          </w:tcPr>
          <w:p w:rsidR="009B4233" w:rsidRDefault="006B08B9">
            <w:pPr>
              <w:spacing w:line="249" w:lineRule="auto"/>
              <w:ind w:right="25"/>
              <w:jc w:val="center"/>
            </w:pPr>
            <w:r>
              <w:rPr>
                <w:rFonts w:ascii="Arial" w:eastAsia="Calibri" w:hAnsi="Arial" w:cs="Arial"/>
                <w:b/>
                <w:sz w:val="22"/>
                <w:szCs w:val="22"/>
              </w:rPr>
              <w:t>Otros Ingresos</w:t>
            </w:r>
          </w:p>
        </w:tc>
        <w:tc>
          <w:tcPr>
            <w:tcW w:w="3128" w:type="dxa"/>
            <w:tcBorders>
              <w:top w:val="single" w:sz="4" w:space="0" w:color="000000"/>
              <w:left w:val="single" w:sz="4" w:space="0" w:color="000000"/>
              <w:bottom w:val="single" w:sz="4" w:space="0" w:color="000000"/>
              <w:right w:val="single" w:sz="4" w:space="0" w:color="000000"/>
            </w:tcBorders>
            <w:shd w:val="clear" w:color="auto" w:fill="auto"/>
            <w:tcMar>
              <w:top w:w="10" w:type="dxa"/>
              <w:left w:w="144" w:type="dxa"/>
              <w:bottom w:w="0" w:type="dxa"/>
              <w:right w:w="115" w:type="dxa"/>
            </w:tcMar>
          </w:tcPr>
          <w:p w:rsidR="009B4233" w:rsidRDefault="006B08B9">
            <w:pPr>
              <w:spacing w:line="249" w:lineRule="auto"/>
              <w:ind w:right="26"/>
              <w:jc w:val="center"/>
              <w:rPr>
                <w:rFonts w:ascii="Arial" w:hAnsi="Arial" w:cs="Arial"/>
                <w:sz w:val="22"/>
                <w:szCs w:val="22"/>
              </w:rPr>
            </w:pPr>
            <w:r>
              <w:rPr>
                <w:rFonts w:ascii="Arial" w:hAnsi="Arial" w:cs="Arial"/>
                <w:sz w:val="22"/>
                <w:szCs w:val="22"/>
              </w:rPr>
              <w:t>0,00  €</w:t>
            </w:r>
          </w:p>
        </w:tc>
      </w:tr>
      <w:tr w:rsidR="009B4233">
        <w:tblPrEx>
          <w:tblCellMar>
            <w:top w:w="0" w:type="dxa"/>
            <w:bottom w:w="0" w:type="dxa"/>
          </w:tblCellMar>
        </w:tblPrEx>
        <w:trPr>
          <w:trHeight w:val="522"/>
        </w:trPr>
        <w:tc>
          <w:tcPr>
            <w:tcW w:w="3784" w:type="dxa"/>
            <w:tcBorders>
              <w:top w:val="single" w:sz="4" w:space="0" w:color="000000"/>
              <w:left w:val="single" w:sz="4" w:space="0" w:color="000000"/>
              <w:bottom w:val="single" w:sz="4" w:space="0" w:color="000000"/>
              <w:right w:val="single" w:sz="4" w:space="0" w:color="000000"/>
            </w:tcBorders>
            <w:shd w:val="clear" w:color="auto" w:fill="auto"/>
            <w:tcMar>
              <w:top w:w="10" w:type="dxa"/>
              <w:left w:w="144" w:type="dxa"/>
              <w:bottom w:w="0" w:type="dxa"/>
              <w:right w:w="115" w:type="dxa"/>
            </w:tcMar>
          </w:tcPr>
          <w:p w:rsidR="009B4233" w:rsidRDefault="006B08B9">
            <w:pPr>
              <w:spacing w:line="249" w:lineRule="auto"/>
              <w:ind w:right="25"/>
              <w:jc w:val="center"/>
            </w:pPr>
            <w:r>
              <w:rPr>
                <w:rFonts w:ascii="Arial" w:eastAsia="Calibri" w:hAnsi="Arial" w:cs="Arial"/>
                <w:b/>
                <w:sz w:val="22"/>
                <w:szCs w:val="22"/>
              </w:rPr>
              <w:t>TOTAL</w:t>
            </w:r>
          </w:p>
        </w:tc>
        <w:tc>
          <w:tcPr>
            <w:tcW w:w="3128" w:type="dxa"/>
            <w:tcBorders>
              <w:top w:val="single" w:sz="4" w:space="0" w:color="000000"/>
              <w:left w:val="single" w:sz="4" w:space="0" w:color="000000"/>
              <w:bottom w:val="single" w:sz="4" w:space="0" w:color="000000"/>
              <w:right w:val="single" w:sz="4" w:space="0" w:color="000000"/>
            </w:tcBorders>
            <w:shd w:val="clear" w:color="auto" w:fill="auto"/>
            <w:tcMar>
              <w:top w:w="10" w:type="dxa"/>
              <w:left w:w="144" w:type="dxa"/>
              <w:bottom w:w="0" w:type="dxa"/>
              <w:right w:w="115" w:type="dxa"/>
            </w:tcMar>
          </w:tcPr>
          <w:p w:rsidR="009B4233" w:rsidRDefault="006B08B9">
            <w:pPr>
              <w:spacing w:line="249" w:lineRule="auto"/>
              <w:ind w:right="26"/>
              <w:jc w:val="center"/>
              <w:rPr>
                <w:rFonts w:ascii="Arial" w:hAnsi="Arial" w:cs="Arial"/>
                <w:sz w:val="22"/>
                <w:szCs w:val="22"/>
              </w:rPr>
            </w:pPr>
            <w:r>
              <w:rPr>
                <w:rFonts w:ascii="Arial" w:hAnsi="Arial" w:cs="Arial"/>
                <w:sz w:val="22"/>
                <w:szCs w:val="22"/>
              </w:rPr>
              <w:t>705.064,68 €</w:t>
            </w:r>
          </w:p>
        </w:tc>
      </w:tr>
    </w:tbl>
    <w:p w:rsidR="009B4233" w:rsidRDefault="006B08B9">
      <w:pPr>
        <w:widowControl/>
        <w:numPr>
          <w:ilvl w:val="0"/>
          <w:numId w:val="22"/>
        </w:numPr>
        <w:suppressAutoHyphens w:val="0"/>
        <w:spacing w:after="526" w:line="264" w:lineRule="auto"/>
        <w:ind w:right="121" w:hanging="360"/>
        <w:jc w:val="center"/>
        <w:textAlignment w:val="auto"/>
        <w:rPr>
          <w:rFonts w:ascii="Arial" w:hAnsi="Arial" w:cs="Arial"/>
          <w:sz w:val="22"/>
          <w:szCs w:val="22"/>
        </w:rPr>
      </w:pPr>
      <w:r>
        <w:rPr>
          <w:rFonts w:ascii="Arial" w:hAnsi="Arial" w:cs="Arial"/>
          <w:sz w:val="22"/>
          <w:szCs w:val="22"/>
        </w:rPr>
        <w:t>GASTOS</w:t>
      </w:r>
    </w:p>
    <w:tbl>
      <w:tblPr>
        <w:tblW w:w="7240" w:type="dxa"/>
        <w:tblInd w:w="1126" w:type="dxa"/>
        <w:tblCellMar>
          <w:left w:w="10" w:type="dxa"/>
          <w:right w:w="10" w:type="dxa"/>
        </w:tblCellMar>
        <w:tblLook w:val="0000" w:firstRow="0" w:lastRow="0" w:firstColumn="0" w:lastColumn="0" w:noHBand="0" w:noVBand="0"/>
      </w:tblPr>
      <w:tblGrid>
        <w:gridCol w:w="3142"/>
        <w:gridCol w:w="1139"/>
        <w:gridCol w:w="2959"/>
      </w:tblGrid>
      <w:tr w:rsidR="009B4233">
        <w:tblPrEx>
          <w:tblCellMar>
            <w:top w:w="0" w:type="dxa"/>
            <w:bottom w:w="0" w:type="dxa"/>
          </w:tblCellMar>
        </w:tblPrEx>
        <w:trPr>
          <w:trHeight w:val="522"/>
        </w:trPr>
        <w:tc>
          <w:tcPr>
            <w:tcW w:w="3142" w:type="dxa"/>
            <w:tcBorders>
              <w:top w:val="single" w:sz="4" w:space="0" w:color="000000"/>
              <w:left w:val="single" w:sz="4" w:space="0" w:color="000000"/>
              <w:bottom w:val="single" w:sz="4" w:space="0" w:color="000000"/>
            </w:tcBorders>
            <w:shd w:val="clear" w:color="auto" w:fill="auto"/>
            <w:tcMar>
              <w:top w:w="10" w:type="dxa"/>
              <w:left w:w="0" w:type="dxa"/>
              <w:bottom w:w="0" w:type="dxa"/>
              <w:right w:w="51" w:type="dxa"/>
            </w:tcMar>
          </w:tcPr>
          <w:p w:rsidR="009B4233" w:rsidRDefault="006B08B9">
            <w:pPr>
              <w:spacing w:line="249" w:lineRule="auto"/>
              <w:ind w:left="110"/>
            </w:pPr>
            <w:r>
              <w:rPr>
                <w:rFonts w:ascii="Arial" w:eastAsia="Calibri" w:hAnsi="Arial" w:cs="Arial"/>
                <w:b/>
                <w:sz w:val="22"/>
                <w:szCs w:val="22"/>
              </w:rPr>
              <w:t>GASTOS</w:t>
            </w:r>
          </w:p>
        </w:tc>
        <w:tc>
          <w:tcPr>
            <w:tcW w:w="1139" w:type="dxa"/>
            <w:tcBorders>
              <w:top w:val="single" w:sz="4" w:space="0" w:color="000000"/>
              <w:bottom w:val="single" w:sz="4" w:space="0" w:color="000000"/>
              <w:right w:val="single" w:sz="4" w:space="0" w:color="000000"/>
            </w:tcBorders>
            <w:shd w:val="clear" w:color="auto" w:fill="auto"/>
            <w:tcMar>
              <w:top w:w="10" w:type="dxa"/>
              <w:left w:w="0" w:type="dxa"/>
              <w:bottom w:w="0" w:type="dxa"/>
              <w:right w:w="51" w:type="dxa"/>
            </w:tcMar>
          </w:tcPr>
          <w:p w:rsidR="009B4233" w:rsidRDefault="009B4233">
            <w:pPr>
              <w:spacing w:after="160" w:line="249" w:lineRule="auto"/>
              <w:rPr>
                <w:rFonts w:ascii="Arial" w:hAnsi="Arial" w:cs="Arial"/>
                <w:sz w:val="22"/>
                <w:szCs w:val="22"/>
              </w:rPr>
            </w:pPr>
          </w:p>
        </w:tc>
        <w:tc>
          <w:tcPr>
            <w:tcW w:w="2959" w:type="dxa"/>
            <w:tcBorders>
              <w:top w:val="single" w:sz="4" w:space="0" w:color="000000"/>
              <w:left w:val="single" w:sz="4" w:space="0" w:color="000000"/>
              <w:bottom w:val="single" w:sz="4" w:space="0" w:color="000000"/>
              <w:right w:val="single" w:sz="4" w:space="0" w:color="000000"/>
            </w:tcBorders>
            <w:shd w:val="clear" w:color="auto" w:fill="auto"/>
            <w:tcMar>
              <w:top w:w="10" w:type="dxa"/>
              <w:left w:w="0" w:type="dxa"/>
              <w:bottom w:w="0" w:type="dxa"/>
              <w:right w:w="51" w:type="dxa"/>
            </w:tcMar>
          </w:tcPr>
          <w:p w:rsidR="009B4233" w:rsidRDefault="006B08B9">
            <w:pPr>
              <w:spacing w:line="249" w:lineRule="auto"/>
              <w:ind w:left="110"/>
            </w:pPr>
            <w:r>
              <w:rPr>
                <w:rFonts w:ascii="Arial" w:eastAsia="Calibri" w:hAnsi="Arial" w:cs="Arial"/>
                <w:b/>
                <w:sz w:val="22"/>
                <w:szCs w:val="22"/>
              </w:rPr>
              <w:t>GASTO REAL 2024</w:t>
            </w:r>
          </w:p>
        </w:tc>
      </w:tr>
      <w:tr w:rsidR="009B4233">
        <w:tblPrEx>
          <w:tblCellMar>
            <w:top w:w="0" w:type="dxa"/>
            <w:bottom w:w="0" w:type="dxa"/>
          </w:tblCellMar>
        </w:tblPrEx>
        <w:trPr>
          <w:trHeight w:val="524"/>
        </w:trPr>
        <w:tc>
          <w:tcPr>
            <w:tcW w:w="3142" w:type="dxa"/>
            <w:tcBorders>
              <w:top w:val="single" w:sz="4" w:space="0" w:color="000000"/>
              <w:left w:val="single" w:sz="4" w:space="0" w:color="000000"/>
              <w:bottom w:val="single" w:sz="4" w:space="0" w:color="000000"/>
            </w:tcBorders>
            <w:shd w:val="clear" w:color="auto" w:fill="auto"/>
            <w:tcMar>
              <w:top w:w="10" w:type="dxa"/>
              <w:left w:w="0" w:type="dxa"/>
              <w:bottom w:w="0" w:type="dxa"/>
              <w:right w:w="51" w:type="dxa"/>
            </w:tcMar>
          </w:tcPr>
          <w:p w:rsidR="009B4233" w:rsidRDefault="006B08B9">
            <w:pPr>
              <w:spacing w:line="249" w:lineRule="auto"/>
              <w:ind w:left="110"/>
            </w:pPr>
            <w:r>
              <w:rPr>
                <w:rFonts w:ascii="Arial" w:eastAsia="Calibri" w:hAnsi="Arial" w:cs="Arial"/>
                <w:b/>
                <w:sz w:val="22"/>
                <w:szCs w:val="22"/>
              </w:rPr>
              <w:t>Gastos de Personal</w:t>
            </w:r>
          </w:p>
        </w:tc>
        <w:tc>
          <w:tcPr>
            <w:tcW w:w="1139" w:type="dxa"/>
            <w:tcBorders>
              <w:top w:val="single" w:sz="4" w:space="0" w:color="000000"/>
              <w:bottom w:val="single" w:sz="4" w:space="0" w:color="000000"/>
              <w:right w:val="single" w:sz="4" w:space="0" w:color="000000"/>
            </w:tcBorders>
            <w:shd w:val="clear" w:color="auto" w:fill="auto"/>
            <w:tcMar>
              <w:top w:w="10" w:type="dxa"/>
              <w:left w:w="0" w:type="dxa"/>
              <w:bottom w:w="0" w:type="dxa"/>
              <w:right w:w="51" w:type="dxa"/>
            </w:tcMar>
          </w:tcPr>
          <w:p w:rsidR="009B4233" w:rsidRDefault="009B4233">
            <w:pPr>
              <w:spacing w:after="160" w:line="249" w:lineRule="auto"/>
              <w:rPr>
                <w:rFonts w:ascii="Arial" w:hAnsi="Arial" w:cs="Arial"/>
                <w:sz w:val="22"/>
                <w:szCs w:val="22"/>
              </w:rPr>
            </w:pPr>
          </w:p>
        </w:tc>
        <w:tc>
          <w:tcPr>
            <w:tcW w:w="2959" w:type="dxa"/>
            <w:tcBorders>
              <w:top w:val="single" w:sz="4" w:space="0" w:color="000000"/>
              <w:left w:val="single" w:sz="4" w:space="0" w:color="000000"/>
              <w:bottom w:val="single" w:sz="4" w:space="0" w:color="000000"/>
              <w:right w:val="single" w:sz="4" w:space="0" w:color="000000"/>
            </w:tcBorders>
            <w:shd w:val="clear" w:color="auto" w:fill="auto"/>
            <w:tcMar>
              <w:top w:w="10" w:type="dxa"/>
              <w:left w:w="0" w:type="dxa"/>
              <w:bottom w:w="0" w:type="dxa"/>
              <w:right w:w="51" w:type="dxa"/>
            </w:tcMar>
          </w:tcPr>
          <w:p w:rsidR="009B4233" w:rsidRDefault="006B08B9">
            <w:pPr>
              <w:spacing w:line="249" w:lineRule="auto"/>
              <w:ind w:left="55"/>
              <w:jc w:val="center"/>
              <w:rPr>
                <w:rFonts w:ascii="Arial" w:hAnsi="Arial" w:cs="Arial"/>
                <w:sz w:val="22"/>
                <w:szCs w:val="22"/>
              </w:rPr>
            </w:pPr>
            <w:r>
              <w:rPr>
                <w:rFonts w:ascii="Arial" w:hAnsi="Arial" w:cs="Arial"/>
                <w:sz w:val="22"/>
                <w:szCs w:val="22"/>
              </w:rPr>
              <w:t>529.404,34 €</w:t>
            </w:r>
          </w:p>
        </w:tc>
      </w:tr>
      <w:tr w:rsidR="009B4233">
        <w:tblPrEx>
          <w:tblCellMar>
            <w:top w:w="0" w:type="dxa"/>
            <w:bottom w:w="0" w:type="dxa"/>
          </w:tblCellMar>
        </w:tblPrEx>
        <w:trPr>
          <w:trHeight w:val="522"/>
        </w:trPr>
        <w:tc>
          <w:tcPr>
            <w:tcW w:w="3142" w:type="dxa"/>
            <w:tcBorders>
              <w:top w:val="single" w:sz="4" w:space="0" w:color="000000"/>
              <w:left w:val="single" w:sz="4" w:space="0" w:color="000000"/>
              <w:bottom w:val="single" w:sz="4" w:space="0" w:color="000000"/>
            </w:tcBorders>
            <w:shd w:val="clear" w:color="auto" w:fill="auto"/>
            <w:tcMar>
              <w:top w:w="10" w:type="dxa"/>
              <w:left w:w="0" w:type="dxa"/>
              <w:bottom w:w="0" w:type="dxa"/>
              <w:right w:w="51" w:type="dxa"/>
            </w:tcMar>
          </w:tcPr>
          <w:p w:rsidR="009B4233" w:rsidRDefault="006B08B9">
            <w:pPr>
              <w:spacing w:line="249" w:lineRule="auto"/>
              <w:ind w:left="110"/>
            </w:pPr>
            <w:r>
              <w:rPr>
                <w:rFonts w:ascii="Arial" w:eastAsia="Calibri" w:hAnsi="Arial" w:cs="Arial"/>
                <w:b/>
                <w:sz w:val="22"/>
                <w:szCs w:val="22"/>
              </w:rPr>
              <w:t>Otros Gastos de Explotación</w:t>
            </w:r>
          </w:p>
        </w:tc>
        <w:tc>
          <w:tcPr>
            <w:tcW w:w="1139" w:type="dxa"/>
            <w:tcBorders>
              <w:top w:val="single" w:sz="4" w:space="0" w:color="000000"/>
              <w:bottom w:val="single" w:sz="4" w:space="0" w:color="000000"/>
              <w:right w:val="single" w:sz="4" w:space="0" w:color="000000"/>
            </w:tcBorders>
            <w:shd w:val="clear" w:color="auto" w:fill="auto"/>
            <w:tcMar>
              <w:top w:w="10" w:type="dxa"/>
              <w:left w:w="0" w:type="dxa"/>
              <w:bottom w:w="0" w:type="dxa"/>
              <w:right w:w="51" w:type="dxa"/>
            </w:tcMar>
          </w:tcPr>
          <w:p w:rsidR="009B4233" w:rsidRDefault="009B4233">
            <w:pPr>
              <w:spacing w:after="160" w:line="249" w:lineRule="auto"/>
              <w:rPr>
                <w:rFonts w:ascii="Arial" w:hAnsi="Arial" w:cs="Arial"/>
                <w:sz w:val="22"/>
                <w:szCs w:val="22"/>
              </w:rPr>
            </w:pPr>
          </w:p>
        </w:tc>
        <w:tc>
          <w:tcPr>
            <w:tcW w:w="2959" w:type="dxa"/>
            <w:tcBorders>
              <w:top w:val="single" w:sz="4" w:space="0" w:color="000000"/>
              <w:left w:val="single" w:sz="4" w:space="0" w:color="000000"/>
              <w:bottom w:val="single" w:sz="4" w:space="0" w:color="000000"/>
              <w:right w:val="single" w:sz="4" w:space="0" w:color="000000"/>
            </w:tcBorders>
            <w:shd w:val="clear" w:color="auto" w:fill="auto"/>
            <w:tcMar>
              <w:top w:w="10" w:type="dxa"/>
              <w:left w:w="0" w:type="dxa"/>
              <w:bottom w:w="0" w:type="dxa"/>
              <w:right w:w="51" w:type="dxa"/>
            </w:tcMar>
          </w:tcPr>
          <w:p w:rsidR="009B4233" w:rsidRDefault="006B08B9">
            <w:pPr>
              <w:spacing w:line="249" w:lineRule="auto"/>
              <w:ind w:left="55"/>
              <w:jc w:val="center"/>
              <w:rPr>
                <w:rFonts w:ascii="Arial" w:hAnsi="Arial" w:cs="Arial"/>
                <w:sz w:val="22"/>
                <w:szCs w:val="22"/>
              </w:rPr>
            </w:pPr>
            <w:r>
              <w:rPr>
                <w:rFonts w:ascii="Arial" w:hAnsi="Arial" w:cs="Arial"/>
                <w:sz w:val="22"/>
                <w:szCs w:val="22"/>
              </w:rPr>
              <w:t>37.244,93 €</w:t>
            </w:r>
          </w:p>
        </w:tc>
      </w:tr>
      <w:tr w:rsidR="009B4233">
        <w:tblPrEx>
          <w:tblCellMar>
            <w:top w:w="0" w:type="dxa"/>
            <w:bottom w:w="0" w:type="dxa"/>
          </w:tblCellMar>
        </w:tblPrEx>
        <w:trPr>
          <w:trHeight w:val="524"/>
        </w:trPr>
        <w:tc>
          <w:tcPr>
            <w:tcW w:w="3142" w:type="dxa"/>
            <w:tcBorders>
              <w:top w:val="single" w:sz="4" w:space="0" w:color="000000"/>
              <w:left w:val="single" w:sz="4" w:space="0" w:color="000000"/>
              <w:bottom w:val="single" w:sz="4" w:space="0" w:color="000000"/>
            </w:tcBorders>
            <w:shd w:val="clear" w:color="auto" w:fill="auto"/>
            <w:tcMar>
              <w:top w:w="10" w:type="dxa"/>
              <w:left w:w="0" w:type="dxa"/>
              <w:bottom w:w="0" w:type="dxa"/>
              <w:right w:w="51" w:type="dxa"/>
            </w:tcMar>
          </w:tcPr>
          <w:p w:rsidR="009B4233" w:rsidRDefault="006B08B9">
            <w:pPr>
              <w:spacing w:line="249" w:lineRule="auto"/>
              <w:ind w:left="110"/>
            </w:pPr>
            <w:r>
              <w:rPr>
                <w:rFonts w:ascii="Arial" w:eastAsia="Calibri" w:hAnsi="Arial" w:cs="Arial"/>
                <w:b/>
                <w:sz w:val="22"/>
                <w:szCs w:val="22"/>
              </w:rPr>
              <w:t>Aprovisionamientos</w:t>
            </w:r>
          </w:p>
        </w:tc>
        <w:tc>
          <w:tcPr>
            <w:tcW w:w="1139" w:type="dxa"/>
            <w:tcBorders>
              <w:top w:val="single" w:sz="4" w:space="0" w:color="000000"/>
              <w:bottom w:val="single" w:sz="4" w:space="0" w:color="000000"/>
              <w:right w:val="single" w:sz="4" w:space="0" w:color="000000"/>
            </w:tcBorders>
            <w:shd w:val="clear" w:color="auto" w:fill="auto"/>
            <w:tcMar>
              <w:top w:w="10" w:type="dxa"/>
              <w:left w:w="0" w:type="dxa"/>
              <w:bottom w:w="0" w:type="dxa"/>
              <w:right w:w="51" w:type="dxa"/>
            </w:tcMar>
          </w:tcPr>
          <w:p w:rsidR="009B4233" w:rsidRDefault="009B4233">
            <w:pPr>
              <w:spacing w:after="160" w:line="249" w:lineRule="auto"/>
              <w:rPr>
                <w:rFonts w:ascii="Arial" w:hAnsi="Arial" w:cs="Arial"/>
                <w:sz w:val="22"/>
                <w:szCs w:val="22"/>
              </w:rPr>
            </w:pPr>
          </w:p>
        </w:tc>
        <w:tc>
          <w:tcPr>
            <w:tcW w:w="2959" w:type="dxa"/>
            <w:tcBorders>
              <w:top w:val="single" w:sz="4" w:space="0" w:color="000000"/>
              <w:left w:val="single" w:sz="4" w:space="0" w:color="000000"/>
              <w:bottom w:val="single" w:sz="4" w:space="0" w:color="000000"/>
              <w:right w:val="single" w:sz="4" w:space="0" w:color="000000"/>
            </w:tcBorders>
            <w:shd w:val="clear" w:color="auto" w:fill="auto"/>
            <w:tcMar>
              <w:top w:w="10" w:type="dxa"/>
              <w:left w:w="0" w:type="dxa"/>
              <w:bottom w:w="0" w:type="dxa"/>
              <w:right w:w="51" w:type="dxa"/>
            </w:tcMar>
          </w:tcPr>
          <w:p w:rsidR="009B4233" w:rsidRDefault="006B08B9">
            <w:pPr>
              <w:spacing w:line="249" w:lineRule="auto"/>
              <w:ind w:left="55"/>
              <w:jc w:val="center"/>
              <w:rPr>
                <w:rFonts w:ascii="Arial" w:hAnsi="Arial" w:cs="Arial"/>
                <w:sz w:val="22"/>
                <w:szCs w:val="22"/>
              </w:rPr>
            </w:pPr>
            <w:r>
              <w:rPr>
                <w:rFonts w:ascii="Arial" w:hAnsi="Arial" w:cs="Arial"/>
                <w:sz w:val="22"/>
                <w:szCs w:val="22"/>
              </w:rPr>
              <w:t>24,12 €</w:t>
            </w:r>
          </w:p>
        </w:tc>
      </w:tr>
      <w:tr w:rsidR="009B4233">
        <w:tblPrEx>
          <w:tblCellMar>
            <w:top w:w="0" w:type="dxa"/>
            <w:bottom w:w="0" w:type="dxa"/>
          </w:tblCellMar>
        </w:tblPrEx>
        <w:trPr>
          <w:trHeight w:val="522"/>
        </w:trPr>
        <w:tc>
          <w:tcPr>
            <w:tcW w:w="3142" w:type="dxa"/>
            <w:tcBorders>
              <w:top w:val="single" w:sz="4" w:space="0" w:color="000000"/>
              <w:left w:val="single" w:sz="4" w:space="0" w:color="000000"/>
              <w:bottom w:val="single" w:sz="4" w:space="0" w:color="000000"/>
            </w:tcBorders>
            <w:shd w:val="clear" w:color="auto" w:fill="auto"/>
            <w:tcMar>
              <w:top w:w="10" w:type="dxa"/>
              <w:left w:w="0" w:type="dxa"/>
              <w:bottom w:w="0" w:type="dxa"/>
              <w:right w:w="51" w:type="dxa"/>
            </w:tcMar>
          </w:tcPr>
          <w:p w:rsidR="009B4233" w:rsidRDefault="006B08B9">
            <w:pPr>
              <w:spacing w:line="249" w:lineRule="auto"/>
              <w:ind w:left="110"/>
            </w:pPr>
            <w:r>
              <w:rPr>
                <w:rFonts w:ascii="Arial" w:eastAsia="Calibri" w:hAnsi="Arial" w:cs="Arial"/>
                <w:b/>
                <w:sz w:val="22"/>
                <w:szCs w:val="22"/>
              </w:rPr>
              <w:t>Gastos Financieros</w:t>
            </w:r>
          </w:p>
        </w:tc>
        <w:tc>
          <w:tcPr>
            <w:tcW w:w="1139" w:type="dxa"/>
            <w:tcBorders>
              <w:top w:val="single" w:sz="4" w:space="0" w:color="000000"/>
              <w:bottom w:val="single" w:sz="4" w:space="0" w:color="000000"/>
              <w:right w:val="single" w:sz="4" w:space="0" w:color="000000"/>
            </w:tcBorders>
            <w:shd w:val="clear" w:color="auto" w:fill="auto"/>
            <w:tcMar>
              <w:top w:w="10" w:type="dxa"/>
              <w:left w:w="0" w:type="dxa"/>
              <w:bottom w:w="0" w:type="dxa"/>
              <w:right w:w="51" w:type="dxa"/>
            </w:tcMar>
          </w:tcPr>
          <w:p w:rsidR="009B4233" w:rsidRDefault="009B4233">
            <w:pPr>
              <w:spacing w:after="160" w:line="249" w:lineRule="auto"/>
              <w:rPr>
                <w:rFonts w:ascii="Arial" w:hAnsi="Arial" w:cs="Arial"/>
                <w:sz w:val="22"/>
                <w:szCs w:val="22"/>
              </w:rPr>
            </w:pPr>
          </w:p>
        </w:tc>
        <w:tc>
          <w:tcPr>
            <w:tcW w:w="2959" w:type="dxa"/>
            <w:tcBorders>
              <w:top w:val="single" w:sz="4" w:space="0" w:color="000000"/>
              <w:left w:val="single" w:sz="4" w:space="0" w:color="000000"/>
              <w:bottom w:val="single" w:sz="4" w:space="0" w:color="000000"/>
              <w:right w:val="single" w:sz="4" w:space="0" w:color="000000"/>
            </w:tcBorders>
            <w:shd w:val="clear" w:color="auto" w:fill="auto"/>
            <w:tcMar>
              <w:top w:w="10" w:type="dxa"/>
              <w:left w:w="0" w:type="dxa"/>
              <w:bottom w:w="0" w:type="dxa"/>
              <w:right w:w="51" w:type="dxa"/>
            </w:tcMar>
          </w:tcPr>
          <w:p w:rsidR="009B4233" w:rsidRDefault="006B08B9">
            <w:pPr>
              <w:spacing w:line="249" w:lineRule="auto"/>
              <w:ind w:left="53"/>
              <w:jc w:val="center"/>
              <w:rPr>
                <w:rFonts w:ascii="Arial" w:hAnsi="Arial" w:cs="Arial"/>
                <w:sz w:val="22"/>
                <w:szCs w:val="22"/>
              </w:rPr>
            </w:pPr>
            <w:r>
              <w:rPr>
                <w:rFonts w:ascii="Arial" w:hAnsi="Arial" w:cs="Arial"/>
                <w:sz w:val="22"/>
                <w:szCs w:val="22"/>
              </w:rPr>
              <w:t>0,00 €</w:t>
            </w:r>
          </w:p>
        </w:tc>
      </w:tr>
      <w:tr w:rsidR="009B4233">
        <w:tblPrEx>
          <w:tblCellMar>
            <w:top w:w="0" w:type="dxa"/>
            <w:bottom w:w="0" w:type="dxa"/>
          </w:tblCellMar>
        </w:tblPrEx>
        <w:trPr>
          <w:trHeight w:val="524"/>
        </w:trPr>
        <w:tc>
          <w:tcPr>
            <w:tcW w:w="3142" w:type="dxa"/>
            <w:tcBorders>
              <w:top w:val="single" w:sz="4" w:space="0" w:color="000000"/>
              <w:left w:val="single" w:sz="4" w:space="0" w:color="000000"/>
              <w:bottom w:val="single" w:sz="4" w:space="0" w:color="000000"/>
            </w:tcBorders>
            <w:shd w:val="clear" w:color="auto" w:fill="auto"/>
            <w:tcMar>
              <w:top w:w="10" w:type="dxa"/>
              <w:left w:w="0" w:type="dxa"/>
              <w:bottom w:w="0" w:type="dxa"/>
              <w:right w:w="51" w:type="dxa"/>
            </w:tcMar>
          </w:tcPr>
          <w:p w:rsidR="009B4233" w:rsidRDefault="006B08B9">
            <w:pPr>
              <w:spacing w:line="249" w:lineRule="auto"/>
              <w:ind w:left="110"/>
            </w:pPr>
            <w:r>
              <w:rPr>
                <w:rFonts w:ascii="Arial" w:eastAsia="Calibri" w:hAnsi="Arial" w:cs="Arial"/>
                <w:b/>
                <w:sz w:val="22"/>
                <w:szCs w:val="22"/>
              </w:rPr>
              <w:t>Otros Gastos</w:t>
            </w:r>
          </w:p>
        </w:tc>
        <w:tc>
          <w:tcPr>
            <w:tcW w:w="1139" w:type="dxa"/>
            <w:tcBorders>
              <w:top w:val="single" w:sz="4" w:space="0" w:color="000000"/>
              <w:bottom w:val="single" w:sz="4" w:space="0" w:color="000000"/>
              <w:right w:val="single" w:sz="4" w:space="0" w:color="000000"/>
            </w:tcBorders>
            <w:shd w:val="clear" w:color="auto" w:fill="auto"/>
            <w:tcMar>
              <w:top w:w="10" w:type="dxa"/>
              <w:left w:w="0" w:type="dxa"/>
              <w:bottom w:w="0" w:type="dxa"/>
              <w:right w:w="51" w:type="dxa"/>
            </w:tcMar>
          </w:tcPr>
          <w:p w:rsidR="009B4233" w:rsidRDefault="009B4233">
            <w:pPr>
              <w:spacing w:after="160" w:line="249" w:lineRule="auto"/>
              <w:rPr>
                <w:rFonts w:ascii="Arial" w:hAnsi="Arial" w:cs="Arial"/>
                <w:sz w:val="22"/>
                <w:szCs w:val="22"/>
              </w:rPr>
            </w:pPr>
          </w:p>
        </w:tc>
        <w:tc>
          <w:tcPr>
            <w:tcW w:w="2959" w:type="dxa"/>
            <w:tcBorders>
              <w:top w:val="single" w:sz="4" w:space="0" w:color="000000"/>
              <w:left w:val="single" w:sz="4" w:space="0" w:color="000000"/>
              <w:bottom w:val="single" w:sz="4" w:space="0" w:color="000000"/>
              <w:right w:val="single" w:sz="4" w:space="0" w:color="000000"/>
            </w:tcBorders>
            <w:shd w:val="clear" w:color="auto" w:fill="auto"/>
            <w:tcMar>
              <w:top w:w="10" w:type="dxa"/>
              <w:left w:w="0" w:type="dxa"/>
              <w:bottom w:w="0" w:type="dxa"/>
              <w:right w:w="51" w:type="dxa"/>
            </w:tcMar>
          </w:tcPr>
          <w:p w:rsidR="009B4233" w:rsidRDefault="006B08B9">
            <w:pPr>
              <w:spacing w:line="249" w:lineRule="auto"/>
              <w:ind w:left="55"/>
              <w:jc w:val="center"/>
              <w:rPr>
                <w:rFonts w:ascii="Arial" w:hAnsi="Arial" w:cs="Arial"/>
                <w:sz w:val="22"/>
                <w:szCs w:val="22"/>
              </w:rPr>
            </w:pPr>
            <w:r>
              <w:rPr>
                <w:rFonts w:ascii="Arial" w:hAnsi="Arial" w:cs="Arial"/>
                <w:sz w:val="22"/>
                <w:szCs w:val="22"/>
              </w:rPr>
              <w:t>10.494,20 €</w:t>
            </w:r>
          </w:p>
        </w:tc>
      </w:tr>
      <w:tr w:rsidR="009B4233">
        <w:tblPrEx>
          <w:tblCellMar>
            <w:top w:w="0" w:type="dxa"/>
            <w:bottom w:w="0" w:type="dxa"/>
          </w:tblCellMar>
        </w:tblPrEx>
        <w:trPr>
          <w:trHeight w:val="522"/>
        </w:trPr>
        <w:tc>
          <w:tcPr>
            <w:tcW w:w="3142" w:type="dxa"/>
            <w:tcBorders>
              <w:top w:val="single" w:sz="4" w:space="0" w:color="000000"/>
              <w:left w:val="single" w:sz="4" w:space="0" w:color="000000"/>
              <w:bottom w:val="single" w:sz="4" w:space="0" w:color="000000"/>
            </w:tcBorders>
            <w:shd w:val="clear" w:color="auto" w:fill="auto"/>
            <w:tcMar>
              <w:top w:w="10" w:type="dxa"/>
              <w:left w:w="0" w:type="dxa"/>
              <w:bottom w:w="0" w:type="dxa"/>
              <w:right w:w="51" w:type="dxa"/>
            </w:tcMar>
          </w:tcPr>
          <w:p w:rsidR="009B4233" w:rsidRDefault="006B08B9">
            <w:pPr>
              <w:spacing w:line="249" w:lineRule="auto"/>
              <w:ind w:left="110"/>
            </w:pPr>
            <w:r>
              <w:rPr>
                <w:rFonts w:ascii="Arial" w:eastAsia="Calibri" w:hAnsi="Arial" w:cs="Arial"/>
                <w:b/>
                <w:sz w:val="22"/>
                <w:szCs w:val="22"/>
              </w:rPr>
              <w:t xml:space="preserve">Amortización del </w:t>
            </w:r>
            <w:r>
              <w:rPr>
                <w:rFonts w:ascii="Arial" w:eastAsia="Calibri" w:hAnsi="Arial" w:cs="Arial"/>
                <w:b/>
                <w:sz w:val="22"/>
                <w:szCs w:val="22"/>
              </w:rPr>
              <w:t>Inmovilizado</w:t>
            </w:r>
          </w:p>
        </w:tc>
        <w:tc>
          <w:tcPr>
            <w:tcW w:w="1139" w:type="dxa"/>
            <w:tcBorders>
              <w:top w:val="single" w:sz="4" w:space="0" w:color="000000"/>
              <w:bottom w:val="single" w:sz="4" w:space="0" w:color="000000"/>
              <w:right w:val="single" w:sz="4" w:space="0" w:color="000000"/>
            </w:tcBorders>
            <w:shd w:val="clear" w:color="auto" w:fill="auto"/>
            <w:tcMar>
              <w:top w:w="10" w:type="dxa"/>
              <w:left w:w="0" w:type="dxa"/>
              <w:bottom w:w="0" w:type="dxa"/>
              <w:right w:w="51" w:type="dxa"/>
            </w:tcMar>
          </w:tcPr>
          <w:p w:rsidR="009B4233" w:rsidRDefault="009B4233">
            <w:pPr>
              <w:spacing w:after="160" w:line="249" w:lineRule="auto"/>
              <w:rPr>
                <w:rFonts w:ascii="Arial" w:hAnsi="Arial" w:cs="Arial"/>
                <w:sz w:val="22"/>
                <w:szCs w:val="22"/>
              </w:rPr>
            </w:pPr>
          </w:p>
        </w:tc>
        <w:tc>
          <w:tcPr>
            <w:tcW w:w="2959" w:type="dxa"/>
            <w:tcBorders>
              <w:top w:val="single" w:sz="4" w:space="0" w:color="000000"/>
              <w:left w:val="single" w:sz="4" w:space="0" w:color="000000"/>
              <w:bottom w:val="single" w:sz="4" w:space="0" w:color="000000"/>
              <w:right w:val="single" w:sz="4" w:space="0" w:color="000000"/>
            </w:tcBorders>
            <w:shd w:val="clear" w:color="auto" w:fill="auto"/>
            <w:tcMar>
              <w:top w:w="10" w:type="dxa"/>
              <w:left w:w="0" w:type="dxa"/>
              <w:bottom w:w="0" w:type="dxa"/>
              <w:right w:w="51" w:type="dxa"/>
            </w:tcMar>
          </w:tcPr>
          <w:p w:rsidR="009B4233" w:rsidRDefault="006B08B9">
            <w:pPr>
              <w:spacing w:line="249" w:lineRule="auto"/>
              <w:ind w:left="55"/>
              <w:jc w:val="center"/>
              <w:rPr>
                <w:rFonts w:ascii="Arial" w:hAnsi="Arial" w:cs="Arial"/>
                <w:sz w:val="22"/>
                <w:szCs w:val="22"/>
              </w:rPr>
            </w:pPr>
            <w:r>
              <w:rPr>
                <w:rFonts w:ascii="Arial" w:hAnsi="Arial" w:cs="Arial"/>
                <w:sz w:val="22"/>
                <w:szCs w:val="22"/>
              </w:rPr>
              <w:t>41.584,59 €</w:t>
            </w:r>
          </w:p>
        </w:tc>
      </w:tr>
      <w:tr w:rsidR="009B4233">
        <w:tblPrEx>
          <w:tblCellMar>
            <w:top w:w="0" w:type="dxa"/>
            <w:bottom w:w="0" w:type="dxa"/>
          </w:tblCellMar>
        </w:tblPrEx>
        <w:trPr>
          <w:trHeight w:val="470"/>
        </w:trPr>
        <w:tc>
          <w:tcPr>
            <w:tcW w:w="3142" w:type="dxa"/>
            <w:tcBorders>
              <w:top w:val="single" w:sz="4" w:space="0" w:color="000000"/>
              <w:left w:val="single" w:sz="4" w:space="0" w:color="000000"/>
              <w:bottom w:val="single" w:sz="4" w:space="0" w:color="000000"/>
            </w:tcBorders>
            <w:shd w:val="clear" w:color="auto" w:fill="auto"/>
            <w:tcMar>
              <w:top w:w="10" w:type="dxa"/>
              <w:left w:w="0" w:type="dxa"/>
              <w:bottom w:w="0" w:type="dxa"/>
              <w:right w:w="51" w:type="dxa"/>
            </w:tcMar>
          </w:tcPr>
          <w:p w:rsidR="009B4233" w:rsidRDefault="006B08B9">
            <w:pPr>
              <w:spacing w:line="249" w:lineRule="auto"/>
              <w:ind w:left="110"/>
            </w:pPr>
            <w:r>
              <w:rPr>
                <w:rFonts w:ascii="Arial" w:eastAsia="Calibri" w:hAnsi="Arial" w:cs="Arial"/>
                <w:b/>
                <w:sz w:val="22"/>
                <w:szCs w:val="22"/>
              </w:rPr>
              <w:t>Variación</w:t>
            </w:r>
            <w:r>
              <w:rPr>
                <w:rFonts w:ascii="Arial" w:eastAsia="Calibri" w:hAnsi="Arial" w:cs="Arial"/>
                <w:b/>
                <w:sz w:val="22"/>
                <w:szCs w:val="22"/>
              </w:rPr>
              <w:tab/>
              <w:t xml:space="preserve"> </w:t>
            </w:r>
            <w:r>
              <w:rPr>
                <w:rFonts w:ascii="Arial" w:eastAsia="Calibri" w:hAnsi="Arial" w:cs="Arial"/>
                <w:b/>
                <w:sz w:val="22"/>
                <w:szCs w:val="22"/>
              </w:rPr>
              <w:tab/>
              <w:t>Existencias</w:t>
            </w:r>
            <w:r>
              <w:rPr>
                <w:rFonts w:ascii="Arial" w:eastAsia="Calibri" w:hAnsi="Arial" w:cs="Arial"/>
                <w:b/>
                <w:sz w:val="22"/>
                <w:szCs w:val="22"/>
              </w:rPr>
              <w:tab/>
              <w:t xml:space="preserve"> Terminados</w:t>
            </w:r>
          </w:p>
        </w:tc>
        <w:tc>
          <w:tcPr>
            <w:tcW w:w="1139" w:type="dxa"/>
            <w:tcBorders>
              <w:top w:val="single" w:sz="4" w:space="0" w:color="000000"/>
              <w:bottom w:val="single" w:sz="4" w:space="0" w:color="000000"/>
              <w:right w:val="single" w:sz="4" w:space="0" w:color="000000"/>
            </w:tcBorders>
            <w:shd w:val="clear" w:color="auto" w:fill="auto"/>
            <w:tcMar>
              <w:top w:w="10" w:type="dxa"/>
              <w:left w:w="0" w:type="dxa"/>
              <w:bottom w:w="0" w:type="dxa"/>
              <w:right w:w="51" w:type="dxa"/>
            </w:tcMar>
          </w:tcPr>
          <w:p w:rsidR="009B4233" w:rsidRDefault="006B08B9">
            <w:pPr>
              <w:spacing w:line="249" w:lineRule="auto"/>
            </w:pPr>
            <w:r>
              <w:rPr>
                <w:rFonts w:ascii="Arial" w:eastAsia="Calibri" w:hAnsi="Arial" w:cs="Arial"/>
                <w:b/>
                <w:sz w:val="22"/>
                <w:szCs w:val="22"/>
              </w:rPr>
              <w:t xml:space="preserve">Productos </w:t>
            </w:r>
          </w:p>
        </w:tc>
        <w:tc>
          <w:tcPr>
            <w:tcW w:w="2959" w:type="dxa"/>
            <w:tcBorders>
              <w:top w:val="single" w:sz="4" w:space="0" w:color="000000"/>
              <w:left w:val="single" w:sz="4" w:space="0" w:color="000000"/>
              <w:bottom w:val="single" w:sz="4" w:space="0" w:color="000000"/>
              <w:right w:val="single" w:sz="4" w:space="0" w:color="000000"/>
            </w:tcBorders>
            <w:shd w:val="clear" w:color="auto" w:fill="auto"/>
            <w:tcMar>
              <w:top w:w="10" w:type="dxa"/>
              <w:left w:w="0" w:type="dxa"/>
              <w:bottom w:w="0" w:type="dxa"/>
              <w:right w:w="51" w:type="dxa"/>
            </w:tcMar>
          </w:tcPr>
          <w:p w:rsidR="009B4233" w:rsidRDefault="006B08B9">
            <w:pPr>
              <w:spacing w:line="249" w:lineRule="auto"/>
              <w:ind w:left="55"/>
              <w:jc w:val="center"/>
              <w:rPr>
                <w:rFonts w:ascii="Arial" w:hAnsi="Arial" w:cs="Arial"/>
                <w:sz w:val="22"/>
                <w:szCs w:val="22"/>
              </w:rPr>
            </w:pPr>
            <w:r>
              <w:rPr>
                <w:rFonts w:ascii="Arial" w:hAnsi="Arial" w:cs="Arial"/>
                <w:sz w:val="22"/>
                <w:szCs w:val="22"/>
              </w:rPr>
              <w:t>26,36 €</w:t>
            </w:r>
          </w:p>
        </w:tc>
      </w:tr>
      <w:tr w:rsidR="009B4233">
        <w:tblPrEx>
          <w:tblCellMar>
            <w:top w:w="0" w:type="dxa"/>
            <w:bottom w:w="0" w:type="dxa"/>
          </w:tblCellMar>
        </w:tblPrEx>
        <w:trPr>
          <w:trHeight w:val="240"/>
        </w:trPr>
        <w:tc>
          <w:tcPr>
            <w:tcW w:w="3142" w:type="dxa"/>
            <w:tcBorders>
              <w:top w:val="single" w:sz="4" w:space="0" w:color="000000"/>
              <w:left w:val="single" w:sz="4" w:space="0" w:color="000000"/>
              <w:bottom w:val="single" w:sz="4" w:space="0" w:color="000000"/>
            </w:tcBorders>
            <w:shd w:val="clear" w:color="auto" w:fill="auto"/>
            <w:tcMar>
              <w:top w:w="10" w:type="dxa"/>
              <w:left w:w="0" w:type="dxa"/>
              <w:bottom w:w="0" w:type="dxa"/>
              <w:right w:w="51" w:type="dxa"/>
            </w:tcMar>
          </w:tcPr>
          <w:p w:rsidR="009B4233" w:rsidRDefault="006B08B9">
            <w:pPr>
              <w:spacing w:line="249" w:lineRule="auto"/>
              <w:ind w:left="830"/>
            </w:pPr>
            <w:r>
              <w:rPr>
                <w:rFonts w:ascii="Arial" w:eastAsia="Calibri" w:hAnsi="Arial" w:cs="Arial"/>
                <w:b/>
                <w:sz w:val="22"/>
                <w:szCs w:val="22"/>
              </w:rPr>
              <w:t>TOTAL</w:t>
            </w:r>
          </w:p>
        </w:tc>
        <w:tc>
          <w:tcPr>
            <w:tcW w:w="1139" w:type="dxa"/>
            <w:tcBorders>
              <w:top w:val="single" w:sz="4" w:space="0" w:color="000000"/>
              <w:bottom w:val="single" w:sz="4" w:space="0" w:color="000000"/>
              <w:right w:val="single" w:sz="4" w:space="0" w:color="000000"/>
            </w:tcBorders>
            <w:shd w:val="clear" w:color="auto" w:fill="auto"/>
            <w:tcMar>
              <w:top w:w="10" w:type="dxa"/>
              <w:left w:w="0" w:type="dxa"/>
              <w:bottom w:w="0" w:type="dxa"/>
              <w:right w:w="51" w:type="dxa"/>
            </w:tcMar>
          </w:tcPr>
          <w:p w:rsidR="009B4233" w:rsidRDefault="009B4233">
            <w:pPr>
              <w:spacing w:after="160" w:line="249" w:lineRule="auto"/>
              <w:rPr>
                <w:rFonts w:ascii="Arial" w:hAnsi="Arial" w:cs="Arial"/>
                <w:sz w:val="22"/>
                <w:szCs w:val="22"/>
              </w:rPr>
            </w:pPr>
          </w:p>
        </w:tc>
        <w:tc>
          <w:tcPr>
            <w:tcW w:w="2959" w:type="dxa"/>
            <w:tcBorders>
              <w:top w:val="single" w:sz="4" w:space="0" w:color="000000"/>
              <w:left w:val="single" w:sz="4" w:space="0" w:color="000000"/>
              <w:bottom w:val="single" w:sz="4" w:space="0" w:color="000000"/>
              <w:right w:val="single" w:sz="4" w:space="0" w:color="000000"/>
            </w:tcBorders>
            <w:shd w:val="clear" w:color="auto" w:fill="auto"/>
            <w:tcMar>
              <w:top w:w="10" w:type="dxa"/>
              <w:left w:w="0" w:type="dxa"/>
              <w:bottom w:w="0" w:type="dxa"/>
              <w:right w:w="51" w:type="dxa"/>
            </w:tcMar>
          </w:tcPr>
          <w:p w:rsidR="009B4233" w:rsidRDefault="006B08B9">
            <w:pPr>
              <w:spacing w:line="249" w:lineRule="auto"/>
              <w:ind w:left="55"/>
              <w:jc w:val="center"/>
              <w:rPr>
                <w:rFonts w:ascii="Arial" w:hAnsi="Arial" w:cs="Arial"/>
                <w:sz w:val="22"/>
                <w:szCs w:val="22"/>
              </w:rPr>
            </w:pPr>
            <w:r>
              <w:rPr>
                <w:rFonts w:ascii="Arial" w:hAnsi="Arial" w:cs="Arial"/>
                <w:sz w:val="22"/>
                <w:szCs w:val="22"/>
              </w:rPr>
              <w:t>618.778,54 €</w:t>
            </w:r>
          </w:p>
        </w:tc>
      </w:tr>
    </w:tbl>
    <w:p w:rsidR="009B4233" w:rsidRDefault="009B4233">
      <w:pPr>
        <w:spacing w:after="236" w:line="249" w:lineRule="auto"/>
        <w:ind w:left="134"/>
        <w:jc w:val="both"/>
        <w:rPr>
          <w:rFonts w:ascii="Arial" w:eastAsia="Calibri" w:hAnsi="Arial" w:cs="Arial"/>
          <w:b/>
          <w:sz w:val="22"/>
          <w:szCs w:val="22"/>
          <w:u w:val="single" w:color="000000"/>
        </w:rPr>
      </w:pPr>
    </w:p>
    <w:p w:rsidR="009B4233" w:rsidRDefault="006B08B9">
      <w:pPr>
        <w:spacing w:after="236" w:line="249" w:lineRule="auto"/>
        <w:ind w:left="134"/>
        <w:jc w:val="both"/>
      </w:pPr>
      <w:r>
        <w:rPr>
          <w:rFonts w:ascii="Arial" w:eastAsia="Calibri" w:hAnsi="Arial" w:cs="Arial"/>
          <w:b/>
          <w:sz w:val="22"/>
          <w:szCs w:val="22"/>
          <w:u w:val="single" w:color="000000"/>
        </w:rPr>
        <w:t>Sociedad Municipal de Viviendas y Servicios Municipales de Candelaria SLU</w:t>
      </w:r>
    </w:p>
    <w:p w:rsidR="009B4233" w:rsidRDefault="006B08B9">
      <w:pPr>
        <w:spacing w:after="532"/>
        <w:ind w:left="-15" w:firstLine="360"/>
        <w:jc w:val="both"/>
        <w:rPr>
          <w:rFonts w:ascii="Arial" w:hAnsi="Arial" w:cs="Arial"/>
          <w:sz w:val="22"/>
          <w:szCs w:val="22"/>
        </w:rPr>
      </w:pPr>
      <w:r>
        <w:rPr>
          <w:rFonts w:ascii="Arial" w:hAnsi="Arial" w:cs="Arial"/>
          <w:sz w:val="22"/>
          <w:szCs w:val="22"/>
        </w:rPr>
        <w:t xml:space="preserve">Destaca la Cuenta de Pérdidas y Ganancias del ejercicio, conforme el </w:t>
      </w:r>
      <w:r>
        <w:rPr>
          <w:rFonts w:ascii="Arial" w:hAnsi="Arial" w:cs="Arial"/>
          <w:sz w:val="22"/>
          <w:szCs w:val="22"/>
        </w:rPr>
        <w:t>siguiente detalle:</w:t>
      </w:r>
    </w:p>
    <w:p w:rsidR="009B4233" w:rsidRDefault="006B08B9">
      <w:pPr>
        <w:widowControl/>
        <w:numPr>
          <w:ilvl w:val="0"/>
          <w:numId w:val="23"/>
        </w:numPr>
        <w:suppressAutoHyphens w:val="0"/>
        <w:spacing w:line="249" w:lineRule="auto"/>
        <w:ind w:hanging="360"/>
        <w:jc w:val="center"/>
        <w:textAlignment w:val="auto"/>
      </w:pPr>
      <w:r>
        <w:rPr>
          <w:rFonts w:ascii="Arial" w:eastAsia="Calibri" w:hAnsi="Arial" w:cs="Arial"/>
          <w:b/>
          <w:i/>
          <w:sz w:val="22"/>
          <w:szCs w:val="22"/>
          <w:u w:val="single" w:color="000000"/>
        </w:rPr>
        <w:t xml:space="preserve">INGRESOS: </w:t>
      </w:r>
    </w:p>
    <w:tbl>
      <w:tblPr>
        <w:tblW w:w="7336" w:type="dxa"/>
        <w:tblInd w:w="604" w:type="dxa"/>
        <w:tblCellMar>
          <w:left w:w="10" w:type="dxa"/>
          <w:right w:w="10" w:type="dxa"/>
        </w:tblCellMar>
        <w:tblLook w:val="0000" w:firstRow="0" w:lastRow="0" w:firstColumn="0" w:lastColumn="0" w:noHBand="0" w:noVBand="0"/>
      </w:tblPr>
      <w:tblGrid>
        <w:gridCol w:w="3642"/>
        <w:gridCol w:w="3694"/>
      </w:tblGrid>
      <w:tr w:rsidR="009B4233">
        <w:tblPrEx>
          <w:tblCellMar>
            <w:top w:w="0" w:type="dxa"/>
            <w:bottom w:w="0" w:type="dxa"/>
          </w:tblCellMar>
        </w:tblPrEx>
        <w:trPr>
          <w:trHeight w:val="194"/>
        </w:trPr>
        <w:tc>
          <w:tcPr>
            <w:tcW w:w="3642" w:type="dxa"/>
            <w:tcBorders>
              <w:top w:val="single" w:sz="4" w:space="0" w:color="000000"/>
              <w:left w:val="single" w:sz="4" w:space="0" w:color="000000"/>
              <w:bottom w:val="single" w:sz="4" w:space="0" w:color="000000"/>
              <w:right w:val="single" w:sz="4" w:space="0" w:color="000000"/>
            </w:tcBorders>
            <w:shd w:val="clear" w:color="auto" w:fill="auto"/>
            <w:tcMar>
              <w:top w:w="10" w:type="dxa"/>
              <w:left w:w="115" w:type="dxa"/>
              <w:bottom w:w="0" w:type="dxa"/>
              <w:right w:w="115" w:type="dxa"/>
            </w:tcMar>
          </w:tcPr>
          <w:p w:rsidR="009B4233" w:rsidRDefault="006B08B9">
            <w:pPr>
              <w:spacing w:line="249" w:lineRule="auto"/>
              <w:ind w:left="2"/>
              <w:jc w:val="center"/>
            </w:pPr>
            <w:r>
              <w:rPr>
                <w:rFonts w:ascii="Arial" w:eastAsia="Calibri" w:hAnsi="Arial" w:cs="Arial"/>
                <w:b/>
                <w:sz w:val="22"/>
                <w:szCs w:val="22"/>
              </w:rPr>
              <w:t>INGRESOS</w:t>
            </w:r>
          </w:p>
        </w:tc>
        <w:tc>
          <w:tcPr>
            <w:tcW w:w="3694" w:type="dxa"/>
            <w:tcBorders>
              <w:top w:val="single" w:sz="4" w:space="0" w:color="000000"/>
              <w:left w:val="single" w:sz="4" w:space="0" w:color="000000"/>
              <w:bottom w:val="single" w:sz="4" w:space="0" w:color="000000"/>
              <w:right w:val="single" w:sz="4" w:space="0" w:color="000000"/>
            </w:tcBorders>
            <w:shd w:val="clear" w:color="auto" w:fill="auto"/>
            <w:tcMar>
              <w:top w:w="10" w:type="dxa"/>
              <w:left w:w="115" w:type="dxa"/>
              <w:bottom w:w="0" w:type="dxa"/>
              <w:right w:w="115" w:type="dxa"/>
            </w:tcMar>
          </w:tcPr>
          <w:p w:rsidR="009B4233" w:rsidRDefault="006B08B9">
            <w:pPr>
              <w:spacing w:line="249" w:lineRule="auto"/>
              <w:ind w:left="4"/>
              <w:jc w:val="center"/>
            </w:pPr>
            <w:r>
              <w:rPr>
                <w:rFonts w:ascii="Arial" w:eastAsia="Calibri" w:hAnsi="Arial" w:cs="Arial"/>
                <w:b/>
                <w:sz w:val="22"/>
                <w:szCs w:val="22"/>
              </w:rPr>
              <w:t>INGRESO REAL 2024</w:t>
            </w:r>
          </w:p>
        </w:tc>
      </w:tr>
      <w:tr w:rsidR="009B4233">
        <w:tblPrEx>
          <w:tblCellMar>
            <w:top w:w="0" w:type="dxa"/>
            <w:bottom w:w="0" w:type="dxa"/>
          </w:tblCellMar>
        </w:tblPrEx>
        <w:trPr>
          <w:trHeight w:val="476"/>
        </w:trPr>
        <w:tc>
          <w:tcPr>
            <w:tcW w:w="3642" w:type="dxa"/>
            <w:tcBorders>
              <w:top w:val="single" w:sz="4" w:space="0" w:color="000000"/>
              <w:left w:val="single" w:sz="4" w:space="0" w:color="000000"/>
              <w:bottom w:val="single" w:sz="4" w:space="0" w:color="000000"/>
              <w:right w:val="single" w:sz="4" w:space="0" w:color="000000"/>
            </w:tcBorders>
            <w:shd w:val="clear" w:color="auto" w:fill="auto"/>
            <w:tcMar>
              <w:top w:w="10" w:type="dxa"/>
              <w:left w:w="115" w:type="dxa"/>
              <w:bottom w:w="0" w:type="dxa"/>
              <w:right w:w="115" w:type="dxa"/>
            </w:tcMar>
          </w:tcPr>
          <w:p w:rsidR="009B4233" w:rsidRDefault="006B08B9">
            <w:pPr>
              <w:spacing w:line="249" w:lineRule="auto"/>
              <w:ind w:left="1"/>
              <w:jc w:val="center"/>
            </w:pPr>
            <w:r>
              <w:rPr>
                <w:rFonts w:ascii="Arial" w:eastAsia="Calibri" w:hAnsi="Arial" w:cs="Arial"/>
                <w:b/>
                <w:sz w:val="22"/>
                <w:szCs w:val="22"/>
              </w:rPr>
              <w:t>Importe Neto de la Cifra de Negocios</w:t>
            </w:r>
          </w:p>
        </w:tc>
        <w:tc>
          <w:tcPr>
            <w:tcW w:w="3694" w:type="dxa"/>
            <w:tcBorders>
              <w:top w:val="single" w:sz="4" w:space="0" w:color="000000"/>
              <w:left w:val="single" w:sz="4" w:space="0" w:color="000000"/>
              <w:bottom w:val="single" w:sz="4" w:space="0" w:color="000000"/>
              <w:right w:val="single" w:sz="4" w:space="0" w:color="000000"/>
            </w:tcBorders>
            <w:shd w:val="clear" w:color="auto" w:fill="auto"/>
            <w:tcMar>
              <w:top w:w="10" w:type="dxa"/>
              <w:left w:w="115" w:type="dxa"/>
              <w:bottom w:w="0" w:type="dxa"/>
              <w:right w:w="115" w:type="dxa"/>
            </w:tcMar>
          </w:tcPr>
          <w:p w:rsidR="009B4233" w:rsidRDefault="006B08B9">
            <w:pPr>
              <w:spacing w:line="249" w:lineRule="auto"/>
              <w:ind w:left="3"/>
              <w:jc w:val="center"/>
              <w:rPr>
                <w:rFonts w:ascii="Arial" w:hAnsi="Arial" w:cs="Arial"/>
                <w:sz w:val="22"/>
                <w:szCs w:val="22"/>
              </w:rPr>
            </w:pPr>
            <w:r>
              <w:rPr>
                <w:rFonts w:ascii="Arial" w:hAnsi="Arial" w:cs="Arial"/>
                <w:sz w:val="22"/>
                <w:szCs w:val="22"/>
              </w:rPr>
              <w:t>4.683,08 €</w:t>
            </w:r>
          </w:p>
        </w:tc>
      </w:tr>
      <w:tr w:rsidR="009B4233">
        <w:tblPrEx>
          <w:tblCellMar>
            <w:top w:w="0" w:type="dxa"/>
            <w:bottom w:w="0" w:type="dxa"/>
          </w:tblCellMar>
        </w:tblPrEx>
        <w:trPr>
          <w:trHeight w:val="478"/>
        </w:trPr>
        <w:tc>
          <w:tcPr>
            <w:tcW w:w="3642" w:type="dxa"/>
            <w:tcBorders>
              <w:top w:val="single" w:sz="4" w:space="0" w:color="000000"/>
              <w:left w:val="single" w:sz="4" w:space="0" w:color="000000"/>
              <w:bottom w:val="single" w:sz="4" w:space="0" w:color="000000"/>
              <w:right w:val="single" w:sz="4" w:space="0" w:color="000000"/>
            </w:tcBorders>
            <w:shd w:val="clear" w:color="auto" w:fill="auto"/>
            <w:tcMar>
              <w:top w:w="10" w:type="dxa"/>
              <w:left w:w="115" w:type="dxa"/>
              <w:bottom w:w="0" w:type="dxa"/>
              <w:right w:w="115" w:type="dxa"/>
            </w:tcMar>
          </w:tcPr>
          <w:p w:rsidR="009B4233" w:rsidRDefault="006B08B9">
            <w:pPr>
              <w:spacing w:line="249" w:lineRule="auto"/>
              <w:jc w:val="center"/>
            </w:pPr>
            <w:r>
              <w:rPr>
                <w:rFonts w:ascii="Arial" w:eastAsia="Calibri" w:hAnsi="Arial" w:cs="Arial"/>
                <w:b/>
                <w:sz w:val="22"/>
                <w:szCs w:val="22"/>
              </w:rPr>
              <w:t>Otros Ingresos de Explotación</w:t>
            </w:r>
          </w:p>
        </w:tc>
        <w:tc>
          <w:tcPr>
            <w:tcW w:w="3694" w:type="dxa"/>
            <w:tcBorders>
              <w:top w:val="single" w:sz="4" w:space="0" w:color="000000"/>
              <w:left w:val="single" w:sz="4" w:space="0" w:color="000000"/>
              <w:bottom w:val="single" w:sz="4" w:space="0" w:color="000000"/>
              <w:right w:val="single" w:sz="4" w:space="0" w:color="000000"/>
            </w:tcBorders>
            <w:shd w:val="clear" w:color="auto" w:fill="auto"/>
            <w:tcMar>
              <w:top w:w="10" w:type="dxa"/>
              <w:left w:w="115" w:type="dxa"/>
              <w:bottom w:w="0" w:type="dxa"/>
              <w:right w:w="115" w:type="dxa"/>
            </w:tcMar>
          </w:tcPr>
          <w:p w:rsidR="009B4233" w:rsidRDefault="006B08B9">
            <w:pPr>
              <w:spacing w:line="249" w:lineRule="auto"/>
              <w:ind w:left="5"/>
              <w:jc w:val="center"/>
              <w:rPr>
                <w:rFonts w:ascii="Arial" w:hAnsi="Arial" w:cs="Arial"/>
                <w:sz w:val="22"/>
                <w:szCs w:val="22"/>
              </w:rPr>
            </w:pPr>
            <w:r>
              <w:rPr>
                <w:rFonts w:ascii="Arial" w:hAnsi="Arial" w:cs="Arial"/>
                <w:sz w:val="22"/>
                <w:szCs w:val="22"/>
              </w:rPr>
              <w:t>1.367.859,50 €</w:t>
            </w:r>
          </w:p>
        </w:tc>
      </w:tr>
      <w:tr w:rsidR="009B4233">
        <w:tblPrEx>
          <w:tblCellMar>
            <w:top w:w="0" w:type="dxa"/>
            <w:bottom w:w="0" w:type="dxa"/>
          </w:tblCellMar>
        </w:tblPrEx>
        <w:trPr>
          <w:trHeight w:val="194"/>
        </w:trPr>
        <w:tc>
          <w:tcPr>
            <w:tcW w:w="3642" w:type="dxa"/>
            <w:tcBorders>
              <w:top w:val="single" w:sz="4" w:space="0" w:color="000000"/>
              <w:left w:val="single" w:sz="4" w:space="0" w:color="000000"/>
              <w:bottom w:val="single" w:sz="4" w:space="0" w:color="000000"/>
              <w:right w:val="single" w:sz="4" w:space="0" w:color="000000"/>
            </w:tcBorders>
            <w:shd w:val="clear" w:color="auto" w:fill="auto"/>
            <w:tcMar>
              <w:top w:w="10" w:type="dxa"/>
              <w:left w:w="115" w:type="dxa"/>
              <w:bottom w:w="0" w:type="dxa"/>
              <w:right w:w="115" w:type="dxa"/>
            </w:tcMar>
          </w:tcPr>
          <w:p w:rsidR="009B4233" w:rsidRDefault="006B08B9">
            <w:pPr>
              <w:spacing w:line="249" w:lineRule="auto"/>
              <w:ind w:left="4"/>
              <w:jc w:val="center"/>
            </w:pPr>
            <w:r>
              <w:rPr>
                <w:rFonts w:ascii="Arial" w:eastAsia="Calibri" w:hAnsi="Arial" w:cs="Arial"/>
                <w:b/>
                <w:sz w:val="22"/>
                <w:szCs w:val="22"/>
              </w:rPr>
              <w:t>Otros Ingresos</w:t>
            </w:r>
          </w:p>
        </w:tc>
        <w:tc>
          <w:tcPr>
            <w:tcW w:w="3694" w:type="dxa"/>
            <w:tcBorders>
              <w:top w:val="single" w:sz="4" w:space="0" w:color="000000"/>
              <w:left w:val="single" w:sz="4" w:space="0" w:color="000000"/>
              <w:bottom w:val="single" w:sz="4" w:space="0" w:color="000000"/>
              <w:right w:val="single" w:sz="4" w:space="0" w:color="000000"/>
            </w:tcBorders>
            <w:shd w:val="clear" w:color="auto" w:fill="auto"/>
            <w:tcMar>
              <w:top w:w="10" w:type="dxa"/>
              <w:left w:w="115" w:type="dxa"/>
              <w:bottom w:w="0" w:type="dxa"/>
              <w:right w:w="115" w:type="dxa"/>
            </w:tcMar>
          </w:tcPr>
          <w:p w:rsidR="009B4233" w:rsidRDefault="006B08B9">
            <w:pPr>
              <w:spacing w:line="249" w:lineRule="auto"/>
              <w:ind w:left="3"/>
              <w:jc w:val="center"/>
              <w:rPr>
                <w:rFonts w:ascii="Arial" w:hAnsi="Arial" w:cs="Arial"/>
                <w:sz w:val="22"/>
                <w:szCs w:val="22"/>
              </w:rPr>
            </w:pPr>
            <w:r>
              <w:rPr>
                <w:rFonts w:ascii="Arial" w:hAnsi="Arial" w:cs="Arial"/>
                <w:sz w:val="22"/>
                <w:szCs w:val="22"/>
              </w:rPr>
              <w:t>6.495,95 €</w:t>
            </w:r>
          </w:p>
        </w:tc>
      </w:tr>
      <w:tr w:rsidR="009B4233">
        <w:tblPrEx>
          <w:tblCellMar>
            <w:top w:w="0" w:type="dxa"/>
            <w:bottom w:w="0" w:type="dxa"/>
          </w:tblCellMar>
        </w:tblPrEx>
        <w:trPr>
          <w:trHeight w:val="546"/>
        </w:trPr>
        <w:tc>
          <w:tcPr>
            <w:tcW w:w="3642" w:type="dxa"/>
            <w:tcBorders>
              <w:top w:val="single" w:sz="4" w:space="0" w:color="000000"/>
              <w:left w:val="single" w:sz="4" w:space="0" w:color="000000"/>
              <w:bottom w:val="single" w:sz="4" w:space="0" w:color="000000"/>
              <w:right w:val="single" w:sz="4" w:space="0" w:color="000000"/>
            </w:tcBorders>
            <w:shd w:val="clear" w:color="auto" w:fill="auto"/>
            <w:tcMar>
              <w:top w:w="10" w:type="dxa"/>
              <w:left w:w="115" w:type="dxa"/>
              <w:bottom w:w="0" w:type="dxa"/>
              <w:right w:w="115" w:type="dxa"/>
            </w:tcMar>
          </w:tcPr>
          <w:p w:rsidR="009B4233" w:rsidRDefault="009B4233">
            <w:pPr>
              <w:spacing w:after="160" w:line="249" w:lineRule="auto"/>
              <w:rPr>
                <w:rFonts w:ascii="Arial" w:hAnsi="Arial" w:cs="Arial"/>
                <w:sz w:val="22"/>
                <w:szCs w:val="22"/>
              </w:rPr>
            </w:pPr>
          </w:p>
        </w:tc>
        <w:tc>
          <w:tcPr>
            <w:tcW w:w="3694" w:type="dxa"/>
            <w:tcBorders>
              <w:top w:val="single" w:sz="4" w:space="0" w:color="000000"/>
              <w:left w:val="single" w:sz="4" w:space="0" w:color="000000"/>
              <w:bottom w:val="single" w:sz="4" w:space="0" w:color="000000"/>
              <w:right w:val="single" w:sz="4" w:space="0" w:color="000000"/>
            </w:tcBorders>
            <w:shd w:val="clear" w:color="auto" w:fill="auto"/>
            <w:tcMar>
              <w:top w:w="10" w:type="dxa"/>
              <w:left w:w="115" w:type="dxa"/>
              <w:bottom w:w="0" w:type="dxa"/>
              <w:right w:w="115" w:type="dxa"/>
            </w:tcMar>
          </w:tcPr>
          <w:p w:rsidR="009B4233" w:rsidRDefault="009B4233">
            <w:pPr>
              <w:spacing w:after="160" w:line="249" w:lineRule="auto"/>
              <w:rPr>
                <w:rFonts w:ascii="Arial" w:hAnsi="Arial" w:cs="Arial"/>
                <w:sz w:val="22"/>
                <w:szCs w:val="22"/>
              </w:rPr>
            </w:pPr>
          </w:p>
        </w:tc>
      </w:tr>
      <w:tr w:rsidR="009B4233">
        <w:tblPrEx>
          <w:tblCellMar>
            <w:top w:w="0" w:type="dxa"/>
            <w:bottom w:w="0" w:type="dxa"/>
          </w:tblCellMar>
        </w:tblPrEx>
        <w:trPr>
          <w:trHeight w:val="478"/>
        </w:trPr>
        <w:tc>
          <w:tcPr>
            <w:tcW w:w="3642" w:type="dxa"/>
            <w:tcBorders>
              <w:top w:val="single" w:sz="4" w:space="0" w:color="000000"/>
              <w:left w:val="single" w:sz="4" w:space="0" w:color="000000"/>
              <w:bottom w:val="single" w:sz="4" w:space="0" w:color="000000"/>
              <w:right w:val="single" w:sz="4" w:space="0" w:color="000000"/>
            </w:tcBorders>
            <w:shd w:val="clear" w:color="auto" w:fill="auto"/>
            <w:tcMar>
              <w:top w:w="10" w:type="dxa"/>
              <w:left w:w="115" w:type="dxa"/>
              <w:bottom w:w="0" w:type="dxa"/>
              <w:right w:w="115" w:type="dxa"/>
            </w:tcMar>
          </w:tcPr>
          <w:p w:rsidR="009B4233" w:rsidRDefault="006B08B9">
            <w:pPr>
              <w:spacing w:line="249" w:lineRule="auto"/>
              <w:ind w:left="3"/>
              <w:jc w:val="center"/>
            </w:pPr>
            <w:r>
              <w:rPr>
                <w:rFonts w:ascii="Arial" w:eastAsia="Calibri" w:hAnsi="Arial" w:cs="Arial"/>
                <w:b/>
                <w:sz w:val="22"/>
                <w:szCs w:val="22"/>
              </w:rPr>
              <w:t>TOTAL</w:t>
            </w:r>
          </w:p>
        </w:tc>
        <w:tc>
          <w:tcPr>
            <w:tcW w:w="3694" w:type="dxa"/>
            <w:tcBorders>
              <w:top w:val="single" w:sz="4" w:space="0" w:color="000000"/>
              <w:left w:val="single" w:sz="4" w:space="0" w:color="000000"/>
              <w:bottom w:val="single" w:sz="4" w:space="0" w:color="000000"/>
              <w:right w:val="single" w:sz="4" w:space="0" w:color="000000"/>
            </w:tcBorders>
            <w:shd w:val="clear" w:color="auto" w:fill="auto"/>
            <w:tcMar>
              <w:top w:w="10" w:type="dxa"/>
              <w:left w:w="115" w:type="dxa"/>
              <w:bottom w:w="0" w:type="dxa"/>
              <w:right w:w="115" w:type="dxa"/>
            </w:tcMar>
          </w:tcPr>
          <w:p w:rsidR="009B4233" w:rsidRDefault="006B08B9">
            <w:pPr>
              <w:spacing w:line="249" w:lineRule="auto"/>
              <w:ind w:left="5"/>
              <w:jc w:val="center"/>
            </w:pPr>
            <w:r>
              <w:rPr>
                <w:rFonts w:ascii="Arial" w:eastAsia="Calibri" w:hAnsi="Arial" w:cs="Arial"/>
                <w:b/>
                <w:sz w:val="22"/>
                <w:szCs w:val="22"/>
              </w:rPr>
              <w:t>1.379.038,53 €</w:t>
            </w:r>
          </w:p>
        </w:tc>
      </w:tr>
    </w:tbl>
    <w:p w:rsidR="009B4233" w:rsidRDefault="006B08B9">
      <w:pPr>
        <w:widowControl/>
        <w:numPr>
          <w:ilvl w:val="0"/>
          <w:numId w:val="23"/>
        </w:numPr>
        <w:suppressAutoHyphens w:val="0"/>
        <w:spacing w:line="249" w:lineRule="auto"/>
        <w:ind w:hanging="360"/>
        <w:jc w:val="center"/>
        <w:textAlignment w:val="auto"/>
      </w:pPr>
      <w:r>
        <w:rPr>
          <w:rFonts w:ascii="Arial" w:eastAsia="Calibri" w:hAnsi="Arial" w:cs="Arial"/>
          <w:b/>
          <w:sz w:val="22"/>
          <w:szCs w:val="22"/>
        </w:rPr>
        <w:t>GASTOS:</w:t>
      </w:r>
    </w:p>
    <w:tbl>
      <w:tblPr>
        <w:tblW w:w="7380" w:type="dxa"/>
        <w:tblInd w:w="560" w:type="dxa"/>
        <w:tblCellMar>
          <w:left w:w="10" w:type="dxa"/>
          <w:right w:w="10" w:type="dxa"/>
        </w:tblCellMar>
        <w:tblLook w:val="0000" w:firstRow="0" w:lastRow="0" w:firstColumn="0" w:lastColumn="0" w:noHBand="0" w:noVBand="0"/>
      </w:tblPr>
      <w:tblGrid>
        <w:gridCol w:w="3686"/>
        <w:gridCol w:w="3694"/>
      </w:tblGrid>
      <w:tr w:rsidR="009B4233">
        <w:tblPrEx>
          <w:tblCellMar>
            <w:top w:w="0" w:type="dxa"/>
            <w:bottom w:w="0" w:type="dxa"/>
          </w:tblCellMar>
        </w:tblPrEx>
        <w:trPr>
          <w:trHeight w:val="194"/>
        </w:trPr>
        <w:tc>
          <w:tcPr>
            <w:tcW w:w="3686" w:type="dxa"/>
            <w:tcBorders>
              <w:top w:val="single" w:sz="4" w:space="0" w:color="000000"/>
              <w:left w:val="single" w:sz="4" w:space="0" w:color="000000"/>
              <w:bottom w:val="single" w:sz="4" w:space="0" w:color="000000"/>
              <w:right w:val="single" w:sz="4" w:space="0" w:color="000000"/>
            </w:tcBorders>
            <w:shd w:val="clear" w:color="auto" w:fill="auto"/>
            <w:tcMar>
              <w:top w:w="10" w:type="dxa"/>
              <w:left w:w="115" w:type="dxa"/>
              <w:bottom w:w="0" w:type="dxa"/>
              <w:right w:w="115" w:type="dxa"/>
            </w:tcMar>
          </w:tcPr>
          <w:p w:rsidR="009B4233" w:rsidRDefault="006B08B9">
            <w:pPr>
              <w:spacing w:line="249" w:lineRule="auto"/>
              <w:ind w:left="722"/>
              <w:jc w:val="center"/>
            </w:pPr>
            <w:r>
              <w:rPr>
                <w:rFonts w:ascii="Arial" w:eastAsia="Calibri" w:hAnsi="Arial" w:cs="Arial"/>
                <w:b/>
                <w:sz w:val="22"/>
                <w:szCs w:val="22"/>
              </w:rPr>
              <w:t>GASTOS</w:t>
            </w:r>
          </w:p>
        </w:tc>
        <w:tc>
          <w:tcPr>
            <w:tcW w:w="3694" w:type="dxa"/>
            <w:tcBorders>
              <w:top w:val="single" w:sz="4" w:space="0" w:color="000000"/>
              <w:left w:val="single" w:sz="4" w:space="0" w:color="000000"/>
              <w:bottom w:val="single" w:sz="4" w:space="0" w:color="000000"/>
              <w:right w:val="single" w:sz="4" w:space="0" w:color="000000"/>
            </w:tcBorders>
            <w:shd w:val="clear" w:color="auto" w:fill="auto"/>
            <w:tcMar>
              <w:top w:w="10" w:type="dxa"/>
              <w:left w:w="115" w:type="dxa"/>
              <w:bottom w:w="0" w:type="dxa"/>
              <w:right w:w="115" w:type="dxa"/>
            </w:tcMar>
          </w:tcPr>
          <w:p w:rsidR="009B4233" w:rsidRDefault="006B08B9">
            <w:pPr>
              <w:spacing w:line="249" w:lineRule="auto"/>
              <w:ind w:left="4"/>
              <w:jc w:val="center"/>
            </w:pPr>
            <w:r>
              <w:rPr>
                <w:rFonts w:ascii="Arial" w:eastAsia="Calibri" w:hAnsi="Arial" w:cs="Arial"/>
                <w:b/>
                <w:sz w:val="22"/>
                <w:szCs w:val="22"/>
              </w:rPr>
              <w:t>GASTO REAL 2024</w:t>
            </w:r>
          </w:p>
        </w:tc>
      </w:tr>
      <w:tr w:rsidR="009B4233">
        <w:tblPrEx>
          <w:tblCellMar>
            <w:top w:w="0" w:type="dxa"/>
            <w:bottom w:w="0" w:type="dxa"/>
          </w:tblCellMar>
        </w:tblPrEx>
        <w:trPr>
          <w:trHeight w:val="478"/>
        </w:trPr>
        <w:tc>
          <w:tcPr>
            <w:tcW w:w="3686" w:type="dxa"/>
            <w:tcBorders>
              <w:top w:val="single" w:sz="4" w:space="0" w:color="000000"/>
              <w:left w:val="single" w:sz="4" w:space="0" w:color="000000"/>
              <w:bottom w:val="single" w:sz="4" w:space="0" w:color="000000"/>
              <w:right w:val="single" w:sz="4" w:space="0" w:color="000000"/>
            </w:tcBorders>
            <w:shd w:val="clear" w:color="auto" w:fill="auto"/>
            <w:tcMar>
              <w:top w:w="10" w:type="dxa"/>
              <w:left w:w="115" w:type="dxa"/>
              <w:bottom w:w="0" w:type="dxa"/>
              <w:right w:w="115" w:type="dxa"/>
            </w:tcMar>
          </w:tcPr>
          <w:p w:rsidR="009B4233" w:rsidRDefault="006B08B9">
            <w:pPr>
              <w:spacing w:line="249" w:lineRule="auto"/>
              <w:ind w:left="2"/>
              <w:jc w:val="center"/>
            </w:pPr>
            <w:r>
              <w:rPr>
                <w:rFonts w:ascii="Arial" w:eastAsia="Calibri" w:hAnsi="Arial" w:cs="Arial"/>
                <w:b/>
                <w:sz w:val="22"/>
                <w:szCs w:val="22"/>
              </w:rPr>
              <w:t>Gastos de Personal</w:t>
            </w:r>
          </w:p>
        </w:tc>
        <w:tc>
          <w:tcPr>
            <w:tcW w:w="3694" w:type="dxa"/>
            <w:tcBorders>
              <w:top w:val="single" w:sz="4" w:space="0" w:color="000000"/>
              <w:left w:val="single" w:sz="4" w:space="0" w:color="000000"/>
              <w:bottom w:val="single" w:sz="4" w:space="0" w:color="000000"/>
              <w:right w:val="single" w:sz="4" w:space="0" w:color="000000"/>
            </w:tcBorders>
            <w:shd w:val="clear" w:color="auto" w:fill="auto"/>
            <w:tcMar>
              <w:top w:w="10" w:type="dxa"/>
              <w:left w:w="115" w:type="dxa"/>
              <w:bottom w:w="0" w:type="dxa"/>
              <w:right w:w="115" w:type="dxa"/>
            </w:tcMar>
          </w:tcPr>
          <w:p w:rsidR="009B4233" w:rsidRDefault="006B08B9">
            <w:pPr>
              <w:spacing w:line="249" w:lineRule="auto"/>
              <w:ind w:left="5"/>
              <w:jc w:val="center"/>
              <w:rPr>
                <w:rFonts w:ascii="Arial" w:hAnsi="Arial" w:cs="Arial"/>
                <w:sz w:val="22"/>
                <w:szCs w:val="22"/>
              </w:rPr>
            </w:pPr>
            <w:r>
              <w:rPr>
                <w:rFonts w:ascii="Arial" w:hAnsi="Arial" w:cs="Arial"/>
                <w:sz w:val="22"/>
                <w:szCs w:val="22"/>
              </w:rPr>
              <w:t>1.206.767,30 €</w:t>
            </w:r>
          </w:p>
        </w:tc>
      </w:tr>
      <w:tr w:rsidR="009B4233">
        <w:tblPrEx>
          <w:tblCellMar>
            <w:top w:w="0" w:type="dxa"/>
            <w:bottom w:w="0" w:type="dxa"/>
          </w:tblCellMar>
        </w:tblPrEx>
        <w:trPr>
          <w:trHeight w:val="476"/>
        </w:trPr>
        <w:tc>
          <w:tcPr>
            <w:tcW w:w="3686" w:type="dxa"/>
            <w:tcBorders>
              <w:top w:val="single" w:sz="4" w:space="0" w:color="000000"/>
              <w:left w:val="single" w:sz="4" w:space="0" w:color="000000"/>
              <w:bottom w:val="single" w:sz="4" w:space="0" w:color="000000"/>
              <w:right w:val="single" w:sz="4" w:space="0" w:color="000000"/>
            </w:tcBorders>
            <w:shd w:val="clear" w:color="auto" w:fill="auto"/>
            <w:tcMar>
              <w:top w:w="10" w:type="dxa"/>
              <w:left w:w="115" w:type="dxa"/>
              <w:bottom w:w="0" w:type="dxa"/>
              <w:right w:w="115" w:type="dxa"/>
            </w:tcMar>
          </w:tcPr>
          <w:p w:rsidR="009B4233" w:rsidRDefault="006B08B9">
            <w:pPr>
              <w:spacing w:line="249" w:lineRule="auto"/>
              <w:jc w:val="center"/>
            </w:pPr>
            <w:r>
              <w:rPr>
                <w:rFonts w:ascii="Arial" w:eastAsia="Calibri" w:hAnsi="Arial" w:cs="Arial"/>
                <w:b/>
                <w:sz w:val="22"/>
                <w:szCs w:val="22"/>
              </w:rPr>
              <w:t>Otros Gastos de Explotación</w:t>
            </w:r>
          </w:p>
        </w:tc>
        <w:tc>
          <w:tcPr>
            <w:tcW w:w="3694" w:type="dxa"/>
            <w:tcBorders>
              <w:top w:val="single" w:sz="4" w:space="0" w:color="000000"/>
              <w:left w:val="single" w:sz="4" w:space="0" w:color="000000"/>
              <w:bottom w:val="single" w:sz="4" w:space="0" w:color="000000"/>
              <w:right w:val="single" w:sz="4" w:space="0" w:color="000000"/>
            </w:tcBorders>
            <w:shd w:val="clear" w:color="auto" w:fill="auto"/>
            <w:tcMar>
              <w:top w:w="10" w:type="dxa"/>
              <w:left w:w="115" w:type="dxa"/>
              <w:bottom w:w="0" w:type="dxa"/>
              <w:right w:w="115" w:type="dxa"/>
            </w:tcMar>
          </w:tcPr>
          <w:p w:rsidR="009B4233" w:rsidRDefault="006B08B9">
            <w:pPr>
              <w:spacing w:line="249" w:lineRule="auto"/>
              <w:ind w:left="5"/>
              <w:jc w:val="center"/>
              <w:rPr>
                <w:rFonts w:ascii="Arial" w:hAnsi="Arial" w:cs="Arial"/>
                <w:sz w:val="22"/>
                <w:szCs w:val="22"/>
              </w:rPr>
            </w:pPr>
            <w:r>
              <w:rPr>
                <w:rFonts w:ascii="Arial" w:hAnsi="Arial" w:cs="Arial"/>
                <w:sz w:val="22"/>
                <w:szCs w:val="22"/>
              </w:rPr>
              <w:t>82.396,19 €</w:t>
            </w:r>
          </w:p>
        </w:tc>
      </w:tr>
      <w:tr w:rsidR="009B4233">
        <w:tblPrEx>
          <w:tblCellMar>
            <w:top w:w="0" w:type="dxa"/>
            <w:bottom w:w="0" w:type="dxa"/>
          </w:tblCellMar>
        </w:tblPrEx>
        <w:trPr>
          <w:trHeight w:val="478"/>
        </w:trPr>
        <w:tc>
          <w:tcPr>
            <w:tcW w:w="3686" w:type="dxa"/>
            <w:tcBorders>
              <w:top w:val="single" w:sz="4" w:space="0" w:color="000000"/>
              <w:left w:val="single" w:sz="4" w:space="0" w:color="000000"/>
              <w:bottom w:val="single" w:sz="4" w:space="0" w:color="000000"/>
              <w:right w:val="single" w:sz="4" w:space="0" w:color="000000"/>
            </w:tcBorders>
            <w:shd w:val="clear" w:color="auto" w:fill="auto"/>
            <w:tcMar>
              <w:top w:w="10" w:type="dxa"/>
              <w:left w:w="115" w:type="dxa"/>
              <w:bottom w:w="0" w:type="dxa"/>
              <w:right w:w="115" w:type="dxa"/>
            </w:tcMar>
          </w:tcPr>
          <w:p w:rsidR="009B4233" w:rsidRDefault="006B08B9">
            <w:pPr>
              <w:spacing w:line="249" w:lineRule="auto"/>
              <w:ind w:left="2"/>
              <w:jc w:val="center"/>
            </w:pPr>
            <w:r>
              <w:rPr>
                <w:rFonts w:ascii="Arial" w:eastAsia="Calibri" w:hAnsi="Arial" w:cs="Arial"/>
                <w:b/>
                <w:sz w:val="22"/>
                <w:szCs w:val="22"/>
              </w:rPr>
              <w:t>Aprovisionamientos</w:t>
            </w:r>
          </w:p>
        </w:tc>
        <w:tc>
          <w:tcPr>
            <w:tcW w:w="3694" w:type="dxa"/>
            <w:tcBorders>
              <w:top w:val="single" w:sz="4" w:space="0" w:color="000000"/>
              <w:left w:val="single" w:sz="4" w:space="0" w:color="000000"/>
              <w:bottom w:val="single" w:sz="4" w:space="0" w:color="000000"/>
              <w:right w:val="single" w:sz="4" w:space="0" w:color="000000"/>
            </w:tcBorders>
            <w:shd w:val="clear" w:color="auto" w:fill="auto"/>
            <w:tcMar>
              <w:top w:w="10" w:type="dxa"/>
              <w:left w:w="115" w:type="dxa"/>
              <w:bottom w:w="0" w:type="dxa"/>
              <w:right w:w="115" w:type="dxa"/>
            </w:tcMar>
          </w:tcPr>
          <w:p w:rsidR="009B4233" w:rsidRDefault="006B08B9">
            <w:pPr>
              <w:spacing w:line="249" w:lineRule="auto"/>
              <w:ind w:left="3"/>
              <w:jc w:val="center"/>
              <w:rPr>
                <w:rFonts w:ascii="Arial" w:hAnsi="Arial" w:cs="Arial"/>
                <w:sz w:val="22"/>
                <w:szCs w:val="22"/>
              </w:rPr>
            </w:pPr>
            <w:r>
              <w:rPr>
                <w:rFonts w:ascii="Arial" w:hAnsi="Arial" w:cs="Arial"/>
                <w:sz w:val="22"/>
                <w:szCs w:val="22"/>
              </w:rPr>
              <w:t>4.073,41  €</w:t>
            </w:r>
          </w:p>
        </w:tc>
      </w:tr>
      <w:tr w:rsidR="009B4233">
        <w:tblPrEx>
          <w:tblCellMar>
            <w:top w:w="0" w:type="dxa"/>
            <w:bottom w:w="0" w:type="dxa"/>
          </w:tblCellMar>
        </w:tblPrEx>
        <w:trPr>
          <w:trHeight w:val="476"/>
        </w:trPr>
        <w:tc>
          <w:tcPr>
            <w:tcW w:w="3686" w:type="dxa"/>
            <w:tcBorders>
              <w:top w:val="single" w:sz="4" w:space="0" w:color="000000"/>
              <w:left w:val="single" w:sz="4" w:space="0" w:color="000000"/>
              <w:bottom w:val="single" w:sz="4" w:space="0" w:color="000000"/>
              <w:right w:val="single" w:sz="4" w:space="0" w:color="000000"/>
            </w:tcBorders>
            <w:shd w:val="clear" w:color="auto" w:fill="auto"/>
            <w:tcMar>
              <w:top w:w="10" w:type="dxa"/>
              <w:left w:w="115" w:type="dxa"/>
              <w:bottom w:w="0" w:type="dxa"/>
              <w:right w:w="115" w:type="dxa"/>
            </w:tcMar>
          </w:tcPr>
          <w:p w:rsidR="009B4233" w:rsidRDefault="006B08B9">
            <w:pPr>
              <w:spacing w:line="249" w:lineRule="auto"/>
              <w:ind w:left="2"/>
              <w:jc w:val="center"/>
            </w:pPr>
            <w:r>
              <w:rPr>
                <w:rFonts w:ascii="Arial" w:eastAsia="Calibri" w:hAnsi="Arial" w:cs="Arial"/>
                <w:b/>
                <w:sz w:val="22"/>
                <w:szCs w:val="22"/>
              </w:rPr>
              <w:t>Gastos Financieros</w:t>
            </w:r>
          </w:p>
        </w:tc>
        <w:tc>
          <w:tcPr>
            <w:tcW w:w="3694" w:type="dxa"/>
            <w:tcBorders>
              <w:top w:val="single" w:sz="4" w:space="0" w:color="000000"/>
              <w:left w:val="single" w:sz="4" w:space="0" w:color="000000"/>
              <w:bottom w:val="single" w:sz="4" w:space="0" w:color="000000"/>
              <w:right w:val="single" w:sz="4" w:space="0" w:color="000000"/>
            </w:tcBorders>
            <w:shd w:val="clear" w:color="auto" w:fill="auto"/>
            <w:tcMar>
              <w:top w:w="10" w:type="dxa"/>
              <w:left w:w="115" w:type="dxa"/>
              <w:bottom w:w="0" w:type="dxa"/>
              <w:right w:w="115" w:type="dxa"/>
            </w:tcMar>
          </w:tcPr>
          <w:p w:rsidR="009B4233" w:rsidRDefault="006B08B9">
            <w:pPr>
              <w:spacing w:line="249" w:lineRule="auto"/>
              <w:ind w:left="3"/>
              <w:jc w:val="center"/>
              <w:rPr>
                <w:rFonts w:ascii="Arial" w:hAnsi="Arial" w:cs="Arial"/>
                <w:sz w:val="22"/>
                <w:szCs w:val="22"/>
              </w:rPr>
            </w:pPr>
            <w:r>
              <w:rPr>
                <w:rFonts w:ascii="Arial" w:hAnsi="Arial" w:cs="Arial"/>
                <w:sz w:val="22"/>
                <w:szCs w:val="22"/>
              </w:rPr>
              <w:t>0,00 €</w:t>
            </w:r>
          </w:p>
        </w:tc>
      </w:tr>
      <w:tr w:rsidR="009B4233">
        <w:tblPrEx>
          <w:tblCellMar>
            <w:top w:w="0" w:type="dxa"/>
            <w:bottom w:w="0" w:type="dxa"/>
          </w:tblCellMar>
        </w:tblPrEx>
        <w:trPr>
          <w:trHeight w:val="478"/>
        </w:trPr>
        <w:tc>
          <w:tcPr>
            <w:tcW w:w="3686" w:type="dxa"/>
            <w:tcBorders>
              <w:top w:val="single" w:sz="4" w:space="0" w:color="000000"/>
              <w:left w:val="single" w:sz="4" w:space="0" w:color="000000"/>
              <w:bottom w:val="single" w:sz="4" w:space="0" w:color="000000"/>
              <w:right w:val="single" w:sz="4" w:space="0" w:color="000000"/>
            </w:tcBorders>
            <w:shd w:val="clear" w:color="auto" w:fill="auto"/>
            <w:tcMar>
              <w:top w:w="10" w:type="dxa"/>
              <w:left w:w="115" w:type="dxa"/>
              <w:bottom w:w="0" w:type="dxa"/>
              <w:right w:w="115" w:type="dxa"/>
            </w:tcMar>
          </w:tcPr>
          <w:p w:rsidR="009B4233" w:rsidRDefault="006B08B9">
            <w:pPr>
              <w:spacing w:line="249" w:lineRule="auto"/>
              <w:ind w:left="2"/>
              <w:jc w:val="center"/>
            </w:pPr>
            <w:r>
              <w:rPr>
                <w:rFonts w:ascii="Arial" w:eastAsia="Calibri" w:hAnsi="Arial" w:cs="Arial"/>
                <w:b/>
                <w:sz w:val="22"/>
                <w:szCs w:val="22"/>
              </w:rPr>
              <w:t>Otros Gastos</w:t>
            </w:r>
          </w:p>
        </w:tc>
        <w:tc>
          <w:tcPr>
            <w:tcW w:w="3694" w:type="dxa"/>
            <w:tcBorders>
              <w:top w:val="single" w:sz="4" w:space="0" w:color="000000"/>
              <w:left w:val="single" w:sz="4" w:space="0" w:color="000000"/>
              <w:bottom w:val="single" w:sz="4" w:space="0" w:color="000000"/>
              <w:right w:val="single" w:sz="4" w:space="0" w:color="000000"/>
            </w:tcBorders>
            <w:shd w:val="clear" w:color="auto" w:fill="auto"/>
            <w:tcMar>
              <w:top w:w="10" w:type="dxa"/>
              <w:left w:w="115" w:type="dxa"/>
              <w:bottom w:w="0" w:type="dxa"/>
              <w:right w:w="115" w:type="dxa"/>
            </w:tcMar>
          </w:tcPr>
          <w:p w:rsidR="009B4233" w:rsidRDefault="006B08B9">
            <w:pPr>
              <w:spacing w:line="249" w:lineRule="auto"/>
              <w:ind w:left="3"/>
              <w:jc w:val="center"/>
              <w:rPr>
                <w:rFonts w:ascii="Arial" w:hAnsi="Arial" w:cs="Arial"/>
                <w:sz w:val="22"/>
                <w:szCs w:val="22"/>
              </w:rPr>
            </w:pPr>
            <w:r>
              <w:rPr>
                <w:rFonts w:ascii="Arial" w:hAnsi="Arial" w:cs="Arial"/>
                <w:sz w:val="22"/>
                <w:szCs w:val="22"/>
              </w:rPr>
              <w:t>3.807,46 €</w:t>
            </w:r>
          </w:p>
        </w:tc>
      </w:tr>
      <w:tr w:rsidR="009B4233">
        <w:tblPrEx>
          <w:tblCellMar>
            <w:top w:w="0" w:type="dxa"/>
            <w:bottom w:w="0" w:type="dxa"/>
          </w:tblCellMar>
        </w:tblPrEx>
        <w:trPr>
          <w:trHeight w:val="476"/>
        </w:trPr>
        <w:tc>
          <w:tcPr>
            <w:tcW w:w="3686" w:type="dxa"/>
            <w:tcBorders>
              <w:top w:val="single" w:sz="4" w:space="0" w:color="000000"/>
              <w:left w:val="single" w:sz="4" w:space="0" w:color="000000"/>
              <w:bottom w:val="single" w:sz="4" w:space="0" w:color="000000"/>
              <w:right w:val="single" w:sz="4" w:space="0" w:color="000000"/>
            </w:tcBorders>
            <w:shd w:val="clear" w:color="auto" w:fill="auto"/>
            <w:tcMar>
              <w:top w:w="10" w:type="dxa"/>
              <w:left w:w="115" w:type="dxa"/>
              <w:bottom w:w="0" w:type="dxa"/>
              <w:right w:w="115" w:type="dxa"/>
            </w:tcMar>
          </w:tcPr>
          <w:p w:rsidR="009B4233" w:rsidRDefault="006B08B9">
            <w:pPr>
              <w:spacing w:line="249" w:lineRule="auto"/>
              <w:ind w:left="2"/>
              <w:jc w:val="center"/>
            </w:pPr>
            <w:r>
              <w:rPr>
                <w:rFonts w:ascii="Arial" w:eastAsia="Calibri" w:hAnsi="Arial" w:cs="Arial"/>
                <w:b/>
                <w:sz w:val="22"/>
                <w:szCs w:val="22"/>
              </w:rPr>
              <w:t>Amortización del Inmovilizado</w:t>
            </w:r>
          </w:p>
        </w:tc>
        <w:tc>
          <w:tcPr>
            <w:tcW w:w="3694" w:type="dxa"/>
            <w:tcBorders>
              <w:top w:val="single" w:sz="4" w:space="0" w:color="000000"/>
              <w:left w:val="single" w:sz="4" w:space="0" w:color="000000"/>
              <w:bottom w:val="single" w:sz="4" w:space="0" w:color="000000"/>
              <w:right w:val="single" w:sz="4" w:space="0" w:color="000000"/>
            </w:tcBorders>
            <w:shd w:val="clear" w:color="auto" w:fill="auto"/>
            <w:tcMar>
              <w:top w:w="10" w:type="dxa"/>
              <w:left w:w="115" w:type="dxa"/>
              <w:bottom w:w="0" w:type="dxa"/>
              <w:right w:w="115" w:type="dxa"/>
            </w:tcMar>
          </w:tcPr>
          <w:p w:rsidR="009B4233" w:rsidRDefault="006B08B9">
            <w:pPr>
              <w:spacing w:line="249" w:lineRule="auto"/>
              <w:ind w:left="5"/>
              <w:jc w:val="center"/>
              <w:rPr>
                <w:rFonts w:ascii="Arial" w:hAnsi="Arial" w:cs="Arial"/>
                <w:sz w:val="22"/>
                <w:szCs w:val="22"/>
              </w:rPr>
            </w:pPr>
            <w:r>
              <w:rPr>
                <w:rFonts w:ascii="Arial" w:hAnsi="Arial" w:cs="Arial"/>
                <w:sz w:val="22"/>
                <w:szCs w:val="22"/>
              </w:rPr>
              <w:t>10.199,99 €</w:t>
            </w:r>
          </w:p>
        </w:tc>
      </w:tr>
      <w:tr w:rsidR="009B4233">
        <w:tblPrEx>
          <w:tblCellMar>
            <w:top w:w="0" w:type="dxa"/>
            <w:bottom w:w="0" w:type="dxa"/>
          </w:tblCellMar>
        </w:tblPrEx>
        <w:trPr>
          <w:trHeight w:val="478"/>
        </w:trPr>
        <w:tc>
          <w:tcPr>
            <w:tcW w:w="3686" w:type="dxa"/>
            <w:tcBorders>
              <w:top w:val="single" w:sz="4" w:space="0" w:color="000000"/>
              <w:left w:val="single" w:sz="4" w:space="0" w:color="000000"/>
              <w:bottom w:val="single" w:sz="4" w:space="0" w:color="000000"/>
              <w:right w:val="single" w:sz="4" w:space="0" w:color="000000"/>
            </w:tcBorders>
            <w:shd w:val="clear" w:color="auto" w:fill="auto"/>
            <w:tcMar>
              <w:top w:w="10" w:type="dxa"/>
              <w:left w:w="115" w:type="dxa"/>
              <w:bottom w:w="0" w:type="dxa"/>
              <w:right w:w="115" w:type="dxa"/>
            </w:tcMar>
          </w:tcPr>
          <w:p w:rsidR="009B4233" w:rsidRDefault="006B08B9">
            <w:pPr>
              <w:spacing w:line="249" w:lineRule="auto"/>
              <w:ind w:left="723"/>
              <w:jc w:val="center"/>
            </w:pPr>
            <w:r>
              <w:rPr>
                <w:rFonts w:ascii="Arial" w:eastAsia="Calibri" w:hAnsi="Arial" w:cs="Arial"/>
                <w:b/>
                <w:sz w:val="22"/>
                <w:szCs w:val="22"/>
              </w:rPr>
              <w:t>TOTAL</w:t>
            </w:r>
          </w:p>
        </w:tc>
        <w:tc>
          <w:tcPr>
            <w:tcW w:w="3694" w:type="dxa"/>
            <w:tcBorders>
              <w:top w:val="single" w:sz="4" w:space="0" w:color="000000"/>
              <w:left w:val="single" w:sz="4" w:space="0" w:color="000000"/>
              <w:bottom w:val="single" w:sz="4" w:space="0" w:color="000000"/>
              <w:right w:val="single" w:sz="4" w:space="0" w:color="000000"/>
            </w:tcBorders>
            <w:shd w:val="clear" w:color="auto" w:fill="auto"/>
            <w:tcMar>
              <w:top w:w="10" w:type="dxa"/>
              <w:left w:w="115" w:type="dxa"/>
              <w:bottom w:w="0" w:type="dxa"/>
              <w:right w:w="115" w:type="dxa"/>
            </w:tcMar>
          </w:tcPr>
          <w:p w:rsidR="009B4233" w:rsidRDefault="006B08B9">
            <w:pPr>
              <w:spacing w:line="249" w:lineRule="auto"/>
              <w:ind w:left="5"/>
              <w:jc w:val="center"/>
            </w:pPr>
            <w:r>
              <w:rPr>
                <w:rFonts w:ascii="Arial" w:eastAsia="Calibri" w:hAnsi="Arial" w:cs="Arial"/>
                <w:b/>
                <w:sz w:val="22"/>
                <w:szCs w:val="22"/>
              </w:rPr>
              <w:t>1.307.244,35 €</w:t>
            </w:r>
          </w:p>
        </w:tc>
      </w:tr>
    </w:tbl>
    <w:p w:rsidR="009B4233" w:rsidRDefault="006B08B9">
      <w:pPr>
        <w:spacing w:after="470" w:line="264" w:lineRule="auto"/>
        <w:ind w:right="562"/>
        <w:jc w:val="both"/>
        <w:rPr>
          <w:rFonts w:ascii="Arial" w:hAnsi="Arial" w:cs="Arial"/>
          <w:sz w:val="22"/>
          <w:szCs w:val="22"/>
        </w:rPr>
      </w:pPr>
      <w:r>
        <w:rPr>
          <w:rFonts w:ascii="Arial" w:hAnsi="Arial" w:cs="Arial"/>
          <w:sz w:val="22"/>
          <w:szCs w:val="22"/>
        </w:rPr>
        <w:t xml:space="preserve">Visto el informe favorable de la Intervención de </w:t>
      </w:r>
      <w:r>
        <w:rPr>
          <w:rFonts w:ascii="Arial" w:hAnsi="Arial" w:cs="Arial"/>
          <w:sz w:val="22"/>
          <w:szCs w:val="22"/>
        </w:rPr>
        <w:t>Fondos municipal.</w:t>
      </w:r>
    </w:p>
    <w:p w:rsidR="009B4233" w:rsidRDefault="006B08B9">
      <w:pPr>
        <w:spacing w:after="516"/>
        <w:ind w:left="-15" w:right="486" w:firstLine="708"/>
        <w:jc w:val="both"/>
        <w:rPr>
          <w:rFonts w:ascii="Arial" w:hAnsi="Arial" w:cs="Arial"/>
          <w:b/>
          <w:sz w:val="22"/>
          <w:szCs w:val="22"/>
        </w:rPr>
      </w:pPr>
      <w:r>
        <w:rPr>
          <w:rFonts w:ascii="Arial" w:hAnsi="Arial" w:cs="Arial"/>
          <w:b/>
          <w:sz w:val="22"/>
          <w:szCs w:val="22"/>
        </w:rPr>
        <w:t>Por ello, esta Concejalía Delegada de Hacienda, PROPONE al Ayuntamiento Pleno, la adopción del siguiente ACUERDO:</w:t>
      </w:r>
    </w:p>
    <w:p w:rsidR="009B4233" w:rsidRDefault="006B08B9">
      <w:pPr>
        <w:spacing w:after="509"/>
        <w:ind w:left="-5" w:right="486"/>
        <w:jc w:val="both"/>
      </w:pPr>
      <w:r>
        <w:rPr>
          <w:rFonts w:ascii="Arial" w:eastAsia="Calibri" w:hAnsi="Arial" w:cs="Arial"/>
          <w:sz w:val="22"/>
          <w:szCs w:val="22"/>
        </w:rPr>
        <w:t>PRIMERO:</w:t>
      </w:r>
      <w:r>
        <w:rPr>
          <w:rFonts w:ascii="Arial" w:hAnsi="Arial" w:cs="Arial"/>
          <w:sz w:val="22"/>
          <w:szCs w:val="22"/>
        </w:rPr>
        <w:t xml:space="preserve"> Aprobar la Cuenta General del ejercicio 2024.</w:t>
      </w:r>
    </w:p>
    <w:p w:rsidR="009B4233" w:rsidRDefault="006B08B9">
      <w:pPr>
        <w:spacing w:after="396"/>
        <w:ind w:left="-5" w:right="486"/>
        <w:jc w:val="both"/>
      </w:pPr>
      <w:r>
        <w:rPr>
          <w:rFonts w:ascii="Arial" w:eastAsia="Calibri" w:hAnsi="Arial" w:cs="Arial"/>
          <w:sz w:val="22"/>
          <w:szCs w:val="22"/>
        </w:rPr>
        <w:t>SEGUNDO:</w:t>
      </w:r>
      <w:r>
        <w:rPr>
          <w:rFonts w:ascii="Arial" w:hAnsi="Arial" w:cs="Arial"/>
          <w:sz w:val="22"/>
          <w:szCs w:val="22"/>
        </w:rPr>
        <w:t xml:space="preserve"> Remitir la Cuenta General del ejercicio 2024, una vez aproba</w:t>
      </w:r>
      <w:r>
        <w:rPr>
          <w:rFonts w:ascii="Arial" w:hAnsi="Arial" w:cs="Arial"/>
          <w:sz w:val="22"/>
          <w:szCs w:val="22"/>
        </w:rPr>
        <w:t>da, a la Audiencia de Cuentas de Canarias para hacer posible la fiscalización externa a que se refiere el artículo 223 del ya mencionado Real Decreto Legislativo 2/2004, de 5 de marzo.”</w:t>
      </w:r>
    </w:p>
    <w:p w:rsidR="009B4233" w:rsidRDefault="006B08B9">
      <w:pPr>
        <w:ind w:firstLine="709"/>
        <w:jc w:val="both"/>
        <w:rPr>
          <w:rFonts w:ascii="Arial" w:hAnsi="Arial" w:cs="Arial"/>
          <w:b/>
          <w:sz w:val="22"/>
          <w:szCs w:val="22"/>
        </w:rPr>
      </w:pPr>
      <w:r>
        <w:rPr>
          <w:rFonts w:ascii="Arial" w:hAnsi="Arial" w:cs="Arial"/>
          <w:b/>
          <w:sz w:val="22"/>
          <w:szCs w:val="22"/>
        </w:rPr>
        <w:t>El presente expediente fue dictaminado por la Comisión Especial de Cue</w:t>
      </w:r>
      <w:r>
        <w:rPr>
          <w:rFonts w:ascii="Arial" w:hAnsi="Arial" w:cs="Arial"/>
          <w:b/>
          <w:sz w:val="22"/>
          <w:szCs w:val="22"/>
        </w:rPr>
        <w:t>ntas el 30 de julio de 2025 y fue sometido a información pública para alegaciones no habiendo recibido alegación alguna según lo informado por el Interventor, por lo que fue sometido a la preceptiva audiencia de la Junta de Portavoces, para su posterior in</w:t>
      </w:r>
      <w:r>
        <w:rPr>
          <w:rFonts w:ascii="Arial" w:hAnsi="Arial" w:cs="Arial"/>
          <w:b/>
          <w:sz w:val="22"/>
          <w:szCs w:val="22"/>
        </w:rPr>
        <w:t>clusión en la convocatoria del pleno ordinario de septiembre.</w:t>
      </w:r>
    </w:p>
    <w:p w:rsidR="009B4233" w:rsidRDefault="009B4233">
      <w:pPr>
        <w:rPr>
          <w:rFonts w:ascii="Arial" w:hAnsi="Arial" w:cs="Arial"/>
          <w:b/>
          <w:sz w:val="22"/>
          <w:szCs w:val="22"/>
        </w:rPr>
      </w:pPr>
    </w:p>
    <w:p w:rsidR="009B4233" w:rsidRDefault="009B4233">
      <w:pPr>
        <w:rPr>
          <w:rFonts w:ascii="Arial" w:hAnsi="Arial" w:cs="Arial"/>
          <w:b/>
          <w:sz w:val="22"/>
          <w:szCs w:val="22"/>
        </w:rPr>
      </w:pPr>
    </w:p>
    <w:p w:rsidR="009B4233" w:rsidRDefault="006B08B9">
      <w:pPr>
        <w:rPr>
          <w:rFonts w:ascii="Arial" w:hAnsi="Arial" w:cs="Arial"/>
          <w:b/>
          <w:sz w:val="22"/>
          <w:szCs w:val="22"/>
        </w:rPr>
      </w:pPr>
      <w:r>
        <w:rPr>
          <w:rFonts w:ascii="Arial" w:hAnsi="Arial" w:cs="Arial"/>
          <w:b/>
          <w:sz w:val="22"/>
          <w:szCs w:val="22"/>
        </w:rPr>
        <w:t>JUNTA DE PORTAVOCES DE 22 DE SEPTIEMBRE DE 2025.</w:t>
      </w:r>
    </w:p>
    <w:p w:rsidR="009B4233" w:rsidRDefault="006B08B9">
      <w:pPr>
        <w:rPr>
          <w:rFonts w:ascii="Arial" w:hAnsi="Arial" w:cs="Arial"/>
          <w:sz w:val="22"/>
          <w:szCs w:val="22"/>
        </w:rPr>
      </w:pPr>
      <w:r>
        <w:rPr>
          <w:rFonts w:ascii="Arial" w:hAnsi="Arial" w:cs="Arial"/>
          <w:sz w:val="22"/>
          <w:szCs w:val="22"/>
        </w:rPr>
        <w:t xml:space="preserve">Quedó oída. </w:t>
      </w:r>
    </w:p>
    <w:p w:rsidR="009B4233" w:rsidRDefault="009B4233">
      <w:pPr>
        <w:rPr>
          <w:rFonts w:ascii="Arial" w:hAnsi="Arial" w:cs="Arial"/>
          <w:b/>
          <w:sz w:val="22"/>
          <w:szCs w:val="22"/>
        </w:rPr>
      </w:pPr>
    </w:p>
    <w:p w:rsidR="009B4233" w:rsidRDefault="009B4233">
      <w:pPr>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center"/>
        <w:rPr>
          <w:rFonts w:ascii="Arial" w:hAnsi="Arial" w:cs="Arial"/>
          <w:b/>
          <w:sz w:val="22"/>
          <w:szCs w:val="22"/>
        </w:rPr>
      </w:pPr>
    </w:p>
    <w:p w:rsidR="009B4233" w:rsidRDefault="009B4233">
      <w:pPr>
        <w:jc w:val="center"/>
        <w:rPr>
          <w:rFonts w:ascii="Arial" w:hAnsi="Arial" w:cs="Arial"/>
          <w:b/>
          <w:sz w:val="22"/>
          <w:szCs w:val="22"/>
        </w:rPr>
      </w:pPr>
    </w:p>
    <w:p w:rsidR="009B4233" w:rsidRDefault="009B4233">
      <w:pPr>
        <w:jc w:val="center"/>
        <w:rPr>
          <w:rFonts w:ascii="Arial" w:hAnsi="Arial" w:cs="Arial"/>
          <w:b/>
          <w:sz w:val="22"/>
          <w:szCs w:val="22"/>
        </w:rPr>
      </w:pPr>
    </w:p>
    <w:p w:rsidR="009B4233" w:rsidRDefault="009B4233">
      <w:pPr>
        <w:jc w:val="center"/>
        <w:rPr>
          <w:rFonts w:ascii="Arial" w:hAnsi="Arial" w:cs="Arial"/>
          <w:b/>
          <w:sz w:val="22"/>
          <w:szCs w:val="22"/>
        </w:rPr>
      </w:pPr>
    </w:p>
    <w:p w:rsidR="009B4233" w:rsidRDefault="009B4233">
      <w:pPr>
        <w:jc w:val="center"/>
        <w:rPr>
          <w:rFonts w:ascii="Arial" w:hAnsi="Arial" w:cs="Arial"/>
          <w:b/>
          <w:sz w:val="22"/>
          <w:szCs w:val="22"/>
        </w:rPr>
      </w:pPr>
    </w:p>
    <w:p w:rsidR="009B4233" w:rsidRDefault="009B4233">
      <w:pPr>
        <w:jc w:val="center"/>
        <w:rPr>
          <w:rFonts w:ascii="Arial" w:hAnsi="Arial" w:cs="Arial"/>
          <w:b/>
          <w:sz w:val="22"/>
          <w:szCs w:val="22"/>
        </w:rPr>
      </w:pPr>
    </w:p>
    <w:p w:rsidR="009B4233" w:rsidRDefault="009B4233">
      <w:pPr>
        <w:jc w:val="center"/>
        <w:rPr>
          <w:rFonts w:ascii="Arial" w:hAnsi="Arial" w:cs="Arial"/>
          <w:b/>
          <w:sz w:val="22"/>
          <w:szCs w:val="22"/>
        </w:rPr>
      </w:pPr>
    </w:p>
    <w:p w:rsidR="009B4233" w:rsidRDefault="009B4233">
      <w:pPr>
        <w:rPr>
          <w:rFonts w:ascii="Arial" w:hAnsi="Arial" w:cs="Arial"/>
          <w:b/>
          <w:sz w:val="22"/>
          <w:szCs w:val="22"/>
        </w:rPr>
      </w:pPr>
    </w:p>
    <w:p w:rsidR="009B4233" w:rsidRDefault="009B4233">
      <w:pPr>
        <w:jc w:val="center"/>
        <w:rPr>
          <w:rFonts w:ascii="Arial" w:hAnsi="Arial" w:cs="Arial"/>
          <w:b/>
          <w:sz w:val="22"/>
          <w:szCs w:val="22"/>
        </w:rPr>
      </w:pPr>
    </w:p>
    <w:p w:rsidR="009B4233" w:rsidRDefault="006B08B9">
      <w:pPr>
        <w:jc w:val="center"/>
        <w:rPr>
          <w:rFonts w:ascii="Arial" w:hAnsi="Arial" w:cs="Arial"/>
          <w:b/>
          <w:sz w:val="22"/>
          <w:szCs w:val="22"/>
        </w:rPr>
      </w:pPr>
      <w:r>
        <w:rPr>
          <w:rFonts w:ascii="Arial" w:hAnsi="Arial" w:cs="Arial"/>
          <w:b/>
          <w:sz w:val="22"/>
          <w:szCs w:val="22"/>
        </w:rPr>
        <w:t>VOTACIÓN EN EL PLENO DE 25 DE SEPTIEMBRE DE 2025.</w:t>
      </w:r>
    </w:p>
    <w:p w:rsidR="009B4233" w:rsidRDefault="009B4233">
      <w:pPr>
        <w:rPr>
          <w:rFonts w:ascii="Arial" w:hAnsi="Arial" w:cs="Arial"/>
          <w:b/>
          <w:sz w:val="22"/>
          <w:szCs w:val="22"/>
        </w:rPr>
      </w:pPr>
    </w:p>
    <w:p w:rsidR="009B4233" w:rsidRDefault="006B08B9">
      <w:pPr>
        <w:ind w:firstLine="709"/>
        <w:jc w:val="both"/>
        <w:rPr>
          <w:rFonts w:ascii="Arial" w:hAnsi="Arial" w:cs="Arial"/>
          <w:sz w:val="22"/>
          <w:szCs w:val="22"/>
        </w:rPr>
      </w:pPr>
      <w:r>
        <w:rPr>
          <w:rFonts w:ascii="Arial" w:hAnsi="Arial" w:cs="Arial"/>
          <w:sz w:val="22"/>
          <w:szCs w:val="22"/>
        </w:rPr>
        <w:t>Votos a favor: 17.</w:t>
      </w:r>
    </w:p>
    <w:p w:rsidR="009B4233" w:rsidRDefault="009B4233">
      <w:pPr>
        <w:jc w:val="both"/>
        <w:rPr>
          <w:rFonts w:ascii="Arial" w:hAnsi="Arial" w:cs="Arial"/>
          <w:sz w:val="22"/>
          <w:szCs w:val="22"/>
        </w:rPr>
      </w:pPr>
    </w:p>
    <w:p w:rsidR="009B4233" w:rsidRDefault="006B08B9">
      <w:pPr>
        <w:ind w:firstLine="709"/>
        <w:jc w:val="both"/>
        <w:rPr>
          <w:rFonts w:ascii="Arial" w:hAnsi="Arial" w:cs="Arial"/>
          <w:sz w:val="22"/>
          <w:szCs w:val="22"/>
        </w:rPr>
      </w:pPr>
      <w:r>
        <w:rPr>
          <w:rFonts w:ascii="Arial" w:hAnsi="Arial" w:cs="Arial"/>
          <w:sz w:val="22"/>
          <w:szCs w:val="22"/>
        </w:rPr>
        <w:t xml:space="preserve">11 concejales del Grupo Socialista: Doña María </w:t>
      </w:r>
      <w:r>
        <w:rPr>
          <w:rFonts w:ascii="Arial" w:hAnsi="Arial" w:cs="Arial"/>
          <w:sz w:val="22"/>
          <w:szCs w:val="22"/>
        </w:rPr>
        <w:t>Concepción Brito Núñez, Don Jorge Baute Delgado, Don José Francisco Pinto Ramos, Doña Olivia Concepción Pérez Díaz, Don Reinaldo José Triviño Blanco, Don Manuel Alberto González Pestano, Doña Margarita Eva Tendero Barroso, Don Airam Pérez Chinea, Doña Marí</w:t>
      </w:r>
      <w:r>
        <w:rPr>
          <w:rFonts w:ascii="Arial" w:hAnsi="Arial" w:cs="Arial"/>
          <w:sz w:val="22"/>
          <w:szCs w:val="22"/>
        </w:rPr>
        <w:t xml:space="preserve">a del Carmen Clemente Díaz, Don Olegario Francisco Alonso Bello, Doña Mónica Monserrat Yanes Delgado. </w:t>
      </w:r>
    </w:p>
    <w:p w:rsidR="009B4233" w:rsidRDefault="009B4233">
      <w:pPr>
        <w:jc w:val="both"/>
        <w:rPr>
          <w:rFonts w:ascii="Arial" w:hAnsi="Arial" w:cs="Arial"/>
          <w:sz w:val="22"/>
          <w:szCs w:val="22"/>
        </w:rPr>
      </w:pPr>
    </w:p>
    <w:p w:rsidR="009B4233" w:rsidRDefault="006B08B9">
      <w:pPr>
        <w:ind w:firstLine="709"/>
        <w:jc w:val="both"/>
        <w:rPr>
          <w:rFonts w:ascii="Arial" w:hAnsi="Arial" w:cs="Arial"/>
          <w:sz w:val="22"/>
          <w:szCs w:val="22"/>
        </w:rPr>
      </w:pPr>
      <w:r>
        <w:rPr>
          <w:rFonts w:ascii="Arial" w:hAnsi="Arial" w:cs="Arial"/>
          <w:sz w:val="22"/>
          <w:szCs w:val="22"/>
        </w:rPr>
        <w:t>5 concejales del Grupo Popular: Don Jacobo López Fariña, Don Miguel Eduardo Hernández Chitty, Doña María Carlota Díaz González, Don José Daniel Sosa Gon</w:t>
      </w:r>
      <w:r>
        <w:rPr>
          <w:rFonts w:ascii="Arial" w:hAnsi="Arial" w:cs="Arial"/>
          <w:sz w:val="22"/>
          <w:szCs w:val="22"/>
        </w:rPr>
        <w:t xml:space="preserve">zález, y Doña Shaila Castellano Batista. </w:t>
      </w:r>
    </w:p>
    <w:p w:rsidR="009B4233" w:rsidRDefault="009B4233">
      <w:pPr>
        <w:jc w:val="both"/>
        <w:rPr>
          <w:rFonts w:ascii="Arial" w:hAnsi="Arial" w:cs="Arial"/>
          <w:sz w:val="22"/>
          <w:szCs w:val="22"/>
        </w:rPr>
      </w:pPr>
    </w:p>
    <w:p w:rsidR="009B4233" w:rsidRDefault="006B08B9">
      <w:pPr>
        <w:ind w:firstLine="709"/>
        <w:jc w:val="both"/>
        <w:rPr>
          <w:rFonts w:ascii="Arial" w:hAnsi="Arial" w:cs="Arial"/>
          <w:sz w:val="22"/>
          <w:szCs w:val="22"/>
        </w:rPr>
      </w:pPr>
      <w:r>
        <w:rPr>
          <w:rFonts w:ascii="Arial" w:hAnsi="Arial" w:cs="Arial"/>
          <w:sz w:val="22"/>
          <w:szCs w:val="22"/>
        </w:rPr>
        <w:t>1 concejal del Grupo Mixto (Vox), Don José Tortosa Pallarés.</w:t>
      </w:r>
    </w:p>
    <w:p w:rsidR="009B4233" w:rsidRDefault="009B4233">
      <w:pPr>
        <w:jc w:val="both"/>
        <w:rPr>
          <w:rFonts w:ascii="Arial" w:hAnsi="Arial" w:cs="Arial"/>
          <w:sz w:val="22"/>
          <w:szCs w:val="22"/>
        </w:rPr>
      </w:pPr>
    </w:p>
    <w:p w:rsidR="009B4233" w:rsidRDefault="009B4233">
      <w:pPr>
        <w:ind w:firstLine="709"/>
        <w:jc w:val="both"/>
        <w:rPr>
          <w:rFonts w:ascii="Arial" w:hAnsi="Arial" w:cs="Arial"/>
          <w:sz w:val="22"/>
          <w:szCs w:val="22"/>
        </w:rPr>
      </w:pPr>
    </w:p>
    <w:p w:rsidR="009B4233" w:rsidRDefault="006B08B9">
      <w:pPr>
        <w:ind w:firstLine="709"/>
        <w:jc w:val="both"/>
        <w:rPr>
          <w:rFonts w:ascii="Arial" w:hAnsi="Arial" w:cs="Arial"/>
          <w:sz w:val="22"/>
          <w:szCs w:val="22"/>
        </w:rPr>
      </w:pPr>
      <w:r>
        <w:rPr>
          <w:rFonts w:ascii="Arial" w:hAnsi="Arial" w:cs="Arial"/>
          <w:sz w:val="22"/>
          <w:szCs w:val="22"/>
        </w:rPr>
        <w:t>Votos en contra: 2.</w:t>
      </w:r>
    </w:p>
    <w:p w:rsidR="009B4233" w:rsidRDefault="009B4233">
      <w:pPr>
        <w:ind w:firstLine="709"/>
        <w:jc w:val="both"/>
        <w:rPr>
          <w:rFonts w:ascii="Arial" w:hAnsi="Arial" w:cs="Arial"/>
          <w:sz w:val="22"/>
          <w:szCs w:val="22"/>
        </w:rPr>
      </w:pPr>
    </w:p>
    <w:p w:rsidR="009B4233" w:rsidRDefault="006B08B9">
      <w:pPr>
        <w:ind w:firstLine="709"/>
        <w:jc w:val="both"/>
        <w:rPr>
          <w:rFonts w:ascii="Arial" w:hAnsi="Arial" w:cs="Arial"/>
          <w:sz w:val="22"/>
          <w:szCs w:val="22"/>
        </w:rPr>
      </w:pPr>
      <w:r>
        <w:rPr>
          <w:rFonts w:ascii="Arial" w:hAnsi="Arial" w:cs="Arial"/>
          <w:sz w:val="22"/>
          <w:szCs w:val="22"/>
        </w:rPr>
        <w:t>2 concejales del Grupo Mixto: Doña Ángela Cruz Perera y Don José Yeray Padilla Cruz (CC).</w:t>
      </w:r>
    </w:p>
    <w:p w:rsidR="009B4233" w:rsidRDefault="009B4233">
      <w:pPr>
        <w:ind w:firstLine="709"/>
        <w:jc w:val="both"/>
        <w:rPr>
          <w:rFonts w:ascii="Arial" w:hAnsi="Arial" w:cs="Arial"/>
          <w:sz w:val="22"/>
          <w:szCs w:val="22"/>
        </w:rPr>
      </w:pPr>
    </w:p>
    <w:p w:rsidR="009B4233" w:rsidRDefault="009B4233">
      <w:pPr>
        <w:ind w:firstLine="709"/>
        <w:jc w:val="both"/>
        <w:rPr>
          <w:rFonts w:ascii="Arial" w:hAnsi="Arial" w:cs="Arial"/>
          <w:sz w:val="22"/>
          <w:szCs w:val="22"/>
        </w:rPr>
      </w:pPr>
    </w:p>
    <w:p w:rsidR="009B4233" w:rsidRDefault="006B08B9">
      <w:pPr>
        <w:ind w:firstLine="709"/>
        <w:jc w:val="both"/>
        <w:rPr>
          <w:rFonts w:ascii="Arial" w:hAnsi="Arial" w:cs="Arial"/>
          <w:sz w:val="22"/>
          <w:szCs w:val="22"/>
        </w:rPr>
      </w:pPr>
      <w:r>
        <w:rPr>
          <w:rFonts w:ascii="Arial" w:hAnsi="Arial" w:cs="Arial"/>
          <w:sz w:val="22"/>
          <w:szCs w:val="22"/>
        </w:rPr>
        <w:t>Abstenciones.: 1.</w:t>
      </w:r>
    </w:p>
    <w:p w:rsidR="009B4233" w:rsidRDefault="006B08B9">
      <w:pPr>
        <w:ind w:firstLine="709"/>
        <w:jc w:val="both"/>
        <w:rPr>
          <w:rFonts w:ascii="Arial" w:hAnsi="Arial" w:cs="Arial"/>
          <w:sz w:val="22"/>
          <w:szCs w:val="22"/>
        </w:rPr>
      </w:pPr>
      <w:r>
        <w:rPr>
          <w:rFonts w:ascii="Arial" w:hAnsi="Arial" w:cs="Arial"/>
          <w:sz w:val="22"/>
          <w:szCs w:val="22"/>
        </w:rPr>
        <w:t>1 de la concejal de</w:t>
      </w:r>
      <w:r>
        <w:rPr>
          <w:rFonts w:ascii="Arial" w:hAnsi="Arial" w:cs="Arial"/>
          <w:sz w:val="22"/>
          <w:szCs w:val="22"/>
        </w:rPr>
        <w:t>l Grupo Mixto (USP), Doña Violeta López Jiménez.</w:t>
      </w:r>
    </w:p>
    <w:p w:rsidR="009B4233" w:rsidRDefault="009B4233">
      <w:pPr>
        <w:jc w:val="both"/>
        <w:rPr>
          <w:rFonts w:ascii="Arial" w:hAnsi="Arial" w:cs="Arial"/>
          <w:sz w:val="22"/>
          <w:szCs w:val="22"/>
        </w:rPr>
      </w:pPr>
    </w:p>
    <w:p w:rsidR="009B4233" w:rsidRDefault="006B08B9">
      <w:pPr>
        <w:jc w:val="both"/>
        <w:rPr>
          <w:rFonts w:ascii="Arial" w:hAnsi="Arial" w:cs="Arial"/>
          <w:b/>
          <w:sz w:val="22"/>
          <w:szCs w:val="22"/>
        </w:rPr>
      </w:pPr>
      <w:r>
        <w:rPr>
          <w:rFonts w:ascii="Arial" w:hAnsi="Arial" w:cs="Arial"/>
          <w:b/>
          <w:sz w:val="22"/>
          <w:szCs w:val="22"/>
        </w:rPr>
        <w:t xml:space="preserve">                          </w:t>
      </w:r>
    </w:p>
    <w:p w:rsidR="009B4233" w:rsidRDefault="006B08B9">
      <w:pPr>
        <w:pStyle w:val="Textoindependiente"/>
        <w:ind w:left="709" w:firstLine="709"/>
        <w:rPr>
          <w:rFonts w:cs="Arial"/>
          <w:b/>
          <w:szCs w:val="22"/>
        </w:rPr>
      </w:pPr>
      <w:r>
        <w:rPr>
          <w:rFonts w:cs="Arial"/>
          <w:b/>
          <w:szCs w:val="22"/>
        </w:rPr>
        <w:t>ACUERDO DEL PLENO DE 25 DE SEPTIEMBRE DE 2025.</w:t>
      </w:r>
    </w:p>
    <w:p w:rsidR="009B4233" w:rsidRDefault="009B4233">
      <w:pPr>
        <w:rPr>
          <w:rFonts w:ascii="Arial" w:hAnsi="Arial" w:cs="Arial"/>
          <w:b/>
          <w:sz w:val="22"/>
          <w:szCs w:val="22"/>
        </w:rPr>
      </w:pPr>
    </w:p>
    <w:p w:rsidR="009B4233" w:rsidRDefault="006B08B9">
      <w:pPr>
        <w:spacing w:after="509"/>
        <w:ind w:right="486" w:firstLine="709"/>
        <w:jc w:val="both"/>
      </w:pPr>
      <w:r>
        <w:rPr>
          <w:rFonts w:ascii="Arial" w:eastAsia="Calibri" w:hAnsi="Arial" w:cs="Arial"/>
          <w:b/>
          <w:sz w:val="22"/>
          <w:szCs w:val="22"/>
        </w:rPr>
        <w:t>PRIMERO:</w:t>
      </w:r>
      <w:r>
        <w:rPr>
          <w:rFonts w:ascii="Arial" w:hAnsi="Arial" w:cs="Arial"/>
          <w:b/>
          <w:sz w:val="22"/>
          <w:szCs w:val="22"/>
        </w:rPr>
        <w:t xml:space="preserve"> Aprobar la Cuenta General del ejercicio 2024.</w:t>
      </w:r>
    </w:p>
    <w:p w:rsidR="009B4233" w:rsidRDefault="006B08B9">
      <w:pPr>
        <w:spacing w:after="509"/>
        <w:ind w:right="486" w:firstLine="709"/>
        <w:jc w:val="both"/>
      </w:pPr>
      <w:r>
        <w:rPr>
          <w:rFonts w:ascii="Arial" w:eastAsia="Calibri" w:hAnsi="Arial" w:cs="Arial"/>
          <w:b/>
          <w:sz w:val="22"/>
          <w:szCs w:val="22"/>
        </w:rPr>
        <w:t>SEGUNDO:</w:t>
      </w:r>
      <w:r>
        <w:rPr>
          <w:rFonts w:ascii="Arial" w:hAnsi="Arial" w:cs="Arial"/>
          <w:b/>
          <w:sz w:val="22"/>
          <w:szCs w:val="22"/>
        </w:rPr>
        <w:t xml:space="preserve"> Remitir la Cuenta General del ejercicio 2024, una vez aprobada, a </w:t>
      </w:r>
      <w:r>
        <w:rPr>
          <w:rFonts w:ascii="Arial" w:hAnsi="Arial" w:cs="Arial"/>
          <w:b/>
          <w:sz w:val="22"/>
          <w:szCs w:val="22"/>
        </w:rPr>
        <w:t>la Audiencia de Cuentas de Canarias para hacer posible la fiscalización externa a que se refiere el artículo 223 del ya mencionado Real Decreto Legislativo 2/2004, de 5 de marzo.</w:t>
      </w:r>
    </w:p>
    <w:p w:rsidR="009B4233" w:rsidRDefault="009B4233">
      <w:pPr>
        <w:widowControl/>
        <w:suppressAutoHyphens w:val="0"/>
        <w:autoSpaceDE w:val="0"/>
        <w:jc w:val="both"/>
        <w:textAlignment w:val="auto"/>
        <w:rPr>
          <w:rFonts w:ascii="Arial" w:hAnsi="Arial" w:cs="Arial"/>
          <w:b/>
          <w:color w:val="000000"/>
          <w:kern w:val="0"/>
          <w:sz w:val="22"/>
          <w:szCs w:val="22"/>
          <w:lang w:bidi="ar-SA"/>
        </w:rPr>
      </w:pPr>
    </w:p>
    <w:p w:rsidR="009B4233" w:rsidRDefault="009B4233">
      <w:pPr>
        <w:widowControl/>
        <w:suppressAutoHyphens w:val="0"/>
        <w:autoSpaceDE w:val="0"/>
        <w:jc w:val="both"/>
        <w:textAlignment w:val="auto"/>
        <w:rPr>
          <w:rFonts w:ascii="Arial" w:hAnsi="Arial" w:cs="Arial"/>
          <w:b/>
          <w:color w:val="000000"/>
          <w:kern w:val="0"/>
          <w:sz w:val="22"/>
          <w:szCs w:val="22"/>
          <w:lang w:bidi="ar-SA"/>
        </w:rPr>
      </w:pPr>
    </w:p>
    <w:p w:rsidR="009B4233" w:rsidRDefault="009B4233">
      <w:pPr>
        <w:widowControl/>
        <w:suppressAutoHyphens w:val="0"/>
        <w:autoSpaceDE w:val="0"/>
        <w:jc w:val="both"/>
        <w:textAlignment w:val="auto"/>
        <w:rPr>
          <w:rFonts w:ascii="Arial" w:hAnsi="Arial" w:cs="Arial"/>
          <w:b/>
          <w:color w:val="000000"/>
          <w:kern w:val="0"/>
          <w:sz w:val="22"/>
          <w:szCs w:val="22"/>
          <w:lang w:bidi="ar-SA"/>
        </w:rPr>
      </w:pPr>
    </w:p>
    <w:p w:rsidR="009B4233" w:rsidRDefault="009B4233">
      <w:pPr>
        <w:widowControl/>
        <w:suppressAutoHyphens w:val="0"/>
        <w:autoSpaceDE w:val="0"/>
        <w:jc w:val="both"/>
        <w:textAlignment w:val="auto"/>
        <w:rPr>
          <w:rFonts w:ascii="Arial" w:hAnsi="Arial" w:cs="Arial"/>
          <w:b/>
          <w:color w:val="000000"/>
          <w:kern w:val="0"/>
          <w:sz w:val="22"/>
          <w:szCs w:val="22"/>
          <w:lang w:bidi="ar-SA"/>
        </w:rPr>
      </w:pPr>
    </w:p>
    <w:p w:rsidR="009B4233" w:rsidRDefault="009B4233">
      <w:pPr>
        <w:widowControl/>
        <w:suppressAutoHyphens w:val="0"/>
        <w:autoSpaceDE w:val="0"/>
        <w:jc w:val="both"/>
        <w:textAlignment w:val="auto"/>
        <w:rPr>
          <w:rFonts w:ascii="Arial" w:hAnsi="Arial" w:cs="Arial"/>
          <w:b/>
          <w:color w:val="000000"/>
          <w:kern w:val="0"/>
          <w:sz w:val="22"/>
          <w:szCs w:val="22"/>
          <w:lang w:bidi="ar-SA"/>
        </w:rPr>
      </w:pPr>
    </w:p>
    <w:p w:rsidR="009B4233" w:rsidRDefault="009B4233">
      <w:pPr>
        <w:widowControl/>
        <w:suppressAutoHyphens w:val="0"/>
        <w:autoSpaceDE w:val="0"/>
        <w:jc w:val="both"/>
        <w:textAlignment w:val="auto"/>
        <w:rPr>
          <w:rFonts w:ascii="Arial" w:hAnsi="Arial" w:cs="Arial"/>
          <w:b/>
          <w:color w:val="000000"/>
          <w:kern w:val="0"/>
          <w:sz w:val="22"/>
          <w:szCs w:val="22"/>
          <w:lang w:bidi="ar-SA"/>
        </w:rPr>
      </w:pPr>
    </w:p>
    <w:p w:rsidR="009B4233" w:rsidRDefault="009B4233">
      <w:pPr>
        <w:widowControl/>
        <w:suppressAutoHyphens w:val="0"/>
        <w:autoSpaceDE w:val="0"/>
        <w:jc w:val="both"/>
        <w:textAlignment w:val="auto"/>
        <w:rPr>
          <w:rFonts w:ascii="Arial" w:hAnsi="Arial" w:cs="Arial"/>
          <w:b/>
          <w:color w:val="000000"/>
          <w:kern w:val="0"/>
          <w:sz w:val="22"/>
          <w:szCs w:val="22"/>
          <w:lang w:bidi="ar-SA"/>
        </w:rPr>
      </w:pPr>
    </w:p>
    <w:p w:rsidR="009B4233" w:rsidRDefault="009B4233">
      <w:pPr>
        <w:widowControl/>
        <w:suppressAutoHyphens w:val="0"/>
        <w:autoSpaceDE w:val="0"/>
        <w:jc w:val="both"/>
        <w:textAlignment w:val="auto"/>
        <w:rPr>
          <w:rFonts w:ascii="Arial" w:hAnsi="Arial" w:cs="Arial"/>
          <w:b/>
          <w:color w:val="000000"/>
          <w:kern w:val="0"/>
          <w:sz w:val="22"/>
          <w:szCs w:val="22"/>
          <w:lang w:bidi="ar-SA"/>
        </w:rPr>
      </w:pPr>
    </w:p>
    <w:p w:rsidR="009B4233" w:rsidRDefault="009B4233">
      <w:pPr>
        <w:widowControl/>
        <w:suppressAutoHyphens w:val="0"/>
        <w:autoSpaceDE w:val="0"/>
        <w:jc w:val="both"/>
        <w:textAlignment w:val="auto"/>
        <w:rPr>
          <w:rFonts w:ascii="Arial" w:hAnsi="Arial" w:cs="Arial"/>
          <w:b/>
          <w:color w:val="000000"/>
          <w:kern w:val="0"/>
          <w:sz w:val="22"/>
          <w:szCs w:val="22"/>
          <w:lang w:bidi="ar-SA"/>
        </w:rPr>
      </w:pPr>
    </w:p>
    <w:p w:rsidR="009B4233" w:rsidRDefault="009B4233">
      <w:pPr>
        <w:widowControl/>
        <w:suppressAutoHyphens w:val="0"/>
        <w:autoSpaceDE w:val="0"/>
        <w:jc w:val="both"/>
        <w:textAlignment w:val="auto"/>
        <w:rPr>
          <w:rFonts w:ascii="Arial" w:hAnsi="Arial" w:cs="Arial"/>
          <w:b/>
          <w:color w:val="000000"/>
          <w:kern w:val="0"/>
          <w:sz w:val="22"/>
          <w:szCs w:val="22"/>
          <w:lang w:bidi="ar-SA"/>
        </w:rPr>
      </w:pPr>
    </w:p>
    <w:p w:rsidR="009B4233" w:rsidRDefault="009B4233">
      <w:pPr>
        <w:widowControl/>
        <w:suppressAutoHyphens w:val="0"/>
        <w:autoSpaceDE w:val="0"/>
        <w:jc w:val="both"/>
        <w:textAlignment w:val="auto"/>
        <w:rPr>
          <w:rFonts w:ascii="Arial" w:hAnsi="Arial" w:cs="Arial"/>
          <w:b/>
          <w:color w:val="000000"/>
          <w:kern w:val="0"/>
          <w:sz w:val="22"/>
          <w:szCs w:val="22"/>
          <w:lang w:bidi="ar-SA"/>
        </w:rPr>
      </w:pPr>
    </w:p>
    <w:p w:rsidR="009B4233" w:rsidRDefault="009B4233">
      <w:pPr>
        <w:widowControl/>
        <w:suppressAutoHyphens w:val="0"/>
        <w:autoSpaceDE w:val="0"/>
        <w:jc w:val="both"/>
        <w:textAlignment w:val="auto"/>
        <w:rPr>
          <w:rFonts w:ascii="Arial" w:hAnsi="Arial" w:cs="Arial"/>
          <w:b/>
          <w:color w:val="000000"/>
          <w:kern w:val="0"/>
          <w:sz w:val="22"/>
          <w:szCs w:val="22"/>
          <w:lang w:bidi="ar-SA"/>
        </w:rPr>
      </w:pPr>
    </w:p>
    <w:p w:rsidR="009B4233" w:rsidRDefault="009B4233">
      <w:pPr>
        <w:widowControl/>
        <w:suppressAutoHyphens w:val="0"/>
        <w:autoSpaceDE w:val="0"/>
        <w:jc w:val="both"/>
        <w:textAlignment w:val="auto"/>
        <w:rPr>
          <w:rFonts w:ascii="Arial" w:hAnsi="Arial" w:cs="Arial"/>
          <w:b/>
          <w:color w:val="000000"/>
          <w:kern w:val="0"/>
          <w:sz w:val="22"/>
          <w:szCs w:val="22"/>
          <w:lang w:bidi="ar-SA"/>
        </w:rPr>
      </w:pPr>
    </w:p>
    <w:p w:rsidR="009B4233" w:rsidRDefault="009B4233">
      <w:pPr>
        <w:widowControl/>
        <w:suppressAutoHyphens w:val="0"/>
        <w:autoSpaceDE w:val="0"/>
        <w:jc w:val="both"/>
        <w:textAlignment w:val="auto"/>
        <w:rPr>
          <w:rFonts w:ascii="Arial" w:hAnsi="Arial" w:cs="Arial"/>
          <w:b/>
          <w:color w:val="000000"/>
          <w:kern w:val="0"/>
          <w:sz w:val="22"/>
          <w:szCs w:val="22"/>
          <w:lang w:bidi="ar-SA"/>
        </w:rPr>
      </w:pPr>
    </w:p>
    <w:p w:rsidR="009B4233" w:rsidRDefault="009B4233">
      <w:pPr>
        <w:widowControl/>
        <w:suppressAutoHyphens w:val="0"/>
        <w:autoSpaceDE w:val="0"/>
        <w:jc w:val="both"/>
        <w:textAlignment w:val="auto"/>
        <w:rPr>
          <w:rFonts w:ascii="Arial" w:hAnsi="Arial" w:cs="Arial"/>
          <w:b/>
          <w:color w:val="000000"/>
          <w:kern w:val="0"/>
          <w:sz w:val="22"/>
          <w:szCs w:val="22"/>
          <w:lang w:bidi="ar-SA"/>
        </w:rPr>
      </w:pPr>
    </w:p>
    <w:p w:rsidR="009B4233" w:rsidRDefault="009B4233">
      <w:pPr>
        <w:widowControl/>
        <w:suppressAutoHyphens w:val="0"/>
        <w:autoSpaceDE w:val="0"/>
        <w:jc w:val="both"/>
        <w:textAlignment w:val="auto"/>
        <w:rPr>
          <w:rFonts w:ascii="Arial" w:hAnsi="Arial" w:cs="Arial"/>
          <w:b/>
          <w:color w:val="000000"/>
          <w:kern w:val="0"/>
          <w:sz w:val="22"/>
          <w:szCs w:val="22"/>
          <w:lang w:bidi="ar-SA"/>
        </w:rPr>
      </w:pPr>
    </w:p>
    <w:p w:rsidR="009B4233" w:rsidRDefault="009B4233">
      <w:pPr>
        <w:widowControl/>
        <w:suppressAutoHyphens w:val="0"/>
        <w:autoSpaceDE w:val="0"/>
        <w:jc w:val="both"/>
        <w:textAlignment w:val="auto"/>
        <w:rPr>
          <w:rFonts w:ascii="Arial" w:hAnsi="Arial" w:cs="Arial"/>
          <w:b/>
          <w:color w:val="000000"/>
          <w:kern w:val="0"/>
          <w:sz w:val="22"/>
          <w:szCs w:val="22"/>
          <w:lang w:bidi="ar-SA"/>
        </w:rPr>
      </w:pPr>
    </w:p>
    <w:p w:rsidR="009B4233" w:rsidRDefault="009B4233">
      <w:pPr>
        <w:widowControl/>
        <w:suppressAutoHyphens w:val="0"/>
        <w:autoSpaceDE w:val="0"/>
        <w:jc w:val="both"/>
        <w:textAlignment w:val="auto"/>
        <w:rPr>
          <w:rFonts w:ascii="Arial" w:hAnsi="Arial" w:cs="Arial"/>
          <w:b/>
          <w:color w:val="000000"/>
          <w:kern w:val="0"/>
          <w:sz w:val="22"/>
          <w:szCs w:val="22"/>
          <w:lang w:bidi="ar-SA"/>
        </w:rPr>
      </w:pPr>
    </w:p>
    <w:p w:rsidR="009B4233" w:rsidRDefault="009B4233">
      <w:pPr>
        <w:widowControl/>
        <w:suppressAutoHyphens w:val="0"/>
        <w:autoSpaceDE w:val="0"/>
        <w:jc w:val="both"/>
        <w:textAlignment w:val="auto"/>
        <w:rPr>
          <w:rFonts w:ascii="Arial" w:hAnsi="Arial" w:cs="Arial"/>
          <w:b/>
          <w:color w:val="000000"/>
          <w:kern w:val="0"/>
          <w:sz w:val="22"/>
          <w:szCs w:val="22"/>
          <w:lang w:bidi="ar-SA"/>
        </w:rPr>
      </w:pPr>
    </w:p>
    <w:p w:rsidR="009B4233" w:rsidRDefault="009B4233">
      <w:pPr>
        <w:widowControl/>
        <w:suppressAutoHyphens w:val="0"/>
        <w:autoSpaceDE w:val="0"/>
        <w:jc w:val="both"/>
        <w:textAlignment w:val="auto"/>
        <w:rPr>
          <w:rFonts w:ascii="Arial" w:hAnsi="Arial" w:cs="Arial"/>
          <w:b/>
          <w:color w:val="000000"/>
          <w:kern w:val="0"/>
          <w:sz w:val="22"/>
          <w:szCs w:val="22"/>
          <w:lang w:bidi="ar-SA"/>
        </w:rPr>
      </w:pPr>
    </w:p>
    <w:p w:rsidR="009B4233" w:rsidRDefault="009B4233">
      <w:pPr>
        <w:widowControl/>
        <w:suppressAutoHyphens w:val="0"/>
        <w:autoSpaceDE w:val="0"/>
        <w:jc w:val="both"/>
        <w:textAlignment w:val="auto"/>
        <w:rPr>
          <w:rFonts w:ascii="Arial" w:hAnsi="Arial" w:cs="Arial"/>
          <w:b/>
          <w:color w:val="000000"/>
          <w:kern w:val="0"/>
          <w:sz w:val="22"/>
          <w:szCs w:val="22"/>
          <w:lang w:bidi="ar-SA"/>
        </w:rPr>
      </w:pPr>
    </w:p>
    <w:p w:rsidR="009B4233" w:rsidRDefault="009B4233">
      <w:pPr>
        <w:widowControl/>
        <w:suppressAutoHyphens w:val="0"/>
        <w:autoSpaceDE w:val="0"/>
        <w:jc w:val="both"/>
        <w:textAlignment w:val="auto"/>
        <w:rPr>
          <w:rFonts w:ascii="Arial" w:hAnsi="Arial" w:cs="Arial"/>
          <w:b/>
          <w:color w:val="000000"/>
          <w:kern w:val="0"/>
          <w:sz w:val="22"/>
          <w:szCs w:val="22"/>
          <w:lang w:bidi="ar-SA"/>
        </w:rPr>
      </w:pPr>
    </w:p>
    <w:p w:rsidR="009B4233" w:rsidRDefault="009B4233">
      <w:pPr>
        <w:widowControl/>
        <w:suppressAutoHyphens w:val="0"/>
        <w:autoSpaceDE w:val="0"/>
        <w:jc w:val="both"/>
        <w:textAlignment w:val="auto"/>
        <w:rPr>
          <w:rFonts w:ascii="Arial" w:hAnsi="Arial" w:cs="Arial"/>
          <w:b/>
          <w:color w:val="000000"/>
          <w:kern w:val="0"/>
          <w:sz w:val="22"/>
          <w:szCs w:val="22"/>
          <w:lang w:bidi="ar-SA"/>
        </w:rPr>
      </w:pPr>
    </w:p>
    <w:p w:rsidR="009B4233" w:rsidRDefault="009B4233">
      <w:pPr>
        <w:widowControl/>
        <w:suppressAutoHyphens w:val="0"/>
        <w:autoSpaceDE w:val="0"/>
        <w:jc w:val="both"/>
        <w:textAlignment w:val="auto"/>
        <w:rPr>
          <w:rFonts w:ascii="Arial" w:hAnsi="Arial" w:cs="Arial"/>
          <w:b/>
          <w:color w:val="000000"/>
          <w:kern w:val="0"/>
          <w:sz w:val="22"/>
          <w:szCs w:val="22"/>
          <w:lang w:bidi="ar-SA"/>
        </w:rPr>
      </w:pPr>
    </w:p>
    <w:p w:rsidR="009B4233" w:rsidRDefault="009B4233">
      <w:pPr>
        <w:widowControl/>
        <w:suppressAutoHyphens w:val="0"/>
        <w:autoSpaceDE w:val="0"/>
        <w:jc w:val="both"/>
        <w:textAlignment w:val="auto"/>
        <w:rPr>
          <w:rFonts w:ascii="Arial" w:hAnsi="Arial" w:cs="Arial"/>
          <w:b/>
          <w:color w:val="000000"/>
          <w:kern w:val="0"/>
          <w:sz w:val="22"/>
          <w:szCs w:val="22"/>
          <w:lang w:bidi="ar-SA"/>
        </w:rPr>
      </w:pPr>
    </w:p>
    <w:p w:rsidR="009B4233" w:rsidRDefault="009B4233">
      <w:pPr>
        <w:widowControl/>
        <w:suppressAutoHyphens w:val="0"/>
        <w:autoSpaceDE w:val="0"/>
        <w:jc w:val="both"/>
        <w:textAlignment w:val="auto"/>
        <w:rPr>
          <w:rFonts w:ascii="Arial" w:hAnsi="Arial" w:cs="Arial"/>
          <w:b/>
          <w:color w:val="000000"/>
          <w:kern w:val="0"/>
          <w:sz w:val="22"/>
          <w:szCs w:val="22"/>
          <w:lang w:bidi="ar-SA"/>
        </w:rPr>
      </w:pPr>
    </w:p>
    <w:p w:rsidR="009B4233" w:rsidRDefault="009B4233">
      <w:pPr>
        <w:widowControl/>
        <w:suppressAutoHyphens w:val="0"/>
        <w:autoSpaceDE w:val="0"/>
        <w:jc w:val="both"/>
        <w:textAlignment w:val="auto"/>
        <w:rPr>
          <w:rFonts w:ascii="Arial" w:hAnsi="Arial" w:cs="Arial"/>
          <w:b/>
          <w:color w:val="000000"/>
          <w:kern w:val="0"/>
          <w:sz w:val="22"/>
          <w:szCs w:val="22"/>
          <w:lang w:bidi="ar-SA"/>
        </w:rPr>
      </w:pPr>
    </w:p>
    <w:p w:rsidR="009B4233" w:rsidRDefault="009B4233">
      <w:pPr>
        <w:widowControl/>
        <w:suppressAutoHyphens w:val="0"/>
        <w:autoSpaceDE w:val="0"/>
        <w:jc w:val="both"/>
        <w:textAlignment w:val="auto"/>
        <w:rPr>
          <w:rFonts w:ascii="Arial" w:hAnsi="Arial" w:cs="Arial"/>
          <w:b/>
          <w:color w:val="000000"/>
          <w:kern w:val="0"/>
          <w:sz w:val="22"/>
          <w:szCs w:val="22"/>
          <w:lang w:bidi="ar-SA"/>
        </w:rPr>
      </w:pPr>
    </w:p>
    <w:p w:rsidR="009B4233" w:rsidRDefault="009B4233">
      <w:pPr>
        <w:widowControl/>
        <w:suppressAutoHyphens w:val="0"/>
        <w:autoSpaceDE w:val="0"/>
        <w:jc w:val="both"/>
        <w:textAlignment w:val="auto"/>
        <w:rPr>
          <w:rFonts w:ascii="Arial" w:hAnsi="Arial" w:cs="Arial"/>
          <w:b/>
          <w:color w:val="000000"/>
          <w:kern w:val="0"/>
          <w:sz w:val="22"/>
          <w:szCs w:val="22"/>
          <w:lang w:bidi="ar-SA"/>
        </w:rPr>
      </w:pPr>
    </w:p>
    <w:p w:rsidR="009B4233" w:rsidRDefault="009B4233">
      <w:pPr>
        <w:widowControl/>
        <w:suppressAutoHyphens w:val="0"/>
        <w:autoSpaceDE w:val="0"/>
        <w:jc w:val="both"/>
        <w:textAlignment w:val="auto"/>
        <w:rPr>
          <w:rFonts w:ascii="Arial" w:hAnsi="Arial" w:cs="Arial"/>
          <w:b/>
          <w:color w:val="000000"/>
          <w:kern w:val="0"/>
          <w:sz w:val="22"/>
          <w:szCs w:val="22"/>
          <w:lang w:bidi="ar-SA"/>
        </w:rPr>
      </w:pPr>
    </w:p>
    <w:p w:rsidR="009B4233" w:rsidRDefault="009B4233">
      <w:pPr>
        <w:widowControl/>
        <w:suppressAutoHyphens w:val="0"/>
        <w:autoSpaceDE w:val="0"/>
        <w:jc w:val="both"/>
        <w:textAlignment w:val="auto"/>
        <w:rPr>
          <w:rFonts w:ascii="Arial" w:hAnsi="Arial" w:cs="Arial"/>
          <w:b/>
          <w:color w:val="000000"/>
          <w:kern w:val="0"/>
          <w:sz w:val="22"/>
          <w:szCs w:val="22"/>
          <w:lang w:bidi="ar-SA"/>
        </w:rPr>
      </w:pPr>
    </w:p>
    <w:p w:rsidR="009B4233" w:rsidRDefault="009B4233">
      <w:pPr>
        <w:widowControl/>
        <w:suppressAutoHyphens w:val="0"/>
        <w:autoSpaceDE w:val="0"/>
        <w:jc w:val="both"/>
        <w:textAlignment w:val="auto"/>
        <w:rPr>
          <w:rFonts w:ascii="Arial" w:hAnsi="Arial" w:cs="Arial"/>
          <w:b/>
          <w:color w:val="000000"/>
          <w:kern w:val="0"/>
          <w:sz w:val="22"/>
          <w:szCs w:val="22"/>
          <w:lang w:bidi="ar-SA"/>
        </w:rPr>
      </w:pPr>
    </w:p>
    <w:p w:rsidR="009B4233" w:rsidRDefault="009B4233">
      <w:pPr>
        <w:widowControl/>
        <w:suppressAutoHyphens w:val="0"/>
        <w:autoSpaceDE w:val="0"/>
        <w:jc w:val="both"/>
        <w:textAlignment w:val="auto"/>
        <w:rPr>
          <w:rFonts w:ascii="Arial" w:hAnsi="Arial" w:cs="Arial"/>
          <w:b/>
          <w:color w:val="000000"/>
          <w:kern w:val="0"/>
          <w:sz w:val="22"/>
          <w:szCs w:val="22"/>
          <w:lang w:bidi="ar-SA"/>
        </w:rPr>
      </w:pPr>
    </w:p>
    <w:p w:rsidR="009B4233" w:rsidRDefault="009B4233">
      <w:pPr>
        <w:widowControl/>
        <w:suppressAutoHyphens w:val="0"/>
        <w:autoSpaceDE w:val="0"/>
        <w:jc w:val="both"/>
        <w:textAlignment w:val="auto"/>
        <w:rPr>
          <w:rFonts w:ascii="Arial" w:hAnsi="Arial" w:cs="Arial"/>
          <w:b/>
          <w:color w:val="000000"/>
          <w:kern w:val="0"/>
          <w:sz w:val="22"/>
          <w:szCs w:val="22"/>
          <w:lang w:bidi="ar-SA"/>
        </w:rPr>
      </w:pPr>
    </w:p>
    <w:p w:rsidR="009B4233" w:rsidRDefault="009B4233">
      <w:pPr>
        <w:widowControl/>
        <w:suppressAutoHyphens w:val="0"/>
        <w:autoSpaceDE w:val="0"/>
        <w:jc w:val="both"/>
        <w:textAlignment w:val="auto"/>
        <w:rPr>
          <w:rFonts w:ascii="Arial" w:hAnsi="Arial" w:cs="Arial"/>
          <w:b/>
          <w:color w:val="000000"/>
          <w:kern w:val="0"/>
          <w:sz w:val="22"/>
          <w:szCs w:val="22"/>
          <w:lang w:bidi="ar-SA"/>
        </w:rPr>
      </w:pPr>
    </w:p>
    <w:p w:rsidR="009B4233" w:rsidRDefault="009B4233">
      <w:pPr>
        <w:widowControl/>
        <w:suppressAutoHyphens w:val="0"/>
        <w:autoSpaceDE w:val="0"/>
        <w:jc w:val="both"/>
        <w:textAlignment w:val="auto"/>
        <w:rPr>
          <w:rFonts w:ascii="Arial" w:hAnsi="Arial" w:cs="Arial"/>
          <w:b/>
          <w:color w:val="000000"/>
          <w:kern w:val="0"/>
          <w:sz w:val="22"/>
          <w:szCs w:val="22"/>
          <w:lang w:bidi="ar-SA"/>
        </w:rPr>
      </w:pPr>
    </w:p>
    <w:p w:rsidR="009B4233" w:rsidRDefault="009B4233">
      <w:pPr>
        <w:widowControl/>
        <w:suppressAutoHyphens w:val="0"/>
        <w:autoSpaceDE w:val="0"/>
        <w:jc w:val="both"/>
        <w:textAlignment w:val="auto"/>
        <w:rPr>
          <w:rFonts w:ascii="Arial" w:hAnsi="Arial" w:cs="Arial"/>
          <w:b/>
          <w:color w:val="000000"/>
          <w:kern w:val="0"/>
          <w:sz w:val="22"/>
          <w:szCs w:val="22"/>
          <w:lang w:bidi="ar-SA"/>
        </w:rPr>
      </w:pPr>
    </w:p>
    <w:p w:rsidR="009B4233" w:rsidRDefault="009B4233">
      <w:pPr>
        <w:widowControl/>
        <w:suppressAutoHyphens w:val="0"/>
        <w:autoSpaceDE w:val="0"/>
        <w:jc w:val="both"/>
        <w:textAlignment w:val="auto"/>
        <w:rPr>
          <w:rFonts w:ascii="Arial" w:hAnsi="Arial" w:cs="Arial"/>
          <w:b/>
          <w:color w:val="000000"/>
          <w:kern w:val="0"/>
          <w:sz w:val="22"/>
          <w:szCs w:val="22"/>
          <w:lang w:bidi="ar-SA"/>
        </w:rPr>
      </w:pPr>
    </w:p>
    <w:p w:rsidR="009B4233" w:rsidRDefault="009B4233">
      <w:pPr>
        <w:widowControl/>
        <w:suppressAutoHyphens w:val="0"/>
        <w:autoSpaceDE w:val="0"/>
        <w:jc w:val="both"/>
        <w:textAlignment w:val="auto"/>
        <w:rPr>
          <w:rFonts w:ascii="Arial" w:hAnsi="Arial" w:cs="Arial"/>
          <w:b/>
          <w:color w:val="000000"/>
          <w:kern w:val="0"/>
          <w:sz w:val="22"/>
          <w:szCs w:val="22"/>
          <w:lang w:bidi="ar-SA"/>
        </w:rPr>
      </w:pPr>
    </w:p>
    <w:p w:rsidR="009B4233" w:rsidRDefault="009B4233">
      <w:pPr>
        <w:widowControl/>
        <w:suppressAutoHyphens w:val="0"/>
        <w:autoSpaceDE w:val="0"/>
        <w:jc w:val="both"/>
        <w:textAlignment w:val="auto"/>
        <w:rPr>
          <w:rFonts w:ascii="Arial" w:hAnsi="Arial" w:cs="Arial"/>
          <w:b/>
          <w:color w:val="000000"/>
          <w:kern w:val="0"/>
          <w:sz w:val="22"/>
          <w:szCs w:val="22"/>
          <w:lang w:bidi="ar-SA"/>
        </w:rPr>
      </w:pPr>
    </w:p>
    <w:p w:rsidR="009B4233" w:rsidRDefault="009B4233">
      <w:pPr>
        <w:widowControl/>
        <w:suppressAutoHyphens w:val="0"/>
        <w:autoSpaceDE w:val="0"/>
        <w:jc w:val="both"/>
        <w:textAlignment w:val="auto"/>
        <w:rPr>
          <w:rFonts w:ascii="Arial" w:hAnsi="Arial" w:cs="Arial"/>
          <w:b/>
          <w:color w:val="000000"/>
          <w:kern w:val="0"/>
          <w:sz w:val="22"/>
          <w:szCs w:val="22"/>
          <w:lang w:bidi="ar-SA"/>
        </w:rPr>
      </w:pPr>
    </w:p>
    <w:p w:rsidR="009B4233" w:rsidRDefault="009B4233">
      <w:pPr>
        <w:widowControl/>
        <w:suppressAutoHyphens w:val="0"/>
        <w:autoSpaceDE w:val="0"/>
        <w:jc w:val="both"/>
        <w:textAlignment w:val="auto"/>
        <w:rPr>
          <w:rFonts w:ascii="Arial" w:hAnsi="Arial" w:cs="Arial"/>
          <w:b/>
          <w:color w:val="000000"/>
          <w:kern w:val="0"/>
          <w:sz w:val="22"/>
          <w:szCs w:val="22"/>
          <w:lang w:bidi="ar-SA"/>
        </w:rPr>
      </w:pPr>
    </w:p>
    <w:p w:rsidR="009B4233" w:rsidRDefault="009B4233">
      <w:pPr>
        <w:widowControl/>
        <w:suppressAutoHyphens w:val="0"/>
        <w:autoSpaceDE w:val="0"/>
        <w:jc w:val="both"/>
        <w:textAlignment w:val="auto"/>
        <w:rPr>
          <w:rFonts w:ascii="Arial" w:hAnsi="Arial" w:cs="Arial"/>
          <w:b/>
          <w:color w:val="000000"/>
          <w:kern w:val="0"/>
          <w:sz w:val="22"/>
          <w:szCs w:val="22"/>
          <w:lang w:bidi="ar-SA"/>
        </w:rPr>
      </w:pPr>
    </w:p>
    <w:p w:rsidR="009B4233" w:rsidRDefault="009B4233">
      <w:pPr>
        <w:widowControl/>
        <w:suppressAutoHyphens w:val="0"/>
        <w:autoSpaceDE w:val="0"/>
        <w:jc w:val="both"/>
        <w:textAlignment w:val="auto"/>
        <w:rPr>
          <w:rFonts w:ascii="Arial" w:hAnsi="Arial" w:cs="Arial"/>
          <w:b/>
          <w:color w:val="000000"/>
          <w:kern w:val="0"/>
          <w:lang w:bidi="ar-SA"/>
        </w:rPr>
      </w:pPr>
    </w:p>
    <w:p w:rsidR="009B4233" w:rsidRDefault="006B08B9">
      <w:pPr>
        <w:widowControl/>
        <w:suppressAutoHyphens w:val="0"/>
        <w:autoSpaceDE w:val="0"/>
        <w:jc w:val="both"/>
        <w:textAlignment w:val="auto"/>
      </w:pPr>
      <w:r>
        <w:rPr>
          <w:rFonts w:ascii="Arial" w:hAnsi="Arial" w:cs="Arial"/>
          <w:b/>
          <w:color w:val="000000"/>
          <w:kern w:val="0"/>
          <w:lang w:bidi="ar-SA"/>
        </w:rPr>
        <w:t xml:space="preserve">3.- Expediente 7883/2025. </w:t>
      </w:r>
      <w:r>
        <w:rPr>
          <w:rFonts w:ascii="Arial" w:hAnsi="Arial" w:cs="Arial"/>
          <w:b/>
          <w:color w:val="000000"/>
          <w:kern w:val="0"/>
          <w:lang w:bidi="ar-SA"/>
        </w:rPr>
        <w:t xml:space="preserve">Propuesta del Concejal delegado de Hacienda de 15-9-2025 al Pleno de aprobar el contrato programa sobre el marco de relaciones entre el </w:t>
      </w:r>
      <w:r>
        <w:rPr>
          <w:rFonts w:ascii="Arial" w:hAnsi="Arial" w:cs="Arial"/>
          <w:b/>
        </w:rPr>
        <w:t>Ayuntamiento de Candelaria, la Entidad Pública Empresarial “Gestión de Empresas y Servicios Municipales del Ayuntamiento</w:t>
      </w:r>
      <w:r>
        <w:rPr>
          <w:rFonts w:ascii="Arial" w:hAnsi="Arial" w:cs="Arial"/>
          <w:b/>
        </w:rPr>
        <w:t xml:space="preserve"> de la villa de Candelaria, la Sociedad Mercantil “Empresa de Inserción de Viviendas y Servicios Municipales de Candelaria, SL y la Fundación “Candelaria Solidaria”, para el ejercicio 2025. </w:t>
      </w:r>
    </w:p>
    <w:p w:rsidR="009B4233" w:rsidRDefault="009B4233">
      <w:pPr>
        <w:widowControl/>
        <w:suppressAutoHyphens w:val="0"/>
        <w:autoSpaceDE w:val="0"/>
        <w:textAlignment w:val="auto"/>
        <w:rPr>
          <w:rFonts w:ascii="Arial" w:hAnsi="Arial" w:cs="Arial"/>
          <w:b/>
          <w:sz w:val="22"/>
          <w:szCs w:val="22"/>
        </w:rPr>
      </w:pPr>
    </w:p>
    <w:p w:rsidR="009B4233" w:rsidRDefault="009B4233">
      <w:pPr>
        <w:jc w:val="both"/>
        <w:rPr>
          <w:rFonts w:ascii="Arial" w:hAnsi="Arial" w:cs="Arial"/>
          <w:b/>
          <w:sz w:val="22"/>
          <w:szCs w:val="22"/>
          <w:lang w:val="ca-ES"/>
        </w:rPr>
      </w:pPr>
    </w:p>
    <w:p w:rsidR="009B4233" w:rsidRDefault="006B08B9">
      <w:pPr>
        <w:jc w:val="both"/>
      </w:pPr>
      <w:r>
        <w:rPr>
          <w:rFonts w:ascii="Arial" w:hAnsi="Arial" w:cs="Arial"/>
          <w:b/>
          <w:sz w:val="22"/>
          <w:szCs w:val="22"/>
          <w:lang w:val="ca-ES"/>
        </w:rPr>
        <w:t>CONTRATO PROGRAMA SOBRE EL MARCO DE RELACIONES ENTRE EL AYUNTAM</w:t>
      </w:r>
      <w:r>
        <w:rPr>
          <w:rFonts w:ascii="Arial" w:hAnsi="Arial" w:cs="Arial"/>
          <w:b/>
          <w:sz w:val="22"/>
          <w:szCs w:val="22"/>
          <w:lang w:val="ca-ES"/>
        </w:rPr>
        <w:t xml:space="preserve">IENTO DE CANDELARIA, LA ENTIDAD PUBLICA EMPRESARIAL </w:t>
      </w:r>
      <w:r>
        <w:rPr>
          <w:rFonts w:ascii="Arial" w:hAnsi="Arial" w:cs="Arial"/>
          <w:b/>
          <w:bCs/>
          <w:sz w:val="22"/>
          <w:szCs w:val="22"/>
          <w:lang w:val="ca-ES"/>
        </w:rPr>
        <w:t>“GESTIÓN DE EMPRESAS Y SERVICIOS MUNICIPALES DEL AYUNTAMIENTO DE LA VILLA DE CANDELARIA”,</w:t>
      </w:r>
      <w:r>
        <w:rPr>
          <w:rFonts w:ascii="Arial" w:hAnsi="Arial" w:cs="Arial"/>
          <w:b/>
          <w:sz w:val="22"/>
          <w:szCs w:val="22"/>
          <w:lang w:val="ca-ES"/>
        </w:rPr>
        <w:t xml:space="preserve"> LA SOCIEDAD MERCANTIL “</w:t>
      </w:r>
      <w:r>
        <w:rPr>
          <w:rFonts w:ascii="Arial" w:hAnsi="Arial" w:cs="Arial"/>
          <w:b/>
          <w:bCs/>
          <w:sz w:val="22"/>
          <w:szCs w:val="22"/>
          <w:lang w:val="ca-ES"/>
        </w:rPr>
        <w:t>EMPRESA DE INSERCIÓN VIVIENDAS Y SERVICIOS MUNICIPALES DE CANDELARIA S.L.” Y LA FUNDACIÓN “</w:t>
      </w:r>
      <w:r>
        <w:rPr>
          <w:rFonts w:ascii="Arial" w:hAnsi="Arial" w:cs="Arial"/>
          <w:b/>
          <w:bCs/>
          <w:sz w:val="22"/>
          <w:szCs w:val="22"/>
          <w:lang w:val="ca-ES"/>
        </w:rPr>
        <w:t>CANDELARIA SOLIDARIA” PARA EL EJERCICIO 2025.</w:t>
      </w:r>
    </w:p>
    <w:p w:rsidR="009B4233" w:rsidRDefault="006B08B9">
      <w:pPr>
        <w:jc w:val="both"/>
      </w:pPr>
      <w:r>
        <w:rPr>
          <w:rFonts w:ascii="Arial" w:hAnsi="Arial" w:cs="Arial"/>
          <w:noProof/>
          <w:sz w:val="22"/>
          <w:szCs w:val="22"/>
          <w:lang w:eastAsia="es-ES" w:bidi="ar-SA"/>
        </w:rPr>
        <mc:AlternateContent>
          <mc:Choice Requires="wps">
            <w:drawing>
              <wp:anchor distT="0" distB="0" distL="114300" distR="114300" simplePos="0" relativeHeight="251656704" behindDoc="0" locked="0" layoutInCell="1" allowOverlap="1">
                <wp:simplePos x="0" y="0"/>
                <wp:positionH relativeFrom="column">
                  <wp:posOffset>4443</wp:posOffset>
                </wp:positionH>
                <wp:positionV relativeFrom="paragraph">
                  <wp:posOffset>118113</wp:posOffset>
                </wp:positionV>
                <wp:extent cx="6059172" cy="0"/>
                <wp:effectExtent l="19050" t="19050" r="36828" b="38100"/>
                <wp:wrapNone/>
                <wp:docPr id="19" name="Conector recto 139"/>
                <wp:cNvGraphicFramePr/>
                <a:graphic xmlns:a="http://schemas.openxmlformats.org/drawingml/2006/main">
                  <a:graphicData uri="http://schemas.microsoft.com/office/word/2010/wordprocessingShape">
                    <wps:wsp>
                      <wps:cNvCnPr/>
                      <wps:spPr>
                        <a:xfrm>
                          <a:off x="0" y="0"/>
                          <a:ext cx="6059172" cy="0"/>
                        </a:xfrm>
                        <a:prstGeom prst="straightConnector1">
                          <a:avLst/>
                        </a:prstGeom>
                        <a:noFill/>
                        <a:ln w="25557" cap="sq">
                          <a:solidFill>
                            <a:srgbClr val="993366"/>
                          </a:solidFill>
                          <a:prstDash val="solid"/>
                          <a:miter/>
                        </a:ln>
                      </wps:spPr>
                      <wps:bodyPr/>
                    </wps:wsp>
                  </a:graphicData>
                </a:graphic>
              </wp:anchor>
            </w:drawing>
          </mc:Choice>
          <mc:Fallback>
            <w:pict>
              <v:shape w14:anchorId="16C9BA51" id="Conector recto 139" o:spid="_x0000_s1026" type="#_x0000_t32" style="position:absolute;margin-left:.35pt;margin-top:9.3pt;width:477.1pt;height:0;z-index:2516567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" strokecolor="#936" strokeweight=".70992mm">
                <v:stroke joinstyle="miter" endcap="square"/>
              </v:shape>
            </w:pict>
          </mc:Fallback>
        </mc:AlternateContent>
      </w:r>
    </w:p>
    <w:p w:rsidR="009B4233" w:rsidRDefault="009B4233">
      <w:pPr>
        <w:jc w:val="both"/>
        <w:rPr>
          <w:rFonts w:ascii="Arial" w:hAnsi="Arial" w:cs="Arial"/>
          <w:b/>
          <w:bCs/>
          <w:sz w:val="22"/>
          <w:szCs w:val="22"/>
        </w:rPr>
      </w:pPr>
    </w:p>
    <w:p w:rsidR="009B4233" w:rsidRDefault="006B08B9">
      <w:pPr>
        <w:jc w:val="both"/>
      </w:pPr>
      <w:r>
        <w:rPr>
          <w:rFonts w:ascii="Arial" w:hAnsi="Arial" w:cs="Arial"/>
          <w:b/>
          <w:bCs/>
          <w:sz w:val="22"/>
          <w:szCs w:val="22"/>
        </w:rPr>
        <w:t>I.-</w:t>
      </w:r>
      <w:r>
        <w:rPr>
          <w:rFonts w:ascii="Arial" w:hAnsi="Arial" w:cs="Arial"/>
          <w:bCs/>
          <w:sz w:val="22"/>
          <w:szCs w:val="22"/>
        </w:rPr>
        <w:t>El objeto del CONTRATO-PROGRAMA,</w:t>
      </w:r>
      <w:r>
        <w:rPr>
          <w:rFonts w:ascii="Arial" w:hAnsi="Arial" w:cs="Arial"/>
          <w:b/>
          <w:bCs/>
          <w:sz w:val="22"/>
          <w:szCs w:val="22"/>
        </w:rPr>
        <w:t xml:space="preserve"> </w:t>
      </w:r>
      <w:r>
        <w:rPr>
          <w:rFonts w:ascii="Arial" w:hAnsi="Arial" w:cs="Arial"/>
          <w:bCs/>
          <w:sz w:val="22"/>
          <w:szCs w:val="22"/>
        </w:rPr>
        <w:t xml:space="preserve">es establecer un marco de relaciones y compromisos </w:t>
      </w:r>
      <w:r>
        <w:rPr>
          <w:rFonts w:ascii="Arial" w:hAnsi="Arial" w:cs="Arial"/>
          <w:bCs/>
          <w:sz w:val="22"/>
          <w:szCs w:val="22"/>
          <w:lang w:val="es-ES_tradnl"/>
        </w:rPr>
        <w:t>en materia de gestión, financiera y de ámbito de actividad,</w:t>
      </w:r>
      <w:r>
        <w:rPr>
          <w:rFonts w:ascii="Arial" w:hAnsi="Arial" w:cs="Arial"/>
          <w:bCs/>
          <w:sz w:val="22"/>
          <w:szCs w:val="22"/>
        </w:rPr>
        <w:t xml:space="preserve"> entre el Ayuntamiento de Candelaria y sus entes </w:t>
      </w:r>
      <w:r>
        <w:rPr>
          <w:rFonts w:ascii="Arial" w:hAnsi="Arial" w:cs="Arial"/>
          <w:bCs/>
          <w:sz w:val="22"/>
          <w:szCs w:val="22"/>
        </w:rPr>
        <w:t xml:space="preserve">dependientes: </w:t>
      </w:r>
      <w:r>
        <w:rPr>
          <w:rFonts w:ascii="Arial" w:hAnsi="Arial" w:cs="Arial"/>
          <w:bCs/>
          <w:sz w:val="22"/>
          <w:szCs w:val="22"/>
          <w:lang w:val="ca-ES"/>
        </w:rPr>
        <w:t>la Entidad Pública Empresarial  “Gestión de Empresas y Servicios Públicos del Ayuntamiento de la Villa Candelaria,” la Sociedad Mercantil Municipal “E.I. Viviendas y Servicios Municipales de Candelaria S.L.” y la Fundación “Candelaria Solidar</w:t>
      </w:r>
      <w:r>
        <w:rPr>
          <w:rFonts w:ascii="Arial" w:hAnsi="Arial" w:cs="Arial"/>
          <w:bCs/>
          <w:sz w:val="22"/>
          <w:szCs w:val="22"/>
          <w:lang w:val="ca-ES"/>
        </w:rPr>
        <w:t>ia”.</w:t>
      </w:r>
    </w:p>
    <w:p w:rsidR="009B4233" w:rsidRDefault="009B4233">
      <w:pPr>
        <w:jc w:val="center"/>
        <w:rPr>
          <w:rFonts w:ascii="Arial" w:hAnsi="Arial" w:cs="Arial"/>
          <w:b/>
          <w:bCs/>
          <w:sz w:val="22"/>
          <w:szCs w:val="22"/>
          <w:lang w:val="ca-ES"/>
        </w:rPr>
      </w:pPr>
    </w:p>
    <w:p w:rsidR="009B4233" w:rsidRDefault="006B08B9">
      <w:pPr>
        <w:jc w:val="both"/>
      </w:pPr>
      <w:r>
        <w:rPr>
          <w:rFonts w:ascii="Arial" w:hAnsi="Arial" w:cs="Arial"/>
          <w:b/>
          <w:bCs/>
          <w:sz w:val="22"/>
          <w:szCs w:val="22"/>
          <w:lang w:val="ca-ES"/>
        </w:rPr>
        <w:t>II.-</w:t>
      </w:r>
      <w:r>
        <w:rPr>
          <w:rFonts w:ascii="Arial" w:hAnsi="Arial" w:cs="Arial"/>
          <w:bCs/>
          <w:sz w:val="22"/>
          <w:szCs w:val="22"/>
          <w:lang w:val="ca-ES"/>
        </w:rPr>
        <w:t xml:space="preserve"> Que actualmente </w:t>
      </w:r>
      <w:r>
        <w:rPr>
          <w:rFonts w:ascii="Arial" w:hAnsi="Arial" w:cs="Arial"/>
          <w:bCs/>
          <w:iCs/>
          <w:sz w:val="22"/>
          <w:szCs w:val="22"/>
          <w:lang w:val="ca-ES"/>
        </w:rPr>
        <w:t>la</w:t>
      </w:r>
      <w:r>
        <w:rPr>
          <w:rFonts w:ascii="Arial" w:hAnsi="Arial" w:cs="Arial"/>
          <w:bCs/>
          <w:iCs/>
          <w:sz w:val="22"/>
          <w:szCs w:val="22"/>
          <w:lang w:val="es-AR"/>
        </w:rPr>
        <w:t xml:space="preserve"> Entidad</w:t>
      </w:r>
      <w:r>
        <w:rPr>
          <w:rFonts w:ascii="Arial" w:hAnsi="Arial" w:cs="Arial"/>
          <w:bCs/>
          <w:iCs/>
          <w:sz w:val="22"/>
          <w:szCs w:val="22"/>
          <w:lang w:val="ca-ES"/>
        </w:rPr>
        <w:t xml:space="preserve"> Pública Empresarial, al amparo de lo preceptuado en el artículo 6.1.b.) de sus Estatutos, presta actualmente la gestión de los siguientes servicios:</w:t>
      </w:r>
    </w:p>
    <w:p w:rsidR="009B4233" w:rsidRDefault="009B4233">
      <w:pPr>
        <w:jc w:val="both"/>
        <w:rPr>
          <w:rFonts w:ascii="Arial" w:hAnsi="Arial" w:cs="Arial"/>
          <w:bCs/>
          <w:iCs/>
          <w:sz w:val="22"/>
          <w:szCs w:val="22"/>
          <w:lang w:val="ca-ES"/>
        </w:rPr>
      </w:pPr>
    </w:p>
    <w:p w:rsidR="009B4233" w:rsidRDefault="009B4233">
      <w:pPr>
        <w:ind w:left="360"/>
        <w:jc w:val="both"/>
        <w:rPr>
          <w:rFonts w:ascii="Arial" w:hAnsi="Arial" w:cs="Arial"/>
          <w:sz w:val="22"/>
          <w:szCs w:val="22"/>
        </w:rPr>
      </w:pPr>
    </w:p>
    <w:p w:rsidR="009B4233" w:rsidRDefault="006B08B9">
      <w:pPr>
        <w:numPr>
          <w:ilvl w:val="0"/>
          <w:numId w:val="24"/>
        </w:numPr>
        <w:jc w:val="both"/>
        <w:textAlignment w:val="auto"/>
        <w:rPr>
          <w:rFonts w:ascii="Arial" w:hAnsi="Arial" w:cs="Arial"/>
          <w:sz w:val="22"/>
          <w:szCs w:val="22"/>
        </w:rPr>
      </w:pPr>
      <w:r>
        <w:rPr>
          <w:rFonts w:ascii="Arial" w:hAnsi="Arial" w:cs="Arial"/>
          <w:sz w:val="22"/>
          <w:szCs w:val="22"/>
        </w:rPr>
        <w:t>1.- Atención Sociosanitaria a Personas a Domicilio (Parcial).</w:t>
      </w:r>
    </w:p>
    <w:p w:rsidR="009B4233" w:rsidRDefault="006B08B9">
      <w:pPr>
        <w:numPr>
          <w:ilvl w:val="0"/>
          <w:numId w:val="24"/>
        </w:numPr>
        <w:jc w:val="both"/>
        <w:textAlignment w:val="auto"/>
        <w:rPr>
          <w:rFonts w:ascii="Arial" w:hAnsi="Arial" w:cs="Arial"/>
          <w:sz w:val="22"/>
          <w:szCs w:val="22"/>
        </w:rPr>
      </w:pPr>
      <w:r>
        <w:rPr>
          <w:rFonts w:ascii="Arial" w:hAnsi="Arial" w:cs="Arial"/>
          <w:sz w:val="22"/>
          <w:szCs w:val="22"/>
        </w:rPr>
        <w:t>2.- A</w:t>
      </w:r>
      <w:r>
        <w:rPr>
          <w:rFonts w:ascii="Arial" w:hAnsi="Arial" w:cs="Arial"/>
          <w:sz w:val="22"/>
          <w:szCs w:val="22"/>
        </w:rPr>
        <w:t>ctividades de Conserjería en Edificios Municipales y Limpieza interior de inmuebles municipales y equipamiento urbano (Parcial).</w:t>
      </w:r>
    </w:p>
    <w:p w:rsidR="009B4233" w:rsidRDefault="006B08B9">
      <w:pPr>
        <w:numPr>
          <w:ilvl w:val="0"/>
          <w:numId w:val="24"/>
        </w:numPr>
        <w:jc w:val="both"/>
        <w:textAlignment w:val="auto"/>
        <w:rPr>
          <w:rFonts w:ascii="Arial" w:hAnsi="Arial" w:cs="Arial"/>
          <w:sz w:val="22"/>
          <w:szCs w:val="22"/>
        </w:rPr>
      </w:pPr>
      <w:r>
        <w:rPr>
          <w:rFonts w:ascii="Arial" w:hAnsi="Arial" w:cs="Arial"/>
          <w:sz w:val="22"/>
          <w:szCs w:val="22"/>
        </w:rPr>
        <w:t>3.- Gestión de Aseos Autolimpiables instalados en Litoral de Candelaria.</w:t>
      </w:r>
    </w:p>
    <w:p w:rsidR="009B4233" w:rsidRDefault="006B08B9">
      <w:pPr>
        <w:numPr>
          <w:ilvl w:val="0"/>
          <w:numId w:val="24"/>
        </w:numPr>
        <w:jc w:val="both"/>
        <w:textAlignment w:val="auto"/>
        <w:rPr>
          <w:rFonts w:ascii="Arial" w:hAnsi="Arial" w:cs="Arial"/>
          <w:sz w:val="22"/>
          <w:szCs w:val="22"/>
        </w:rPr>
      </w:pPr>
      <w:r>
        <w:rPr>
          <w:rFonts w:ascii="Arial" w:hAnsi="Arial" w:cs="Arial"/>
          <w:sz w:val="22"/>
          <w:szCs w:val="22"/>
        </w:rPr>
        <w:t>4.- Radio Municipal.</w:t>
      </w:r>
    </w:p>
    <w:p w:rsidR="009B4233" w:rsidRDefault="006B08B9">
      <w:pPr>
        <w:numPr>
          <w:ilvl w:val="0"/>
          <w:numId w:val="24"/>
        </w:numPr>
        <w:jc w:val="both"/>
        <w:textAlignment w:val="auto"/>
        <w:rPr>
          <w:rFonts w:ascii="Arial" w:hAnsi="Arial" w:cs="Arial"/>
          <w:sz w:val="22"/>
          <w:szCs w:val="22"/>
        </w:rPr>
      </w:pPr>
      <w:r>
        <w:rPr>
          <w:rFonts w:ascii="Arial" w:hAnsi="Arial" w:cs="Arial"/>
          <w:sz w:val="22"/>
          <w:szCs w:val="22"/>
        </w:rPr>
        <w:t>5.- Escuela Infantil.</w:t>
      </w:r>
    </w:p>
    <w:p w:rsidR="009B4233" w:rsidRDefault="006B08B9">
      <w:pPr>
        <w:numPr>
          <w:ilvl w:val="0"/>
          <w:numId w:val="24"/>
        </w:numPr>
        <w:jc w:val="both"/>
        <w:textAlignment w:val="auto"/>
        <w:rPr>
          <w:rFonts w:ascii="Arial" w:hAnsi="Arial" w:cs="Arial"/>
          <w:sz w:val="22"/>
          <w:szCs w:val="22"/>
        </w:rPr>
      </w:pPr>
      <w:r>
        <w:rPr>
          <w:rFonts w:ascii="Arial" w:hAnsi="Arial" w:cs="Arial"/>
          <w:sz w:val="22"/>
          <w:szCs w:val="22"/>
        </w:rPr>
        <w:t>6.- Gestión</w:t>
      </w:r>
      <w:r>
        <w:rPr>
          <w:rFonts w:ascii="Arial" w:hAnsi="Arial" w:cs="Arial"/>
          <w:sz w:val="22"/>
          <w:szCs w:val="22"/>
        </w:rPr>
        <w:t xml:space="preserve"> de Personal de Escuelas Deportivas.</w:t>
      </w:r>
    </w:p>
    <w:p w:rsidR="009B4233" w:rsidRDefault="009B4233">
      <w:pPr>
        <w:ind w:left="360"/>
        <w:jc w:val="both"/>
        <w:rPr>
          <w:rFonts w:ascii="Arial" w:hAnsi="Arial" w:cs="Arial"/>
          <w:bCs/>
          <w:iCs/>
          <w:sz w:val="22"/>
          <w:szCs w:val="22"/>
          <w:lang w:val="ca-ES"/>
        </w:rPr>
      </w:pPr>
    </w:p>
    <w:p w:rsidR="009B4233" w:rsidRDefault="006B08B9">
      <w:pPr>
        <w:jc w:val="both"/>
      </w:pPr>
      <w:r>
        <w:rPr>
          <w:rFonts w:ascii="Arial" w:hAnsi="Arial" w:cs="Arial"/>
          <w:b/>
          <w:bCs/>
          <w:iCs/>
          <w:sz w:val="22"/>
          <w:szCs w:val="22"/>
          <w:lang w:val="ca-ES"/>
        </w:rPr>
        <w:t>III.-</w:t>
      </w:r>
      <w:r>
        <w:rPr>
          <w:rFonts w:ascii="Arial" w:eastAsia="Times New Roman" w:hAnsi="Arial" w:cs="Arial"/>
          <w:sz w:val="22"/>
          <w:szCs w:val="22"/>
          <w:lang w:eastAsia="ar-SA"/>
        </w:rPr>
        <w:t xml:space="preserve"> Que actualmente, </w:t>
      </w:r>
      <w:r>
        <w:rPr>
          <w:rFonts w:ascii="Arial" w:hAnsi="Arial" w:cs="Arial"/>
          <w:bCs/>
          <w:iCs/>
          <w:sz w:val="22"/>
          <w:szCs w:val="22"/>
        </w:rPr>
        <w:t>la Sociedad Municipal de Viviendas y Servicios Municipales de Candelaria S.L.U., cuya</w:t>
      </w:r>
      <w:r>
        <w:rPr>
          <w:rFonts w:ascii="Arial" w:eastAsia="Times New Roman" w:hAnsi="Arial" w:cs="Arial"/>
          <w:sz w:val="22"/>
          <w:szCs w:val="22"/>
          <w:lang w:val="es-ES_tradnl" w:eastAsia="ar-SA"/>
        </w:rPr>
        <w:t xml:space="preserve"> </w:t>
      </w:r>
      <w:r>
        <w:rPr>
          <w:rFonts w:ascii="Arial" w:hAnsi="Arial" w:cs="Arial"/>
          <w:bCs/>
          <w:iCs/>
          <w:sz w:val="22"/>
          <w:szCs w:val="22"/>
          <w:lang w:val="es-ES_tradnl"/>
        </w:rPr>
        <w:t>razón de ser de la Empresa Municipal, es promover la inserción sociolaboral de personas en situación de exclu</w:t>
      </w:r>
      <w:r>
        <w:rPr>
          <w:rFonts w:ascii="Arial" w:hAnsi="Arial" w:cs="Arial"/>
          <w:bCs/>
          <w:iCs/>
          <w:sz w:val="22"/>
          <w:szCs w:val="22"/>
          <w:lang w:val="es-ES_tradnl"/>
        </w:rPr>
        <w:t>sión o en riesgo de padecerla y aquellos servicios que permitan realizar itinerarios individualizados de inserción laboral, según la normativa vigente, nacional y  autonómica, y en particular la derivada de la Ley 44/2007, de 13 de diciembre, para la regul</w:t>
      </w:r>
      <w:r>
        <w:rPr>
          <w:rFonts w:ascii="Arial" w:hAnsi="Arial" w:cs="Arial"/>
          <w:bCs/>
          <w:iCs/>
          <w:sz w:val="22"/>
          <w:szCs w:val="22"/>
          <w:lang w:val="es-ES_tradnl"/>
        </w:rPr>
        <w:t>ación del régimen de las empresas de inserción</w:t>
      </w:r>
      <w:r>
        <w:rPr>
          <w:rFonts w:ascii="Arial" w:hAnsi="Arial" w:cs="Arial"/>
          <w:bCs/>
          <w:iCs/>
          <w:sz w:val="22"/>
          <w:szCs w:val="22"/>
        </w:rPr>
        <w:t>:</w:t>
      </w:r>
    </w:p>
    <w:p w:rsidR="009B4233" w:rsidRDefault="009B4233">
      <w:pPr>
        <w:jc w:val="both"/>
        <w:rPr>
          <w:rFonts w:ascii="Arial" w:hAnsi="Arial" w:cs="Arial"/>
          <w:sz w:val="22"/>
          <w:szCs w:val="22"/>
        </w:rPr>
      </w:pPr>
    </w:p>
    <w:p w:rsidR="009B4233" w:rsidRDefault="006B08B9">
      <w:pPr>
        <w:jc w:val="both"/>
        <w:rPr>
          <w:rFonts w:ascii="Arial" w:hAnsi="Arial" w:cs="Arial"/>
          <w:sz w:val="22"/>
          <w:szCs w:val="22"/>
        </w:rPr>
      </w:pPr>
      <w:r>
        <w:rPr>
          <w:rFonts w:ascii="Arial" w:hAnsi="Arial" w:cs="Arial"/>
          <w:sz w:val="22"/>
          <w:szCs w:val="22"/>
        </w:rPr>
        <w:t>1.- Atención Sociosanitaria a Personas a Domicilio (Parcial).</w:t>
      </w:r>
    </w:p>
    <w:p w:rsidR="009B4233" w:rsidRDefault="006B08B9">
      <w:pPr>
        <w:jc w:val="both"/>
        <w:rPr>
          <w:rFonts w:ascii="Arial" w:hAnsi="Arial" w:cs="Arial"/>
          <w:sz w:val="22"/>
          <w:szCs w:val="22"/>
        </w:rPr>
      </w:pPr>
      <w:r>
        <w:rPr>
          <w:rFonts w:ascii="Arial" w:hAnsi="Arial" w:cs="Arial"/>
          <w:sz w:val="22"/>
          <w:szCs w:val="22"/>
        </w:rPr>
        <w:t>2.- Actividades de Conserjería en Edificios Municipales y Limpieza interior de inmuebles municipales y equipamiento urbano (Parcial).</w:t>
      </w:r>
    </w:p>
    <w:p w:rsidR="009B4233" w:rsidRDefault="006B08B9">
      <w:pPr>
        <w:jc w:val="both"/>
        <w:rPr>
          <w:rFonts w:ascii="Arial" w:hAnsi="Arial" w:cs="Arial"/>
          <w:sz w:val="22"/>
          <w:szCs w:val="22"/>
        </w:rPr>
      </w:pPr>
      <w:r>
        <w:rPr>
          <w:rFonts w:ascii="Arial" w:hAnsi="Arial" w:cs="Arial"/>
          <w:sz w:val="22"/>
          <w:szCs w:val="22"/>
        </w:rPr>
        <w:t xml:space="preserve">3.- Centro </w:t>
      </w:r>
      <w:r>
        <w:rPr>
          <w:rFonts w:ascii="Arial" w:hAnsi="Arial" w:cs="Arial"/>
          <w:sz w:val="22"/>
          <w:szCs w:val="22"/>
        </w:rPr>
        <w:t>Alfarero.</w:t>
      </w:r>
    </w:p>
    <w:p w:rsidR="009B4233" w:rsidRDefault="006B08B9">
      <w:pPr>
        <w:jc w:val="both"/>
        <w:rPr>
          <w:rFonts w:ascii="Arial" w:hAnsi="Arial" w:cs="Arial"/>
          <w:sz w:val="22"/>
          <w:szCs w:val="22"/>
        </w:rPr>
      </w:pPr>
      <w:r>
        <w:rPr>
          <w:rFonts w:ascii="Arial" w:hAnsi="Arial" w:cs="Arial"/>
          <w:sz w:val="22"/>
          <w:szCs w:val="22"/>
        </w:rPr>
        <w:t>4.- Gestión de la Piscina municipal (Parcial).</w:t>
      </w:r>
    </w:p>
    <w:p w:rsidR="009B4233" w:rsidRDefault="009B4233">
      <w:pPr>
        <w:jc w:val="both"/>
        <w:rPr>
          <w:rFonts w:ascii="Arial" w:hAnsi="Arial" w:cs="Arial"/>
          <w:sz w:val="22"/>
          <w:szCs w:val="22"/>
        </w:rPr>
      </w:pPr>
    </w:p>
    <w:p w:rsidR="009B4233" w:rsidRDefault="009B4233">
      <w:pPr>
        <w:jc w:val="both"/>
        <w:rPr>
          <w:rFonts w:ascii="Arial" w:hAnsi="Arial" w:cs="Arial"/>
          <w:bCs/>
          <w:iCs/>
          <w:sz w:val="22"/>
          <w:szCs w:val="22"/>
          <w:lang w:val="ca-ES"/>
        </w:rPr>
      </w:pPr>
    </w:p>
    <w:p w:rsidR="009B4233" w:rsidRDefault="006B08B9">
      <w:pPr>
        <w:jc w:val="both"/>
      </w:pPr>
      <w:r>
        <w:rPr>
          <w:rFonts w:ascii="Arial" w:hAnsi="Arial" w:cs="Arial"/>
          <w:b/>
          <w:bCs/>
          <w:iCs/>
          <w:sz w:val="22"/>
          <w:szCs w:val="22"/>
          <w:lang w:val="ca-ES"/>
        </w:rPr>
        <w:t>IV.-</w:t>
      </w:r>
      <w:r>
        <w:rPr>
          <w:rFonts w:ascii="Arial" w:hAnsi="Arial" w:cs="Arial"/>
          <w:bCs/>
          <w:iCs/>
          <w:sz w:val="22"/>
          <w:szCs w:val="22"/>
          <w:lang w:val="ca-ES"/>
        </w:rPr>
        <w:t xml:space="preserve"> Que la Fundación Candelaria Solidaria, conforme los fines previstos en los Estatutos y el Plan de Acción, que se aprueba anualmente por el Patronato, se puede concretar en:</w:t>
      </w:r>
    </w:p>
    <w:p w:rsidR="009B4233" w:rsidRDefault="006B08B9">
      <w:pPr>
        <w:pStyle w:val="Prrafodelista"/>
        <w:widowControl/>
        <w:numPr>
          <w:ilvl w:val="0"/>
          <w:numId w:val="24"/>
        </w:numPr>
        <w:suppressAutoHyphens w:val="0"/>
        <w:spacing w:after="160" w:line="247" w:lineRule="auto"/>
        <w:jc w:val="both"/>
        <w:textAlignment w:val="auto"/>
        <w:rPr>
          <w:rFonts w:ascii="Arial" w:hAnsi="Arial" w:cs="Arial"/>
          <w:bCs/>
          <w:iCs/>
          <w:sz w:val="22"/>
          <w:szCs w:val="22"/>
          <w:lang w:val="ca-ES"/>
        </w:rPr>
      </w:pPr>
      <w:r>
        <w:rPr>
          <w:rFonts w:ascii="Arial" w:hAnsi="Arial" w:cs="Arial"/>
          <w:bCs/>
          <w:iCs/>
          <w:sz w:val="22"/>
          <w:szCs w:val="22"/>
          <w:lang w:val="ca-ES"/>
        </w:rPr>
        <w:t>Gestión Centro Ocup</w:t>
      </w:r>
      <w:r>
        <w:rPr>
          <w:rFonts w:ascii="Arial" w:hAnsi="Arial" w:cs="Arial"/>
          <w:bCs/>
          <w:iCs/>
          <w:sz w:val="22"/>
          <w:szCs w:val="22"/>
          <w:lang w:val="ca-ES"/>
        </w:rPr>
        <w:t>acional Arco Iris.</w:t>
      </w:r>
    </w:p>
    <w:p w:rsidR="009B4233" w:rsidRDefault="006B08B9">
      <w:pPr>
        <w:pStyle w:val="Prrafodelista"/>
        <w:widowControl/>
        <w:numPr>
          <w:ilvl w:val="0"/>
          <w:numId w:val="24"/>
        </w:numPr>
        <w:suppressAutoHyphens w:val="0"/>
        <w:spacing w:after="160" w:line="247" w:lineRule="auto"/>
        <w:jc w:val="both"/>
        <w:textAlignment w:val="auto"/>
        <w:rPr>
          <w:rFonts w:ascii="Arial" w:hAnsi="Arial" w:cs="Arial"/>
          <w:bCs/>
          <w:iCs/>
          <w:sz w:val="22"/>
          <w:szCs w:val="22"/>
          <w:lang w:val="ca-ES"/>
        </w:rPr>
      </w:pPr>
      <w:r>
        <w:rPr>
          <w:rFonts w:ascii="Arial" w:hAnsi="Arial" w:cs="Arial"/>
          <w:bCs/>
          <w:iCs/>
          <w:sz w:val="22"/>
          <w:szCs w:val="22"/>
          <w:lang w:val="ca-ES"/>
        </w:rPr>
        <w:t>Centro Solidario de Alimentos.</w:t>
      </w:r>
    </w:p>
    <w:p w:rsidR="009B4233" w:rsidRDefault="009B4233">
      <w:pPr>
        <w:jc w:val="both"/>
        <w:rPr>
          <w:rFonts w:ascii="Arial" w:hAnsi="Arial" w:cs="Arial"/>
          <w:bCs/>
          <w:iCs/>
          <w:sz w:val="22"/>
          <w:szCs w:val="22"/>
          <w:lang w:val="ca-ES"/>
        </w:rPr>
      </w:pPr>
    </w:p>
    <w:p w:rsidR="009B4233" w:rsidRDefault="006B08B9">
      <w:pPr>
        <w:jc w:val="both"/>
      </w:pPr>
      <w:r>
        <w:rPr>
          <w:rFonts w:ascii="Arial" w:hAnsi="Arial" w:cs="Arial"/>
          <w:b/>
          <w:bCs/>
          <w:iCs/>
          <w:sz w:val="22"/>
          <w:szCs w:val="22"/>
          <w:lang w:val="ca-ES"/>
        </w:rPr>
        <w:t>V.-</w:t>
      </w:r>
      <w:r>
        <w:rPr>
          <w:rFonts w:ascii="Arial" w:hAnsi="Arial" w:cs="Arial"/>
          <w:bCs/>
          <w:iCs/>
          <w:sz w:val="22"/>
          <w:szCs w:val="22"/>
          <w:lang w:val="ca-ES"/>
        </w:rPr>
        <w:t xml:space="preserve"> Que la vigencia del Contrato-programa será indefinida, mientras existan las entidades vinculadas con el presente Contrato- Programa.</w:t>
      </w:r>
    </w:p>
    <w:p w:rsidR="009B4233" w:rsidRDefault="009B4233">
      <w:pPr>
        <w:jc w:val="both"/>
        <w:rPr>
          <w:rFonts w:ascii="Arial" w:hAnsi="Arial" w:cs="Arial"/>
          <w:bCs/>
          <w:iCs/>
          <w:sz w:val="22"/>
          <w:szCs w:val="22"/>
          <w:lang w:val="ca-ES"/>
        </w:rPr>
      </w:pPr>
    </w:p>
    <w:p w:rsidR="009B4233" w:rsidRDefault="009B4233">
      <w:pPr>
        <w:jc w:val="both"/>
        <w:rPr>
          <w:rFonts w:ascii="Arial" w:hAnsi="Arial" w:cs="Arial"/>
          <w:bCs/>
          <w:iCs/>
          <w:sz w:val="22"/>
          <w:szCs w:val="22"/>
          <w:lang w:val="ca-ES"/>
        </w:rPr>
      </w:pPr>
    </w:p>
    <w:p w:rsidR="009B4233" w:rsidRDefault="006B08B9">
      <w:pPr>
        <w:jc w:val="both"/>
      </w:pPr>
      <w:r>
        <w:rPr>
          <w:rFonts w:ascii="Arial" w:hAnsi="Arial" w:cs="Arial"/>
          <w:b/>
          <w:bCs/>
          <w:iCs/>
          <w:sz w:val="22"/>
          <w:szCs w:val="22"/>
          <w:lang w:val="ca-ES"/>
        </w:rPr>
        <w:t xml:space="preserve">VII.- </w:t>
      </w:r>
      <w:r>
        <w:rPr>
          <w:rFonts w:ascii="Arial" w:hAnsi="Arial" w:cs="Arial"/>
          <w:bCs/>
          <w:iCs/>
          <w:sz w:val="22"/>
          <w:szCs w:val="22"/>
          <w:lang w:val="ca-ES"/>
        </w:rPr>
        <w:t>El motivo del presente contrato-programa se justifica, desde</w:t>
      </w:r>
      <w:r>
        <w:rPr>
          <w:rFonts w:ascii="Arial" w:hAnsi="Arial" w:cs="Arial"/>
          <w:bCs/>
          <w:iCs/>
          <w:sz w:val="22"/>
          <w:szCs w:val="22"/>
          <w:lang w:val="ca-ES"/>
        </w:rPr>
        <w:t xml:space="preserve"> la perspectiva interna, en el compromiso de alinear a la Empresa Municipal de Inserción, la Entidad Pública Empresarial del Ayuntamiento de la Villa de Candelaria y la Fundación, con el modelo de gestión municipal, regulando la financiación; y </w:t>
      </w:r>
      <w:r>
        <w:rPr>
          <w:rFonts w:ascii="Arial" w:hAnsi="Arial" w:cs="Arial"/>
          <w:bCs/>
          <w:iCs/>
          <w:sz w:val="22"/>
          <w:szCs w:val="22"/>
        </w:rPr>
        <w:t>desde</w:t>
      </w:r>
      <w:r>
        <w:rPr>
          <w:rFonts w:ascii="Arial" w:hAnsi="Arial" w:cs="Arial"/>
          <w:bCs/>
          <w:iCs/>
          <w:sz w:val="22"/>
          <w:szCs w:val="22"/>
          <w:lang w:val="ca-ES"/>
        </w:rPr>
        <w:t xml:space="preserve"> una p</w:t>
      </w:r>
      <w:r>
        <w:rPr>
          <w:rFonts w:ascii="Arial" w:hAnsi="Arial" w:cs="Arial"/>
          <w:bCs/>
          <w:iCs/>
          <w:sz w:val="22"/>
          <w:szCs w:val="22"/>
          <w:lang w:val="ca-ES"/>
        </w:rPr>
        <w:t xml:space="preserve">erspectiva externa, en lograr una gestión eficiente de las actividades y servicios a realizar. </w:t>
      </w:r>
    </w:p>
    <w:p w:rsidR="009B4233" w:rsidRDefault="009B4233">
      <w:pPr>
        <w:jc w:val="both"/>
        <w:rPr>
          <w:rFonts w:ascii="Arial" w:hAnsi="Arial" w:cs="Arial"/>
          <w:bCs/>
          <w:iCs/>
          <w:sz w:val="22"/>
          <w:szCs w:val="22"/>
          <w:lang w:val="ca-ES"/>
        </w:rPr>
      </w:pPr>
    </w:p>
    <w:p w:rsidR="009B4233" w:rsidRDefault="006B08B9">
      <w:pPr>
        <w:ind w:firstLine="360"/>
        <w:jc w:val="both"/>
      </w:pPr>
      <w:r>
        <w:rPr>
          <w:rFonts w:ascii="Arial" w:hAnsi="Arial" w:cs="Arial"/>
          <w:bCs/>
          <w:iCs/>
          <w:sz w:val="22"/>
          <w:szCs w:val="22"/>
          <w:lang w:val="ca-ES"/>
        </w:rPr>
        <w:t>De</w:t>
      </w:r>
      <w:r>
        <w:rPr>
          <w:rFonts w:ascii="Arial" w:hAnsi="Arial" w:cs="Arial"/>
          <w:bCs/>
          <w:iCs/>
          <w:sz w:val="22"/>
          <w:szCs w:val="22"/>
        </w:rPr>
        <w:t xml:space="preserve"> acuerdo</w:t>
      </w:r>
      <w:r>
        <w:rPr>
          <w:rFonts w:ascii="Arial" w:hAnsi="Arial" w:cs="Arial"/>
          <w:bCs/>
          <w:iCs/>
          <w:sz w:val="22"/>
          <w:szCs w:val="22"/>
          <w:lang w:val="ca-ES"/>
        </w:rPr>
        <w:t xml:space="preserve"> con ello, las líneas estratégicas de los entes vinculados al contrato-programa, son las</w:t>
      </w:r>
      <w:r>
        <w:rPr>
          <w:rFonts w:ascii="Arial" w:hAnsi="Arial" w:cs="Arial"/>
          <w:bCs/>
          <w:iCs/>
          <w:sz w:val="22"/>
          <w:szCs w:val="22"/>
        </w:rPr>
        <w:t xml:space="preserve"> siguientes:</w:t>
      </w:r>
    </w:p>
    <w:p w:rsidR="009B4233" w:rsidRDefault="009B4233">
      <w:pPr>
        <w:ind w:firstLine="360"/>
        <w:jc w:val="both"/>
        <w:rPr>
          <w:rFonts w:ascii="Arial" w:hAnsi="Arial" w:cs="Arial"/>
          <w:bCs/>
          <w:iCs/>
          <w:sz w:val="22"/>
          <w:szCs w:val="22"/>
        </w:rPr>
      </w:pPr>
    </w:p>
    <w:p w:rsidR="009B4233" w:rsidRDefault="006B08B9">
      <w:pPr>
        <w:widowControl/>
        <w:numPr>
          <w:ilvl w:val="0"/>
          <w:numId w:val="25"/>
        </w:numPr>
        <w:suppressAutoHyphens w:val="0"/>
        <w:spacing w:after="160" w:line="247" w:lineRule="auto"/>
        <w:jc w:val="both"/>
        <w:textAlignment w:val="auto"/>
        <w:rPr>
          <w:rFonts w:ascii="Arial" w:hAnsi="Arial" w:cs="Arial"/>
          <w:bCs/>
          <w:iCs/>
          <w:sz w:val="22"/>
          <w:szCs w:val="22"/>
          <w:lang w:val="ca-ES"/>
        </w:rPr>
      </w:pPr>
      <w:r>
        <w:rPr>
          <w:rFonts w:ascii="Arial" w:hAnsi="Arial" w:cs="Arial"/>
          <w:bCs/>
          <w:iCs/>
          <w:sz w:val="22"/>
          <w:szCs w:val="22"/>
          <w:lang w:val="ca-ES"/>
        </w:rPr>
        <w:t>Alinear la planificación y el  modelo de gestió</w:t>
      </w:r>
      <w:r>
        <w:rPr>
          <w:rFonts w:ascii="Arial" w:hAnsi="Arial" w:cs="Arial"/>
          <w:bCs/>
          <w:iCs/>
          <w:sz w:val="22"/>
          <w:szCs w:val="22"/>
          <w:lang w:val="ca-ES"/>
        </w:rPr>
        <w:t>n y presupuestación con el del Ayuntamiento.</w:t>
      </w:r>
    </w:p>
    <w:p w:rsidR="009B4233" w:rsidRDefault="006B08B9">
      <w:pPr>
        <w:widowControl/>
        <w:numPr>
          <w:ilvl w:val="0"/>
          <w:numId w:val="25"/>
        </w:numPr>
        <w:suppressAutoHyphens w:val="0"/>
        <w:spacing w:after="160" w:line="247" w:lineRule="auto"/>
        <w:jc w:val="both"/>
        <w:textAlignment w:val="auto"/>
        <w:rPr>
          <w:rFonts w:ascii="Arial" w:hAnsi="Arial" w:cs="Arial"/>
          <w:bCs/>
          <w:iCs/>
          <w:sz w:val="22"/>
          <w:szCs w:val="22"/>
          <w:lang w:val="ca-ES"/>
        </w:rPr>
      </w:pPr>
      <w:r>
        <w:rPr>
          <w:rFonts w:ascii="Arial" w:hAnsi="Arial" w:cs="Arial"/>
          <w:bCs/>
          <w:iCs/>
          <w:sz w:val="22"/>
          <w:szCs w:val="22"/>
          <w:lang w:val="ca-ES"/>
        </w:rPr>
        <w:t>Pasar de  la cultura del gasto a la cultura del coste.</w:t>
      </w:r>
    </w:p>
    <w:p w:rsidR="009B4233" w:rsidRDefault="006B08B9">
      <w:pPr>
        <w:widowControl/>
        <w:numPr>
          <w:ilvl w:val="0"/>
          <w:numId w:val="25"/>
        </w:numPr>
        <w:suppressAutoHyphens w:val="0"/>
        <w:spacing w:after="160" w:line="247" w:lineRule="auto"/>
        <w:jc w:val="both"/>
        <w:textAlignment w:val="auto"/>
        <w:rPr>
          <w:rFonts w:ascii="Arial" w:hAnsi="Arial" w:cs="Arial"/>
          <w:bCs/>
          <w:iCs/>
          <w:sz w:val="22"/>
          <w:szCs w:val="22"/>
          <w:lang w:val="ca-ES"/>
        </w:rPr>
      </w:pPr>
      <w:r>
        <w:rPr>
          <w:rFonts w:ascii="Arial" w:hAnsi="Arial" w:cs="Arial"/>
          <w:bCs/>
          <w:iCs/>
          <w:sz w:val="22"/>
          <w:szCs w:val="22"/>
          <w:lang w:val="ca-ES"/>
        </w:rPr>
        <w:t>Gestionar con transparencia.</w:t>
      </w:r>
    </w:p>
    <w:p w:rsidR="009B4233" w:rsidRDefault="006B08B9">
      <w:pPr>
        <w:widowControl/>
        <w:numPr>
          <w:ilvl w:val="0"/>
          <w:numId w:val="25"/>
        </w:numPr>
        <w:suppressAutoHyphens w:val="0"/>
        <w:spacing w:after="160" w:line="247" w:lineRule="auto"/>
        <w:jc w:val="both"/>
        <w:textAlignment w:val="auto"/>
        <w:rPr>
          <w:rFonts w:ascii="Arial" w:hAnsi="Arial" w:cs="Arial"/>
          <w:bCs/>
          <w:iCs/>
          <w:sz w:val="22"/>
          <w:szCs w:val="22"/>
          <w:lang w:val="ca-ES"/>
        </w:rPr>
      </w:pPr>
      <w:r>
        <w:rPr>
          <w:rFonts w:ascii="Arial" w:hAnsi="Arial" w:cs="Arial"/>
          <w:bCs/>
          <w:iCs/>
          <w:sz w:val="22"/>
          <w:szCs w:val="22"/>
          <w:lang w:val="ca-ES"/>
        </w:rPr>
        <w:t>Adecuar la gestión a los principios de eficiencia, eficacia y economia, conforme el Real Decreto 424/2017 de 28 de abril, por e</w:t>
      </w:r>
      <w:r>
        <w:rPr>
          <w:rFonts w:ascii="Arial" w:hAnsi="Arial" w:cs="Arial"/>
          <w:bCs/>
          <w:iCs/>
          <w:sz w:val="22"/>
          <w:szCs w:val="22"/>
          <w:lang w:val="ca-ES"/>
        </w:rPr>
        <w:t>l que se regula el régimen jurídico del sistema de control interno.</w:t>
      </w:r>
    </w:p>
    <w:p w:rsidR="009B4233" w:rsidRDefault="006B08B9">
      <w:pPr>
        <w:widowControl/>
        <w:numPr>
          <w:ilvl w:val="0"/>
          <w:numId w:val="25"/>
        </w:numPr>
        <w:suppressAutoHyphens w:val="0"/>
        <w:spacing w:after="160" w:line="247" w:lineRule="auto"/>
        <w:jc w:val="both"/>
        <w:textAlignment w:val="auto"/>
      </w:pPr>
      <w:r>
        <w:rPr>
          <w:rFonts w:ascii="Arial" w:hAnsi="Arial" w:cs="Arial"/>
          <w:bCs/>
          <w:iCs/>
          <w:sz w:val="22"/>
          <w:szCs w:val="22"/>
          <w:lang w:val="ca-ES"/>
        </w:rPr>
        <w:t xml:space="preserve">Adecuar su funcionamiento a las recomendaciones de los Auditores que verifiquen su gestión, contratados para la prestación de </w:t>
      </w:r>
      <w:r>
        <w:rPr>
          <w:rFonts w:ascii="Arial" w:hAnsi="Arial" w:cs="Arial"/>
          <w:bCs/>
          <w:sz w:val="22"/>
          <w:szCs w:val="22"/>
        </w:rPr>
        <w:t>los servicios de colaboración con la intervención Municipal en</w:t>
      </w:r>
      <w:r>
        <w:rPr>
          <w:rFonts w:ascii="Arial" w:hAnsi="Arial" w:cs="Arial"/>
          <w:bCs/>
          <w:sz w:val="22"/>
          <w:szCs w:val="22"/>
        </w:rPr>
        <w:t xml:space="preserve"> la realización de Auditorías Públicas consistente, en la verificación, realizada con posterioridad y efectuada de forma sistemática, de la actividad económico-financiera de las entidades auditadas, mediante la aplicación de los procedimientos de revisión </w:t>
      </w:r>
      <w:r>
        <w:rPr>
          <w:rFonts w:ascii="Arial" w:hAnsi="Arial" w:cs="Arial"/>
          <w:bCs/>
          <w:sz w:val="22"/>
          <w:szCs w:val="22"/>
        </w:rPr>
        <w:t>selectivos, contenidos en las normas de auditoría e instrucciones que dicte la Intervención General de la Administración del Estado</w:t>
      </w:r>
      <w:r>
        <w:rPr>
          <w:rFonts w:ascii="Arial" w:hAnsi="Arial" w:cs="Arial"/>
          <w:bCs/>
          <w:iCs/>
          <w:sz w:val="22"/>
          <w:szCs w:val="22"/>
          <w:lang w:val="ca-ES"/>
        </w:rPr>
        <w:t>.</w:t>
      </w:r>
    </w:p>
    <w:p w:rsidR="009B4233" w:rsidRDefault="006B08B9">
      <w:pPr>
        <w:widowControl/>
        <w:numPr>
          <w:ilvl w:val="0"/>
          <w:numId w:val="25"/>
        </w:numPr>
        <w:suppressAutoHyphens w:val="0"/>
        <w:spacing w:after="160" w:line="247" w:lineRule="auto"/>
        <w:jc w:val="both"/>
        <w:textAlignment w:val="auto"/>
        <w:rPr>
          <w:rFonts w:ascii="Arial" w:hAnsi="Arial" w:cs="Arial"/>
          <w:bCs/>
          <w:iCs/>
          <w:sz w:val="22"/>
          <w:szCs w:val="22"/>
          <w:lang w:val="ca-ES"/>
        </w:rPr>
      </w:pPr>
      <w:r>
        <w:rPr>
          <w:rFonts w:ascii="Arial" w:hAnsi="Arial" w:cs="Arial"/>
          <w:bCs/>
          <w:iCs/>
          <w:sz w:val="22"/>
          <w:szCs w:val="22"/>
          <w:lang w:val="ca-ES"/>
        </w:rPr>
        <w:t>Definir los centros gestores de Gastos e Ingresos.</w:t>
      </w:r>
    </w:p>
    <w:p w:rsidR="009B4233" w:rsidRDefault="009B4233">
      <w:pPr>
        <w:jc w:val="both"/>
        <w:rPr>
          <w:rFonts w:ascii="Arial" w:hAnsi="Arial" w:cs="Arial"/>
          <w:bCs/>
          <w:iCs/>
          <w:sz w:val="22"/>
          <w:szCs w:val="22"/>
          <w:lang w:val="ca-ES"/>
        </w:rPr>
      </w:pPr>
    </w:p>
    <w:p w:rsidR="009B4233" w:rsidRDefault="006B08B9">
      <w:pPr>
        <w:jc w:val="both"/>
      </w:pPr>
      <w:r>
        <w:rPr>
          <w:rFonts w:ascii="Arial" w:hAnsi="Arial" w:cs="Arial"/>
          <w:bCs/>
          <w:iCs/>
          <w:sz w:val="22"/>
          <w:szCs w:val="22"/>
          <w:lang w:val="ca-ES"/>
        </w:rPr>
        <w:t>Para</w:t>
      </w:r>
      <w:r>
        <w:rPr>
          <w:rFonts w:ascii="Arial" w:hAnsi="Arial" w:cs="Arial"/>
          <w:bCs/>
          <w:iCs/>
          <w:sz w:val="22"/>
          <w:szCs w:val="22"/>
        </w:rPr>
        <w:t xml:space="preserve"> su desarrollo,</w:t>
      </w:r>
      <w:r>
        <w:rPr>
          <w:rFonts w:ascii="Arial" w:hAnsi="Arial" w:cs="Arial"/>
          <w:bCs/>
          <w:iCs/>
          <w:sz w:val="22"/>
          <w:szCs w:val="22"/>
          <w:lang w:val="ca-ES"/>
        </w:rPr>
        <w:t xml:space="preserve"> los objetivos estratégicos de actuación serán los s</w:t>
      </w:r>
      <w:r>
        <w:rPr>
          <w:rFonts w:ascii="Arial" w:hAnsi="Arial" w:cs="Arial"/>
          <w:bCs/>
          <w:iCs/>
          <w:sz w:val="22"/>
          <w:szCs w:val="22"/>
          <w:lang w:val="ca-ES"/>
        </w:rPr>
        <w:t>iguientes:</w:t>
      </w:r>
    </w:p>
    <w:p w:rsidR="009B4233" w:rsidRDefault="009B4233">
      <w:pPr>
        <w:jc w:val="both"/>
        <w:rPr>
          <w:rFonts w:ascii="Arial" w:hAnsi="Arial" w:cs="Arial"/>
          <w:bCs/>
          <w:iCs/>
          <w:sz w:val="22"/>
          <w:szCs w:val="22"/>
          <w:lang w:val="ca-ES"/>
        </w:rPr>
      </w:pPr>
    </w:p>
    <w:p w:rsidR="009B4233" w:rsidRDefault="006B08B9">
      <w:pPr>
        <w:jc w:val="both"/>
        <w:rPr>
          <w:rFonts w:ascii="Arial" w:hAnsi="Arial" w:cs="Arial"/>
          <w:bCs/>
          <w:iCs/>
          <w:sz w:val="22"/>
          <w:szCs w:val="22"/>
          <w:lang w:val="ca-ES"/>
        </w:rPr>
      </w:pPr>
      <w:r>
        <w:rPr>
          <w:rFonts w:ascii="Arial" w:hAnsi="Arial" w:cs="Arial"/>
          <w:bCs/>
          <w:iCs/>
          <w:sz w:val="22"/>
          <w:szCs w:val="22"/>
          <w:lang w:val="ca-ES"/>
        </w:rPr>
        <w:t>1.- Incorporar la Planificación en la gestión de todas las entidades.</w:t>
      </w:r>
    </w:p>
    <w:p w:rsidR="009B4233" w:rsidRDefault="006B08B9">
      <w:pPr>
        <w:jc w:val="both"/>
        <w:rPr>
          <w:rFonts w:ascii="Arial" w:hAnsi="Arial" w:cs="Arial"/>
          <w:bCs/>
          <w:iCs/>
          <w:sz w:val="22"/>
          <w:szCs w:val="22"/>
          <w:lang w:val="ca-ES"/>
        </w:rPr>
      </w:pPr>
      <w:r>
        <w:rPr>
          <w:rFonts w:ascii="Arial" w:hAnsi="Arial" w:cs="Arial"/>
          <w:bCs/>
          <w:iCs/>
          <w:sz w:val="22"/>
          <w:szCs w:val="22"/>
          <w:lang w:val="ca-ES"/>
        </w:rPr>
        <w:t>2.- Adaptar las previsiones de ingresos y gastos de los entes, conforme los principios de economia, eficiencia y eficacia.</w:t>
      </w:r>
    </w:p>
    <w:p w:rsidR="009B4233" w:rsidRDefault="009B4233">
      <w:pPr>
        <w:jc w:val="both"/>
        <w:rPr>
          <w:rFonts w:ascii="Arial" w:hAnsi="Arial" w:cs="Arial"/>
          <w:bCs/>
          <w:iCs/>
          <w:sz w:val="22"/>
          <w:szCs w:val="22"/>
          <w:lang w:val="ca-ES"/>
        </w:rPr>
      </w:pPr>
    </w:p>
    <w:p w:rsidR="009B4233" w:rsidRDefault="009B4233">
      <w:pPr>
        <w:tabs>
          <w:tab w:val="left" w:pos="996"/>
        </w:tabs>
        <w:jc w:val="both"/>
        <w:rPr>
          <w:rFonts w:ascii="Arial" w:hAnsi="Arial" w:cs="Arial"/>
          <w:b/>
          <w:bCs/>
          <w:iCs/>
          <w:sz w:val="22"/>
          <w:szCs w:val="22"/>
          <w:lang w:val="ca-ES"/>
        </w:rPr>
      </w:pPr>
    </w:p>
    <w:p w:rsidR="009B4233" w:rsidRDefault="006B08B9">
      <w:pPr>
        <w:tabs>
          <w:tab w:val="left" w:pos="996"/>
        </w:tabs>
        <w:jc w:val="both"/>
      </w:pPr>
      <w:r>
        <w:rPr>
          <w:rFonts w:ascii="Arial" w:hAnsi="Arial" w:cs="Arial"/>
          <w:b/>
          <w:bCs/>
          <w:iCs/>
          <w:sz w:val="22"/>
          <w:szCs w:val="22"/>
          <w:lang w:val="ca-ES"/>
        </w:rPr>
        <w:t xml:space="preserve">VIII.- </w:t>
      </w:r>
      <w:r>
        <w:rPr>
          <w:rFonts w:ascii="Arial" w:hAnsi="Arial" w:cs="Arial"/>
          <w:bCs/>
          <w:iCs/>
          <w:sz w:val="22"/>
          <w:szCs w:val="22"/>
          <w:lang w:val="ca-ES"/>
        </w:rPr>
        <w:t xml:space="preserve">Las entidades dependientes del </w:t>
      </w:r>
      <w:r>
        <w:rPr>
          <w:rFonts w:ascii="Arial" w:hAnsi="Arial" w:cs="Arial"/>
          <w:bCs/>
          <w:iCs/>
          <w:sz w:val="22"/>
          <w:szCs w:val="22"/>
          <w:lang w:val="ca-ES"/>
        </w:rPr>
        <w:t xml:space="preserve">Ayuntamiento de Candelaria, sometidas al presente Contrato-Programa, anualmente, deberán someterse a un proceso de auditoria, por la empresa que resulte adjudicataria por el Ayuntamiento, verificando </w:t>
      </w:r>
      <w:r>
        <w:rPr>
          <w:rFonts w:ascii="Arial" w:hAnsi="Arial" w:cs="Arial"/>
          <w:bCs/>
          <w:sz w:val="22"/>
          <w:szCs w:val="22"/>
        </w:rPr>
        <w:t>la actividad económico-financiera de las citadas entidad</w:t>
      </w:r>
      <w:r>
        <w:rPr>
          <w:rFonts w:ascii="Arial" w:hAnsi="Arial" w:cs="Arial"/>
          <w:bCs/>
          <w:sz w:val="22"/>
          <w:szCs w:val="22"/>
        </w:rPr>
        <w:t xml:space="preserve">es , que deberá emitir </w:t>
      </w:r>
      <w:r>
        <w:rPr>
          <w:rFonts w:ascii="Arial" w:hAnsi="Arial" w:cs="Arial"/>
          <w:bCs/>
          <w:iCs/>
          <w:sz w:val="22"/>
          <w:szCs w:val="22"/>
        </w:rPr>
        <w:t xml:space="preserve">informes que presentarán los hechos reales de forma exacta, incluyendo únicamente información sobre hechos comprobados y conclusiones fundamentadas por evidencia suficiente, contenidos en los papeles de trabajo. Deberán incluirse de </w:t>
      </w:r>
      <w:r>
        <w:rPr>
          <w:rFonts w:ascii="Arial" w:hAnsi="Arial" w:cs="Arial"/>
          <w:bCs/>
          <w:iCs/>
          <w:sz w:val="22"/>
          <w:szCs w:val="22"/>
        </w:rPr>
        <w:t>forma clara las conclusiones y, en su caso, las recomendaciones.</w:t>
      </w:r>
    </w:p>
    <w:p w:rsidR="009B4233" w:rsidRDefault="009B4233">
      <w:pPr>
        <w:tabs>
          <w:tab w:val="left" w:pos="996"/>
        </w:tabs>
        <w:jc w:val="both"/>
        <w:rPr>
          <w:rFonts w:ascii="Arial" w:hAnsi="Arial" w:cs="Arial"/>
          <w:bCs/>
          <w:iCs/>
          <w:sz w:val="22"/>
          <w:szCs w:val="22"/>
        </w:rPr>
      </w:pPr>
    </w:p>
    <w:p w:rsidR="009B4233" w:rsidRDefault="006B08B9">
      <w:pPr>
        <w:tabs>
          <w:tab w:val="left" w:pos="996"/>
        </w:tabs>
        <w:jc w:val="both"/>
        <w:rPr>
          <w:rFonts w:ascii="Arial" w:hAnsi="Arial" w:cs="Arial"/>
          <w:bCs/>
          <w:iCs/>
          <w:sz w:val="22"/>
          <w:szCs w:val="22"/>
        </w:rPr>
      </w:pPr>
      <w:r>
        <w:rPr>
          <w:rFonts w:ascii="Arial" w:hAnsi="Arial" w:cs="Arial"/>
          <w:bCs/>
          <w:iCs/>
          <w:sz w:val="22"/>
          <w:szCs w:val="22"/>
        </w:rPr>
        <w:t>Las modalidades de auditorías a realizar son:</w:t>
      </w:r>
    </w:p>
    <w:p w:rsidR="009B4233" w:rsidRDefault="009B4233">
      <w:pPr>
        <w:tabs>
          <w:tab w:val="left" w:pos="996"/>
        </w:tabs>
        <w:jc w:val="both"/>
        <w:rPr>
          <w:rFonts w:ascii="Arial" w:hAnsi="Arial" w:cs="Arial"/>
          <w:bCs/>
          <w:iCs/>
          <w:sz w:val="22"/>
          <w:szCs w:val="22"/>
        </w:rPr>
      </w:pPr>
    </w:p>
    <w:p w:rsidR="009B4233" w:rsidRDefault="006B08B9">
      <w:pPr>
        <w:tabs>
          <w:tab w:val="left" w:pos="996"/>
        </w:tabs>
        <w:jc w:val="both"/>
      </w:pPr>
      <w:r>
        <w:rPr>
          <w:rFonts w:ascii="Arial" w:hAnsi="Arial" w:cs="Arial"/>
          <w:b/>
          <w:bCs/>
          <w:iCs/>
          <w:sz w:val="22"/>
          <w:szCs w:val="22"/>
        </w:rPr>
        <w:t>1- Auditoría de las Cuentas Anuales.</w:t>
      </w:r>
      <w:r>
        <w:rPr>
          <w:rFonts w:ascii="Arial" w:hAnsi="Arial" w:cs="Arial"/>
          <w:bCs/>
          <w:iCs/>
          <w:sz w:val="22"/>
          <w:szCs w:val="22"/>
        </w:rPr>
        <w:t xml:space="preserve"> Examen de los estados financieros de la Sociedad, mediante procedimientos de verificación, comparación, </w:t>
      </w:r>
      <w:r>
        <w:rPr>
          <w:rFonts w:ascii="Arial" w:hAnsi="Arial" w:cs="Arial"/>
          <w:bCs/>
          <w:iCs/>
          <w:sz w:val="22"/>
          <w:szCs w:val="22"/>
        </w:rPr>
        <w:t>confirmación, análisis y demás que se considere oportuno aplicar, con objeto de opinar sobre si los mismos reflejan adecuadamente su situación patrimonial, los resultados de sus operaciones y los cambios en su situación financiera, de acuerdo con los princ</w:t>
      </w:r>
      <w:r>
        <w:rPr>
          <w:rFonts w:ascii="Arial" w:hAnsi="Arial" w:cs="Arial"/>
          <w:bCs/>
          <w:iCs/>
          <w:sz w:val="22"/>
          <w:szCs w:val="22"/>
        </w:rPr>
        <w:t>ipios de contabilidad generalmente aceptados y la legislación vigente.</w:t>
      </w:r>
    </w:p>
    <w:p w:rsidR="009B4233" w:rsidRDefault="009B4233">
      <w:pPr>
        <w:tabs>
          <w:tab w:val="left" w:pos="996"/>
        </w:tabs>
        <w:jc w:val="both"/>
        <w:rPr>
          <w:rFonts w:ascii="Arial" w:hAnsi="Arial" w:cs="Arial"/>
          <w:bCs/>
          <w:iCs/>
          <w:sz w:val="22"/>
          <w:szCs w:val="22"/>
        </w:rPr>
      </w:pPr>
    </w:p>
    <w:p w:rsidR="009B4233" w:rsidRDefault="006B08B9">
      <w:pPr>
        <w:tabs>
          <w:tab w:val="left" w:pos="996"/>
        </w:tabs>
        <w:jc w:val="both"/>
      </w:pPr>
      <w:r>
        <w:rPr>
          <w:rFonts w:ascii="Arial" w:hAnsi="Arial" w:cs="Arial"/>
          <w:b/>
          <w:bCs/>
          <w:iCs/>
          <w:sz w:val="22"/>
          <w:szCs w:val="22"/>
        </w:rPr>
        <w:t>2.- Auditoría de cumplimiento.</w:t>
      </w:r>
      <w:r>
        <w:rPr>
          <w:rFonts w:ascii="Arial" w:hAnsi="Arial" w:cs="Arial"/>
          <w:bCs/>
          <w:iCs/>
          <w:sz w:val="22"/>
          <w:szCs w:val="22"/>
        </w:rPr>
        <w:t xml:space="preserve"> Los trabajos realizados abarcarán las distintas áreas de gestión de cada sociedad objeto de control, desde la perspectiva del cumplimiento de la legalida</w:t>
      </w:r>
      <w:r>
        <w:rPr>
          <w:rFonts w:ascii="Arial" w:hAnsi="Arial" w:cs="Arial"/>
          <w:bCs/>
          <w:iCs/>
          <w:sz w:val="22"/>
          <w:szCs w:val="22"/>
        </w:rPr>
        <w:t>d:</w:t>
      </w:r>
    </w:p>
    <w:p w:rsidR="009B4233" w:rsidRDefault="009B4233">
      <w:pPr>
        <w:tabs>
          <w:tab w:val="left" w:pos="996"/>
        </w:tabs>
        <w:jc w:val="both"/>
        <w:rPr>
          <w:rFonts w:ascii="Arial" w:hAnsi="Arial" w:cs="Arial"/>
          <w:bCs/>
          <w:iCs/>
          <w:sz w:val="22"/>
          <w:szCs w:val="22"/>
        </w:rPr>
      </w:pPr>
    </w:p>
    <w:p w:rsidR="009B4233" w:rsidRDefault="006B08B9">
      <w:pPr>
        <w:tabs>
          <w:tab w:val="left" w:pos="996"/>
        </w:tabs>
        <w:jc w:val="both"/>
      </w:pPr>
      <w:r>
        <w:rPr>
          <w:rFonts w:ascii="Arial" w:hAnsi="Arial" w:cs="Arial"/>
          <w:bCs/>
          <w:iCs/>
          <w:sz w:val="22"/>
          <w:szCs w:val="22"/>
          <w:u w:val="single"/>
        </w:rPr>
        <w:t>Área de ingresos</w:t>
      </w:r>
      <w:r>
        <w:rPr>
          <w:rFonts w:ascii="Arial" w:hAnsi="Arial" w:cs="Arial"/>
          <w:bCs/>
          <w:iCs/>
          <w:sz w:val="22"/>
          <w:szCs w:val="22"/>
        </w:rPr>
        <w:t xml:space="preserve">: se analizarán los recursos que gestiona la entidad, así como su procedencia. Se comprobará la correcta contabilización de los ingresos, analizando los ingresos devengados y recaudados. </w:t>
      </w:r>
    </w:p>
    <w:p w:rsidR="009B4233" w:rsidRDefault="009B4233">
      <w:pPr>
        <w:tabs>
          <w:tab w:val="left" w:pos="996"/>
        </w:tabs>
        <w:jc w:val="both"/>
        <w:rPr>
          <w:rFonts w:ascii="Arial" w:hAnsi="Arial" w:cs="Arial"/>
          <w:bCs/>
          <w:iCs/>
          <w:sz w:val="22"/>
          <w:szCs w:val="22"/>
        </w:rPr>
      </w:pPr>
    </w:p>
    <w:p w:rsidR="009B4233" w:rsidRDefault="006B08B9">
      <w:pPr>
        <w:tabs>
          <w:tab w:val="left" w:pos="996"/>
        </w:tabs>
        <w:jc w:val="both"/>
        <w:rPr>
          <w:rFonts w:ascii="Arial" w:hAnsi="Arial" w:cs="Arial"/>
          <w:bCs/>
          <w:iCs/>
          <w:sz w:val="22"/>
          <w:szCs w:val="22"/>
        </w:rPr>
      </w:pPr>
      <w:r>
        <w:rPr>
          <w:rFonts w:ascii="Arial" w:hAnsi="Arial" w:cs="Arial"/>
          <w:bCs/>
          <w:iCs/>
          <w:sz w:val="22"/>
          <w:szCs w:val="22"/>
        </w:rPr>
        <w:tab/>
        <w:t>Se comprobará que los ingresos que proceden de</w:t>
      </w:r>
      <w:r>
        <w:rPr>
          <w:rFonts w:ascii="Arial" w:hAnsi="Arial" w:cs="Arial"/>
          <w:bCs/>
          <w:iCs/>
          <w:sz w:val="22"/>
          <w:szCs w:val="22"/>
        </w:rPr>
        <w:t xml:space="preserve"> prestaciones de servicios o contratos de Entes distintos a la entidad matriz se adecuan al objeto y Estatutos de la sociedad, y que se han tramitado de acuerdo con la normativa de aplicación. </w:t>
      </w:r>
    </w:p>
    <w:p w:rsidR="009B4233" w:rsidRDefault="009B4233">
      <w:pPr>
        <w:tabs>
          <w:tab w:val="left" w:pos="996"/>
        </w:tabs>
        <w:jc w:val="both"/>
        <w:rPr>
          <w:rFonts w:ascii="Arial" w:hAnsi="Arial" w:cs="Arial"/>
          <w:bCs/>
          <w:iCs/>
          <w:sz w:val="22"/>
          <w:szCs w:val="22"/>
        </w:rPr>
      </w:pPr>
    </w:p>
    <w:p w:rsidR="009B4233" w:rsidRDefault="006B08B9">
      <w:pPr>
        <w:tabs>
          <w:tab w:val="left" w:pos="996"/>
        </w:tabs>
        <w:jc w:val="both"/>
      </w:pPr>
      <w:r>
        <w:rPr>
          <w:rFonts w:ascii="Arial" w:hAnsi="Arial" w:cs="Arial"/>
          <w:bCs/>
          <w:iCs/>
          <w:sz w:val="22"/>
          <w:szCs w:val="22"/>
          <w:u w:val="single"/>
        </w:rPr>
        <w:t>Área de activos</w:t>
      </w:r>
      <w:r>
        <w:rPr>
          <w:rFonts w:ascii="Arial" w:hAnsi="Arial" w:cs="Arial"/>
          <w:bCs/>
          <w:iCs/>
          <w:sz w:val="22"/>
          <w:szCs w:val="22"/>
        </w:rPr>
        <w:t>: Se comprobará la existencia de un Inventario</w:t>
      </w:r>
      <w:r>
        <w:rPr>
          <w:rFonts w:ascii="Arial" w:hAnsi="Arial" w:cs="Arial"/>
          <w:bCs/>
          <w:iCs/>
          <w:sz w:val="22"/>
          <w:szCs w:val="22"/>
        </w:rPr>
        <w:t xml:space="preserve"> y el uso racional y regular de los activos de la entidad, así como la posible existencia de activos no contemplados en la contabilidad de la misma. </w:t>
      </w:r>
    </w:p>
    <w:p w:rsidR="009B4233" w:rsidRDefault="009B4233">
      <w:pPr>
        <w:tabs>
          <w:tab w:val="left" w:pos="996"/>
        </w:tabs>
        <w:jc w:val="both"/>
        <w:rPr>
          <w:rFonts w:ascii="Arial" w:hAnsi="Arial" w:cs="Arial"/>
          <w:bCs/>
          <w:iCs/>
          <w:sz w:val="22"/>
          <w:szCs w:val="22"/>
        </w:rPr>
      </w:pPr>
    </w:p>
    <w:p w:rsidR="009B4233" w:rsidRDefault="006B08B9">
      <w:pPr>
        <w:tabs>
          <w:tab w:val="left" w:pos="996"/>
        </w:tabs>
        <w:jc w:val="both"/>
      </w:pPr>
      <w:r>
        <w:rPr>
          <w:rFonts w:ascii="Arial" w:hAnsi="Arial" w:cs="Arial"/>
          <w:bCs/>
          <w:iCs/>
          <w:sz w:val="22"/>
          <w:szCs w:val="22"/>
          <w:u w:val="single"/>
        </w:rPr>
        <w:t>Área de Recursos Humanos</w:t>
      </w:r>
      <w:r>
        <w:rPr>
          <w:rFonts w:ascii="Arial" w:hAnsi="Arial" w:cs="Arial"/>
          <w:bCs/>
          <w:iCs/>
          <w:sz w:val="22"/>
          <w:szCs w:val="22"/>
        </w:rPr>
        <w:t>: Se analizarán las altas y las bajas del personal en los periodos controlados, c</w:t>
      </w:r>
      <w:r>
        <w:rPr>
          <w:rFonts w:ascii="Arial" w:hAnsi="Arial" w:cs="Arial"/>
          <w:bCs/>
          <w:iCs/>
          <w:sz w:val="22"/>
          <w:szCs w:val="22"/>
        </w:rPr>
        <w:t xml:space="preserve">omprobando la existencia de procedimientos de selección adecuados. Por otra parte, se analizará la política retributiva de la entidad. Se analizará de forma exhaustiva los puestos de Dirección, Gerencia e equivalentes. Finalmente se comprobarán los gastos </w:t>
      </w:r>
      <w:r>
        <w:rPr>
          <w:rFonts w:ascii="Arial" w:hAnsi="Arial" w:cs="Arial"/>
          <w:bCs/>
          <w:iCs/>
          <w:sz w:val="22"/>
          <w:szCs w:val="22"/>
        </w:rPr>
        <w:t xml:space="preserve">salariales y de seguridad social de la entidad. </w:t>
      </w:r>
    </w:p>
    <w:p w:rsidR="009B4233" w:rsidRDefault="009B4233">
      <w:pPr>
        <w:tabs>
          <w:tab w:val="left" w:pos="996"/>
        </w:tabs>
        <w:jc w:val="both"/>
        <w:rPr>
          <w:rFonts w:ascii="Arial" w:hAnsi="Arial" w:cs="Arial"/>
          <w:bCs/>
          <w:iCs/>
          <w:sz w:val="22"/>
          <w:szCs w:val="22"/>
        </w:rPr>
      </w:pPr>
    </w:p>
    <w:p w:rsidR="009B4233" w:rsidRDefault="006B08B9">
      <w:pPr>
        <w:tabs>
          <w:tab w:val="left" w:pos="996"/>
        </w:tabs>
        <w:jc w:val="both"/>
        <w:rPr>
          <w:rFonts w:ascii="Arial" w:hAnsi="Arial" w:cs="Arial"/>
          <w:bCs/>
          <w:iCs/>
          <w:sz w:val="22"/>
          <w:szCs w:val="22"/>
        </w:rPr>
      </w:pPr>
      <w:r>
        <w:rPr>
          <w:rFonts w:ascii="Arial" w:hAnsi="Arial" w:cs="Arial"/>
          <w:bCs/>
          <w:iCs/>
          <w:sz w:val="22"/>
          <w:szCs w:val="22"/>
        </w:rPr>
        <w:t>1. Respecto de las altas y bajas, se verificará la existencia de un procedimiento de selección de personal que se adecue a las normas que resulten aplicables a la entidad y, en todo caso, a los principios d</w:t>
      </w:r>
      <w:r>
        <w:rPr>
          <w:rFonts w:ascii="Arial" w:hAnsi="Arial" w:cs="Arial"/>
          <w:bCs/>
          <w:iCs/>
          <w:sz w:val="22"/>
          <w:szCs w:val="22"/>
        </w:rPr>
        <w:t>e igualdad, mérito, capacidad y publicidad, comprobando sobre una muestra representativa, que la contratación del personal se realiza conforme al citado procedimiento, responde a las necesidades de la entidad y respeta lo establecido en la normativa que le</w:t>
      </w:r>
      <w:r>
        <w:rPr>
          <w:rFonts w:ascii="Arial" w:hAnsi="Arial" w:cs="Arial"/>
          <w:bCs/>
          <w:iCs/>
          <w:sz w:val="22"/>
          <w:szCs w:val="22"/>
        </w:rPr>
        <w:t xml:space="preserve"> resulte de aplicación. </w:t>
      </w:r>
    </w:p>
    <w:p w:rsidR="009B4233" w:rsidRDefault="009B4233">
      <w:pPr>
        <w:tabs>
          <w:tab w:val="left" w:pos="996"/>
        </w:tabs>
        <w:jc w:val="both"/>
        <w:rPr>
          <w:rFonts w:ascii="Arial" w:hAnsi="Arial" w:cs="Arial"/>
          <w:bCs/>
          <w:iCs/>
          <w:sz w:val="22"/>
          <w:szCs w:val="22"/>
        </w:rPr>
      </w:pPr>
    </w:p>
    <w:p w:rsidR="009B4233" w:rsidRDefault="006B08B9">
      <w:pPr>
        <w:tabs>
          <w:tab w:val="left" w:pos="996"/>
        </w:tabs>
        <w:jc w:val="both"/>
        <w:rPr>
          <w:rFonts w:ascii="Arial" w:hAnsi="Arial" w:cs="Arial"/>
          <w:bCs/>
          <w:iCs/>
          <w:sz w:val="22"/>
          <w:szCs w:val="22"/>
        </w:rPr>
      </w:pPr>
      <w:r>
        <w:rPr>
          <w:rFonts w:ascii="Arial" w:hAnsi="Arial" w:cs="Arial"/>
          <w:bCs/>
          <w:iCs/>
          <w:sz w:val="22"/>
          <w:szCs w:val="22"/>
        </w:rPr>
        <w:t xml:space="preserve">Se verificarán todos expedientes de ceses por despidos. </w:t>
      </w:r>
    </w:p>
    <w:p w:rsidR="009B4233" w:rsidRDefault="009B4233">
      <w:pPr>
        <w:tabs>
          <w:tab w:val="left" w:pos="996"/>
        </w:tabs>
        <w:jc w:val="both"/>
        <w:rPr>
          <w:rFonts w:ascii="Arial" w:hAnsi="Arial" w:cs="Arial"/>
          <w:bCs/>
          <w:iCs/>
          <w:sz w:val="22"/>
          <w:szCs w:val="22"/>
        </w:rPr>
      </w:pPr>
    </w:p>
    <w:p w:rsidR="009B4233" w:rsidRDefault="006B08B9">
      <w:pPr>
        <w:tabs>
          <w:tab w:val="left" w:pos="996"/>
        </w:tabs>
        <w:jc w:val="both"/>
        <w:rPr>
          <w:rFonts w:ascii="Arial" w:hAnsi="Arial" w:cs="Arial"/>
          <w:bCs/>
          <w:iCs/>
          <w:sz w:val="22"/>
          <w:szCs w:val="22"/>
        </w:rPr>
      </w:pPr>
      <w:r>
        <w:rPr>
          <w:rFonts w:ascii="Arial" w:hAnsi="Arial" w:cs="Arial"/>
          <w:bCs/>
          <w:iCs/>
          <w:sz w:val="22"/>
          <w:szCs w:val="22"/>
        </w:rPr>
        <w:t>2. Respecto de la política retributiva, se verificará la existencia de un sistema de retribuciones que se establezca en consideración al contenido de los puestos de trabajo</w:t>
      </w:r>
      <w:r>
        <w:rPr>
          <w:rFonts w:ascii="Arial" w:hAnsi="Arial" w:cs="Arial"/>
          <w:bCs/>
          <w:iCs/>
          <w:sz w:val="22"/>
          <w:szCs w:val="22"/>
        </w:rPr>
        <w:t xml:space="preserve"> a desempeñar, desglosando adecuadamente todos los conceptos e importes que integran las retribuciones del personal; verificando que éste se aplica de forma homogénea al personal. Finalmente, se comprobará que la política retributiva de la sociedad en los </w:t>
      </w:r>
      <w:r>
        <w:rPr>
          <w:rFonts w:ascii="Arial" w:hAnsi="Arial" w:cs="Arial"/>
          <w:bCs/>
          <w:iCs/>
          <w:sz w:val="22"/>
          <w:szCs w:val="22"/>
        </w:rPr>
        <w:t xml:space="preserve">ejercicios controlados respeta lo establecido en la normativa que le resulta de aplicación. </w:t>
      </w:r>
    </w:p>
    <w:p w:rsidR="009B4233" w:rsidRDefault="009B4233">
      <w:pPr>
        <w:tabs>
          <w:tab w:val="left" w:pos="996"/>
        </w:tabs>
        <w:jc w:val="both"/>
        <w:rPr>
          <w:rFonts w:ascii="Arial" w:hAnsi="Arial" w:cs="Arial"/>
          <w:bCs/>
          <w:iCs/>
          <w:sz w:val="22"/>
          <w:szCs w:val="22"/>
        </w:rPr>
      </w:pPr>
    </w:p>
    <w:p w:rsidR="009B4233" w:rsidRDefault="006B08B9">
      <w:pPr>
        <w:tabs>
          <w:tab w:val="left" w:pos="996"/>
        </w:tabs>
        <w:jc w:val="both"/>
        <w:rPr>
          <w:rFonts w:ascii="Arial" w:hAnsi="Arial" w:cs="Arial"/>
          <w:bCs/>
          <w:iCs/>
          <w:sz w:val="22"/>
          <w:szCs w:val="22"/>
        </w:rPr>
      </w:pPr>
      <w:r>
        <w:rPr>
          <w:rFonts w:ascii="Arial" w:hAnsi="Arial" w:cs="Arial"/>
          <w:bCs/>
          <w:iCs/>
          <w:sz w:val="22"/>
          <w:szCs w:val="22"/>
        </w:rPr>
        <w:t xml:space="preserve">3. Respecto de los puestos de Dirección o Gerencia, se comprobará el cumplimiento de la normativa que le resulte de aplicación en los siguientes aspectos: </w:t>
      </w:r>
      <w:r>
        <w:rPr>
          <w:rFonts w:ascii="Arial" w:hAnsi="Arial" w:cs="Arial"/>
          <w:bCs/>
          <w:iCs/>
          <w:sz w:val="22"/>
          <w:szCs w:val="22"/>
        </w:rPr>
        <w:t>procedimientos de selección y nombramientos, retribuciones anuales aprobadas, modalidad de contrato formalizado, cláusulas indemnizatorias en los supuestos de ceses, percepción de otro tipo de remuneraciones distintas a las estipuladas en contrato, disposi</w:t>
      </w:r>
      <w:r>
        <w:rPr>
          <w:rFonts w:ascii="Arial" w:hAnsi="Arial" w:cs="Arial"/>
          <w:bCs/>
          <w:iCs/>
          <w:sz w:val="22"/>
          <w:szCs w:val="22"/>
        </w:rPr>
        <w:t xml:space="preserve">ción y utilización de tarjetas de crédito, y poderes otorgados. </w:t>
      </w:r>
    </w:p>
    <w:p w:rsidR="009B4233" w:rsidRDefault="009B4233">
      <w:pPr>
        <w:tabs>
          <w:tab w:val="left" w:pos="996"/>
        </w:tabs>
        <w:jc w:val="both"/>
        <w:rPr>
          <w:rFonts w:ascii="Arial" w:hAnsi="Arial" w:cs="Arial"/>
          <w:bCs/>
          <w:iCs/>
          <w:sz w:val="22"/>
          <w:szCs w:val="22"/>
        </w:rPr>
      </w:pPr>
    </w:p>
    <w:p w:rsidR="009B4233" w:rsidRDefault="006B08B9">
      <w:pPr>
        <w:tabs>
          <w:tab w:val="left" w:pos="996"/>
        </w:tabs>
        <w:jc w:val="both"/>
        <w:rPr>
          <w:rFonts w:ascii="Arial" w:hAnsi="Arial" w:cs="Arial"/>
          <w:bCs/>
          <w:iCs/>
          <w:sz w:val="22"/>
          <w:szCs w:val="22"/>
        </w:rPr>
      </w:pPr>
      <w:r>
        <w:rPr>
          <w:rFonts w:ascii="Arial" w:hAnsi="Arial" w:cs="Arial"/>
          <w:bCs/>
          <w:iCs/>
          <w:sz w:val="22"/>
          <w:szCs w:val="22"/>
        </w:rPr>
        <w:tab/>
        <w:t>El alcance de las comprobaciones en este apartado, será del cien por cien de los puestos de dirección, el cien por cien de sus gastos salariales así como gastos por desplazamientos y dietas</w:t>
      </w:r>
      <w:r>
        <w:rPr>
          <w:rFonts w:ascii="Arial" w:hAnsi="Arial" w:cs="Arial"/>
          <w:bCs/>
          <w:iCs/>
          <w:sz w:val="22"/>
          <w:szCs w:val="22"/>
        </w:rPr>
        <w:t>, y respecto de los procedimientos de selección y cese, podrán extenderse a periodos distintos a los controlados.</w:t>
      </w:r>
    </w:p>
    <w:p w:rsidR="009B4233" w:rsidRDefault="009B4233">
      <w:pPr>
        <w:tabs>
          <w:tab w:val="left" w:pos="996"/>
        </w:tabs>
        <w:jc w:val="both"/>
        <w:rPr>
          <w:rFonts w:ascii="Arial" w:hAnsi="Arial" w:cs="Arial"/>
          <w:bCs/>
          <w:iCs/>
          <w:sz w:val="22"/>
          <w:szCs w:val="22"/>
        </w:rPr>
      </w:pPr>
    </w:p>
    <w:p w:rsidR="009B4233" w:rsidRDefault="006B08B9">
      <w:pPr>
        <w:tabs>
          <w:tab w:val="left" w:pos="996"/>
        </w:tabs>
        <w:jc w:val="both"/>
        <w:rPr>
          <w:rFonts w:ascii="Arial" w:hAnsi="Arial" w:cs="Arial"/>
          <w:bCs/>
          <w:iCs/>
          <w:sz w:val="22"/>
          <w:szCs w:val="22"/>
        </w:rPr>
      </w:pPr>
      <w:r>
        <w:rPr>
          <w:rFonts w:ascii="Arial" w:hAnsi="Arial" w:cs="Arial"/>
          <w:bCs/>
          <w:iCs/>
          <w:sz w:val="22"/>
          <w:szCs w:val="22"/>
        </w:rPr>
        <w:t>4. Respecto de los gastos salariales y de seguridad social, se analizará su variación respecto del ejercicio anterior, comprobando que respet</w:t>
      </w:r>
      <w:r>
        <w:rPr>
          <w:rFonts w:ascii="Arial" w:hAnsi="Arial" w:cs="Arial"/>
          <w:bCs/>
          <w:iCs/>
          <w:sz w:val="22"/>
          <w:szCs w:val="22"/>
        </w:rPr>
        <w:t>a lo establecido en la Ley de Presupuestos Generales del Estado. Se comprobará su adecuado registro contable, y sobre una muestra representativa de trabajadores, se comprobarán los contratos de trabajo, las nóminas y seguros sociales.</w:t>
      </w:r>
    </w:p>
    <w:p w:rsidR="009B4233" w:rsidRDefault="009B4233">
      <w:pPr>
        <w:tabs>
          <w:tab w:val="left" w:pos="996"/>
        </w:tabs>
        <w:jc w:val="both"/>
        <w:rPr>
          <w:rFonts w:ascii="Arial" w:hAnsi="Arial" w:cs="Arial"/>
          <w:bCs/>
          <w:iCs/>
          <w:sz w:val="22"/>
          <w:szCs w:val="22"/>
        </w:rPr>
      </w:pPr>
    </w:p>
    <w:p w:rsidR="009B4233" w:rsidRDefault="006B08B9">
      <w:pPr>
        <w:tabs>
          <w:tab w:val="left" w:pos="996"/>
        </w:tabs>
        <w:jc w:val="both"/>
        <w:rPr>
          <w:rFonts w:ascii="Arial" w:hAnsi="Arial" w:cs="Arial"/>
          <w:bCs/>
          <w:iCs/>
          <w:sz w:val="22"/>
          <w:szCs w:val="22"/>
        </w:rPr>
      </w:pPr>
      <w:r>
        <w:rPr>
          <w:rFonts w:ascii="Arial" w:hAnsi="Arial" w:cs="Arial"/>
          <w:bCs/>
          <w:iCs/>
          <w:sz w:val="22"/>
          <w:szCs w:val="22"/>
        </w:rPr>
        <w:t xml:space="preserve">5. Se comprobará la </w:t>
      </w:r>
      <w:r>
        <w:rPr>
          <w:rFonts w:ascii="Arial" w:hAnsi="Arial" w:cs="Arial"/>
          <w:bCs/>
          <w:iCs/>
          <w:sz w:val="22"/>
          <w:szCs w:val="22"/>
        </w:rPr>
        <w:t>existencia de algún tipo de beneficios sociales en la entidad, para valorar la correcta concesión y gestión de los mismos (créditos al personal, ayudas para estudios y formación, planes y fondos de pensiones, pólizas de seguros de vida, seguros médicos, co</w:t>
      </w:r>
      <w:r>
        <w:rPr>
          <w:rFonts w:ascii="Arial" w:hAnsi="Arial" w:cs="Arial"/>
          <w:bCs/>
          <w:iCs/>
          <w:sz w:val="22"/>
          <w:szCs w:val="22"/>
        </w:rPr>
        <w:t>medor de empresa, premios de vinculación, etc.).</w:t>
      </w:r>
    </w:p>
    <w:p w:rsidR="009B4233" w:rsidRDefault="009B4233">
      <w:pPr>
        <w:tabs>
          <w:tab w:val="left" w:pos="996"/>
        </w:tabs>
        <w:jc w:val="both"/>
        <w:rPr>
          <w:rFonts w:ascii="Arial" w:hAnsi="Arial" w:cs="Arial"/>
          <w:bCs/>
          <w:iCs/>
          <w:sz w:val="22"/>
          <w:szCs w:val="22"/>
        </w:rPr>
      </w:pPr>
    </w:p>
    <w:p w:rsidR="009B4233" w:rsidRDefault="006B08B9">
      <w:pPr>
        <w:tabs>
          <w:tab w:val="left" w:pos="996"/>
        </w:tabs>
        <w:jc w:val="both"/>
        <w:rPr>
          <w:rFonts w:ascii="Arial" w:hAnsi="Arial" w:cs="Arial"/>
          <w:bCs/>
          <w:iCs/>
          <w:sz w:val="22"/>
          <w:szCs w:val="22"/>
        </w:rPr>
      </w:pPr>
      <w:r>
        <w:rPr>
          <w:rFonts w:ascii="Arial" w:hAnsi="Arial" w:cs="Arial"/>
          <w:bCs/>
          <w:iCs/>
          <w:sz w:val="22"/>
          <w:szCs w:val="22"/>
        </w:rPr>
        <w:t>6. Finalmente, se analizará los gastos por desplazamientos y dietas del personal, y sobre una muestra representativa se verificará su aprobación conforme a los importes debidos, su adecuada justificación do</w:t>
      </w:r>
      <w:r>
        <w:rPr>
          <w:rFonts w:ascii="Arial" w:hAnsi="Arial" w:cs="Arial"/>
          <w:bCs/>
          <w:iCs/>
          <w:sz w:val="22"/>
          <w:szCs w:val="22"/>
        </w:rPr>
        <w:t>cumental, pago y contabilización, así como el motivo que la justifica y su adecuación a los fines y actividades de la entidad.</w:t>
      </w:r>
    </w:p>
    <w:p w:rsidR="009B4233" w:rsidRDefault="009B4233">
      <w:pPr>
        <w:tabs>
          <w:tab w:val="left" w:pos="996"/>
        </w:tabs>
        <w:jc w:val="both"/>
        <w:rPr>
          <w:rFonts w:ascii="Arial" w:hAnsi="Arial" w:cs="Arial"/>
          <w:bCs/>
          <w:iCs/>
          <w:sz w:val="22"/>
          <w:szCs w:val="22"/>
        </w:rPr>
      </w:pPr>
    </w:p>
    <w:p w:rsidR="009B4233" w:rsidRDefault="006B08B9">
      <w:pPr>
        <w:tabs>
          <w:tab w:val="left" w:pos="996"/>
        </w:tabs>
        <w:jc w:val="both"/>
      </w:pPr>
      <w:r>
        <w:rPr>
          <w:rFonts w:ascii="Arial" w:hAnsi="Arial" w:cs="Arial"/>
          <w:bCs/>
          <w:iCs/>
          <w:sz w:val="22"/>
          <w:szCs w:val="22"/>
          <w:u w:val="single"/>
        </w:rPr>
        <w:t>Área de contratación</w:t>
      </w:r>
      <w:r>
        <w:rPr>
          <w:rFonts w:ascii="Arial" w:hAnsi="Arial" w:cs="Arial"/>
          <w:bCs/>
          <w:iCs/>
          <w:sz w:val="22"/>
          <w:szCs w:val="22"/>
        </w:rPr>
        <w:t xml:space="preserve">: se comprobará que la actividad de contratación de la entidad con sus proveedores se realiza siguiendo lo </w:t>
      </w:r>
      <w:r>
        <w:rPr>
          <w:rFonts w:ascii="Arial" w:hAnsi="Arial" w:cs="Arial"/>
          <w:bCs/>
          <w:iCs/>
          <w:sz w:val="22"/>
          <w:szCs w:val="22"/>
        </w:rPr>
        <w:t>dispuesto en la normativa que le resulte de aplicación, que con carácter general será la Ley de Contratos del Sector Público.</w:t>
      </w:r>
    </w:p>
    <w:p w:rsidR="009B4233" w:rsidRDefault="009B4233">
      <w:pPr>
        <w:tabs>
          <w:tab w:val="left" w:pos="996"/>
        </w:tabs>
        <w:jc w:val="both"/>
        <w:rPr>
          <w:rFonts w:ascii="Arial" w:hAnsi="Arial" w:cs="Arial"/>
          <w:bCs/>
          <w:iCs/>
          <w:sz w:val="22"/>
          <w:szCs w:val="22"/>
        </w:rPr>
      </w:pPr>
    </w:p>
    <w:p w:rsidR="009B4233" w:rsidRDefault="006B08B9">
      <w:pPr>
        <w:tabs>
          <w:tab w:val="left" w:pos="996"/>
        </w:tabs>
        <w:jc w:val="both"/>
        <w:rPr>
          <w:rFonts w:ascii="Arial" w:hAnsi="Arial" w:cs="Arial"/>
          <w:bCs/>
          <w:iCs/>
          <w:sz w:val="22"/>
          <w:szCs w:val="22"/>
        </w:rPr>
      </w:pPr>
      <w:r>
        <w:rPr>
          <w:rFonts w:ascii="Arial" w:hAnsi="Arial" w:cs="Arial"/>
          <w:bCs/>
          <w:iCs/>
          <w:sz w:val="22"/>
          <w:szCs w:val="22"/>
        </w:rPr>
        <w:tab/>
        <w:t>Se comprobará si la tramitación, formalización y ejecución de los distintos contratos respeta lo establecido en las instruccione</w:t>
      </w:r>
      <w:r>
        <w:rPr>
          <w:rFonts w:ascii="Arial" w:hAnsi="Arial" w:cs="Arial"/>
          <w:bCs/>
          <w:iCs/>
          <w:sz w:val="22"/>
          <w:szCs w:val="22"/>
        </w:rPr>
        <w:t xml:space="preserve">s de contratación y/o el LCSP. </w:t>
      </w:r>
    </w:p>
    <w:p w:rsidR="009B4233" w:rsidRDefault="009B4233">
      <w:pPr>
        <w:tabs>
          <w:tab w:val="left" w:pos="996"/>
        </w:tabs>
        <w:jc w:val="both"/>
        <w:rPr>
          <w:rFonts w:ascii="Arial" w:hAnsi="Arial" w:cs="Arial"/>
          <w:bCs/>
          <w:iCs/>
          <w:sz w:val="22"/>
          <w:szCs w:val="22"/>
        </w:rPr>
      </w:pPr>
    </w:p>
    <w:p w:rsidR="009B4233" w:rsidRDefault="006B08B9">
      <w:pPr>
        <w:tabs>
          <w:tab w:val="left" w:pos="996"/>
        </w:tabs>
        <w:jc w:val="both"/>
        <w:rPr>
          <w:rFonts w:ascii="Arial" w:hAnsi="Arial" w:cs="Arial"/>
          <w:bCs/>
          <w:iCs/>
          <w:sz w:val="22"/>
          <w:szCs w:val="22"/>
        </w:rPr>
      </w:pPr>
      <w:r>
        <w:rPr>
          <w:rFonts w:ascii="Arial" w:hAnsi="Arial" w:cs="Arial"/>
          <w:bCs/>
          <w:iCs/>
          <w:sz w:val="22"/>
          <w:szCs w:val="22"/>
        </w:rPr>
        <w:tab/>
        <w:t>El alcance en esta área abarcará tanto los contratos licitados y adjudicados en el ejercicio objeto de control, como aquellos otros que habiendo sido adjudicados en ejercicios anteriores, se ejecuten, desarrollen o liquide</w:t>
      </w:r>
      <w:r>
        <w:rPr>
          <w:rFonts w:ascii="Arial" w:hAnsi="Arial" w:cs="Arial"/>
          <w:bCs/>
          <w:iCs/>
          <w:sz w:val="22"/>
          <w:szCs w:val="22"/>
        </w:rPr>
        <w:t xml:space="preserve">n durante el ejercicio auditado. Sobre la totalidad de los contratos adjudicados se seleccionará una muestra representativa de los mismos y se verificará el cumplimiento de la normativa que le sea de aplicación. </w:t>
      </w:r>
    </w:p>
    <w:p w:rsidR="009B4233" w:rsidRDefault="009B4233">
      <w:pPr>
        <w:tabs>
          <w:tab w:val="left" w:pos="996"/>
        </w:tabs>
        <w:jc w:val="both"/>
        <w:rPr>
          <w:rFonts w:ascii="Arial" w:hAnsi="Arial" w:cs="Arial"/>
          <w:bCs/>
          <w:iCs/>
          <w:sz w:val="22"/>
          <w:szCs w:val="22"/>
        </w:rPr>
      </w:pPr>
    </w:p>
    <w:p w:rsidR="009B4233" w:rsidRDefault="006B08B9">
      <w:pPr>
        <w:tabs>
          <w:tab w:val="left" w:pos="996"/>
        </w:tabs>
        <w:jc w:val="both"/>
      </w:pPr>
      <w:r>
        <w:rPr>
          <w:rFonts w:ascii="Arial" w:hAnsi="Arial" w:cs="Arial"/>
          <w:bCs/>
          <w:iCs/>
          <w:sz w:val="22"/>
          <w:szCs w:val="22"/>
          <w:u w:val="single"/>
        </w:rPr>
        <w:t>Área de gestión Económica o financiera</w:t>
      </w:r>
      <w:r>
        <w:rPr>
          <w:rFonts w:ascii="Arial" w:hAnsi="Arial" w:cs="Arial"/>
          <w:bCs/>
          <w:iCs/>
          <w:sz w:val="22"/>
          <w:szCs w:val="22"/>
        </w:rPr>
        <w:t>: Se</w:t>
      </w:r>
      <w:r>
        <w:rPr>
          <w:rFonts w:ascii="Arial" w:hAnsi="Arial" w:cs="Arial"/>
          <w:bCs/>
          <w:iCs/>
          <w:sz w:val="22"/>
          <w:szCs w:val="22"/>
        </w:rPr>
        <w:t xml:space="preserve"> verificarán los siguientes aspectos: </w:t>
      </w:r>
    </w:p>
    <w:p w:rsidR="009B4233" w:rsidRDefault="009B4233">
      <w:pPr>
        <w:tabs>
          <w:tab w:val="left" w:pos="996"/>
        </w:tabs>
        <w:jc w:val="both"/>
        <w:rPr>
          <w:rFonts w:ascii="Arial" w:hAnsi="Arial" w:cs="Arial"/>
          <w:bCs/>
          <w:iCs/>
          <w:sz w:val="22"/>
          <w:szCs w:val="22"/>
        </w:rPr>
      </w:pPr>
    </w:p>
    <w:p w:rsidR="009B4233" w:rsidRDefault="006B08B9">
      <w:pPr>
        <w:numPr>
          <w:ilvl w:val="0"/>
          <w:numId w:val="24"/>
        </w:numPr>
        <w:tabs>
          <w:tab w:val="left" w:pos="-444"/>
        </w:tabs>
        <w:jc w:val="both"/>
        <w:textAlignment w:val="auto"/>
        <w:rPr>
          <w:rFonts w:ascii="Arial" w:hAnsi="Arial" w:cs="Arial"/>
          <w:bCs/>
          <w:iCs/>
          <w:sz w:val="22"/>
          <w:szCs w:val="22"/>
        </w:rPr>
      </w:pPr>
      <w:r>
        <w:rPr>
          <w:rFonts w:ascii="Arial" w:hAnsi="Arial" w:cs="Arial"/>
          <w:bCs/>
          <w:iCs/>
          <w:sz w:val="22"/>
          <w:szCs w:val="22"/>
        </w:rPr>
        <w:t xml:space="preserve">El cumplimiento de los aspectos formales en materia fiscal que le sea de aplicación a la entidad. </w:t>
      </w:r>
    </w:p>
    <w:p w:rsidR="009B4233" w:rsidRDefault="006B08B9">
      <w:pPr>
        <w:numPr>
          <w:ilvl w:val="0"/>
          <w:numId w:val="24"/>
        </w:numPr>
        <w:tabs>
          <w:tab w:val="left" w:pos="-444"/>
        </w:tabs>
        <w:jc w:val="both"/>
        <w:textAlignment w:val="auto"/>
        <w:rPr>
          <w:rFonts w:ascii="Arial" w:hAnsi="Arial" w:cs="Arial"/>
          <w:bCs/>
          <w:iCs/>
          <w:sz w:val="22"/>
          <w:szCs w:val="22"/>
        </w:rPr>
      </w:pPr>
      <w:r>
        <w:rPr>
          <w:rFonts w:ascii="Arial" w:hAnsi="Arial" w:cs="Arial"/>
          <w:bCs/>
          <w:iCs/>
          <w:sz w:val="22"/>
          <w:szCs w:val="22"/>
        </w:rPr>
        <w:t xml:space="preserve"> La gestión de la tesorería conforme a los principios de buena gestión financiera. En este apartado será necesario ve</w:t>
      </w:r>
      <w:r>
        <w:rPr>
          <w:rFonts w:ascii="Arial" w:hAnsi="Arial" w:cs="Arial"/>
          <w:bCs/>
          <w:iCs/>
          <w:sz w:val="22"/>
          <w:szCs w:val="22"/>
        </w:rPr>
        <w:t>rificar, al menos, los medios de pago utilizados por la entidad, totalidad de cuentas bancarias abiertas, personas debidamente autorizadas en las citadas cuentas especificando límites de disposición y carácter solidario o mancomunado, conciliación de saldo</w:t>
      </w:r>
      <w:r>
        <w:rPr>
          <w:rFonts w:ascii="Arial" w:hAnsi="Arial" w:cs="Arial"/>
          <w:bCs/>
          <w:iCs/>
          <w:sz w:val="22"/>
          <w:szCs w:val="22"/>
        </w:rPr>
        <w:t>s bancarios con los datos contables, existencia de cajas de efectivo, procedimientos de utilización de éstas, saldos iniciales y finales, arqueos debidamente firmados y, en su caso, selección de una muestra de pagos realizados a través de caja para comprob</w:t>
      </w:r>
      <w:r>
        <w:rPr>
          <w:rFonts w:ascii="Arial" w:hAnsi="Arial" w:cs="Arial"/>
          <w:bCs/>
          <w:iCs/>
          <w:sz w:val="22"/>
          <w:szCs w:val="22"/>
        </w:rPr>
        <w:t xml:space="preserve">ar su adecuada justificación y adecuación a los fines y actividades de la entidad. </w:t>
      </w:r>
    </w:p>
    <w:p w:rsidR="009B4233" w:rsidRDefault="009B4233">
      <w:pPr>
        <w:tabs>
          <w:tab w:val="left" w:pos="996"/>
        </w:tabs>
        <w:jc w:val="both"/>
        <w:rPr>
          <w:rFonts w:ascii="Arial" w:hAnsi="Arial" w:cs="Arial"/>
          <w:bCs/>
          <w:iCs/>
          <w:sz w:val="22"/>
          <w:szCs w:val="22"/>
        </w:rPr>
      </w:pPr>
    </w:p>
    <w:p w:rsidR="009B4233" w:rsidRDefault="006B08B9">
      <w:pPr>
        <w:tabs>
          <w:tab w:val="left" w:pos="996"/>
        </w:tabs>
        <w:jc w:val="both"/>
        <w:rPr>
          <w:rFonts w:ascii="Arial" w:hAnsi="Arial" w:cs="Arial"/>
          <w:bCs/>
          <w:iCs/>
          <w:sz w:val="22"/>
          <w:szCs w:val="22"/>
        </w:rPr>
      </w:pPr>
      <w:r>
        <w:rPr>
          <w:rFonts w:ascii="Arial" w:hAnsi="Arial" w:cs="Arial"/>
          <w:bCs/>
          <w:iCs/>
          <w:sz w:val="22"/>
          <w:szCs w:val="22"/>
        </w:rPr>
        <w:t xml:space="preserve">Sobre una muestra de pagos por cuenta corriente se constatará la realidad del destinatario de los fondos. </w:t>
      </w:r>
    </w:p>
    <w:p w:rsidR="009B4233" w:rsidRDefault="009B4233">
      <w:pPr>
        <w:tabs>
          <w:tab w:val="left" w:pos="996"/>
        </w:tabs>
        <w:jc w:val="both"/>
        <w:rPr>
          <w:rFonts w:ascii="Arial" w:hAnsi="Arial" w:cs="Arial"/>
          <w:bCs/>
          <w:iCs/>
          <w:sz w:val="22"/>
          <w:szCs w:val="22"/>
        </w:rPr>
      </w:pPr>
    </w:p>
    <w:p w:rsidR="009B4233" w:rsidRDefault="006B08B9">
      <w:pPr>
        <w:tabs>
          <w:tab w:val="left" w:pos="996"/>
        </w:tabs>
        <w:jc w:val="both"/>
      </w:pPr>
      <w:r>
        <w:rPr>
          <w:rFonts w:ascii="Arial" w:hAnsi="Arial" w:cs="Arial"/>
          <w:b/>
          <w:bCs/>
          <w:iCs/>
          <w:sz w:val="22"/>
          <w:szCs w:val="22"/>
        </w:rPr>
        <w:t>3.- Informe de Auditoría Operativa.</w:t>
      </w:r>
      <w:r>
        <w:rPr>
          <w:rFonts w:ascii="Arial" w:hAnsi="Arial" w:cs="Arial"/>
          <w:bCs/>
          <w:iCs/>
          <w:sz w:val="22"/>
          <w:szCs w:val="22"/>
        </w:rPr>
        <w:t xml:space="preserve"> Tiene como objetivo realiza</w:t>
      </w:r>
      <w:r>
        <w:rPr>
          <w:rFonts w:ascii="Arial" w:hAnsi="Arial" w:cs="Arial"/>
          <w:bCs/>
          <w:iCs/>
          <w:sz w:val="22"/>
          <w:szCs w:val="22"/>
        </w:rPr>
        <w:t xml:space="preserve">r una evaluación global, en términos de economía, eficiencia y eficacia de la gestión de la Empresa, así como de los procedimientos operativos, de control interno y consecución de los objetivos previamente fijados. </w:t>
      </w:r>
    </w:p>
    <w:p w:rsidR="009B4233" w:rsidRDefault="009B4233">
      <w:pPr>
        <w:tabs>
          <w:tab w:val="left" w:pos="996"/>
        </w:tabs>
        <w:jc w:val="both"/>
        <w:rPr>
          <w:rFonts w:ascii="Arial" w:hAnsi="Arial" w:cs="Arial"/>
          <w:bCs/>
          <w:iCs/>
          <w:sz w:val="22"/>
          <w:szCs w:val="22"/>
        </w:rPr>
      </w:pPr>
    </w:p>
    <w:p w:rsidR="009B4233" w:rsidRDefault="006B08B9">
      <w:pPr>
        <w:tabs>
          <w:tab w:val="left" w:pos="996"/>
        </w:tabs>
        <w:jc w:val="both"/>
        <w:rPr>
          <w:rFonts w:ascii="Arial" w:hAnsi="Arial" w:cs="Arial"/>
          <w:bCs/>
          <w:iCs/>
          <w:sz w:val="22"/>
          <w:szCs w:val="22"/>
        </w:rPr>
      </w:pPr>
      <w:r>
        <w:rPr>
          <w:rFonts w:ascii="Arial" w:hAnsi="Arial" w:cs="Arial"/>
          <w:bCs/>
          <w:iCs/>
          <w:sz w:val="22"/>
          <w:szCs w:val="22"/>
        </w:rPr>
        <w:tab/>
        <w:t>El trabajo de la técnica de auditoria,</w:t>
      </w:r>
      <w:r>
        <w:rPr>
          <w:rFonts w:ascii="Arial" w:hAnsi="Arial" w:cs="Arial"/>
          <w:bCs/>
          <w:iCs/>
          <w:sz w:val="22"/>
          <w:szCs w:val="22"/>
        </w:rPr>
        <w:t xml:space="preserve"> debe analizar los siguientes aspectos: </w:t>
      </w:r>
    </w:p>
    <w:p w:rsidR="009B4233" w:rsidRDefault="009B4233">
      <w:pPr>
        <w:tabs>
          <w:tab w:val="left" w:pos="996"/>
        </w:tabs>
        <w:jc w:val="both"/>
        <w:rPr>
          <w:rFonts w:ascii="Arial" w:hAnsi="Arial" w:cs="Arial"/>
          <w:bCs/>
          <w:iCs/>
          <w:sz w:val="22"/>
          <w:szCs w:val="22"/>
        </w:rPr>
      </w:pPr>
    </w:p>
    <w:p w:rsidR="009B4233" w:rsidRDefault="006B08B9">
      <w:pPr>
        <w:tabs>
          <w:tab w:val="left" w:pos="996"/>
        </w:tabs>
        <w:jc w:val="both"/>
        <w:rPr>
          <w:rFonts w:ascii="Arial" w:hAnsi="Arial" w:cs="Arial"/>
          <w:bCs/>
          <w:iCs/>
          <w:sz w:val="22"/>
          <w:szCs w:val="22"/>
          <w:u w:val="single"/>
        </w:rPr>
      </w:pPr>
      <w:r>
        <w:rPr>
          <w:rFonts w:ascii="Arial" w:hAnsi="Arial" w:cs="Arial"/>
          <w:bCs/>
          <w:iCs/>
          <w:sz w:val="22"/>
          <w:szCs w:val="22"/>
          <w:u w:val="single"/>
        </w:rPr>
        <w:t>Con respecto a la eficacia:</w:t>
      </w:r>
    </w:p>
    <w:p w:rsidR="009B4233" w:rsidRDefault="009B4233">
      <w:pPr>
        <w:tabs>
          <w:tab w:val="left" w:pos="996"/>
        </w:tabs>
        <w:jc w:val="both"/>
        <w:rPr>
          <w:rFonts w:ascii="Arial" w:hAnsi="Arial" w:cs="Arial"/>
          <w:bCs/>
          <w:iCs/>
          <w:sz w:val="22"/>
          <w:szCs w:val="22"/>
          <w:u w:val="single"/>
        </w:rPr>
      </w:pPr>
    </w:p>
    <w:p w:rsidR="009B4233" w:rsidRDefault="006B08B9">
      <w:pPr>
        <w:numPr>
          <w:ilvl w:val="0"/>
          <w:numId w:val="24"/>
        </w:numPr>
        <w:tabs>
          <w:tab w:val="left" w:pos="-444"/>
        </w:tabs>
        <w:jc w:val="both"/>
        <w:textAlignment w:val="auto"/>
        <w:rPr>
          <w:rFonts w:ascii="Arial" w:hAnsi="Arial" w:cs="Arial"/>
          <w:bCs/>
          <w:iCs/>
          <w:sz w:val="22"/>
          <w:szCs w:val="22"/>
        </w:rPr>
      </w:pPr>
      <w:r>
        <w:rPr>
          <w:rFonts w:ascii="Arial" w:hAnsi="Arial" w:cs="Arial"/>
          <w:bCs/>
          <w:iCs/>
          <w:sz w:val="22"/>
          <w:szCs w:val="22"/>
        </w:rPr>
        <w:t xml:space="preserve">La existencia de Programas claramente definidos. </w:t>
      </w:r>
    </w:p>
    <w:p w:rsidR="009B4233" w:rsidRDefault="006B08B9">
      <w:pPr>
        <w:tabs>
          <w:tab w:val="left" w:pos="996"/>
        </w:tabs>
        <w:jc w:val="both"/>
        <w:rPr>
          <w:rFonts w:ascii="Arial" w:hAnsi="Arial" w:cs="Arial"/>
          <w:bCs/>
          <w:iCs/>
          <w:sz w:val="22"/>
          <w:szCs w:val="22"/>
        </w:rPr>
      </w:pPr>
      <w:r>
        <w:rPr>
          <w:rFonts w:ascii="Arial" w:hAnsi="Arial" w:cs="Arial"/>
          <w:bCs/>
          <w:iCs/>
          <w:sz w:val="22"/>
          <w:szCs w:val="22"/>
        </w:rPr>
        <w:t xml:space="preserve"> </w:t>
      </w:r>
    </w:p>
    <w:p w:rsidR="009B4233" w:rsidRDefault="006B08B9">
      <w:pPr>
        <w:tabs>
          <w:tab w:val="left" w:pos="996"/>
        </w:tabs>
        <w:jc w:val="both"/>
        <w:rPr>
          <w:rFonts w:ascii="Arial" w:hAnsi="Arial" w:cs="Arial"/>
          <w:bCs/>
          <w:iCs/>
          <w:sz w:val="22"/>
          <w:szCs w:val="22"/>
        </w:rPr>
      </w:pPr>
      <w:r>
        <w:rPr>
          <w:rFonts w:ascii="Arial" w:hAnsi="Arial" w:cs="Arial"/>
          <w:bCs/>
          <w:iCs/>
          <w:sz w:val="22"/>
          <w:szCs w:val="22"/>
        </w:rPr>
        <w:t xml:space="preserve">         En el caso de que así fuera si éstos han sido aprobados por algún órgano y con qué criterios se aprueban.</w:t>
      </w:r>
    </w:p>
    <w:p w:rsidR="009B4233" w:rsidRDefault="009B4233">
      <w:pPr>
        <w:tabs>
          <w:tab w:val="left" w:pos="996"/>
        </w:tabs>
        <w:jc w:val="both"/>
        <w:rPr>
          <w:rFonts w:ascii="Arial" w:hAnsi="Arial" w:cs="Arial"/>
          <w:bCs/>
          <w:iCs/>
          <w:sz w:val="22"/>
          <w:szCs w:val="22"/>
        </w:rPr>
      </w:pPr>
    </w:p>
    <w:p w:rsidR="009B4233" w:rsidRDefault="006B08B9">
      <w:pPr>
        <w:numPr>
          <w:ilvl w:val="0"/>
          <w:numId w:val="24"/>
        </w:numPr>
        <w:tabs>
          <w:tab w:val="left" w:pos="-444"/>
        </w:tabs>
        <w:jc w:val="both"/>
        <w:textAlignment w:val="auto"/>
        <w:rPr>
          <w:rFonts w:ascii="Arial" w:hAnsi="Arial" w:cs="Arial"/>
          <w:bCs/>
          <w:iCs/>
          <w:sz w:val="22"/>
          <w:szCs w:val="22"/>
        </w:rPr>
      </w:pPr>
      <w:r>
        <w:rPr>
          <w:rFonts w:ascii="Arial" w:hAnsi="Arial" w:cs="Arial"/>
          <w:bCs/>
          <w:iCs/>
          <w:sz w:val="22"/>
          <w:szCs w:val="22"/>
        </w:rPr>
        <w:t xml:space="preserve">  Si los Programa</w:t>
      </w:r>
      <w:r>
        <w:rPr>
          <w:rFonts w:ascii="Arial" w:hAnsi="Arial" w:cs="Arial"/>
          <w:bCs/>
          <w:iCs/>
          <w:sz w:val="22"/>
          <w:szCs w:val="22"/>
        </w:rPr>
        <w:t xml:space="preserve">s aprobados fijan claramente y cuantitativamente cuales son los objetivos a cumplir. </w:t>
      </w:r>
    </w:p>
    <w:p w:rsidR="009B4233" w:rsidRDefault="009B4233">
      <w:pPr>
        <w:tabs>
          <w:tab w:val="left" w:pos="996"/>
        </w:tabs>
        <w:ind w:left="360"/>
        <w:jc w:val="both"/>
        <w:rPr>
          <w:rFonts w:ascii="Arial" w:hAnsi="Arial" w:cs="Arial"/>
          <w:bCs/>
          <w:iCs/>
          <w:sz w:val="22"/>
          <w:szCs w:val="22"/>
        </w:rPr>
      </w:pPr>
    </w:p>
    <w:p w:rsidR="009B4233" w:rsidRDefault="006B08B9">
      <w:pPr>
        <w:numPr>
          <w:ilvl w:val="0"/>
          <w:numId w:val="24"/>
        </w:numPr>
        <w:tabs>
          <w:tab w:val="left" w:pos="-444"/>
        </w:tabs>
        <w:jc w:val="both"/>
        <w:textAlignment w:val="auto"/>
        <w:rPr>
          <w:rFonts w:ascii="Arial" w:hAnsi="Arial" w:cs="Arial"/>
          <w:bCs/>
          <w:iCs/>
          <w:sz w:val="22"/>
          <w:szCs w:val="22"/>
        </w:rPr>
      </w:pPr>
      <w:r>
        <w:rPr>
          <w:rFonts w:ascii="Arial" w:hAnsi="Arial" w:cs="Arial"/>
          <w:bCs/>
          <w:iCs/>
          <w:sz w:val="22"/>
          <w:szCs w:val="22"/>
        </w:rPr>
        <w:t xml:space="preserve">La posible racionalidad a la hora de fijar los objetivos que determinen la consecución y éxito de dichos programas. </w:t>
      </w:r>
    </w:p>
    <w:p w:rsidR="009B4233" w:rsidRDefault="009B4233">
      <w:pPr>
        <w:pStyle w:val="Prrafodelista"/>
        <w:rPr>
          <w:rFonts w:ascii="Arial" w:hAnsi="Arial" w:cs="Arial"/>
          <w:bCs/>
          <w:iCs/>
          <w:sz w:val="22"/>
          <w:szCs w:val="22"/>
        </w:rPr>
      </w:pPr>
    </w:p>
    <w:p w:rsidR="009B4233" w:rsidRDefault="006B08B9">
      <w:pPr>
        <w:numPr>
          <w:ilvl w:val="0"/>
          <w:numId w:val="24"/>
        </w:numPr>
        <w:tabs>
          <w:tab w:val="left" w:pos="-444"/>
        </w:tabs>
        <w:jc w:val="both"/>
        <w:textAlignment w:val="auto"/>
        <w:rPr>
          <w:rFonts w:ascii="Arial" w:hAnsi="Arial" w:cs="Arial"/>
          <w:bCs/>
          <w:iCs/>
          <w:sz w:val="22"/>
          <w:szCs w:val="22"/>
        </w:rPr>
      </w:pPr>
      <w:r>
        <w:rPr>
          <w:rFonts w:ascii="Arial" w:hAnsi="Arial" w:cs="Arial"/>
          <w:bCs/>
          <w:iCs/>
          <w:sz w:val="22"/>
          <w:szCs w:val="22"/>
        </w:rPr>
        <w:t xml:space="preserve"> La existencia de un conjunto de indicadores que </w:t>
      </w:r>
      <w:r>
        <w:rPr>
          <w:rFonts w:ascii="Arial" w:hAnsi="Arial" w:cs="Arial"/>
          <w:bCs/>
          <w:iCs/>
          <w:sz w:val="22"/>
          <w:szCs w:val="22"/>
        </w:rPr>
        <w:t xml:space="preserve">nos permitan analizar el grado de consecución de los mismos, entendiendo además que dichos objetivos son óptimos a la hora de determinar que se consigue el objetivo propuesto. </w:t>
      </w:r>
    </w:p>
    <w:p w:rsidR="009B4233" w:rsidRDefault="009B4233">
      <w:pPr>
        <w:tabs>
          <w:tab w:val="left" w:pos="996"/>
        </w:tabs>
        <w:ind w:left="360"/>
        <w:jc w:val="both"/>
        <w:rPr>
          <w:rFonts w:ascii="Arial" w:hAnsi="Arial" w:cs="Arial"/>
          <w:bCs/>
          <w:iCs/>
          <w:sz w:val="22"/>
          <w:szCs w:val="22"/>
        </w:rPr>
      </w:pPr>
    </w:p>
    <w:p w:rsidR="009B4233" w:rsidRDefault="006B08B9">
      <w:pPr>
        <w:numPr>
          <w:ilvl w:val="0"/>
          <w:numId w:val="24"/>
        </w:numPr>
        <w:tabs>
          <w:tab w:val="left" w:pos="-444"/>
        </w:tabs>
        <w:jc w:val="both"/>
        <w:textAlignment w:val="auto"/>
        <w:rPr>
          <w:rFonts w:ascii="Arial" w:hAnsi="Arial" w:cs="Arial"/>
          <w:bCs/>
          <w:iCs/>
          <w:sz w:val="22"/>
          <w:szCs w:val="22"/>
        </w:rPr>
      </w:pPr>
      <w:r>
        <w:rPr>
          <w:rFonts w:ascii="Arial" w:hAnsi="Arial" w:cs="Arial"/>
          <w:bCs/>
          <w:iCs/>
          <w:sz w:val="22"/>
          <w:szCs w:val="22"/>
        </w:rPr>
        <w:t xml:space="preserve">La existencia de una memoria final de evaluación de los programas ejecutados. </w:t>
      </w:r>
      <w:r>
        <w:rPr>
          <w:rFonts w:ascii="Arial" w:hAnsi="Arial" w:cs="Arial"/>
          <w:bCs/>
          <w:iCs/>
          <w:sz w:val="22"/>
          <w:szCs w:val="22"/>
        </w:rPr>
        <w:t xml:space="preserve">Así como en su caso la aprobación por algún órgano de la entidad y en base a qué criterio. </w:t>
      </w:r>
    </w:p>
    <w:p w:rsidR="009B4233" w:rsidRDefault="009B4233">
      <w:pPr>
        <w:tabs>
          <w:tab w:val="left" w:pos="996"/>
        </w:tabs>
        <w:ind w:left="360"/>
        <w:jc w:val="both"/>
        <w:rPr>
          <w:rFonts w:ascii="Arial" w:hAnsi="Arial" w:cs="Arial"/>
          <w:bCs/>
          <w:iCs/>
          <w:sz w:val="22"/>
          <w:szCs w:val="22"/>
        </w:rPr>
      </w:pPr>
    </w:p>
    <w:p w:rsidR="009B4233" w:rsidRDefault="006B08B9">
      <w:pPr>
        <w:numPr>
          <w:ilvl w:val="0"/>
          <w:numId w:val="24"/>
        </w:numPr>
        <w:tabs>
          <w:tab w:val="left" w:pos="-444"/>
        </w:tabs>
        <w:jc w:val="both"/>
        <w:textAlignment w:val="auto"/>
        <w:rPr>
          <w:rFonts w:ascii="Arial" w:hAnsi="Arial" w:cs="Arial"/>
          <w:bCs/>
          <w:iCs/>
          <w:sz w:val="22"/>
          <w:szCs w:val="22"/>
        </w:rPr>
      </w:pPr>
      <w:r>
        <w:rPr>
          <w:rFonts w:ascii="Arial" w:hAnsi="Arial" w:cs="Arial"/>
          <w:bCs/>
          <w:iCs/>
          <w:sz w:val="22"/>
          <w:szCs w:val="22"/>
        </w:rPr>
        <w:t xml:space="preserve"> La posible existencia de programas que no se consideran necesarios según su actividad o la necesidad e implantar nuevos programas que actualmente no se prestan. </w:t>
      </w:r>
    </w:p>
    <w:p w:rsidR="009B4233" w:rsidRDefault="009B4233">
      <w:pPr>
        <w:tabs>
          <w:tab w:val="left" w:pos="996"/>
        </w:tabs>
        <w:ind w:left="360"/>
        <w:jc w:val="both"/>
        <w:rPr>
          <w:rFonts w:ascii="Arial" w:hAnsi="Arial" w:cs="Arial"/>
          <w:bCs/>
          <w:iCs/>
          <w:sz w:val="22"/>
          <w:szCs w:val="22"/>
        </w:rPr>
      </w:pPr>
    </w:p>
    <w:p w:rsidR="009B4233" w:rsidRDefault="006B08B9">
      <w:pPr>
        <w:tabs>
          <w:tab w:val="left" w:pos="996"/>
        </w:tabs>
        <w:jc w:val="both"/>
        <w:rPr>
          <w:rFonts w:ascii="Arial" w:hAnsi="Arial" w:cs="Arial"/>
          <w:bCs/>
          <w:iCs/>
          <w:sz w:val="22"/>
          <w:szCs w:val="22"/>
          <w:u w:val="single"/>
        </w:rPr>
      </w:pPr>
      <w:r>
        <w:rPr>
          <w:rFonts w:ascii="Arial" w:hAnsi="Arial" w:cs="Arial"/>
          <w:bCs/>
          <w:iCs/>
          <w:sz w:val="22"/>
          <w:szCs w:val="22"/>
          <w:u w:val="single"/>
        </w:rPr>
        <w:t xml:space="preserve">Con respecto a la economía y eficiencia: </w:t>
      </w:r>
    </w:p>
    <w:p w:rsidR="009B4233" w:rsidRDefault="009B4233">
      <w:pPr>
        <w:tabs>
          <w:tab w:val="left" w:pos="996"/>
        </w:tabs>
        <w:jc w:val="both"/>
        <w:rPr>
          <w:rFonts w:ascii="Arial" w:hAnsi="Arial" w:cs="Arial"/>
          <w:bCs/>
          <w:iCs/>
          <w:sz w:val="22"/>
          <w:szCs w:val="22"/>
          <w:u w:val="single"/>
        </w:rPr>
      </w:pPr>
    </w:p>
    <w:p w:rsidR="009B4233" w:rsidRDefault="006B08B9">
      <w:pPr>
        <w:numPr>
          <w:ilvl w:val="0"/>
          <w:numId w:val="24"/>
        </w:numPr>
        <w:tabs>
          <w:tab w:val="left" w:pos="-444"/>
        </w:tabs>
        <w:jc w:val="both"/>
        <w:textAlignment w:val="auto"/>
        <w:rPr>
          <w:rFonts w:ascii="Arial" w:hAnsi="Arial" w:cs="Arial"/>
          <w:bCs/>
          <w:iCs/>
          <w:sz w:val="22"/>
          <w:szCs w:val="22"/>
        </w:rPr>
      </w:pPr>
      <w:r>
        <w:rPr>
          <w:rFonts w:ascii="Arial" w:hAnsi="Arial" w:cs="Arial"/>
          <w:bCs/>
          <w:iCs/>
          <w:sz w:val="22"/>
          <w:szCs w:val="22"/>
        </w:rPr>
        <w:t xml:space="preserve"> Analizar si los gastos de personal y medios materiales son adecuados a la estructura de la empresa. </w:t>
      </w:r>
    </w:p>
    <w:p w:rsidR="009B4233" w:rsidRDefault="006B08B9">
      <w:pPr>
        <w:numPr>
          <w:ilvl w:val="0"/>
          <w:numId w:val="24"/>
        </w:numPr>
        <w:tabs>
          <w:tab w:val="left" w:pos="-444"/>
        </w:tabs>
        <w:jc w:val="both"/>
        <w:textAlignment w:val="auto"/>
        <w:rPr>
          <w:rFonts w:ascii="Arial" w:hAnsi="Arial" w:cs="Arial"/>
          <w:bCs/>
          <w:iCs/>
          <w:sz w:val="22"/>
          <w:szCs w:val="22"/>
        </w:rPr>
      </w:pPr>
      <w:r>
        <w:rPr>
          <w:rFonts w:ascii="Arial" w:hAnsi="Arial" w:cs="Arial"/>
          <w:bCs/>
          <w:iCs/>
          <w:sz w:val="22"/>
          <w:szCs w:val="22"/>
        </w:rPr>
        <w:t xml:space="preserve">Analizar si los gastos de personal y medios materiales son adecuados al nivel de la actividad de la empresa y </w:t>
      </w:r>
      <w:r>
        <w:rPr>
          <w:rFonts w:ascii="Arial" w:hAnsi="Arial" w:cs="Arial"/>
          <w:bCs/>
          <w:iCs/>
          <w:sz w:val="22"/>
          <w:szCs w:val="22"/>
        </w:rPr>
        <w:t xml:space="preserve">comparable con otras entidades similares. </w:t>
      </w:r>
    </w:p>
    <w:p w:rsidR="009B4233" w:rsidRDefault="009B4233">
      <w:pPr>
        <w:tabs>
          <w:tab w:val="left" w:pos="996"/>
        </w:tabs>
        <w:jc w:val="both"/>
        <w:rPr>
          <w:rFonts w:ascii="Arial" w:hAnsi="Arial" w:cs="Arial"/>
          <w:bCs/>
          <w:iCs/>
          <w:sz w:val="22"/>
          <w:szCs w:val="22"/>
          <w:u w:val="single"/>
        </w:rPr>
      </w:pPr>
    </w:p>
    <w:p w:rsidR="009B4233" w:rsidRDefault="006B08B9">
      <w:pPr>
        <w:tabs>
          <w:tab w:val="left" w:pos="996"/>
        </w:tabs>
        <w:jc w:val="both"/>
      </w:pPr>
      <w:r>
        <w:rPr>
          <w:rFonts w:ascii="Arial" w:hAnsi="Arial" w:cs="Arial"/>
          <w:bCs/>
          <w:iCs/>
          <w:sz w:val="22"/>
          <w:szCs w:val="22"/>
          <w:u w:val="single"/>
        </w:rPr>
        <w:t>Con respecto a los sistemas y procedimientos:</w:t>
      </w:r>
      <w:r>
        <w:rPr>
          <w:rFonts w:ascii="Arial" w:hAnsi="Arial" w:cs="Arial"/>
          <w:bCs/>
          <w:iCs/>
          <w:sz w:val="22"/>
          <w:szCs w:val="22"/>
        </w:rPr>
        <w:t xml:space="preserve"> </w:t>
      </w:r>
    </w:p>
    <w:p w:rsidR="009B4233" w:rsidRDefault="009B4233">
      <w:pPr>
        <w:tabs>
          <w:tab w:val="left" w:pos="996"/>
        </w:tabs>
        <w:jc w:val="both"/>
        <w:rPr>
          <w:rFonts w:ascii="Arial" w:hAnsi="Arial" w:cs="Arial"/>
          <w:bCs/>
          <w:iCs/>
          <w:sz w:val="22"/>
          <w:szCs w:val="22"/>
        </w:rPr>
      </w:pPr>
    </w:p>
    <w:p w:rsidR="009B4233" w:rsidRDefault="006B08B9">
      <w:pPr>
        <w:tabs>
          <w:tab w:val="left" w:pos="996"/>
        </w:tabs>
        <w:jc w:val="both"/>
        <w:rPr>
          <w:rFonts w:ascii="Arial" w:hAnsi="Arial" w:cs="Arial"/>
          <w:bCs/>
          <w:iCs/>
          <w:sz w:val="22"/>
          <w:szCs w:val="22"/>
        </w:rPr>
      </w:pPr>
      <w:r>
        <w:rPr>
          <w:rFonts w:ascii="Arial" w:hAnsi="Arial" w:cs="Arial"/>
          <w:bCs/>
          <w:iCs/>
          <w:sz w:val="22"/>
          <w:szCs w:val="22"/>
        </w:rPr>
        <w:t xml:space="preserve">- Los procedimientos que tengan fijados la empresa se ajustan a los legalmente establecidos. </w:t>
      </w:r>
    </w:p>
    <w:p w:rsidR="009B4233" w:rsidRDefault="006B08B9">
      <w:pPr>
        <w:tabs>
          <w:tab w:val="left" w:pos="996"/>
        </w:tabs>
        <w:jc w:val="both"/>
        <w:rPr>
          <w:rFonts w:ascii="Arial" w:hAnsi="Arial" w:cs="Arial"/>
          <w:bCs/>
          <w:iCs/>
          <w:sz w:val="22"/>
          <w:szCs w:val="22"/>
        </w:rPr>
      </w:pPr>
      <w:r>
        <w:rPr>
          <w:rFonts w:ascii="Arial" w:hAnsi="Arial" w:cs="Arial"/>
          <w:bCs/>
          <w:iCs/>
          <w:sz w:val="22"/>
          <w:szCs w:val="22"/>
        </w:rPr>
        <w:t xml:space="preserve"> - La existencia de un sistema en relación a costes y rendimientos lo </w:t>
      </w:r>
      <w:r>
        <w:rPr>
          <w:rFonts w:ascii="Arial" w:hAnsi="Arial" w:cs="Arial"/>
          <w:bCs/>
          <w:iCs/>
          <w:sz w:val="22"/>
          <w:szCs w:val="22"/>
        </w:rPr>
        <w:t xml:space="preserve">suficientemente detallada, amplia y fiable. </w:t>
      </w:r>
    </w:p>
    <w:p w:rsidR="009B4233" w:rsidRDefault="006B08B9">
      <w:pPr>
        <w:tabs>
          <w:tab w:val="left" w:pos="996"/>
        </w:tabs>
        <w:jc w:val="both"/>
        <w:rPr>
          <w:rFonts w:ascii="Arial" w:hAnsi="Arial" w:cs="Arial"/>
          <w:bCs/>
          <w:iCs/>
          <w:sz w:val="22"/>
          <w:szCs w:val="22"/>
        </w:rPr>
      </w:pPr>
      <w:r>
        <w:rPr>
          <w:rFonts w:ascii="Arial" w:hAnsi="Arial" w:cs="Arial"/>
          <w:bCs/>
          <w:iCs/>
          <w:sz w:val="22"/>
          <w:szCs w:val="22"/>
        </w:rPr>
        <w:t xml:space="preserve"> - La existencia de un sistema de control interno en relación a las actividades relacionadas, así como cuales han sido las actuaciones llevadas a cabo por el mismo y procedimiento de notificación a los órganos s</w:t>
      </w:r>
      <w:r>
        <w:rPr>
          <w:rFonts w:ascii="Arial" w:hAnsi="Arial" w:cs="Arial"/>
          <w:bCs/>
          <w:iCs/>
          <w:sz w:val="22"/>
          <w:szCs w:val="22"/>
        </w:rPr>
        <w:t>uperiores de la entidad de las debilidades o defectos detectadas.</w:t>
      </w:r>
    </w:p>
    <w:p w:rsidR="009B4233" w:rsidRDefault="006B08B9">
      <w:pPr>
        <w:jc w:val="both"/>
        <w:rPr>
          <w:rFonts w:ascii="Arial" w:hAnsi="Arial" w:cs="Arial"/>
          <w:b/>
          <w:bCs/>
          <w:iCs/>
          <w:sz w:val="22"/>
          <w:szCs w:val="22"/>
          <w:lang w:val="ca-ES"/>
        </w:rPr>
      </w:pPr>
      <w:r>
        <w:rPr>
          <w:rFonts w:ascii="Arial" w:hAnsi="Arial" w:cs="Arial"/>
          <w:b/>
          <w:bCs/>
          <w:iCs/>
          <w:sz w:val="22"/>
          <w:szCs w:val="22"/>
          <w:lang w:val="ca-ES"/>
        </w:rPr>
        <w:tab/>
      </w:r>
    </w:p>
    <w:p w:rsidR="009B4233" w:rsidRDefault="006B08B9">
      <w:pPr>
        <w:jc w:val="both"/>
      </w:pPr>
      <w:r>
        <w:rPr>
          <w:rFonts w:ascii="Arial" w:hAnsi="Arial" w:cs="Arial"/>
          <w:b/>
          <w:bCs/>
          <w:iCs/>
          <w:sz w:val="22"/>
          <w:szCs w:val="22"/>
          <w:lang w:val="ca-ES"/>
        </w:rPr>
        <w:t xml:space="preserve">IX.- </w:t>
      </w:r>
      <w:r>
        <w:rPr>
          <w:rFonts w:ascii="Arial" w:hAnsi="Arial" w:cs="Arial"/>
          <w:bCs/>
          <w:iCs/>
          <w:sz w:val="22"/>
          <w:szCs w:val="22"/>
          <w:lang w:val="ca-ES"/>
        </w:rPr>
        <w:t>Se determinan objetivos para las entidades dependientes, con detalle de los indicadores de gestión y de los efectos del incumplimiento de los compromisos acordados, en cumplimiento de</w:t>
      </w:r>
      <w:r>
        <w:rPr>
          <w:rFonts w:ascii="Arial" w:hAnsi="Arial" w:cs="Arial"/>
          <w:bCs/>
          <w:iCs/>
          <w:sz w:val="22"/>
          <w:szCs w:val="22"/>
          <w:lang w:val="ca-ES"/>
        </w:rPr>
        <w:t>l articulo 68 de la Ley 47/2003 de 26 de novembre, General Presupuestaria:</w:t>
      </w:r>
    </w:p>
    <w:p w:rsidR="009B4233" w:rsidRDefault="009B4233">
      <w:pPr>
        <w:jc w:val="both"/>
        <w:rPr>
          <w:rFonts w:ascii="Arial" w:hAnsi="Arial" w:cs="Arial"/>
          <w:bCs/>
          <w:iCs/>
          <w:sz w:val="22"/>
          <w:szCs w:val="22"/>
          <w:lang w:val="ca-ES"/>
        </w:rPr>
      </w:pPr>
    </w:p>
    <w:p w:rsidR="009B4233" w:rsidRDefault="006B08B9">
      <w:pPr>
        <w:jc w:val="both"/>
        <w:rPr>
          <w:rFonts w:ascii="Arial" w:hAnsi="Arial" w:cs="Arial"/>
          <w:b/>
          <w:bCs/>
          <w:i/>
          <w:iCs/>
          <w:sz w:val="22"/>
          <w:szCs w:val="22"/>
          <w:lang w:val="ca-ES"/>
        </w:rPr>
      </w:pPr>
      <w:r>
        <w:rPr>
          <w:rFonts w:ascii="Arial" w:hAnsi="Arial" w:cs="Arial"/>
          <w:b/>
          <w:bCs/>
          <w:i/>
          <w:iCs/>
          <w:sz w:val="22"/>
          <w:szCs w:val="22"/>
          <w:lang w:val="ca-ES"/>
        </w:rPr>
        <w:t>1.- Entidad Pública Empresarial:</w:t>
      </w:r>
    </w:p>
    <w:p w:rsidR="009B4233" w:rsidRDefault="009B4233">
      <w:pPr>
        <w:jc w:val="both"/>
        <w:rPr>
          <w:rFonts w:ascii="Arial" w:hAnsi="Arial" w:cs="Arial"/>
          <w:bCs/>
          <w:iCs/>
          <w:sz w:val="22"/>
          <w:szCs w:val="22"/>
          <w:lang w:val="ca-ES"/>
        </w:rPr>
      </w:pPr>
    </w:p>
    <w:tbl>
      <w:tblPr>
        <w:tblW w:w="8564" w:type="dxa"/>
        <w:tblCellMar>
          <w:left w:w="10" w:type="dxa"/>
          <w:right w:w="10" w:type="dxa"/>
        </w:tblCellMar>
        <w:tblLook w:val="0000" w:firstRow="0" w:lastRow="0" w:firstColumn="0" w:lastColumn="0" w:noHBand="0" w:noVBand="0"/>
      </w:tblPr>
      <w:tblGrid>
        <w:gridCol w:w="2846"/>
        <w:gridCol w:w="2852"/>
        <w:gridCol w:w="2866"/>
      </w:tblGrid>
      <w:tr w:rsidR="009B4233">
        <w:tblPrEx>
          <w:tblCellMar>
            <w:top w:w="0" w:type="dxa"/>
            <w:bottom w:w="0" w:type="dxa"/>
          </w:tblCellMar>
        </w:tblPrEx>
        <w:tc>
          <w:tcPr>
            <w:tcW w:w="28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jc w:val="both"/>
              <w:rPr>
                <w:rFonts w:ascii="Arial" w:hAnsi="Arial" w:cs="Arial"/>
                <w:b/>
                <w:bCs/>
                <w:iCs/>
                <w:sz w:val="22"/>
                <w:szCs w:val="22"/>
                <w:lang w:val="ca-ES"/>
              </w:rPr>
            </w:pPr>
            <w:r>
              <w:rPr>
                <w:rFonts w:ascii="Arial" w:hAnsi="Arial" w:cs="Arial"/>
                <w:b/>
                <w:bCs/>
                <w:iCs/>
                <w:sz w:val="22"/>
                <w:szCs w:val="22"/>
                <w:lang w:val="ca-ES"/>
              </w:rPr>
              <w:t>OBJETIVOS</w:t>
            </w:r>
          </w:p>
        </w:tc>
        <w:tc>
          <w:tcPr>
            <w:tcW w:w="2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jc w:val="both"/>
              <w:rPr>
                <w:rFonts w:ascii="Arial" w:hAnsi="Arial" w:cs="Arial"/>
                <w:b/>
                <w:bCs/>
                <w:iCs/>
                <w:sz w:val="22"/>
                <w:szCs w:val="22"/>
                <w:lang w:val="ca-ES"/>
              </w:rPr>
            </w:pPr>
            <w:r>
              <w:rPr>
                <w:rFonts w:ascii="Arial" w:hAnsi="Arial" w:cs="Arial"/>
                <w:b/>
                <w:bCs/>
                <w:iCs/>
                <w:sz w:val="22"/>
                <w:szCs w:val="22"/>
                <w:lang w:val="ca-ES"/>
              </w:rPr>
              <w:t>INDICADORES</w:t>
            </w:r>
          </w:p>
        </w:tc>
        <w:tc>
          <w:tcPr>
            <w:tcW w:w="28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jc w:val="both"/>
              <w:rPr>
                <w:rFonts w:ascii="Arial" w:hAnsi="Arial" w:cs="Arial"/>
                <w:b/>
                <w:bCs/>
                <w:iCs/>
                <w:sz w:val="22"/>
                <w:szCs w:val="22"/>
                <w:lang w:val="ca-ES"/>
              </w:rPr>
            </w:pPr>
            <w:r>
              <w:rPr>
                <w:rFonts w:ascii="Arial" w:hAnsi="Arial" w:cs="Arial"/>
                <w:b/>
                <w:bCs/>
                <w:iCs/>
                <w:sz w:val="22"/>
                <w:szCs w:val="22"/>
                <w:lang w:val="ca-ES"/>
              </w:rPr>
              <w:t>EFECTOS INCUMPLIMIENTOS</w:t>
            </w:r>
          </w:p>
        </w:tc>
      </w:tr>
      <w:tr w:rsidR="009B4233">
        <w:tblPrEx>
          <w:tblCellMar>
            <w:top w:w="0" w:type="dxa"/>
            <w:bottom w:w="0" w:type="dxa"/>
          </w:tblCellMar>
        </w:tblPrEx>
        <w:tc>
          <w:tcPr>
            <w:tcW w:w="28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jc w:val="both"/>
              <w:rPr>
                <w:rFonts w:ascii="Arial" w:hAnsi="Arial" w:cs="Arial"/>
                <w:bCs/>
                <w:iCs/>
                <w:sz w:val="22"/>
                <w:szCs w:val="22"/>
                <w:lang w:val="ca-ES"/>
              </w:rPr>
            </w:pPr>
            <w:r>
              <w:rPr>
                <w:rFonts w:ascii="Arial" w:hAnsi="Arial" w:cs="Arial"/>
                <w:bCs/>
                <w:iCs/>
                <w:sz w:val="22"/>
                <w:szCs w:val="22"/>
                <w:lang w:val="ca-ES"/>
              </w:rPr>
              <w:t>Pago a Proveedores en Plazo</w:t>
            </w:r>
          </w:p>
        </w:tc>
        <w:tc>
          <w:tcPr>
            <w:tcW w:w="2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jc w:val="both"/>
              <w:rPr>
                <w:rFonts w:ascii="Arial" w:hAnsi="Arial" w:cs="Arial"/>
                <w:bCs/>
                <w:iCs/>
                <w:sz w:val="22"/>
                <w:szCs w:val="22"/>
                <w:lang w:val="ca-ES"/>
              </w:rPr>
            </w:pPr>
            <w:r>
              <w:rPr>
                <w:rFonts w:ascii="Arial" w:hAnsi="Arial" w:cs="Arial"/>
                <w:bCs/>
                <w:iCs/>
                <w:sz w:val="22"/>
                <w:szCs w:val="22"/>
                <w:lang w:val="ca-ES"/>
              </w:rPr>
              <w:t>Cumplimiento Periodo Medio de pago anual</w:t>
            </w:r>
          </w:p>
        </w:tc>
        <w:tc>
          <w:tcPr>
            <w:tcW w:w="28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jc w:val="both"/>
              <w:rPr>
                <w:rFonts w:ascii="Arial" w:hAnsi="Arial" w:cs="Arial"/>
                <w:bCs/>
                <w:iCs/>
                <w:sz w:val="22"/>
                <w:szCs w:val="22"/>
                <w:lang w:val="ca-ES"/>
              </w:rPr>
            </w:pPr>
            <w:r>
              <w:rPr>
                <w:rFonts w:ascii="Arial" w:hAnsi="Arial" w:cs="Arial"/>
                <w:bCs/>
                <w:iCs/>
                <w:sz w:val="22"/>
                <w:szCs w:val="22"/>
                <w:lang w:val="ca-ES"/>
              </w:rPr>
              <w:t xml:space="preserve"> 1 % Aportación Municipal</w:t>
            </w:r>
          </w:p>
        </w:tc>
      </w:tr>
      <w:tr w:rsidR="009B4233">
        <w:tblPrEx>
          <w:tblCellMar>
            <w:top w:w="0" w:type="dxa"/>
            <w:bottom w:w="0" w:type="dxa"/>
          </w:tblCellMar>
        </w:tblPrEx>
        <w:tc>
          <w:tcPr>
            <w:tcW w:w="28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jc w:val="both"/>
              <w:rPr>
                <w:rFonts w:ascii="Arial" w:hAnsi="Arial" w:cs="Arial"/>
                <w:bCs/>
                <w:iCs/>
                <w:sz w:val="22"/>
                <w:szCs w:val="22"/>
                <w:lang w:val="ca-ES"/>
              </w:rPr>
            </w:pPr>
            <w:r>
              <w:rPr>
                <w:rFonts w:ascii="Arial" w:hAnsi="Arial" w:cs="Arial"/>
                <w:bCs/>
                <w:iCs/>
                <w:sz w:val="22"/>
                <w:szCs w:val="22"/>
                <w:lang w:val="ca-ES"/>
              </w:rPr>
              <w:t>Costes de Personal</w:t>
            </w:r>
          </w:p>
        </w:tc>
        <w:tc>
          <w:tcPr>
            <w:tcW w:w="2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jc w:val="both"/>
              <w:rPr>
                <w:rFonts w:ascii="Arial" w:hAnsi="Arial" w:cs="Arial"/>
                <w:bCs/>
                <w:iCs/>
                <w:sz w:val="22"/>
                <w:szCs w:val="22"/>
                <w:lang w:val="ca-ES"/>
              </w:rPr>
            </w:pPr>
            <w:r>
              <w:rPr>
                <w:rFonts w:ascii="Arial" w:hAnsi="Arial" w:cs="Arial"/>
                <w:bCs/>
                <w:iCs/>
                <w:sz w:val="22"/>
                <w:szCs w:val="22"/>
                <w:lang w:val="ca-ES"/>
              </w:rPr>
              <w:t>No superar las Previsiones presupuestadas en Personal</w:t>
            </w:r>
          </w:p>
        </w:tc>
        <w:tc>
          <w:tcPr>
            <w:tcW w:w="28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jc w:val="both"/>
              <w:rPr>
                <w:rFonts w:ascii="Arial" w:hAnsi="Arial" w:cs="Arial"/>
                <w:bCs/>
                <w:iCs/>
                <w:sz w:val="22"/>
                <w:szCs w:val="22"/>
                <w:lang w:val="ca-ES"/>
              </w:rPr>
            </w:pPr>
            <w:r>
              <w:rPr>
                <w:rFonts w:ascii="Arial" w:hAnsi="Arial" w:cs="Arial"/>
                <w:bCs/>
                <w:iCs/>
                <w:sz w:val="22"/>
                <w:szCs w:val="22"/>
                <w:lang w:val="ca-ES"/>
              </w:rPr>
              <w:t xml:space="preserve"> 1 % Aportación Municipal</w:t>
            </w:r>
          </w:p>
        </w:tc>
      </w:tr>
      <w:tr w:rsidR="009B4233">
        <w:tblPrEx>
          <w:tblCellMar>
            <w:top w:w="0" w:type="dxa"/>
            <w:bottom w:w="0" w:type="dxa"/>
          </w:tblCellMar>
        </w:tblPrEx>
        <w:tc>
          <w:tcPr>
            <w:tcW w:w="28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jc w:val="both"/>
              <w:rPr>
                <w:rFonts w:ascii="Arial" w:hAnsi="Arial" w:cs="Arial"/>
                <w:bCs/>
                <w:iCs/>
                <w:sz w:val="22"/>
                <w:szCs w:val="22"/>
                <w:lang w:val="ca-ES"/>
              </w:rPr>
            </w:pPr>
            <w:r>
              <w:rPr>
                <w:rFonts w:ascii="Arial" w:hAnsi="Arial" w:cs="Arial"/>
                <w:bCs/>
                <w:iCs/>
                <w:sz w:val="22"/>
                <w:szCs w:val="22"/>
                <w:lang w:val="ca-ES"/>
              </w:rPr>
              <w:t>Cumplimiento Legislación fiscal, laboral</w:t>
            </w:r>
          </w:p>
        </w:tc>
        <w:tc>
          <w:tcPr>
            <w:tcW w:w="2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jc w:val="both"/>
              <w:rPr>
                <w:rFonts w:ascii="Arial" w:hAnsi="Arial" w:cs="Arial"/>
                <w:bCs/>
                <w:iCs/>
                <w:sz w:val="22"/>
                <w:szCs w:val="22"/>
                <w:lang w:val="ca-ES"/>
              </w:rPr>
            </w:pPr>
            <w:r>
              <w:rPr>
                <w:rFonts w:ascii="Arial" w:hAnsi="Arial" w:cs="Arial"/>
                <w:bCs/>
                <w:iCs/>
                <w:sz w:val="22"/>
                <w:szCs w:val="22"/>
                <w:lang w:val="ca-ES"/>
              </w:rPr>
              <w:t>Presentación en plazo de Modelos de ámbito fiscal y Laboral</w:t>
            </w:r>
          </w:p>
        </w:tc>
        <w:tc>
          <w:tcPr>
            <w:tcW w:w="28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jc w:val="both"/>
              <w:rPr>
                <w:rFonts w:ascii="Arial" w:hAnsi="Arial" w:cs="Arial"/>
                <w:bCs/>
                <w:iCs/>
                <w:sz w:val="22"/>
                <w:szCs w:val="22"/>
                <w:lang w:val="ca-ES"/>
              </w:rPr>
            </w:pPr>
            <w:r>
              <w:rPr>
                <w:rFonts w:ascii="Arial" w:hAnsi="Arial" w:cs="Arial"/>
                <w:bCs/>
                <w:iCs/>
                <w:sz w:val="22"/>
                <w:szCs w:val="22"/>
                <w:lang w:val="ca-ES"/>
              </w:rPr>
              <w:t>1 % Aportación Municipal</w:t>
            </w:r>
          </w:p>
        </w:tc>
      </w:tr>
    </w:tbl>
    <w:p w:rsidR="009B4233" w:rsidRDefault="009B4233">
      <w:pPr>
        <w:jc w:val="both"/>
        <w:rPr>
          <w:rFonts w:ascii="Arial" w:hAnsi="Arial" w:cs="Arial"/>
          <w:bCs/>
          <w:iCs/>
          <w:sz w:val="22"/>
          <w:szCs w:val="22"/>
          <w:lang w:val="ca-ES"/>
        </w:rPr>
      </w:pPr>
    </w:p>
    <w:p w:rsidR="009B4233" w:rsidRDefault="009B4233">
      <w:pPr>
        <w:jc w:val="both"/>
        <w:rPr>
          <w:rFonts w:ascii="Arial" w:hAnsi="Arial" w:cs="Arial"/>
          <w:bCs/>
          <w:iCs/>
          <w:sz w:val="22"/>
          <w:szCs w:val="22"/>
          <w:lang w:val="ca-ES"/>
        </w:rPr>
      </w:pPr>
    </w:p>
    <w:p w:rsidR="009B4233" w:rsidRDefault="009B4233">
      <w:pPr>
        <w:jc w:val="both"/>
        <w:rPr>
          <w:rFonts w:ascii="Arial" w:hAnsi="Arial" w:cs="Arial"/>
          <w:b/>
          <w:bCs/>
          <w:i/>
          <w:iCs/>
          <w:sz w:val="22"/>
          <w:szCs w:val="22"/>
          <w:lang w:val="ca-ES"/>
        </w:rPr>
      </w:pPr>
    </w:p>
    <w:p w:rsidR="009B4233" w:rsidRDefault="009B4233">
      <w:pPr>
        <w:jc w:val="both"/>
        <w:rPr>
          <w:rFonts w:ascii="Arial" w:hAnsi="Arial" w:cs="Arial"/>
          <w:b/>
          <w:bCs/>
          <w:i/>
          <w:iCs/>
          <w:sz w:val="22"/>
          <w:szCs w:val="22"/>
          <w:lang w:val="ca-ES"/>
        </w:rPr>
      </w:pPr>
    </w:p>
    <w:p w:rsidR="009B4233" w:rsidRDefault="009B4233">
      <w:pPr>
        <w:jc w:val="both"/>
        <w:rPr>
          <w:rFonts w:ascii="Arial" w:hAnsi="Arial" w:cs="Arial"/>
          <w:b/>
          <w:bCs/>
          <w:i/>
          <w:iCs/>
          <w:sz w:val="22"/>
          <w:szCs w:val="22"/>
          <w:lang w:val="ca-ES"/>
        </w:rPr>
      </w:pPr>
    </w:p>
    <w:p w:rsidR="009B4233" w:rsidRDefault="006B08B9">
      <w:pPr>
        <w:jc w:val="both"/>
        <w:rPr>
          <w:rFonts w:ascii="Arial" w:hAnsi="Arial" w:cs="Arial"/>
          <w:b/>
          <w:bCs/>
          <w:i/>
          <w:iCs/>
          <w:sz w:val="22"/>
          <w:szCs w:val="22"/>
          <w:lang w:val="ca-ES"/>
        </w:rPr>
      </w:pPr>
      <w:r>
        <w:rPr>
          <w:rFonts w:ascii="Arial" w:hAnsi="Arial" w:cs="Arial"/>
          <w:b/>
          <w:bCs/>
          <w:i/>
          <w:iCs/>
          <w:sz w:val="22"/>
          <w:szCs w:val="22"/>
          <w:lang w:val="ca-ES"/>
        </w:rPr>
        <w:t>2.- Empresa de Inserción</w:t>
      </w:r>
      <w:r>
        <w:rPr>
          <w:rFonts w:ascii="Arial" w:hAnsi="Arial" w:cs="Arial"/>
          <w:b/>
          <w:bCs/>
          <w:i/>
          <w:iCs/>
          <w:sz w:val="22"/>
          <w:szCs w:val="22"/>
          <w:lang w:val="ca-ES"/>
        </w:rPr>
        <w:t xml:space="preserve"> de Viviendas:</w:t>
      </w:r>
    </w:p>
    <w:p w:rsidR="009B4233" w:rsidRDefault="009B4233">
      <w:pPr>
        <w:jc w:val="both"/>
        <w:rPr>
          <w:rFonts w:ascii="Arial" w:hAnsi="Arial" w:cs="Arial"/>
          <w:bCs/>
          <w:iCs/>
          <w:sz w:val="22"/>
          <w:szCs w:val="22"/>
          <w:lang w:val="ca-ES"/>
        </w:rPr>
      </w:pPr>
    </w:p>
    <w:tbl>
      <w:tblPr>
        <w:tblW w:w="8564" w:type="dxa"/>
        <w:tblCellMar>
          <w:left w:w="10" w:type="dxa"/>
          <w:right w:w="10" w:type="dxa"/>
        </w:tblCellMar>
        <w:tblLook w:val="0000" w:firstRow="0" w:lastRow="0" w:firstColumn="0" w:lastColumn="0" w:noHBand="0" w:noVBand="0"/>
      </w:tblPr>
      <w:tblGrid>
        <w:gridCol w:w="2846"/>
        <w:gridCol w:w="2852"/>
        <w:gridCol w:w="2866"/>
      </w:tblGrid>
      <w:tr w:rsidR="009B4233">
        <w:tblPrEx>
          <w:tblCellMar>
            <w:top w:w="0" w:type="dxa"/>
            <w:bottom w:w="0" w:type="dxa"/>
          </w:tblCellMar>
        </w:tblPrEx>
        <w:tc>
          <w:tcPr>
            <w:tcW w:w="28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jc w:val="both"/>
              <w:rPr>
                <w:rFonts w:ascii="Arial" w:hAnsi="Arial" w:cs="Arial"/>
                <w:b/>
                <w:bCs/>
                <w:iCs/>
                <w:sz w:val="22"/>
                <w:szCs w:val="22"/>
                <w:lang w:val="ca-ES"/>
              </w:rPr>
            </w:pPr>
            <w:r>
              <w:rPr>
                <w:rFonts w:ascii="Arial" w:hAnsi="Arial" w:cs="Arial"/>
                <w:b/>
                <w:bCs/>
                <w:iCs/>
                <w:sz w:val="22"/>
                <w:szCs w:val="22"/>
                <w:lang w:val="ca-ES"/>
              </w:rPr>
              <w:t>OBJETIVOS</w:t>
            </w:r>
          </w:p>
        </w:tc>
        <w:tc>
          <w:tcPr>
            <w:tcW w:w="2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jc w:val="both"/>
              <w:rPr>
                <w:rFonts w:ascii="Arial" w:hAnsi="Arial" w:cs="Arial"/>
                <w:b/>
                <w:bCs/>
                <w:iCs/>
                <w:sz w:val="22"/>
                <w:szCs w:val="22"/>
                <w:lang w:val="ca-ES"/>
              </w:rPr>
            </w:pPr>
            <w:r>
              <w:rPr>
                <w:rFonts w:ascii="Arial" w:hAnsi="Arial" w:cs="Arial"/>
                <w:b/>
                <w:bCs/>
                <w:iCs/>
                <w:sz w:val="22"/>
                <w:szCs w:val="22"/>
                <w:lang w:val="ca-ES"/>
              </w:rPr>
              <w:t>INDICADORES</w:t>
            </w:r>
          </w:p>
        </w:tc>
        <w:tc>
          <w:tcPr>
            <w:tcW w:w="28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jc w:val="both"/>
              <w:rPr>
                <w:rFonts w:ascii="Arial" w:hAnsi="Arial" w:cs="Arial"/>
                <w:b/>
                <w:bCs/>
                <w:iCs/>
                <w:sz w:val="22"/>
                <w:szCs w:val="22"/>
                <w:lang w:val="ca-ES"/>
              </w:rPr>
            </w:pPr>
            <w:r>
              <w:rPr>
                <w:rFonts w:ascii="Arial" w:hAnsi="Arial" w:cs="Arial"/>
                <w:b/>
                <w:bCs/>
                <w:iCs/>
                <w:sz w:val="22"/>
                <w:szCs w:val="22"/>
                <w:lang w:val="ca-ES"/>
              </w:rPr>
              <w:t>EFECTOS INCUMPLIMIENTOS</w:t>
            </w:r>
          </w:p>
        </w:tc>
      </w:tr>
      <w:tr w:rsidR="009B4233">
        <w:tblPrEx>
          <w:tblCellMar>
            <w:top w:w="0" w:type="dxa"/>
            <w:bottom w:w="0" w:type="dxa"/>
          </w:tblCellMar>
        </w:tblPrEx>
        <w:tc>
          <w:tcPr>
            <w:tcW w:w="28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jc w:val="both"/>
              <w:rPr>
                <w:rFonts w:ascii="Arial" w:hAnsi="Arial" w:cs="Arial"/>
                <w:bCs/>
                <w:iCs/>
                <w:sz w:val="22"/>
                <w:szCs w:val="22"/>
                <w:lang w:val="ca-ES"/>
              </w:rPr>
            </w:pPr>
            <w:r>
              <w:rPr>
                <w:rFonts w:ascii="Arial" w:hAnsi="Arial" w:cs="Arial"/>
                <w:bCs/>
                <w:iCs/>
                <w:sz w:val="22"/>
                <w:szCs w:val="22"/>
                <w:lang w:val="ca-ES"/>
              </w:rPr>
              <w:t>Pago a Proveedores en Plazo</w:t>
            </w:r>
          </w:p>
        </w:tc>
        <w:tc>
          <w:tcPr>
            <w:tcW w:w="2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jc w:val="both"/>
              <w:rPr>
                <w:rFonts w:ascii="Arial" w:hAnsi="Arial" w:cs="Arial"/>
                <w:bCs/>
                <w:iCs/>
                <w:sz w:val="22"/>
                <w:szCs w:val="22"/>
                <w:lang w:val="ca-ES"/>
              </w:rPr>
            </w:pPr>
            <w:r>
              <w:rPr>
                <w:rFonts w:ascii="Arial" w:hAnsi="Arial" w:cs="Arial"/>
                <w:bCs/>
                <w:iCs/>
                <w:sz w:val="22"/>
                <w:szCs w:val="22"/>
                <w:lang w:val="ca-ES"/>
              </w:rPr>
              <w:t>Cumplimiento Periodo Medio de pago anual</w:t>
            </w:r>
          </w:p>
        </w:tc>
        <w:tc>
          <w:tcPr>
            <w:tcW w:w="28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jc w:val="both"/>
              <w:rPr>
                <w:rFonts w:ascii="Arial" w:hAnsi="Arial" w:cs="Arial"/>
                <w:bCs/>
                <w:iCs/>
                <w:sz w:val="22"/>
                <w:szCs w:val="22"/>
                <w:lang w:val="ca-ES"/>
              </w:rPr>
            </w:pPr>
            <w:r>
              <w:rPr>
                <w:rFonts w:ascii="Arial" w:hAnsi="Arial" w:cs="Arial"/>
                <w:bCs/>
                <w:iCs/>
                <w:sz w:val="22"/>
                <w:szCs w:val="22"/>
                <w:lang w:val="ca-ES"/>
              </w:rPr>
              <w:t xml:space="preserve"> 1 % Aportación Municipal</w:t>
            </w:r>
          </w:p>
        </w:tc>
      </w:tr>
      <w:tr w:rsidR="009B4233">
        <w:tblPrEx>
          <w:tblCellMar>
            <w:top w:w="0" w:type="dxa"/>
            <w:bottom w:w="0" w:type="dxa"/>
          </w:tblCellMar>
        </w:tblPrEx>
        <w:tc>
          <w:tcPr>
            <w:tcW w:w="28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jc w:val="both"/>
              <w:rPr>
                <w:rFonts w:ascii="Arial" w:hAnsi="Arial" w:cs="Arial"/>
                <w:bCs/>
                <w:iCs/>
                <w:sz w:val="22"/>
                <w:szCs w:val="22"/>
                <w:lang w:val="ca-ES"/>
              </w:rPr>
            </w:pPr>
            <w:r>
              <w:rPr>
                <w:rFonts w:ascii="Arial" w:hAnsi="Arial" w:cs="Arial"/>
                <w:bCs/>
                <w:iCs/>
                <w:sz w:val="22"/>
                <w:szCs w:val="22"/>
                <w:lang w:val="ca-ES"/>
              </w:rPr>
              <w:t>Costes de Personal</w:t>
            </w:r>
          </w:p>
        </w:tc>
        <w:tc>
          <w:tcPr>
            <w:tcW w:w="2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jc w:val="both"/>
              <w:rPr>
                <w:rFonts w:ascii="Arial" w:hAnsi="Arial" w:cs="Arial"/>
                <w:bCs/>
                <w:iCs/>
                <w:sz w:val="22"/>
                <w:szCs w:val="22"/>
                <w:lang w:val="ca-ES"/>
              </w:rPr>
            </w:pPr>
            <w:r>
              <w:rPr>
                <w:rFonts w:ascii="Arial" w:hAnsi="Arial" w:cs="Arial"/>
                <w:bCs/>
                <w:iCs/>
                <w:sz w:val="22"/>
                <w:szCs w:val="22"/>
                <w:lang w:val="ca-ES"/>
              </w:rPr>
              <w:t>No superar las Previsiones presupuestadas en Personal</w:t>
            </w:r>
          </w:p>
        </w:tc>
        <w:tc>
          <w:tcPr>
            <w:tcW w:w="28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jc w:val="both"/>
              <w:rPr>
                <w:rFonts w:ascii="Arial" w:hAnsi="Arial" w:cs="Arial"/>
                <w:bCs/>
                <w:iCs/>
                <w:sz w:val="22"/>
                <w:szCs w:val="22"/>
                <w:lang w:val="ca-ES"/>
              </w:rPr>
            </w:pPr>
            <w:r>
              <w:rPr>
                <w:rFonts w:ascii="Arial" w:hAnsi="Arial" w:cs="Arial"/>
                <w:bCs/>
                <w:iCs/>
                <w:sz w:val="22"/>
                <w:szCs w:val="22"/>
                <w:lang w:val="ca-ES"/>
              </w:rPr>
              <w:t xml:space="preserve"> 1 % Aportación </w:t>
            </w:r>
            <w:r>
              <w:rPr>
                <w:rFonts w:ascii="Arial" w:hAnsi="Arial" w:cs="Arial"/>
                <w:bCs/>
                <w:iCs/>
                <w:sz w:val="22"/>
                <w:szCs w:val="22"/>
                <w:lang w:val="ca-ES"/>
              </w:rPr>
              <w:t>Municipal</w:t>
            </w:r>
          </w:p>
        </w:tc>
      </w:tr>
      <w:tr w:rsidR="009B4233">
        <w:tblPrEx>
          <w:tblCellMar>
            <w:top w:w="0" w:type="dxa"/>
            <w:bottom w:w="0" w:type="dxa"/>
          </w:tblCellMar>
        </w:tblPrEx>
        <w:tc>
          <w:tcPr>
            <w:tcW w:w="28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jc w:val="both"/>
              <w:rPr>
                <w:rFonts w:ascii="Arial" w:hAnsi="Arial" w:cs="Arial"/>
                <w:bCs/>
                <w:iCs/>
                <w:sz w:val="22"/>
                <w:szCs w:val="22"/>
                <w:lang w:val="ca-ES"/>
              </w:rPr>
            </w:pPr>
            <w:r>
              <w:rPr>
                <w:rFonts w:ascii="Arial" w:hAnsi="Arial" w:cs="Arial"/>
                <w:bCs/>
                <w:iCs/>
                <w:sz w:val="22"/>
                <w:szCs w:val="22"/>
                <w:lang w:val="ca-ES"/>
              </w:rPr>
              <w:t>Cumplimiento Legislación fiscal, laboral</w:t>
            </w:r>
          </w:p>
        </w:tc>
        <w:tc>
          <w:tcPr>
            <w:tcW w:w="2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jc w:val="both"/>
              <w:rPr>
                <w:rFonts w:ascii="Arial" w:hAnsi="Arial" w:cs="Arial"/>
                <w:bCs/>
                <w:iCs/>
                <w:sz w:val="22"/>
                <w:szCs w:val="22"/>
                <w:lang w:val="ca-ES"/>
              </w:rPr>
            </w:pPr>
            <w:r>
              <w:rPr>
                <w:rFonts w:ascii="Arial" w:hAnsi="Arial" w:cs="Arial"/>
                <w:bCs/>
                <w:iCs/>
                <w:sz w:val="22"/>
                <w:szCs w:val="22"/>
                <w:lang w:val="ca-ES"/>
              </w:rPr>
              <w:t>Presentación en plazo de Modelos de ámbito fiscal y Laboral</w:t>
            </w:r>
          </w:p>
        </w:tc>
        <w:tc>
          <w:tcPr>
            <w:tcW w:w="28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jc w:val="both"/>
              <w:rPr>
                <w:rFonts w:ascii="Arial" w:hAnsi="Arial" w:cs="Arial"/>
                <w:bCs/>
                <w:iCs/>
                <w:sz w:val="22"/>
                <w:szCs w:val="22"/>
                <w:lang w:val="ca-ES"/>
              </w:rPr>
            </w:pPr>
            <w:r>
              <w:rPr>
                <w:rFonts w:ascii="Arial" w:hAnsi="Arial" w:cs="Arial"/>
                <w:bCs/>
                <w:iCs/>
                <w:sz w:val="22"/>
                <w:szCs w:val="22"/>
                <w:lang w:val="ca-ES"/>
              </w:rPr>
              <w:t>1 % Aportación Municipal</w:t>
            </w:r>
          </w:p>
        </w:tc>
      </w:tr>
    </w:tbl>
    <w:p w:rsidR="009B4233" w:rsidRDefault="009B4233">
      <w:pPr>
        <w:jc w:val="both"/>
        <w:rPr>
          <w:rFonts w:ascii="Arial" w:hAnsi="Arial" w:cs="Arial"/>
          <w:bCs/>
          <w:iCs/>
          <w:sz w:val="22"/>
          <w:szCs w:val="22"/>
          <w:lang w:val="ca-ES"/>
        </w:rPr>
      </w:pPr>
    </w:p>
    <w:p w:rsidR="009B4233" w:rsidRDefault="006B08B9">
      <w:pPr>
        <w:jc w:val="both"/>
        <w:rPr>
          <w:rFonts w:ascii="Arial" w:hAnsi="Arial" w:cs="Arial"/>
          <w:b/>
          <w:bCs/>
          <w:i/>
          <w:iCs/>
          <w:sz w:val="22"/>
          <w:szCs w:val="22"/>
          <w:lang w:val="ca-ES"/>
        </w:rPr>
      </w:pPr>
      <w:r>
        <w:rPr>
          <w:rFonts w:ascii="Arial" w:hAnsi="Arial" w:cs="Arial"/>
          <w:b/>
          <w:bCs/>
          <w:i/>
          <w:iCs/>
          <w:sz w:val="22"/>
          <w:szCs w:val="22"/>
          <w:lang w:val="ca-ES"/>
        </w:rPr>
        <w:t>3.- Fundación Candesol:</w:t>
      </w:r>
    </w:p>
    <w:p w:rsidR="009B4233" w:rsidRDefault="009B4233">
      <w:pPr>
        <w:jc w:val="both"/>
        <w:rPr>
          <w:rFonts w:ascii="Arial" w:hAnsi="Arial" w:cs="Arial"/>
          <w:bCs/>
          <w:iCs/>
          <w:sz w:val="22"/>
          <w:szCs w:val="22"/>
          <w:lang w:val="ca-ES"/>
        </w:rPr>
      </w:pPr>
    </w:p>
    <w:tbl>
      <w:tblPr>
        <w:tblW w:w="8564" w:type="dxa"/>
        <w:tblCellMar>
          <w:left w:w="10" w:type="dxa"/>
          <w:right w:w="10" w:type="dxa"/>
        </w:tblCellMar>
        <w:tblLook w:val="0000" w:firstRow="0" w:lastRow="0" w:firstColumn="0" w:lastColumn="0" w:noHBand="0" w:noVBand="0"/>
      </w:tblPr>
      <w:tblGrid>
        <w:gridCol w:w="2846"/>
        <w:gridCol w:w="2852"/>
        <w:gridCol w:w="2866"/>
      </w:tblGrid>
      <w:tr w:rsidR="009B4233">
        <w:tblPrEx>
          <w:tblCellMar>
            <w:top w:w="0" w:type="dxa"/>
            <w:bottom w:w="0" w:type="dxa"/>
          </w:tblCellMar>
        </w:tblPrEx>
        <w:tc>
          <w:tcPr>
            <w:tcW w:w="28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jc w:val="both"/>
              <w:rPr>
                <w:rFonts w:ascii="Arial" w:hAnsi="Arial" w:cs="Arial"/>
                <w:b/>
                <w:bCs/>
                <w:iCs/>
                <w:sz w:val="22"/>
                <w:szCs w:val="22"/>
                <w:lang w:val="ca-ES"/>
              </w:rPr>
            </w:pPr>
            <w:r>
              <w:rPr>
                <w:rFonts w:ascii="Arial" w:hAnsi="Arial" w:cs="Arial"/>
                <w:b/>
                <w:bCs/>
                <w:iCs/>
                <w:sz w:val="22"/>
                <w:szCs w:val="22"/>
                <w:lang w:val="ca-ES"/>
              </w:rPr>
              <w:t>OBJETIVOS</w:t>
            </w:r>
          </w:p>
        </w:tc>
        <w:tc>
          <w:tcPr>
            <w:tcW w:w="2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jc w:val="both"/>
              <w:rPr>
                <w:rFonts w:ascii="Arial" w:hAnsi="Arial" w:cs="Arial"/>
                <w:b/>
                <w:bCs/>
                <w:iCs/>
                <w:sz w:val="22"/>
                <w:szCs w:val="22"/>
                <w:lang w:val="ca-ES"/>
              </w:rPr>
            </w:pPr>
            <w:r>
              <w:rPr>
                <w:rFonts w:ascii="Arial" w:hAnsi="Arial" w:cs="Arial"/>
                <w:b/>
                <w:bCs/>
                <w:iCs/>
                <w:sz w:val="22"/>
                <w:szCs w:val="22"/>
                <w:lang w:val="ca-ES"/>
              </w:rPr>
              <w:t>INDICADORES</w:t>
            </w:r>
          </w:p>
        </w:tc>
        <w:tc>
          <w:tcPr>
            <w:tcW w:w="28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jc w:val="both"/>
              <w:rPr>
                <w:rFonts w:ascii="Arial" w:hAnsi="Arial" w:cs="Arial"/>
                <w:b/>
                <w:bCs/>
                <w:iCs/>
                <w:sz w:val="22"/>
                <w:szCs w:val="22"/>
                <w:lang w:val="ca-ES"/>
              </w:rPr>
            </w:pPr>
            <w:r>
              <w:rPr>
                <w:rFonts w:ascii="Arial" w:hAnsi="Arial" w:cs="Arial"/>
                <w:b/>
                <w:bCs/>
                <w:iCs/>
                <w:sz w:val="22"/>
                <w:szCs w:val="22"/>
                <w:lang w:val="ca-ES"/>
              </w:rPr>
              <w:t>EFECTOS INCUMPLIMIENTOS</w:t>
            </w:r>
          </w:p>
        </w:tc>
      </w:tr>
      <w:tr w:rsidR="009B4233">
        <w:tblPrEx>
          <w:tblCellMar>
            <w:top w:w="0" w:type="dxa"/>
            <w:bottom w:w="0" w:type="dxa"/>
          </w:tblCellMar>
        </w:tblPrEx>
        <w:tc>
          <w:tcPr>
            <w:tcW w:w="28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jc w:val="both"/>
              <w:rPr>
                <w:rFonts w:ascii="Arial" w:hAnsi="Arial" w:cs="Arial"/>
                <w:bCs/>
                <w:iCs/>
                <w:sz w:val="22"/>
                <w:szCs w:val="22"/>
                <w:lang w:val="ca-ES"/>
              </w:rPr>
            </w:pPr>
            <w:r>
              <w:rPr>
                <w:rFonts w:ascii="Arial" w:hAnsi="Arial" w:cs="Arial"/>
                <w:bCs/>
                <w:iCs/>
                <w:sz w:val="22"/>
                <w:szCs w:val="22"/>
                <w:lang w:val="ca-ES"/>
              </w:rPr>
              <w:t>Pago a Proveedores en Plazo</w:t>
            </w:r>
          </w:p>
        </w:tc>
        <w:tc>
          <w:tcPr>
            <w:tcW w:w="2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jc w:val="both"/>
              <w:rPr>
                <w:rFonts w:ascii="Arial" w:hAnsi="Arial" w:cs="Arial"/>
                <w:bCs/>
                <w:iCs/>
                <w:sz w:val="22"/>
                <w:szCs w:val="22"/>
                <w:lang w:val="ca-ES"/>
              </w:rPr>
            </w:pPr>
            <w:r>
              <w:rPr>
                <w:rFonts w:ascii="Arial" w:hAnsi="Arial" w:cs="Arial"/>
                <w:bCs/>
                <w:iCs/>
                <w:sz w:val="22"/>
                <w:szCs w:val="22"/>
                <w:lang w:val="ca-ES"/>
              </w:rPr>
              <w:t xml:space="preserve">Cumplimiento </w:t>
            </w:r>
            <w:r>
              <w:rPr>
                <w:rFonts w:ascii="Arial" w:hAnsi="Arial" w:cs="Arial"/>
                <w:bCs/>
                <w:iCs/>
                <w:sz w:val="22"/>
                <w:szCs w:val="22"/>
                <w:lang w:val="ca-ES"/>
              </w:rPr>
              <w:t>Periodo Medio de pago anual</w:t>
            </w:r>
          </w:p>
        </w:tc>
        <w:tc>
          <w:tcPr>
            <w:tcW w:w="28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jc w:val="both"/>
              <w:rPr>
                <w:rFonts w:ascii="Arial" w:hAnsi="Arial" w:cs="Arial"/>
                <w:bCs/>
                <w:iCs/>
                <w:sz w:val="22"/>
                <w:szCs w:val="22"/>
                <w:lang w:val="ca-ES"/>
              </w:rPr>
            </w:pPr>
            <w:r>
              <w:rPr>
                <w:rFonts w:ascii="Arial" w:hAnsi="Arial" w:cs="Arial"/>
                <w:bCs/>
                <w:iCs/>
                <w:sz w:val="22"/>
                <w:szCs w:val="22"/>
                <w:lang w:val="ca-ES"/>
              </w:rPr>
              <w:t xml:space="preserve"> 1 % Aportación Municipal</w:t>
            </w:r>
          </w:p>
        </w:tc>
      </w:tr>
      <w:tr w:rsidR="009B4233">
        <w:tblPrEx>
          <w:tblCellMar>
            <w:top w:w="0" w:type="dxa"/>
            <w:bottom w:w="0" w:type="dxa"/>
          </w:tblCellMar>
        </w:tblPrEx>
        <w:tc>
          <w:tcPr>
            <w:tcW w:w="28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jc w:val="both"/>
              <w:rPr>
                <w:rFonts w:ascii="Arial" w:hAnsi="Arial" w:cs="Arial"/>
                <w:bCs/>
                <w:iCs/>
                <w:sz w:val="22"/>
                <w:szCs w:val="22"/>
                <w:lang w:val="ca-ES"/>
              </w:rPr>
            </w:pPr>
            <w:r>
              <w:rPr>
                <w:rFonts w:ascii="Arial" w:hAnsi="Arial" w:cs="Arial"/>
                <w:bCs/>
                <w:iCs/>
                <w:sz w:val="22"/>
                <w:szCs w:val="22"/>
                <w:lang w:val="ca-ES"/>
              </w:rPr>
              <w:t>Costes de Personal</w:t>
            </w:r>
          </w:p>
        </w:tc>
        <w:tc>
          <w:tcPr>
            <w:tcW w:w="2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jc w:val="both"/>
              <w:rPr>
                <w:rFonts w:ascii="Arial" w:hAnsi="Arial" w:cs="Arial"/>
                <w:bCs/>
                <w:iCs/>
                <w:sz w:val="22"/>
                <w:szCs w:val="22"/>
                <w:lang w:val="ca-ES"/>
              </w:rPr>
            </w:pPr>
            <w:r>
              <w:rPr>
                <w:rFonts w:ascii="Arial" w:hAnsi="Arial" w:cs="Arial"/>
                <w:bCs/>
                <w:iCs/>
                <w:sz w:val="22"/>
                <w:szCs w:val="22"/>
                <w:lang w:val="ca-ES"/>
              </w:rPr>
              <w:t>No superar las Previsiones presupuestadas en Personal</w:t>
            </w:r>
          </w:p>
        </w:tc>
        <w:tc>
          <w:tcPr>
            <w:tcW w:w="28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jc w:val="both"/>
              <w:rPr>
                <w:rFonts w:ascii="Arial" w:hAnsi="Arial" w:cs="Arial"/>
                <w:bCs/>
                <w:iCs/>
                <w:sz w:val="22"/>
                <w:szCs w:val="22"/>
                <w:lang w:val="ca-ES"/>
              </w:rPr>
            </w:pPr>
            <w:r>
              <w:rPr>
                <w:rFonts w:ascii="Arial" w:hAnsi="Arial" w:cs="Arial"/>
                <w:bCs/>
                <w:iCs/>
                <w:sz w:val="22"/>
                <w:szCs w:val="22"/>
                <w:lang w:val="ca-ES"/>
              </w:rPr>
              <w:t xml:space="preserve"> 1 % Aportación Municipal</w:t>
            </w:r>
          </w:p>
        </w:tc>
      </w:tr>
      <w:tr w:rsidR="009B4233">
        <w:tblPrEx>
          <w:tblCellMar>
            <w:top w:w="0" w:type="dxa"/>
            <w:bottom w:w="0" w:type="dxa"/>
          </w:tblCellMar>
        </w:tblPrEx>
        <w:tc>
          <w:tcPr>
            <w:tcW w:w="28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jc w:val="both"/>
              <w:rPr>
                <w:rFonts w:ascii="Arial" w:hAnsi="Arial" w:cs="Arial"/>
                <w:bCs/>
                <w:iCs/>
                <w:sz w:val="22"/>
                <w:szCs w:val="22"/>
                <w:lang w:val="ca-ES"/>
              </w:rPr>
            </w:pPr>
            <w:r>
              <w:rPr>
                <w:rFonts w:ascii="Arial" w:hAnsi="Arial" w:cs="Arial"/>
                <w:bCs/>
                <w:iCs/>
                <w:sz w:val="22"/>
                <w:szCs w:val="22"/>
                <w:lang w:val="ca-ES"/>
              </w:rPr>
              <w:t>Cumplimiento Legislación fiscal, laboral</w:t>
            </w:r>
          </w:p>
        </w:tc>
        <w:tc>
          <w:tcPr>
            <w:tcW w:w="2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jc w:val="both"/>
              <w:rPr>
                <w:rFonts w:ascii="Arial" w:hAnsi="Arial" w:cs="Arial"/>
                <w:bCs/>
                <w:iCs/>
                <w:sz w:val="22"/>
                <w:szCs w:val="22"/>
                <w:lang w:val="ca-ES"/>
              </w:rPr>
            </w:pPr>
            <w:r>
              <w:rPr>
                <w:rFonts w:ascii="Arial" w:hAnsi="Arial" w:cs="Arial"/>
                <w:bCs/>
                <w:iCs/>
                <w:sz w:val="22"/>
                <w:szCs w:val="22"/>
                <w:lang w:val="ca-ES"/>
              </w:rPr>
              <w:t>Presentación en plazo de Modelos de ámbito fiscal y Laboral</w:t>
            </w:r>
          </w:p>
        </w:tc>
        <w:tc>
          <w:tcPr>
            <w:tcW w:w="28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jc w:val="both"/>
              <w:rPr>
                <w:rFonts w:ascii="Arial" w:hAnsi="Arial" w:cs="Arial"/>
                <w:bCs/>
                <w:iCs/>
                <w:sz w:val="22"/>
                <w:szCs w:val="22"/>
                <w:lang w:val="ca-ES"/>
              </w:rPr>
            </w:pPr>
            <w:r>
              <w:rPr>
                <w:rFonts w:ascii="Arial" w:hAnsi="Arial" w:cs="Arial"/>
                <w:bCs/>
                <w:iCs/>
                <w:sz w:val="22"/>
                <w:szCs w:val="22"/>
                <w:lang w:val="ca-ES"/>
              </w:rPr>
              <w:t>1 % Aportación Municipal</w:t>
            </w:r>
          </w:p>
        </w:tc>
      </w:tr>
    </w:tbl>
    <w:p w:rsidR="009B4233" w:rsidRDefault="009B4233">
      <w:pPr>
        <w:jc w:val="both"/>
        <w:rPr>
          <w:rFonts w:ascii="Arial" w:hAnsi="Arial" w:cs="Arial"/>
          <w:bCs/>
          <w:iCs/>
          <w:sz w:val="22"/>
          <w:szCs w:val="22"/>
          <w:lang w:val="ca-ES"/>
        </w:rPr>
      </w:pPr>
    </w:p>
    <w:p w:rsidR="009B4233" w:rsidRDefault="009B4233">
      <w:pPr>
        <w:jc w:val="both"/>
        <w:rPr>
          <w:rFonts w:ascii="Arial" w:hAnsi="Arial" w:cs="Arial"/>
          <w:bCs/>
          <w:iCs/>
          <w:sz w:val="22"/>
          <w:szCs w:val="22"/>
          <w:lang w:val="ca-ES"/>
        </w:rPr>
      </w:pPr>
    </w:p>
    <w:p w:rsidR="009B4233" w:rsidRDefault="006B08B9">
      <w:pPr>
        <w:jc w:val="both"/>
      </w:pPr>
      <w:r>
        <w:rPr>
          <w:rFonts w:ascii="Arial" w:hAnsi="Arial" w:cs="Arial"/>
          <w:b/>
          <w:bCs/>
          <w:iCs/>
          <w:sz w:val="22"/>
          <w:szCs w:val="22"/>
          <w:shd w:val="clear" w:color="auto" w:fill="FFFFFF"/>
          <w:lang w:val="ca-ES"/>
        </w:rPr>
        <w:t>X.-</w:t>
      </w:r>
      <w:r>
        <w:rPr>
          <w:rFonts w:ascii="Arial" w:hAnsi="Arial" w:cs="Arial"/>
          <w:bCs/>
          <w:iCs/>
          <w:sz w:val="22"/>
          <w:szCs w:val="22"/>
          <w:shd w:val="clear" w:color="auto" w:fill="FFFFFF"/>
          <w:lang w:val="ca-ES"/>
        </w:rPr>
        <w:t xml:space="preserve"> Las aportaciones a las entidades incluidas en el Contrato-Programa, que han sido reflejadas en el Presupuesto General del ejercicio 2025, se distribuye a lo siguientes servicios que se detallan a continuación, una vez </w:t>
      </w:r>
      <w:r>
        <w:rPr>
          <w:rFonts w:ascii="Arial" w:hAnsi="Arial" w:cs="Arial"/>
          <w:bCs/>
          <w:iCs/>
          <w:sz w:val="22"/>
          <w:szCs w:val="22"/>
          <w:shd w:val="clear" w:color="auto" w:fill="FFFFFF"/>
          <w:lang w:val="ca-ES"/>
        </w:rPr>
        <w:t>aprobado y publicado el documento presupuestario para cada ejercicio:</w:t>
      </w:r>
    </w:p>
    <w:p w:rsidR="009B4233" w:rsidRDefault="009B4233">
      <w:pPr>
        <w:jc w:val="both"/>
        <w:rPr>
          <w:rFonts w:ascii="Arial" w:hAnsi="Arial" w:cs="Arial"/>
          <w:bCs/>
          <w:iCs/>
          <w:sz w:val="22"/>
          <w:szCs w:val="22"/>
          <w:shd w:val="clear" w:color="auto" w:fill="FFFFFF"/>
          <w:lang w:val="ca-ES"/>
        </w:rPr>
      </w:pPr>
    </w:p>
    <w:tbl>
      <w:tblPr>
        <w:tblW w:w="5000" w:type="pct"/>
        <w:tblInd w:w="720" w:type="dxa"/>
        <w:tblCellMar>
          <w:left w:w="10" w:type="dxa"/>
          <w:right w:w="10" w:type="dxa"/>
        </w:tblCellMar>
        <w:tblLook w:val="0000" w:firstRow="0" w:lastRow="0" w:firstColumn="0" w:lastColumn="0" w:noHBand="0" w:noVBand="0"/>
      </w:tblPr>
      <w:tblGrid>
        <w:gridCol w:w="6076"/>
        <w:gridCol w:w="2482"/>
      </w:tblGrid>
      <w:tr w:rsidR="009B4233">
        <w:tblPrEx>
          <w:tblCellMar>
            <w:top w:w="0" w:type="dxa"/>
            <w:bottom w:w="0" w:type="dxa"/>
          </w:tblCellMar>
        </w:tblPrEx>
        <w:trPr>
          <w:trHeight w:val="225"/>
        </w:trPr>
        <w:tc>
          <w:tcPr>
            <w:tcW w:w="6076" w:type="dxa"/>
            <w:tcBorders>
              <w:top w:val="outset" w:sz="6" w:space="0" w:color="00000A"/>
              <w:left w:val="outset" w:sz="6" w:space="0" w:color="00000A"/>
              <w:bottom w:val="outset" w:sz="6" w:space="0" w:color="00000A"/>
              <w:right w:val="outset" w:sz="6" w:space="0" w:color="00000A"/>
            </w:tcBorders>
            <w:shd w:val="clear" w:color="auto" w:fill="993366"/>
            <w:tcMar>
              <w:top w:w="75" w:type="dxa"/>
              <w:left w:w="75" w:type="dxa"/>
              <w:bottom w:w="75" w:type="dxa"/>
              <w:right w:w="75" w:type="dxa"/>
            </w:tcMar>
            <w:vAlign w:val="center"/>
          </w:tcPr>
          <w:p w:rsidR="009B4233" w:rsidRDefault="006B08B9">
            <w:pPr>
              <w:spacing w:before="100" w:after="119"/>
              <w:jc w:val="center"/>
            </w:pPr>
            <w:r>
              <w:rPr>
                <w:rFonts w:ascii="Arial" w:eastAsia="Times New Roman" w:hAnsi="Arial" w:cs="Arial"/>
                <w:b/>
                <w:bCs/>
                <w:color w:val="E6E6E6"/>
                <w:sz w:val="22"/>
                <w:szCs w:val="22"/>
              </w:rPr>
              <w:t>SERVICIOS ENCOMENDADOS</w:t>
            </w:r>
          </w:p>
        </w:tc>
        <w:tc>
          <w:tcPr>
            <w:tcW w:w="2482" w:type="dxa"/>
            <w:tcBorders>
              <w:top w:val="outset" w:sz="6" w:space="0" w:color="00000A"/>
              <w:left w:val="outset" w:sz="6" w:space="0" w:color="00000A"/>
              <w:bottom w:val="outset" w:sz="6" w:space="0" w:color="00000A"/>
              <w:right w:val="outset" w:sz="6" w:space="0" w:color="00000A"/>
            </w:tcBorders>
            <w:shd w:val="clear" w:color="auto" w:fill="993366"/>
            <w:tcMar>
              <w:top w:w="75" w:type="dxa"/>
              <w:left w:w="75" w:type="dxa"/>
              <w:bottom w:w="75" w:type="dxa"/>
              <w:right w:w="75" w:type="dxa"/>
            </w:tcMar>
          </w:tcPr>
          <w:p w:rsidR="009B4233" w:rsidRDefault="006B08B9">
            <w:pPr>
              <w:spacing w:before="100" w:after="119"/>
              <w:jc w:val="center"/>
            </w:pPr>
            <w:r>
              <w:rPr>
                <w:rFonts w:ascii="Arial" w:eastAsia="Times New Roman" w:hAnsi="Arial" w:cs="Arial"/>
                <w:b/>
                <w:bCs/>
                <w:color w:val="E6E6E6"/>
                <w:sz w:val="22"/>
                <w:szCs w:val="22"/>
              </w:rPr>
              <w:t>APORTACIÓN ESTIMADA POR SERVICIO 2025</w:t>
            </w:r>
          </w:p>
        </w:tc>
      </w:tr>
      <w:tr w:rsidR="009B4233">
        <w:tblPrEx>
          <w:tblCellMar>
            <w:top w:w="0" w:type="dxa"/>
            <w:bottom w:w="0" w:type="dxa"/>
          </w:tblCellMar>
        </w:tblPrEx>
        <w:tc>
          <w:tcPr>
            <w:tcW w:w="6076" w:type="dxa"/>
            <w:tcBorders>
              <w:top w:val="outset" w:sz="6" w:space="0" w:color="00000A"/>
              <w:left w:val="outset" w:sz="6" w:space="0" w:color="00000A"/>
              <w:bottom w:val="outset" w:sz="6" w:space="0" w:color="00000A"/>
              <w:right w:val="outset" w:sz="6" w:space="0" w:color="00000A"/>
            </w:tcBorders>
            <w:shd w:val="clear" w:color="auto" w:fill="auto"/>
            <w:tcMar>
              <w:top w:w="75" w:type="dxa"/>
              <w:left w:w="75" w:type="dxa"/>
              <w:bottom w:w="75" w:type="dxa"/>
              <w:right w:w="75" w:type="dxa"/>
            </w:tcMar>
          </w:tcPr>
          <w:p w:rsidR="009B4233" w:rsidRDefault="006B08B9">
            <w:pPr>
              <w:spacing w:before="100" w:after="119"/>
              <w:rPr>
                <w:rFonts w:ascii="Arial" w:eastAsia="Times New Roman" w:hAnsi="Arial" w:cs="Arial"/>
                <w:sz w:val="22"/>
                <w:szCs w:val="22"/>
              </w:rPr>
            </w:pPr>
            <w:r>
              <w:rPr>
                <w:rFonts w:ascii="Arial" w:eastAsia="Times New Roman" w:hAnsi="Arial" w:cs="Arial"/>
                <w:sz w:val="22"/>
                <w:szCs w:val="22"/>
              </w:rPr>
              <w:t>SAD</w:t>
            </w:r>
          </w:p>
        </w:tc>
        <w:tc>
          <w:tcPr>
            <w:tcW w:w="2482" w:type="dxa"/>
            <w:tcBorders>
              <w:top w:val="outset" w:sz="6" w:space="0" w:color="00000A"/>
              <w:left w:val="outset" w:sz="6" w:space="0" w:color="00000A"/>
              <w:bottom w:val="outset" w:sz="6" w:space="0" w:color="00000A"/>
              <w:right w:val="outset" w:sz="6" w:space="0" w:color="00000A"/>
            </w:tcBorders>
            <w:shd w:val="clear" w:color="auto" w:fill="auto"/>
            <w:tcMar>
              <w:top w:w="75" w:type="dxa"/>
              <w:left w:w="75" w:type="dxa"/>
              <w:bottom w:w="75" w:type="dxa"/>
              <w:right w:w="75" w:type="dxa"/>
            </w:tcMar>
          </w:tcPr>
          <w:p w:rsidR="009B4233" w:rsidRDefault="006B08B9">
            <w:pPr>
              <w:spacing w:before="100" w:after="119"/>
              <w:jc w:val="center"/>
              <w:rPr>
                <w:rFonts w:ascii="Arial" w:eastAsia="Times New Roman" w:hAnsi="Arial" w:cs="Arial"/>
                <w:sz w:val="22"/>
                <w:szCs w:val="22"/>
              </w:rPr>
            </w:pPr>
            <w:r>
              <w:rPr>
                <w:rFonts w:ascii="Arial" w:eastAsia="Times New Roman" w:hAnsi="Arial" w:cs="Arial"/>
                <w:sz w:val="22"/>
                <w:szCs w:val="22"/>
              </w:rPr>
              <w:t>488.531,49 €</w:t>
            </w:r>
          </w:p>
        </w:tc>
      </w:tr>
      <w:tr w:rsidR="009B4233">
        <w:tblPrEx>
          <w:tblCellMar>
            <w:top w:w="0" w:type="dxa"/>
            <w:bottom w:w="0" w:type="dxa"/>
          </w:tblCellMar>
        </w:tblPrEx>
        <w:tc>
          <w:tcPr>
            <w:tcW w:w="6076" w:type="dxa"/>
            <w:tcBorders>
              <w:top w:val="outset" w:sz="6" w:space="0" w:color="00000A"/>
              <w:left w:val="outset" w:sz="6" w:space="0" w:color="00000A"/>
              <w:bottom w:val="outset" w:sz="6" w:space="0" w:color="00000A"/>
              <w:right w:val="outset" w:sz="6" w:space="0" w:color="00000A"/>
            </w:tcBorders>
            <w:shd w:val="clear" w:color="auto" w:fill="auto"/>
            <w:tcMar>
              <w:top w:w="75" w:type="dxa"/>
              <w:left w:w="75" w:type="dxa"/>
              <w:bottom w:w="75" w:type="dxa"/>
              <w:right w:w="75" w:type="dxa"/>
            </w:tcMar>
          </w:tcPr>
          <w:p w:rsidR="009B4233" w:rsidRDefault="006B08B9">
            <w:pPr>
              <w:spacing w:before="100" w:after="119"/>
              <w:rPr>
                <w:rFonts w:ascii="Arial" w:eastAsia="Times New Roman" w:hAnsi="Arial" w:cs="Arial"/>
                <w:sz w:val="22"/>
                <w:szCs w:val="22"/>
              </w:rPr>
            </w:pPr>
            <w:r>
              <w:rPr>
                <w:rFonts w:ascii="Arial" w:eastAsia="Times New Roman" w:hAnsi="Arial" w:cs="Arial"/>
                <w:sz w:val="22"/>
                <w:szCs w:val="22"/>
              </w:rPr>
              <w:t>LIMPIEZA  Y CONSERJERÍA</w:t>
            </w:r>
          </w:p>
        </w:tc>
        <w:tc>
          <w:tcPr>
            <w:tcW w:w="2482" w:type="dxa"/>
            <w:tcBorders>
              <w:top w:val="outset" w:sz="6" w:space="0" w:color="00000A"/>
              <w:left w:val="outset" w:sz="6" w:space="0" w:color="00000A"/>
              <w:bottom w:val="outset" w:sz="6" w:space="0" w:color="00000A"/>
              <w:right w:val="outset" w:sz="6" w:space="0" w:color="00000A"/>
            </w:tcBorders>
            <w:shd w:val="clear" w:color="auto" w:fill="auto"/>
            <w:tcMar>
              <w:top w:w="75" w:type="dxa"/>
              <w:left w:w="75" w:type="dxa"/>
              <w:bottom w:w="75" w:type="dxa"/>
              <w:right w:w="75" w:type="dxa"/>
            </w:tcMar>
          </w:tcPr>
          <w:p w:rsidR="009B4233" w:rsidRDefault="006B08B9">
            <w:pPr>
              <w:spacing w:before="100" w:after="119"/>
              <w:jc w:val="center"/>
              <w:rPr>
                <w:rFonts w:ascii="Arial" w:eastAsia="Times New Roman" w:hAnsi="Arial" w:cs="Arial"/>
                <w:sz w:val="22"/>
                <w:szCs w:val="22"/>
              </w:rPr>
            </w:pPr>
            <w:r>
              <w:rPr>
                <w:rFonts w:ascii="Arial" w:eastAsia="Times New Roman" w:hAnsi="Arial" w:cs="Arial"/>
                <w:sz w:val="22"/>
                <w:szCs w:val="22"/>
              </w:rPr>
              <w:t>662.045,98 €</w:t>
            </w:r>
          </w:p>
        </w:tc>
      </w:tr>
      <w:tr w:rsidR="009B4233">
        <w:tblPrEx>
          <w:tblCellMar>
            <w:top w:w="0" w:type="dxa"/>
            <w:bottom w:w="0" w:type="dxa"/>
          </w:tblCellMar>
        </w:tblPrEx>
        <w:tc>
          <w:tcPr>
            <w:tcW w:w="6076" w:type="dxa"/>
            <w:tcBorders>
              <w:top w:val="outset" w:sz="6" w:space="0" w:color="00000A"/>
              <w:left w:val="outset" w:sz="6" w:space="0" w:color="00000A"/>
              <w:bottom w:val="outset" w:sz="6" w:space="0" w:color="00000A"/>
              <w:right w:val="outset" w:sz="6" w:space="0" w:color="00000A"/>
            </w:tcBorders>
            <w:shd w:val="clear" w:color="auto" w:fill="auto"/>
            <w:tcMar>
              <w:top w:w="75" w:type="dxa"/>
              <w:left w:w="75" w:type="dxa"/>
              <w:bottom w:w="75" w:type="dxa"/>
              <w:right w:w="75" w:type="dxa"/>
            </w:tcMar>
          </w:tcPr>
          <w:p w:rsidR="009B4233" w:rsidRDefault="006B08B9">
            <w:pPr>
              <w:spacing w:before="100" w:after="119"/>
              <w:rPr>
                <w:rFonts w:ascii="Arial" w:eastAsia="Times New Roman" w:hAnsi="Arial" w:cs="Arial"/>
                <w:sz w:val="22"/>
                <w:szCs w:val="22"/>
              </w:rPr>
            </w:pPr>
            <w:r>
              <w:rPr>
                <w:rFonts w:ascii="Arial" w:eastAsia="Times New Roman" w:hAnsi="Arial" w:cs="Arial"/>
                <w:sz w:val="22"/>
                <w:szCs w:val="22"/>
              </w:rPr>
              <w:t>CENTRO ALFARERO</w:t>
            </w:r>
          </w:p>
        </w:tc>
        <w:tc>
          <w:tcPr>
            <w:tcW w:w="2482" w:type="dxa"/>
            <w:tcBorders>
              <w:top w:val="outset" w:sz="6" w:space="0" w:color="00000A"/>
              <w:left w:val="outset" w:sz="6" w:space="0" w:color="00000A"/>
              <w:bottom w:val="outset" w:sz="6" w:space="0" w:color="00000A"/>
              <w:right w:val="outset" w:sz="6" w:space="0" w:color="00000A"/>
            </w:tcBorders>
            <w:shd w:val="clear" w:color="auto" w:fill="auto"/>
            <w:tcMar>
              <w:top w:w="75" w:type="dxa"/>
              <w:left w:w="75" w:type="dxa"/>
              <w:bottom w:w="75" w:type="dxa"/>
              <w:right w:w="75" w:type="dxa"/>
            </w:tcMar>
          </w:tcPr>
          <w:p w:rsidR="009B4233" w:rsidRDefault="006B08B9">
            <w:pPr>
              <w:spacing w:before="100" w:after="119"/>
              <w:jc w:val="center"/>
              <w:rPr>
                <w:rFonts w:ascii="Arial" w:eastAsia="Times New Roman" w:hAnsi="Arial" w:cs="Arial"/>
                <w:sz w:val="22"/>
                <w:szCs w:val="22"/>
              </w:rPr>
            </w:pPr>
            <w:r>
              <w:rPr>
                <w:rFonts w:ascii="Arial" w:eastAsia="Times New Roman" w:hAnsi="Arial" w:cs="Arial"/>
                <w:sz w:val="22"/>
                <w:szCs w:val="22"/>
              </w:rPr>
              <w:t>31.460,00 €</w:t>
            </w:r>
          </w:p>
        </w:tc>
      </w:tr>
      <w:tr w:rsidR="009B4233">
        <w:tblPrEx>
          <w:tblCellMar>
            <w:top w:w="0" w:type="dxa"/>
            <w:bottom w:w="0" w:type="dxa"/>
          </w:tblCellMar>
        </w:tblPrEx>
        <w:tc>
          <w:tcPr>
            <w:tcW w:w="6076" w:type="dxa"/>
            <w:tcBorders>
              <w:top w:val="outset" w:sz="6" w:space="0" w:color="00000A"/>
              <w:left w:val="outset" w:sz="6" w:space="0" w:color="00000A"/>
              <w:bottom w:val="outset" w:sz="6" w:space="0" w:color="00000A"/>
              <w:right w:val="outset" w:sz="6" w:space="0" w:color="00000A"/>
            </w:tcBorders>
            <w:shd w:val="clear" w:color="auto" w:fill="auto"/>
            <w:tcMar>
              <w:top w:w="75" w:type="dxa"/>
              <w:left w:w="75" w:type="dxa"/>
              <w:bottom w:w="75" w:type="dxa"/>
              <w:right w:w="75" w:type="dxa"/>
            </w:tcMar>
          </w:tcPr>
          <w:p w:rsidR="009B4233" w:rsidRDefault="006B08B9">
            <w:pPr>
              <w:spacing w:before="100" w:after="119"/>
              <w:rPr>
                <w:rFonts w:ascii="Arial" w:eastAsia="Times New Roman" w:hAnsi="Arial" w:cs="Arial"/>
                <w:sz w:val="22"/>
                <w:szCs w:val="22"/>
              </w:rPr>
            </w:pPr>
            <w:r>
              <w:rPr>
                <w:rFonts w:ascii="Arial" w:eastAsia="Times New Roman" w:hAnsi="Arial" w:cs="Arial"/>
                <w:sz w:val="22"/>
                <w:szCs w:val="22"/>
              </w:rPr>
              <w:t>RADIO MUNICIPAL</w:t>
            </w:r>
          </w:p>
        </w:tc>
        <w:tc>
          <w:tcPr>
            <w:tcW w:w="2482" w:type="dxa"/>
            <w:tcBorders>
              <w:top w:val="outset" w:sz="6" w:space="0" w:color="00000A"/>
              <w:left w:val="outset" w:sz="6" w:space="0" w:color="00000A"/>
              <w:bottom w:val="outset" w:sz="6" w:space="0" w:color="00000A"/>
              <w:right w:val="outset" w:sz="6" w:space="0" w:color="00000A"/>
            </w:tcBorders>
            <w:shd w:val="clear" w:color="auto" w:fill="auto"/>
            <w:tcMar>
              <w:top w:w="75" w:type="dxa"/>
              <w:left w:w="75" w:type="dxa"/>
              <w:bottom w:w="75" w:type="dxa"/>
              <w:right w:w="75" w:type="dxa"/>
            </w:tcMar>
          </w:tcPr>
          <w:p w:rsidR="009B4233" w:rsidRDefault="006B08B9">
            <w:pPr>
              <w:spacing w:before="100" w:after="119"/>
              <w:jc w:val="center"/>
              <w:rPr>
                <w:rFonts w:ascii="Arial" w:eastAsia="Times New Roman" w:hAnsi="Arial" w:cs="Arial"/>
                <w:sz w:val="22"/>
                <w:szCs w:val="22"/>
              </w:rPr>
            </w:pPr>
            <w:r>
              <w:rPr>
                <w:rFonts w:ascii="Arial" w:eastAsia="Times New Roman" w:hAnsi="Arial" w:cs="Arial"/>
                <w:sz w:val="22"/>
                <w:szCs w:val="22"/>
              </w:rPr>
              <w:t>140.928,67 €</w:t>
            </w:r>
          </w:p>
        </w:tc>
      </w:tr>
      <w:tr w:rsidR="009B4233">
        <w:tblPrEx>
          <w:tblCellMar>
            <w:top w:w="0" w:type="dxa"/>
            <w:bottom w:w="0" w:type="dxa"/>
          </w:tblCellMar>
        </w:tblPrEx>
        <w:tc>
          <w:tcPr>
            <w:tcW w:w="6076" w:type="dxa"/>
            <w:tcBorders>
              <w:top w:val="outset" w:sz="6" w:space="0" w:color="00000A"/>
              <w:left w:val="outset" w:sz="6" w:space="0" w:color="00000A"/>
              <w:bottom w:val="outset" w:sz="6" w:space="0" w:color="00000A"/>
              <w:right w:val="outset" w:sz="6" w:space="0" w:color="00000A"/>
            </w:tcBorders>
            <w:shd w:val="clear" w:color="auto" w:fill="auto"/>
            <w:tcMar>
              <w:top w:w="75" w:type="dxa"/>
              <w:left w:w="75" w:type="dxa"/>
              <w:bottom w:w="75" w:type="dxa"/>
              <w:right w:w="75" w:type="dxa"/>
            </w:tcMar>
          </w:tcPr>
          <w:p w:rsidR="009B4233" w:rsidRDefault="006B08B9">
            <w:pPr>
              <w:spacing w:before="100" w:after="119"/>
              <w:rPr>
                <w:rFonts w:ascii="Arial" w:eastAsia="Times New Roman" w:hAnsi="Arial" w:cs="Arial"/>
                <w:sz w:val="22"/>
                <w:szCs w:val="22"/>
              </w:rPr>
            </w:pPr>
            <w:r>
              <w:rPr>
                <w:rFonts w:ascii="Arial" w:eastAsia="Times New Roman" w:hAnsi="Arial" w:cs="Arial"/>
                <w:sz w:val="22"/>
                <w:szCs w:val="22"/>
              </w:rPr>
              <w:t xml:space="preserve">GESTIÓN </w:t>
            </w:r>
            <w:r>
              <w:rPr>
                <w:rFonts w:ascii="Arial" w:eastAsia="Times New Roman" w:hAnsi="Arial" w:cs="Arial"/>
                <w:sz w:val="22"/>
                <w:szCs w:val="22"/>
              </w:rPr>
              <w:t>ESCUELAS DEPORTIVAS</w:t>
            </w:r>
          </w:p>
        </w:tc>
        <w:tc>
          <w:tcPr>
            <w:tcW w:w="2482" w:type="dxa"/>
            <w:tcBorders>
              <w:top w:val="outset" w:sz="6" w:space="0" w:color="00000A"/>
              <w:left w:val="outset" w:sz="6" w:space="0" w:color="00000A"/>
              <w:bottom w:val="outset" w:sz="6" w:space="0" w:color="00000A"/>
              <w:right w:val="outset" w:sz="6" w:space="0" w:color="00000A"/>
            </w:tcBorders>
            <w:shd w:val="clear" w:color="auto" w:fill="auto"/>
            <w:tcMar>
              <w:top w:w="75" w:type="dxa"/>
              <w:left w:w="75" w:type="dxa"/>
              <w:bottom w:w="75" w:type="dxa"/>
              <w:right w:w="75" w:type="dxa"/>
            </w:tcMar>
          </w:tcPr>
          <w:p w:rsidR="009B4233" w:rsidRDefault="006B08B9">
            <w:pPr>
              <w:spacing w:before="100" w:after="119"/>
              <w:jc w:val="center"/>
              <w:rPr>
                <w:rFonts w:ascii="Arial" w:eastAsia="Times New Roman" w:hAnsi="Arial" w:cs="Arial"/>
                <w:sz w:val="22"/>
                <w:szCs w:val="22"/>
              </w:rPr>
            </w:pPr>
            <w:r>
              <w:rPr>
                <w:rFonts w:ascii="Arial" w:eastAsia="Times New Roman" w:hAnsi="Arial" w:cs="Arial"/>
                <w:sz w:val="22"/>
                <w:szCs w:val="22"/>
              </w:rPr>
              <w:t>35.408,20 €</w:t>
            </w:r>
          </w:p>
        </w:tc>
      </w:tr>
      <w:tr w:rsidR="009B4233">
        <w:tblPrEx>
          <w:tblCellMar>
            <w:top w:w="0" w:type="dxa"/>
            <w:bottom w:w="0" w:type="dxa"/>
          </w:tblCellMar>
        </w:tblPrEx>
        <w:tc>
          <w:tcPr>
            <w:tcW w:w="6076" w:type="dxa"/>
            <w:tcBorders>
              <w:top w:val="outset" w:sz="6" w:space="0" w:color="00000A"/>
              <w:left w:val="outset" w:sz="6" w:space="0" w:color="00000A"/>
              <w:bottom w:val="outset" w:sz="6" w:space="0" w:color="00000A"/>
              <w:right w:val="outset" w:sz="6" w:space="0" w:color="00000A"/>
            </w:tcBorders>
            <w:shd w:val="clear" w:color="auto" w:fill="auto"/>
            <w:tcMar>
              <w:top w:w="75" w:type="dxa"/>
              <w:left w:w="75" w:type="dxa"/>
              <w:bottom w:w="75" w:type="dxa"/>
              <w:right w:w="75" w:type="dxa"/>
            </w:tcMar>
          </w:tcPr>
          <w:p w:rsidR="009B4233" w:rsidRDefault="006B08B9">
            <w:pPr>
              <w:spacing w:before="100" w:after="119"/>
              <w:rPr>
                <w:rFonts w:ascii="Arial" w:eastAsia="Times New Roman" w:hAnsi="Arial" w:cs="Arial"/>
                <w:sz w:val="22"/>
                <w:szCs w:val="22"/>
              </w:rPr>
            </w:pPr>
            <w:r>
              <w:rPr>
                <w:rFonts w:ascii="Arial" w:eastAsia="Times New Roman" w:hAnsi="Arial" w:cs="Arial"/>
                <w:sz w:val="22"/>
                <w:szCs w:val="22"/>
              </w:rPr>
              <w:t>ESCUELA INFANTIL</w:t>
            </w:r>
          </w:p>
        </w:tc>
        <w:tc>
          <w:tcPr>
            <w:tcW w:w="2482" w:type="dxa"/>
            <w:tcBorders>
              <w:top w:val="outset" w:sz="6" w:space="0" w:color="00000A"/>
              <w:left w:val="outset" w:sz="6" w:space="0" w:color="00000A"/>
              <w:bottom w:val="outset" w:sz="6" w:space="0" w:color="00000A"/>
              <w:right w:val="outset" w:sz="6" w:space="0" w:color="00000A"/>
            </w:tcBorders>
            <w:shd w:val="clear" w:color="auto" w:fill="auto"/>
            <w:tcMar>
              <w:top w:w="75" w:type="dxa"/>
              <w:left w:w="75" w:type="dxa"/>
              <w:bottom w:w="75" w:type="dxa"/>
              <w:right w:w="75" w:type="dxa"/>
            </w:tcMar>
          </w:tcPr>
          <w:p w:rsidR="009B4233" w:rsidRDefault="006B08B9">
            <w:pPr>
              <w:spacing w:before="100" w:after="119"/>
              <w:jc w:val="center"/>
              <w:rPr>
                <w:rFonts w:ascii="Arial" w:eastAsia="Times New Roman" w:hAnsi="Arial" w:cs="Arial"/>
                <w:sz w:val="22"/>
                <w:szCs w:val="22"/>
              </w:rPr>
            </w:pPr>
            <w:r>
              <w:rPr>
                <w:rFonts w:ascii="Arial" w:eastAsia="Times New Roman" w:hAnsi="Arial" w:cs="Arial"/>
                <w:sz w:val="22"/>
                <w:szCs w:val="22"/>
              </w:rPr>
              <w:t>95.618,50 €</w:t>
            </w:r>
          </w:p>
        </w:tc>
      </w:tr>
      <w:tr w:rsidR="009B4233">
        <w:tblPrEx>
          <w:tblCellMar>
            <w:top w:w="0" w:type="dxa"/>
            <w:bottom w:w="0" w:type="dxa"/>
          </w:tblCellMar>
        </w:tblPrEx>
        <w:tc>
          <w:tcPr>
            <w:tcW w:w="6076" w:type="dxa"/>
            <w:tcBorders>
              <w:top w:val="outset" w:sz="6" w:space="0" w:color="00000A"/>
              <w:left w:val="outset" w:sz="6" w:space="0" w:color="00000A"/>
              <w:bottom w:val="outset" w:sz="6" w:space="0" w:color="00000A"/>
              <w:right w:val="outset" w:sz="6" w:space="0" w:color="00000A"/>
            </w:tcBorders>
            <w:shd w:val="clear" w:color="auto" w:fill="auto"/>
            <w:tcMar>
              <w:top w:w="75" w:type="dxa"/>
              <w:left w:w="75" w:type="dxa"/>
              <w:bottom w:w="75" w:type="dxa"/>
              <w:right w:w="75" w:type="dxa"/>
            </w:tcMar>
          </w:tcPr>
          <w:p w:rsidR="009B4233" w:rsidRDefault="006B08B9">
            <w:pPr>
              <w:spacing w:before="100" w:after="119"/>
              <w:rPr>
                <w:rFonts w:ascii="Arial" w:eastAsia="Times New Roman" w:hAnsi="Arial" w:cs="Arial"/>
                <w:sz w:val="22"/>
                <w:szCs w:val="22"/>
              </w:rPr>
            </w:pPr>
            <w:r>
              <w:rPr>
                <w:rFonts w:ascii="Arial" w:eastAsia="Times New Roman" w:hAnsi="Arial" w:cs="Arial"/>
                <w:sz w:val="22"/>
                <w:szCs w:val="22"/>
              </w:rPr>
              <w:t>PLAN DE ACCIÓN</w:t>
            </w:r>
          </w:p>
        </w:tc>
        <w:tc>
          <w:tcPr>
            <w:tcW w:w="2482" w:type="dxa"/>
            <w:tcBorders>
              <w:top w:val="outset" w:sz="6" w:space="0" w:color="00000A"/>
              <w:left w:val="outset" w:sz="6" w:space="0" w:color="00000A"/>
              <w:bottom w:val="outset" w:sz="6" w:space="0" w:color="00000A"/>
              <w:right w:val="outset" w:sz="6" w:space="0" w:color="00000A"/>
            </w:tcBorders>
            <w:shd w:val="clear" w:color="auto" w:fill="auto"/>
            <w:tcMar>
              <w:top w:w="75" w:type="dxa"/>
              <w:left w:w="75" w:type="dxa"/>
              <w:bottom w:w="75" w:type="dxa"/>
              <w:right w:w="75" w:type="dxa"/>
            </w:tcMar>
          </w:tcPr>
          <w:p w:rsidR="009B4233" w:rsidRDefault="006B08B9">
            <w:pPr>
              <w:spacing w:before="100" w:after="119"/>
              <w:jc w:val="center"/>
              <w:rPr>
                <w:rFonts w:ascii="Arial" w:eastAsia="Times New Roman" w:hAnsi="Arial" w:cs="Arial"/>
                <w:sz w:val="22"/>
                <w:szCs w:val="22"/>
              </w:rPr>
            </w:pPr>
            <w:r>
              <w:rPr>
                <w:rFonts w:ascii="Arial" w:eastAsia="Times New Roman" w:hAnsi="Arial" w:cs="Arial"/>
                <w:sz w:val="22"/>
                <w:szCs w:val="22"/>
              </w:rPr>
              <w:t>143.750,00 €</w:t>
            </w:r>
          </w:p>
        </w:tc>
      </w:tr>
      <w:tr w:rsidR="009B4233">
        <w:tblPrEx>
          <w:tblCellMar>
            <w:top w:w="0" w:type="dxa"/>
            <w:bottom w:w="0" w:type="dxa"/>
          </w:tblCellMar>
        </w:tblPrEx>
        <w:tc>
          <w:tcPr>
            <w:tcW w:w="6076" w:type="dxa"/>
            <w:tcBorders>
              <w:top w:val="outset" w:sz="6" w:space="0" w:color="00000A"/>
              <w:left w:val="outset" w:sz="6" w:space="0" w:color="00000A"/>
              <w:bottom w:val="outset" w:sz="6" w:space="0" w:color="00000A"/>
              <w:right w:val="outset" w:sz="6" w:space="0" w:color="00000A"/>
            </w:tcBorders>
            <w:shd w:val="clear" w:color="auto" w:fill="993366"/>
            <w:tcMar>
              <w:top w:w="75" w:type="dxa"/>
              <w:left w:w="75" w:type="dxa"/>
              <w:bottom w:w="75" w:type="dxa"/>
              <w:right w:w="75" w:type="dxa"/>
            </w:tcMar>
          </w:tcPr>
          <w:p w:rsidR="009B4233" w:rsidRDefault="006B08B9">
            <w:pPr>
              <w:spacing w:before="100" w:after="119"/>
              <w:jc w:val="center"/>
            </w:pPr>
            <w:r>
              <w:rPr>
                <w:rFonts w:ascii="Arial" w:eastAsia="Times New Roman" w:hAnsi="Arial" w:cs="Arial"/>
                <w:b/>
                <w:bCs/>
                <w:color w:val="E6E6E6"/>
                <w:sz w:val="22"/>
                <w:szCs w:val="22"/>
              </w:rPr>
              <w:t>TOTAL</w:t>
            </w:r>
          </w:p>
        </w:tc>
        <w:tc>
          <w:tcPr>
            <w:tcW w:w="2482" w:type="dxa"/>
            <w:tcBorders>
              <w:top w:val="outset" w:sz="6" w:space="0" w:color="00000A"/>
              <w:left w:val="outset" w:sz="6" w:space="0" w:color="00000A"/>
              <w:bottom w:val="outset" w:sz="6" w:space="0" w:color="00000A"/>
              <w:right w:val="outset" w:sz="6" w:space="0" w:color="00000A"/>
            </w:tcBorders>
            <w:shd w:val="clear" w:color="auto" w:fill="993366"/>
            <w:tcMar>
              <w:top w:w="75" w:type="dxa"/>
              <w:left w:w="75" w:type="dxa"/>
              <w:bottom w:w="75" w:type="dxa"/>
              <w:right w:w="75" w:type="dxa"/>
            </w:tcMar>
          </w:tcPr>
          <w:p w:rsidR="009B4233" w:rsidRDefault="006B08B9">
            <w:pPr>
              <w:spacing w:before="100" w:after="119"/>
              <w:jc w:val="center"/>
            </w:pPr>
            <w:r>
              <w:rPr>
                <w:rFonts w:ascii="Arial" w:eastAsia="Times New Roman" w:hAnsi="Arial" w:cs="Arial"/>
                <w:b/>
                <w:bCs/>
                <w:color w:val="FFFFFF"/>
                <w:sz w:val="22"/>
                <w:szCs w:val="22"/>
              </w:rPr>
              <w:t>1.597.742,84 €</w:t>
            </w:r>
          </w:p>
        </w:tc>
      </w:tr>
    </w:tbl>
    <w:p w:rsidR="009B4233" w:rsidRDefault="009B4233">
      <w:pPr>
        <w:jc w:val="both"/>
        <w:rPr>
          <w:rFonts w:ascii="Arial" w:hAnsi="Arial" w:cs="Arial"/>
          <w:bCs/>
          <w:iCs/>
          <w:sz w:val="22"/>
          <w:szCs w:val="22"/>
          <w:lang w:val="ca-ES"/>
        </w:rPr>
      </w:pPr>
    </w:p>
    <w:p w:rsidR="009B4233" w:rsidRDefault="009B4233">
      <w:pPr>
        <w:jc w:val="both"/>
        <w:rPr>
          <w:rFonts w:ascii="Arial" w:hAnsi="Arial" w:cs="Arial"/>
          <w:bCs/>
          <w:iCs/>
          <w:sz w:val="22"/>
          <w:szCs w:val="22"/>
          <w:lang w:val="ca-ES"/>
        </w:rPr>
      </w:pPr>
    </w:p>
    <w:p w:rsidR="009B4233" w:rsidRDefault="006B08B9">
      <w:pPr>
        <w:jc w:val="both"/>
        <w:rPr>
          <w:rFonts w:ascii="Arial" w:hAnsi="Arial" w:cs="Arial"/>
          <w:bCs/>
          <w:iCs/>
          <w:sz w:val="22"/>
          <w:szCs w:val="22"/>
          <w:lang w:val="ca-ES"/>
        </w:rPr>
      </w:pPr>
      <w:r>
        <w:rPr>
          <w:rFonts w:ascii="Arial" w:hAnsi="Arial" w:cs="Arial"/>
          <w:bCs/>
          <w:iCs/>
          <w:sz w:val="22"/>
          <w:szCs w:val="22"/>
          <w:lang w:val="ca-ES"/>
        </w:rPr>
        <w:t>Y por entidades:</w:t>
      </w:r>
    </w:p>
    <w:p w:rsidR="009B4233" w:rsidRDefault="009B4233">
      <w:pPr>
        <w:jc w:val="both"/>
        <w:rPr>
          <w:rFonts w:ascii="Arial" w:hAnsi="Arial" w:cs="Arial"/>
          <w:bCs/>
          <w:iCs/>
          <w:sz w:val="22"/>
          <w:szCs w:val="22"/>
          <w:lang w:val="ca-ES"/>
        </w:rPr>
      </w:pPr>
    </w:p>
    <w:tbl>
      <w:tblPr>
        <w:tblW w:w="5000" w:type="pct"/>
        <w:tblInd w:w="720" w:type="dxa"/>
        <w:tblCellMar>
          <w:left w:w="10" w:type="dxa"/>
          <w:right w:w="10" w:type="dxa"/>
        </w:tblCellMar>
        <w:tblLook w:val="0000" w:firstRow="0" w:lastRow="0" w:firstColumn="0" w:lastColumn="0" w:noHBand="0" w:noVBand="0"/>
      </w:tblPr>
      <w:tblGrid>
        <w:gridCol w:w="6076"/>
        <w:gridCol w:w="2482"/>
      </w:tblGrid>
      <w:tr w:rsidR="009B4233">
        <w:tblPrEx>
          <w:tblCellMar>
            <w:top w:w="0" w:type="dxa"/>
            <w:bottom w:w="0" w:type="dxa"/>
          </w:tblCellMar>
        </w:tblPrEx>
        <w:trPr>
          <w:trHeight w:val="225"/>
        </w:trPr>
        <w:tc>
          <w:tcPr>
            <w:tcW w:w="6076" w:type="dxa"/>
            <w:tcBorders>
              <w:top w:val="outset" w:sz="6" w:space="0" w:color="00000A"/>
              <w:left w:val="outset" w:sz="6" w:space="0" w:color="00000A"/>
              <w:bottom w:val="outset" w:sz="6" w:space="0" w:color="00000A"/>
              <w:right w:val="outset" w:sz="6" w:space="0" w:color="00000A"/>
            </w:tcBorders>
            <w:shd w:val="clear" w:color="auto" w:fill="993366"/>
            <w:tcMar>
              <w:top w:w="75" w:type="dxa"/>
              <w:left w:w="75" w:type="dxa"/>
              <w:bottom w:w="75" w:type="dxa"/>
              <w:right w:w="75" w:type="dxa"/>
            </w:tcMar>
            <w:vAlign w:val="center"/>
          </w:tcPr>
          <w:p w:rsidR="009B4233" w:rsidRDefault="006B08B9">
            <w:pPr>
              <w:spacing w:before="100" w:after="119"/>
              <w:jc w:val="center"/>
            </w:pPr>
            <w:r>
              <w:rPr>
                <w:rFonts w:ascii="Arial" w:eastAsia="Times New Roman" w:hAnsi="Arial" w:cs="Arial"/>
                <w:b/>
                <w:bCs/>
                <w:color w:val="E6E6E6"/>
                <w:sz w:val="22"/>
                <w:szCs w:val="22"/>
              </w:rPr>
              <w:t>ENTIDADES DEPENDIENTES</w:t>
            </w:r>
          </w:p>
        </w:tc>
        <w:tc>
          <w:tcPr>
            <w:tcW w:w="2482" w:type="dxa"/>
            <w:tcBorders>
              <w:top w:val="outset" w:sz="6" w:space="0" w:color="00000A"/>
              <w:left w:val="outset" w:sz="6" w:space="0" w:color="00000A"/>
              <w:bottom w:val="outset" w:sz="6" w:space="0" w:color="00000A"/>
              <w:right w:val="outset" w:sz="6" w:space="0" w:color="00000A"/>
            </w:tcBorders>
            <w:shd w:val="clear" w:color="auto" w:fill="993366"/>
            <w:tcMar>
              <w:top w:w="75" w:type="dxa"/>
              <w:left w:w="75" w:type="dxa"/>
              <w:bottom w:w="75" w:type="dxa"/>
              <w:right w:w="75" w:type="dxa"/>
            </w:tcMar>
          </w:tcPr>
          <w:p w:rsidR="009B4233" w:rsidRDefault="006B08B9">
            <w:pPr>
              <w:spacing w:before="100" w:after="119"/>
              <w:jc w:val="center"/>
            </w:pPr>
            <w:r>
              <w:rPr>
                <w:rFonts w:ascii="Arial" w:eastAsia="Times New Roman" w:hAnsi="Arial" w:cs="Arial"/>
                <w:b/>
                <w:bCs/>
                <w:color w:val="E6E6E6"/>
                <w:sz w:val="22"/>
                <w:szCs w:val="22"/>
              </w:rPr>
              <w:t>APORTACIÓN ESTIMADA POR SERVICIO 2025</w:t>
            </w:r>
          </w:p>
        </w:tc>
      </w:tr>
      <w:tr w:rsidR="009B4233">
        <w:tblPrEx>
          <w:tblCellMar>
            <w:top w:w="0" w:type="dxa"/>
            <w:bottom w:w="0" w:type="dxa"/>
          </w:tblCellMar>
        </w:tblPrEx>
        <w:tc>
          <w:tcPr>
            <w:tcW w:w="6076" w:type="dxa"/>
            <w:tcBorders>
              <w:top w:val="outset" w:sz="6" w:space="0" w:color="00000A"/>
              <w:left w:val="outset" w:sz="6" w:space="0" w:color="00000A"/>
              <w:bottom w:val="outset" w:sz="6" w:space="0" w:color="00000A"/>
              <w:right w:val="outset" w:sz="6" w:space="0" w:color="00000A"/>
            </w:tcBorders>
            <w:shd w:val="clear" w:color="auto" w:fill="auto"/>
            <w:tcMar>
              <w:top w:w="75" w:type="dxa"/>
              <w:left w:w="75" w:type="dxa"/>
              <w:bottom w:w="75" w:type="dxa"/>
              <w:right w:w="75" w:type="dxa"/>
            </w:tcMar>
          </w:tcPr>
          <w:p w:rsidR="009B4233" w:rsidRDefault="006B08B9">
            <w:pPr>
              <w:spacing w:before="100" w:after="119"/>
            </w:pPr>
            <w:r>
              <w:rPr>
                <w:rFonts w:ascii="Arial" w:eastAsia="Times New Roman" w:hAnsi="Arial" w:cs="Arial"/>
                <w:bCs/>
                <w:iCs/>
                <w:sz w:val="22"/>
                <w:szCs w:val="22"/>
              </w:rPr>
              <w:t xml:space="preserve">Entidad Pública Empresarial de Gestión de Empresas y </w:t>
            </w:r>
            <w:r>
              <w:rPr>
                <w:rFonts w:ascii="Arial" w:eastAsia="Times New Roman" w:hAnsi="Arial" w:cs="Arial"/>
                <w:bCs/>
                <w:iCs/>
                <w:sz w:val="22"/>
                <w:szCs w:val="22"/>
              </w:rPr>
              <w:t>Servicios Públicos del Ayuntamiento de Candelaria (Epelcan)</w:t>
            </w:r>
          </w:p>
        </w:tc>
        <w:tc>
          <w:tcPr>
            <w:tcW w:w="2482" w:type="dxa"/>
            <w:tcBorders>
              <w:top w:val="outset" w:sz="6" w:space="0" w:color="00000A"/>
              <w:left w:val="outset" w:sz="6" w:space="0" w:color="00000A"/>
              <w:bottom w:val="outset" w:sz="6" w:space="0" w:color="00000A"/>
              <w:right w:val="outset" w:sz="6" w:space="0" w:color="00000A"/>
            </w:tcBorders>
            <w:shd w:val="clear" w:color="auto" w:fill="auto"/>
            <w:tcMar>
              <w:top w:w="75" w:type="dxa"/>
              <w:left w:w="75" w:type="dxa"/>
              <w:bottom w:w="75" w:type="dxa"/>
              <w:right w:w="75" w:type="dxa"/>
            </w:tcMar>
          </w:tcPr>
          <w:p w:rsidR="009B4233" w:rsidRDefault="006B08B9">
            <w:pPr>
              <w:spacing w:before="100" w:after="119"/>
              <w:jc w:val="center"/>
              <w:rPr>
                <w:rFonts w:ascii="Arial" w:eastAsia="Times New Roman" w:hAnsi="Arial" w:cs="Arial"/>
                <w:sz w:val="22"/>
                <w:szCs w:val="22"/>
              </w:rPr>
            </w:pPr>
            <w:r>
              <w:rPr>
                <w:rFonts w:ascii="Arial" w:eastAsia="Times New Roman" w:hAnsi="Arial" w:cs="Arial"/>
                <w:sz w:val="22"/>
                <w:szCs w:val="22"/>
              </w:rPr>
              <w:t>678.593,67 €</w:t>
            </w:r>
          </w:p>
        </w:tc>
      </w:tr>
      <w:tr w:rsidR="009B4233">
        <w:tblPrEx>
          <w:tblCellMar>
            <w:top w:w="0" w:type="dxa"/>
            <w:bottom w:w="0" w:type="dxa"/>
          </w:tblCellMar>
        </w:tblPrEx>
        <w:tc>
          <w:tcPr>
            <w:tcW w:w="6076" w:type="dxa"/>
            <w:tcBorders>
              <w:top w:val="outset" w:sz="6" w:space="0" w:color="00000A"/>
              <w:left w:val="outset" w:sz="6" w:space="0" w:color="00000A"/>
              <w:bottom w:val="outset" w:sz="6" w:space="0" w:color="00000A"/>
              <w:right w:val="outset" w:sz="6" w:space="0" w:color="00000A"/>
            </w:tcBorders>
            <w:shd w:val="clear" w:color="auto" w:fill="auto"/>
            <w:tcMar>
              <w:top w:w="75" w:type="dxa"/>
              <w:left w:w="75" w:type="dxa"/>
              <w:bottom w:w="75" w:type="dxa"/>
              <w:right w:w="75" w:type="dxa"/>
            </w:tcMar>
          </w:tcPr>
          <w:p w:rsidR="009B4233" w:rsidRDefault="006B08B9">
            <w:pPr>
              <w:spacing w:before="100" w:after="119"/>
            </w:pPr>
            <w:r>
              <w:rPr>
                <w:rFonts w:ascii="Arial" w:eastAsia="Times New Roman" w:hAnsi="Arial" w:cs="Arial"/>
                <w:bCs/>
                <w:iCs/>
                <w:sz w:val="22"/>
                <w:szCs w:val="22"/>
              </w:rPr>
              <w:t>Sociedad Municipal de Viviendas y Servicios Municipales de Candelaria S.L.U.</w:t>
            </w:r>
          </w:p>
        </w:tc>
        <w:tc>
          <w:tcPr>
            <w:tcW w:w="2482" w:type="dxa"/>
            <w:tcBorders>
              <w:top w:val="outset" w:sz="6" w:space="0" w:color="00000A"/>
              <w:left w:val="outset" w:sz="6" w:space="0" w:color="00000A"/>
              <w:bottom w:val="outset" w:sz="6" w:space="0" w:color="00000A"/>
              <w:right w:val="outset" w:sz="6" w:space="0" w:color="00000A"/>
            </w:tcBorders>
            <w:shd w:val="clear" w:color="auto" w:fill="auto"/>
            <w:tcMar>
              <w:top w:w="75" w:type="dxa"/>
              <w:left w:w="75" w:type="dxa"/>
              <w:bottom w:w="75" w:type="dxa"/>
              <w:right w:w="75" w:type="dxa"/>
            </w:tcMar>
          </w:tcPr>
          <w:p w:rsidR="009B4233" w:rsidRDefault="006B08B9">
            <w:pPr>
              <w:spacing w:before="100" w:after="119"/>
              <w:jc w:val="center"/>
              <w:rPr>
                <w:rFonts w:ascii="Arial" w:eastAsia="Times New Roman" w:hAnsi="Arial" w:cs="Arial"/>
                <w:sz w:val="22"/>
                <w:szCs w:val="22"/>
              </w:rPr>
            </w:pPr>
            <w:r>
              <w:rPr>
                <w:rFonts w:ascii="Arial" w:eastAsia="Times New Roman" w:hAnsi="Arial" w:cs="Arial"/>
                <w:sz w:val="22"/>
                <w:szCs w:val="22"/>
              </w:rPr>
              <w:t>775.399,17 €</w:t>
            </w:r>
          </w:p>
        </w:tc>
      </w:tr>
      <w:tr w:rsidR="009B4233">
        <w:tblPrEx>
          <w:tblCellMar>
            <w:top w:w="0" w:type="dxa"/>
            <w:bottom w:w="0" w:type="dxa"/>
          </w:tblCellMar>
        </w:tblPrEx>
        <w:tc>
          <w:tcPr>
            <w:tcW w:w="6076" w:type="dxa"/>
            <w:tcBorders>
              <w:top w:val="outset" w:sz="6" w:space="0" w:color="00000A"/>
              <w:left w:val="outset" w:sz="6" w:space="0" w:color="00000A"/>
              <w:bottom w:val="outset" w:sz="6" w:space="0" w:color="00000A"/>
              <w:right w:val="outset" w:sz="6" w:space="0" w:color="00000A"/>
            </w:tcBorders>
            <w:shd w:val="clear" w:color="auto" w:fill="auto"/>
            <w:tcMar>
              <w:top w:w="75" w:type="dxa"/>
              <w:left w:w="75" w:type="dxa"/>
              <w:bottom w:w="75" w:type="dxa"/>
              <w:right w:w="75" w:type="dxa"/>
            </w:tcMar>
          </w:tcPr>
          <w:p w:rsidR="009B4233" w:rsidRDefault="006B08B9">
            <w:pPr>
              <w:spacing w:before="100" w:after="119"/>
            </w:pPr>
            <w:r>
              <w:rPr>
                <w:rFonts w:ascii="Arial" w:eastAsia="Times New Roman" w:hAnsi="Arial" w:cs="Arial"/>
                <w:bCs/>
                <w:iCs/>
                <w:sz w:val="22"/>
                <w:szCs w:val="22"/>
                <w:lang w:val="ca-ES"/>
              </w:rPr>
              <w:t>Fundación Candelaria Solidaria (Candesol)</w:t>
            </w:r>
          </w:p>
        </w:tc>
        <w:tc>
          <w:tcPr>
            <w:tcW w:w="2482" w:type="dxa"/>
            <w:tcBorders>
              <w:top w:val="outset" w:sz="6" w:space="0" w:color="00000A"/>
              <w:left w:val="outset" w:sz="6" w:space="0" w:color="00000A"/>
              <w:bottom w:val="outset" w:sz="6" w:space="0" w:color="00000A"/>
              <w:right w:val="outset" w:sz="6" w:space="0" w:color="00000A"/>
            </w:tcBorders>
            <w:shd w:val="clear" w:color="auto" w:fill="auto"/>
            <w:tcMar>
              <w:top w:w="75" w:type="dxa"/>
              <w:left w:w="75" w:type="dxa"/>
              <w:bottom w:w="75" w:type="dxa"/>
              <w:right w:w="75" w:type="dxa"/>
            </w:tcMar>
          </w:tcPr>
          <w:p w:rsidR="009B4233" w:rsidRDefault="006B08B9">
            <w:pPr>
              <w:spacing w:before="100" w:after="119"/>
              <w:jc w:val="center"/>
              <w:rPr>
                <w:rFonts w:ascii="Arial" w:eastAsia="Times New Roman" w:hAnsi="Arial" w:cs="Arial"/>
                <w:sz w:val="22"/>
                <w:szCs w:val="22"/>
              </w:rPr>
            </w:pPr>
            <w:r>
              <w:rPr>
                <w:rFonts w:ascii="Arial" w:eastAsia="Times New Roman" w:hAnsi="Arial" w:cs="Arial"/>
                <w:sz w:val="22"/>
                <w:szCs w:val="22"/>
              </w:rPr>
              <w:t>143.750,00 €</w:t>
            </w:r>
          </w:p>
        </w:tc>
      </w:tr>
      <w:tr w:rsidR="009B4233">
        <w:tblPrEx>
          <w:tblCellMar>
            <w:top w:w="0" w:type="dxa"/>
            <w:bottom w:w="0" w:type="dxa"/>
          </w:tblCellMar>
        </w:tblPrEx>
        <w:tc>
          <w:tcPr>
            <w:tcW w:w="6076" w:type="dxa"/>
            <w:tcBorders>
              <w:top w:val="outset" w:sz="6" w:space="0" w:color="00000A"/>
              <w:left w:val="outset" w:sz="6" w:space="0" w:color="00000A"/>
              <w:bottom w:val="outset" w:sz="6" w:space="0" w:color="00000A"/>
              <w:right w:val="outset" w:sz="6" w:space="0" w:color="00000A"/>
            </w:tcBorders>
            <w:shd w:val="clear" w:color="auto" w:fill="993366"/>
            <w:tcMar>
              <w:top w:w="75" w:type="dxa"/>
              <w:left w:w="75" w:type="dxa"/>
              <w:bottom w:w="75" w:type="dxa"/>
              <w:right w:w="75" w:type="dxa"/>
            </w:tcMar>
          </w:tcPr>
          <w:p w:rsidR="009B4233" w:rsidRDefault="006B08B9">
            <w:pPr>
              <w:spacing w:before="100" w:after="119"/>
              <w:jc w:val="center"/>
            </w:pPr>
            <w:r>
              <w:rPr>
                <w:rFonts w:ascii="Arial" w:eastAsia="Times New Roman" w:hAnsi="Arial" w:cs="Arial"/>
                <w:b/>
                <w:bCs/>
                <w:color w:val="E6E6E6"/>
                <w:sz w:val="22"/>
                <w:szCs w:val="22"/>
              </w:rPr>
              <w:t>TOTAL</w:t>
            </w:r>
          </w:p>
        </w:tc>
        <w:tc>
          <w:tcPr>
            <w:tcW w:w="2482" w:type="dxa"/>
            <w:tcBorders>
              <w:top w:val="outset" w:sz="6" w:space="0" w:color="00000A"/>
              <w:left w:val="outset" w:sz="6" w:space="0" w:color="00000A"/>
              <w:bottom w:val="outset" w:sz="6" w:space="0" w:color="00000A"/>
              <w:right w:val="outset" w:sz="6" w:space="0" w:color="00000A"/>
            </w:tcBorders>
            <w:shd w:val="clear" w:color="auto" w:fill="993366"/>
            <w:tcMar>
              <w:top w:w="75" w:type="dxa"/>
              <w:left w:w="75" w:type="dxa"/>
              <w:bottom w:w="75" w:type="dxa"/>
              <w:right w:w="75" w:type="dxa"/>
            </w:tcMar>
          </w:tcPr>
          <w:p w:rsidR="009B4233" w:rsidRDefault="006B08B9">
            <w:pPr>
              <w:spacing w:before="100" w:after="119"/>
              <w:jc w:val="center"/>
            </w:pPr>
            <w:r>
              <w:rPr>
                <w:rFonts w:ascii="Arial" w:eastAsia="Times New Roman" w:hAnsi="Arial" w:cs="Arial"/>
                <w:b/>
                <w:bCs/>
                <w:color w:val="FFFFFF"/>
                <w:sz w:val="22"/>
                <w:szCs w:val="22"/>
              </w:rPr>
              <w:t>1.597.742,84 €</w:t>
            </w:r>
          </w:p>
        </w:tc>
      </w:tr>
    </w:tbl>
    <w:p w:rsidR="009B4233" w:rsidRDefault="009B4233">
      <w:pPr>
        <w:jc w:val="both"/>
        <w:rPr>
          <w:rFonts w:ascii="Arial" w:hAnsi="Arial" w:cs="Arial"/>
          <w:bCs/>
          <w:iCs/>
          <w:sz w:val="22"/>
          <w:szCs w:val="22"/>
          <w:shd w:val="clear" w:color="auto" w:fill="FFFFFF"/>
          <w:lang w:val="ca-ES"/>
        </w:rPr>
      </w:pPr>
    </w:p>
    <w:p w:rsidR="009B4233" w:rsidRDefault="006B08B9">
      <w:pPr>
        <w:jc w:val="both"/>
        <w:rPr>
          <w:rFonts w:ascii="Arial" w:hAnsi="Arial" w:cs="Arial"/>
          <w:bCs/>
          <w:iCs/>
          <w:sz w:val="22"/>
          <w:szCs w:val="22"/>
          <w:lang w:val="ca-ES"/>
        </w:rPr>
      </w:pPr>
      <w:r>
        <w:rPr>
          <w:rFonts w:ascii="Arial" w:hAnsi="Arial" w:cs="Arial"/>
          <w:bCs/>
          <w:iCs/>
          <w:sz w:val="22"/>
          <w:szCs w:val="22"/>
          <w:lang w:val="ca-ES"/>
        </w:rPr>
        <w:tab/>
      </w:r>
    </w:p>
    <w:p w:rsidR="009B4233" w:rsidRDefault="006B08B9">
      <w:pPr>
        <w:ind w:firstLine="708"/>
        <w:jc w:val="both"/>
        <w:rPr>
          <w:rFonts w:ascii="Arial" w:hAnsi="Arial" w:cs="Arial"/>
          <w:bCs/>
          <w:iCs/>
          <w:sz w:val="22"/>
          <w:szCs w:val="22"/>
          <w:lang w:val="ca-ES"/>
        </w:rPr>
      </w:pPr>
      <w:r>
        <w:rPr>
          <w:rFonts w:ascii="Arial" w:hAnsi="Arial" w:cs="Arial"/>
          <w:bCs/>
          <w:iCs/>
          <w:sz w:val="22"/>
          <w:szCs w:val="22"/>
          <w:lang w:val="ca-ES"/>
        </w:rPr>
        <w:t xml:space="preserve">El abono </w:t>
      </w:r>
      <w:r>
        <w:rPr>
          <w:rFonts w:ascii="Arial" w:hAnsi="Arial" w:cs="Arial"/>
          <w:bCs/>
          <w:iCs/>
          <w:sz w:val="22"/>
          <w:szCs w:val="22"/>
          <w:lang w:val="ca-ES"/>
        </w:rPr>
        <w:t>de las citadas aportaciones, se realizarà trimestralmente con caràcter anticipado, prèvia presentación de las analíticas de costes, que pongan de manifiesto las transacciones y demàs hechos económicos realizados en el trimestre anterior.</w:t>
      </w:r>
    </w:p>
    <w:p w:rsidR="009B4233" w:rsidRDefault="009B4233">
      <w:pPr>
        <w:jc w:val="both"/>
        <w:rPr>
          <w:rFonts w:ascii="Arial" w:hAnsi="Arial" w:cs="Arial"/>
          <w:i/>
          <w:iCs/>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6B08B9">
      <w:pPr>
        <w:jc w:val="both"/>
        <w:rPr>
          <w:rFonts w:ascii="Arial" w:hAnsi="Arial" w:cs="Arial"/>
          <w:b/>
          <w:sz w:val="22"/>
          <w:szCs w:val="22"/>
        </w:rPr>
      </w:pPr>
      <w:r>
        <w:rPr>
          <w:rFonts w:ascii="Arial" w:hAnsi="Arial" w:cs="Arial"/>
          <w:b/>
          <w:sz w:val="22"/>
          <w:szCs w:val="22"/>
        </w:rPr>
        <w:t xml:space="preserve">    Consta en </w:t>
      </w:r>
      <w:r>
        <w:rPr>
          <w:rFonts w:ascii="Arial" w:hAnsi="Arial" w:cs="Arial"/>
          <w:b/>
          <w:sz w:val="22"/>
          <w:szCs w:val="22"/>
        </w:rPr>
        <w:t>el expediente Informe de Intervención emitido por Don Nicolás Rojo Garnica, que desempeña el puesto de trabajo de Interventor Municipal, de 15 de septiembre de 2025, del siguiente tenor literal:</w:t>
      </w: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6B08B9">
      <w:pPr>
        <w:pStyle w:val="Textosinformato1"/>
        <w:jc w:val="center"/>
        <w:rPr>
          <w:rFonts w:ascii="Arial" w:hAnsi="Arial" w:cs="Arial"/>
          <w:b/>
          <w:bCs/>
          <w:sz w:val="22"/>
          <w:szCs w:val="22"/>
        </w:rPr>
      </w:pPr>
      <w:r>
        <w:rPr>
          <w:rFonts w:ascii="Arial" w:hAnsi="Arial" w:cs="Arial"/>
          <w:b/>
          <w:bCs/>
          <w:sz w:val="22"/>
          <w:szCs w:val="22"/>
        </w:rPr>
        <w:t>“INFORME DE INTERVENCIÓN</w:t>
      </w:r>
    </w:p>
    <w:p w:rsidR="009B4233" w:rsidRDefault="009B4233">
      <w:pPr>
        <w:pStyle w:val="Ttulo"/>
        <w:jc w:val="both"/>
        <w:rPr>
          <w:rFonts w:ascii="Arial" w:hAnsi="Arial" w:cs="Arial"/>
          <w:sz w:val="22"/>
          <w:szCs w:val="22"/>
        </w:rPr>
      </w:pPr>
    </w:p>
    <w:p w:rsidR="009B4233" w:rsidRDefault="006B08B9">
      <w:pPr>
        <w:jc w:val="both"/>
      </w:pPr>
      <w:r>
        <w:rPr>
          <w:rFonts w:ascii="Arial" w:hAnsi="Arial" w:cs="Arial"/>
          <w:b/>
          <w:sz w:val="22"/>
          <w:szCs w:val="22"/>
          <w:lang w:val="ca-ES"/>
        </w:rPr>
        <w:t xml:space="preserve">Asunto: CONTRATO PROGRAMA SOBRE </w:t>
      </w:r>
      <w:r>
        <w:rPr>
          <w:rFonts w:ascii="Arial" w:hAnsi="Arial" w:cs="Arial"/>
          <w:b/>
          <w:sz w:val="22"/>
          <w:szCs w:val="22"/>
          <w:lang w:val="ca-ES"/>
        </w:rPr>
        <w:t xml:space="preserve">EL MARCO DE RELACIONES ENTRE EL AYUNTAMIENTO DE CANDELARIA, LA ENTIDAD PUBLICA EMPRESARIAL </w:t>
      </w:r>
      <w:r>
        <w:rPr>
          <w:rFonts w:ascii="Arial" w:hAnsi="Arial" w:cs="Arial"/>
          <w:b/>
          <w:bCs/>
          <w:sz w:val="22"/>
          <w:szCs w:val="22"/>
          <w:lang w:val="ca-ES"/>
        </w:rPr>
        <w:t>“GESTIÓN DE EMPRESAS Y SERVICIOS MUNICIPALES DEL AYUNTAMIENTO DE LA VILLA DE CANDELARIA”,</w:t>
      </w:r>
      <w:r>
        <w:rPr>
          <w:rFonts w:ascii="Arial" w:hAnsi="Arial" w:cs="Arial"/>
          <w:b/>
          <w:sz w:val="22"/>
          <w:szCs w:val="22"/>
          <w:lang w:val="ca-ES"/>
        </w:rPr>
        <w:t xml:space="preserve"> LA SOCIEDAD MERCANTIL “</w:t>
      </w:r>
      <w:r>
        <w:rPr>
          <w:rFonts w:ascii="Arial" w:hAnsi="Arial" w:cs="Arial"/>
          <w:b/>
          <w:bCs/>
          <w:sz w:val="22"/>
          <w:szCs w:val="22"/>
          <w:lang w:val="ca-ES"/>
        </w:rPr>
        <w:t>EMPRESA DE INSERCIÓN VIVIENDAS Y SERVICIOS MUNICIPAL</w:t>
      </w:r>
      <w:r>
        <w:rPr>
          <w:rFonts w:ascii="Arial" w:hAnsi="Arial" w:cs="Arial"/>
          <w:b/>
          <w:bCs/>
          <w:sz w:val="22"/>
          <w:szCs w:val="22"/>
          <w:lang w:val="ca-ES"/>
        </w:rPr>
        <w:t>ES DE CANDELARIA S.L.” Y LA FUNDACIÓN “CANDELARIA SOLIDARIA” PARA EL EJERCICIO 2025.</w:t>
      </w:r>
    </w:p>
    <w:p w:rsidR="009B4233" w:rsidRDefault="006B08B9">
      <w:r>
        <w:rPr>
          <w:rFonts w:ascii="Arial" w:hAnsi="Arial" w:cs="Arial"/>
          <w:noProof/>
          <w:sz w:val="22"/>
          <w:szCs w:val="22"/>
          <w:lang w:eastAsia="es-ES" w:bidi="ar-SA"/>
        </w:rPr>
        <mc:AlternateContent>
          <mc:Choice Requires="wps">
            <w:drawing>
              <wp:anchor distT="0" distB="0" distL="114300" distR="114300" simplePos="0" relativeHeight="251655680" behindDoc="0" locked="0" layoutInCell="1" allowOverlap="1">
                <wp:simplePos x="0" y="0"/>
                <wp:positionH relativeFrom="column">
                  <wp:posOffset>4443</wp:posOffset>
                </wp:positionH>
                <wp:positionV relativeFrom="paragraph">
                  <wp:posOffset>118113</wp:posOffset>
                </wp:positionV>
                <wp:extent cx="6059172" cy="0"/>
                <wp:effectExtent l="19050" t="19050" r="36828" b="38100"/>
                <wp:wrapNone/>
                <wp:docPr id="20" name="Conector recto 138"/>
                <wp:cNvGraphicFramePr/>
                <a:graphic xmlns:a="http://schemas.openxmlformats.org/drawingml/2006/main">
                  <a:graphicData uri="http://schemas.microsoft.com/office/word/2010/wordprocessingShape">
                    <wps:wsp>
                      <wps:cNvCnPr/>
                      <wps:spPr>
                        <a:xfrm>
                          <a:off x="0" y="0"/>
                          <a:ext cx="6059172" cy="0"/>
                        </a:xfrm>
                        <a:prstGeom prst="straightConnector1">
                          <a:avLst/>
                        </a:prstGeom>
                        <a:noFill/>
                        <a:ln w="25557" cap="sq">
                          <a:solidFill>
                            <a:srgbClr val="993366"/>
                          </a:solidFill>
                          <a:prstDash val="solid"/>
                          <a:miter/>
                        </a:ln>
                      </wps:spPr>
                      <wps:bodyPr/>
                    </wps:wsp>
                  </a:graphicData>
                </a:graphic>
              </wp:anchor>
            </w:drawing>
          </mc:Choice>
          <mc:Fallback>
            <w:pict>
              <v:shape w14:anchorId="17EEF9A8" id="Conector recto 138" o:spid="_x0000_s1026" type="#_x0000_t32" style="position:absolute;margin-left:.35pt;margin-top:9.3pt;width:477.1pt;height:0;z-index:2516556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" strokecolor="#936" strokeweight=".70992mm">
                <v:stroke joinstyle="miter" endcap="square"/>
              </v:shape>
            </w:pict>
          </mc:Fallback>
        </mc:AlternateContent>
      </w:r>
    </w:p>
    <w:p w:rsidR="009B4233" w:rsidRDefault="009B4233">
      <w:pPr>
        <w:pStyle w:val="Textosinformato1"/>
        <w:rPr>
          <w:rFonts w:ascii="Arial" w:hAnsi="Arial" w:cs="Arial"/>
          <w:sz w:val="22"/>
          <w:szCs w:val="22"/>
        </w:rPr>
      </w:pPr>
    </w:p>
    <w:p w:rsidR="009B4233" w:rsidRDefault="009B4233">
      <w:pPr>
        <w:jc w:val="center"/>
        <w:rPr>
          <w:rFonts w:ascii="Arial" w:hAnsi="Arial" w:cs="Arial"/>
          <w:b/>
          <w:sz w:val="22"/>
          <w:szCs w:val="22"/>
          <w:shd w:val="clear" w:color="auto" w:fill="FFFFFF"/>
          <w:lang w:val="ca-ES"/>
        </w:rPr>
      </w:pPr>
    </w:p>
    <w:p w:rsidR="009B4233" w:rsidRDefault="006B08B9">
      <w:pPr>
        <w:jc w:val="both"/>
      </w:pPr>
      <w:r>
        <w:rPr>
          <w:rFonts w:ascii="Arial" w:hAnsi="Arial" w:cs="Arial"/>
          <w:sz w:val="22"/>
          <w:szCs w:val="22"/>
          <w:shd w:val="clear" w:color="auto" w:fill="FFFFFF"/>
          <w:lang w:val="ca-ES"/>
        </w:rPr>
        <w:tab/>
        <w:t>Visto el Contrato-Programa,</w:t>
      </w:r>
      <w:r>
        <w:rPr>
          <w:rFonts w:ascii="Arial" w:eastAsia="Times New Roman" w:hAnsi="Arial" w:cs="Arial"/>
          <w:sz w:val="22"/>
          <w:szCs w:val="22"/>
          <w:lang w:val="ca-ES" w:eastAsia="ar-SA"/>
        </w:rPr>
        <w:t xml:space="preserve"> relativo a</w:t>
      </w:r>
      <w:r>
        <w:rPr>
          <w:rFonts w:ascii="Arial" w:hAnsi="Arial" w:cs="Arial"/>
          <w:sz w:val="22"/>
          <w:szCs w:val="22"/>
          <w:shd w:val="clear" w:color="auto" w:fill="FFFFFF"/>
          <w:lang w:val="ca-ES"/>
        </w:rPr>
        <w:t xml:space="preserve">l marco de relaciones entre la entidad publica empresarial </w:t>
      </w:r>
      <w:r>
        <w:rPr>
          <w:rFonts w:ascii="Arial" w:hAnsi="Arial" w:cs="Arial"/>
          <w:bCs/>
          <w:sz w:val="22"/>
          <w:szCs w:val="22"/>
          <w:shd w:val="clear" w:color="auto" w:fill="FFFFFF"/>
          <w:lang w:val="ca-ES"/>
        </w:rPr>
        <w:t xml:space="preserve">“gestión de empresas y servicios municipales del ayuntamiento de la </w:t>
      </w:r>
      <w:r>
        <w:rPr>
          <w:rFonts w:ascii="Arial" w:hAnsi="Arial" w:cs="Arial"/>
          <w:bCs/>
          <w:sz w:val="22"/>
          <w:szCs w:val="22"/>
          <w:shd w:val="clear" w:color="auto" w:fill="FFFFFF"/>
          <w:lang w:val="ca-ES"/>
        </w:rPr>
        <w:t>villa de candelaria”</w:t>
      </w:r>
      <w:r>
        <w:rPr>
          <w:rFonts w:ascii="Arial" w:hAnsi="Arial" w:cs="Arial"/>
          <w:sz w:val="22"/>
          <w:szCs w:val="22"/>
          <w:shd w:val="clear" w:color="auto" w:fill="FFFFFF"/>
          <w:lang w:val="ca-ES"/>
        </w:rPr>
        <w:t xml:space="preserve"> y la sociedad mercantil “</w:t>
      </w:r>
      <w:r>
        <w:rPr>
          <w:rFonts w:ascii="Arial" w:hAnsi="Arial" w:cs="Arial"/>
          <w:bCs/>
          <w:sz w:val="22"/>
          <w:szCs w:val="22"/>
          <w:shd w:val="clear" w:color="auto" w:fill="FFFFFF"/>
          <w:lang w:val="ca-ES"/>
        </w:rPr>
        <w:t>empresa de inserción viviendas y servicios municipales de candelaria s.l.”, para el ejercicio 2025.</w:t>
      </w:r>
    </w:p>
    <w:p w:rsidR="009B4233" w:rsidRDefault="009B4233">
      <w:pPr>
        <w:jc w:val="both"/>
        <w:rPr>
          <w:rFonts w:ascii="Arial" w:hAnsi="Arial" w:cs="Arial"/>
          <w:bCs/>
          <w:sz w:val="22"/>
          <w:szCs w:val="22"/>
          <w:shd w:val="clear" w:color="auto" w:fill="FFFFFF"/>
          <w:lang w:val="ca-ES"/>
        </w:rPr>
      </w:pPr>
    </w:p>
    <w:p w:rsidR="009B4233" w:rsidRDefault="006B08B9">
      <w:pPr>
        <w:jc w:val="both"/>
      </w:pPr>
      <w:r>
        <w:rPr>
          <w:rFonts w:ascii="Arial" w:hAnsi="Arial" w:cs="Arial"/>
          <w:bCs/>
          <w:sz w:val="22"/>
          <w:szCs w:val="22"/>
          <w:shd w:val="clear" w:color="auto" w:fill="FFFFFF"/>
          <w:lang w:val="ca-ES"/>
        </w:rPr>
        <w:tab/>
        <w:t>Considerando que</w:t>
      </w:r>
      <w:r>
        <w:rPr>
          <w:rFonts w:ascii="Arial" w:hAnsi="Arial" w:cs="Arial"/>
          <w:sz w:val="22"/>
          <w:szCs w:val="22"/>
          <w:shd w:val="clear" w:color="auto" w:fill="FFFFFF"/>
        </w:rPr>
        <w:t xml:space="preserve"> los contratos-programa son acuerdos plurianuales entre organizaciones para regular sus rela</w:t>
      </w:r>
      <w:r>
        <w:rPr>
          <w:rFonts w:ascii="Arial" w:hAnsi="Arial" w:cs="Arial"/>
          <w:sz w:val="22"/>
          <w:szCs w:val="22"/>
          <w:shd w:val="clear" w:color="auto" w:fill="FFFFFF"/>
        </w:rPr>
        <w:t>ciones jurídicas o económicas, que presentan como característica fundamental, su posición desequilibrada, pues una de ellas ostenta la potestad financiadora, mientras que otra, de carácter </w:t>
      </w:r>
      <w:r>
        <w:rPr>
          <w:rStyle w:val="nfasis"/>
          <w:rFonts w:ascii="Arial" w:hAnsi="Arial" w:cs="Arial"/>
          <w:sz w:val="22"/>
          <w:szCs w:val="22"/>
          <w:shd w:val="clear" w:color="auto" w:fill="FFFFFF"/>
        </w:rPr>
        <w:t>instrumental</w:t>
      </w:r>
      <w:r>
        <w:rPr>
          <w:rFonts w:ascii="Arial" w:hAnsi="Arial" w:cs="Arial"/>
          <w:sz w:val="22"/>
          <w:szCs w:val="22"/>
          <w:shd w:val="clear" w:color="auto" w:fill="FFFFFF"/>
        </w:rPr>
        <w:t>, lo presta en régimen de cierta autonomía.</w:t>
      </w:r>
    </w:p>
    <w:p w:rsidR="009B4233" w:rsidRDefault="009B4233">
      <w:pPr>
        <w:jc w:val="both"/>
        <w:rPr>
          <w:rFonts w:ascii="Arial" w:hAnsi="Arial" w:cs="Arial"/>
          <w:sz w:val="22"/>
          <w:szCs w:val="22"/>
          <w:shd w:val="clear" w:color="auto" w:fill="FFFFFF"/>
        </w:rPr>
      </w:pPr>
    </w:p>
    <w:p w:rsidR="009B4233" w:rsidRDefault="006B08B9">
      <w:pPr>
        <w:ind w:firstLine="708"/>
        <w:jc w:val="both"/>
        <w:rPr>
          <w:rFonts w:ascii="Arial" w:hAnsi="Arial" w:cs="Arial"/>
          <w:sz w:val="22"/>
          <w:szCs w:val="22"/>
        </w:rPr>
      </w:pPr>
      <w:r>
        <w:rPr>
          <w:rFonts w:ascii="Arial" w:hAnsi="Arial" w:cs="Arial"/>
          <w:sz w:val="22"/>
          <w:szCs w:val="22"/>
        </w:rPr>
        <w:t>Consideran</w:t>
      </w:r>
      <w:r>
        <w:rPr>
          <w:rFonts w:ascii="Arial" w:hAnsi="Arial" w:cs="Arial"/>
          <w:sz w:val="22"/>
          <w:szCs w:val="22"/>
        </w:rPr>
        <w:t>do que en la actualidad, los contratos-programa de ámbito estatal cuentan con soporte procedimental detallado, merced a la previsión del artículo 68.1 de la Ley 47/2003, General Presupuestaria (LGP) que exige, como mínimo, unas cláusulas de hipótesis macro</w:t>
      </w:r>
      <w:r>
        <w:rPr>
          <w:rFonts w:ascii="Arial" w:hAnsi="Arial" w:cs="Arial"/>
          <w:sz w:val="22"/>
          <w:szCs w:val="22"/>
        </w:rPr>
        <w:t xml:space="preserve">económicas, de aportaciones presupuestarias, de objetivos de la política de personal, de rentabilidad, de productividad o de reestructuración, así como sus indicadores de evaluación y los efectos del incumplimiento de los compromisos acordados. </w:t>
      </w:r>
    </w:p>
    <w:p w:rsidR="009B4233" w:rsidRDefault="009B4233">
      <w:pPr>
        <w:ind w:firstLine="708"/>
        <w:jc w:val="both"/>
        <w:rPr>
          <w:rFonts w:ascii="Arial" w:hAnsi="Arial" w:cs="Arial"/>
          <w:sz w:val="22"/>
          <w:szCs w:val="22"/>
        </w:rPr>
      </w:pPr>
    </w:p>
    <w:p w:rsidR="009B4233" w:rsidRDefault="006B08B9">
      <w:pPr>
        <w:ind w:firstLine="708"/>
        <w:jc w:val="both"/>
      </w:pPr>
      <w:r>
        <w:rPr>
          <w:rFonts w:ascii="Arial" w:hAnsi="Arial" w:cs="Arial"/>
          <w:bCs/>
          <w:iCs/>
          <w:sz w:val="22"/>
          <w:szCs w:val="22"/>
        </w:rPr>
        <w:t>Considera</w:t>
      </w:r>
      <w:r>
        <w:rPr>
          <w:rFonts w:ascii="Arial" w:hAnsi="Arial" w:cs="Arial"/>
          <w:bCs/>
          <w:iCs/>
          <w:sz w:val="22"/>
          <w:szCs w:val="22"/>
        </w:rPr>
        <w:t>ndo que a través del actual Contrato-Programa, se articula la alineación de estos entes instrumentales a</w:t>
      </w:r>
      <w:r>
        <w:rPr>
          <w:rFonts w:ascii="Arial" w:hAnsi="Arial" w:cs="Arial"/>
          <w:bCs/>
          <w:iCs/>
          <w:sz w:val="22"/>
          <w:szCs w:val="22"/>
          <w:lang w:val="ca-ES"/>
        </w:rPr>
        <w:t xml:space="preserve"> la planificación y el  modelo de gestión y presupuestación del Ayuntamiento, adecuándose la gestión a los principios de eficiencia, eficacia y economia</w:t>
      </w:r>
      <w:r>
        <w:rPr>
          <w:rFonts w:ascii="Arial" w:hAnsi="Arial" w:cs="Arial"/>
          <w:bCs/>
          <w:iCs/>
          <w:sz w:val="22"/>
          <w:szCs w:val="22"/>
          <w:lang w:val="ca-ES"/>
        </w:rPr>
        <w:t xml:space="preserve">, y a las recomendaciones de los Auditores que verifiquen su gestión, comprobando </w:t>
      </w:r>
      <w:r>
        <w:rPr>
          <w:rFonts w:ascii="Arial" w:hAnsi="Arial" w:cs="Arial"/>
          <w:bCs/>
          <w:iCs/>
          <w:sz w:val="22"/>
          <w:szCs w:val="22"/>
        </w:rPr>
        <w:t xml:space="preserve">la actividad económico-financiera de las entidades auditadas, mediante la aplicación de los procedimientos de revisión selectivos, contenidos en las normas de auditoría e </w:t>
      </w:r>
      <w:r>
        <w:rPr>
          <w:rFonts w:ascii="Arial" w:hAnsi="Arial" w:cs="Arial"/>
          <w:bCs/>
          <w:iCs/>
          <w:sz w:val="22"/>
          <w:szCs w:val="22"/>
        </w:rPr>
        <w:t>instrucciones que dicte la Intervención General de la Administración del Estado</w:t>
      </w:r>
      <w:r>
        <w:rPr>
          <w:rFonts w:ascii="Arial" w:hAnsi="Arial" w:cs="Arial"/>
          <w:bCs/>
          <w:iCs/>
          <w:sz w:val="22"/>
          <w:szCs w:val="22"/>
          <w:lang w:val="ca-ES"/>
        </w:rPr>
        <w:t>.</w:t>
      </w:r>
    </w:p>
    <w:p w:rsidR="009B4233" w:rsidRDefault="009B4233">
      <w:pPr>
        <w:ind w:firstLine="708"/>
        <w:jc w:val="both"/>
        <w:rPr>
          <w:rFonts w:ascii="Arial" w:hAnsi="Arial" w:cs="Arial"/>
          <w:bCs/>
          <w:iCs/>
          <w:sz w:val="22"/>
          <w:szCs w:val="22"/>
          <w:lang w:val="ca-ES"/>
        </w:rPr>
      </w:pPr>
    </w:p>
    <w:p w:rsidR="009B4233" w:rsidRDefault="006B08B9">
      <w:pPr>
        <w:ind w:firstLine="708"/>
        <w:jc w:val="both"/>
        <w:rPr>
          <w:rFonts w:ascii="Arial" w:hAnsi="Arial" w:cs="Arial"/>
          <w:bCs/>
          <w:iCs/>
          <w:sz w:val="22"/>
          <w:szCs w:val="22"/>
          <w:lang w:val="ca-ES"/>
        </w:rPr>
      </w:pPr>
      <w:r>
        <w:rPr>
          <w:rFonts w:ascii="Arial" w:hAnsi="Arial" w:cs="Arial"/>
          <w:bCs/>
          <w:iCs/>
          <w:sz w:val="22"/>
          <w:szCs w:val="22"/>
          <w:lang w:val="ca-ES"/>
        </w:rPr>
        <w:t>Asimismo, se establece la financiación de los citados entes, mediante la oportuna dotación presupuestaria, a través de aplicaciones presupuestarias independientes, que permit</w:t>
      </w:r>
      <w:r>
        <w:rPr>
          <w:rFonts w:ascii="Arial" w:hAnsi="Arial" w:cs="Arial"/>
          <w:bCs/>
          <w:iCs/>
          <w:sz w:val="22"/>
          <w:szCs w:val="22"/>
          <w:lang w:val="ca-ES"/>
        </w:rPr>
        <w:t>a conocer, los costes de los Servicios que presta cada entidad.</w:t>
      </w:r>
    </w:p>
    <w:p w:rsidR="009B4233" w:rsidRDefault="009B4233">
      <w:pPr>
        <w:ind w:firstLine="708"/>
        <w:jc w:val="both"/>
        <w:rPr>
          <w:rFonts w:ascii="Arial" w:hAnsi="Arial" w:cs="Arial"/>
          <w:sz w:val="22"/>
          <w:szCs w:val="22"/>
        </w:rPr>
      </w:pPr>
    </w:p>
    <w:p w:rsidR="009B4233" w:rsidRDefault="006B08B9">
      <w:pPr>
        <w:ind w:firstLine="708"/>
        <w:jc w:val="both"/>
        <w:rPr>
          <w:rFonts w:ascii="Arial" w:hAnsi="Arial" w:cs="Arial"/>
          <w:sz w:val="22"/>
          <w:szCs w:val="22"/>
        </w:rPr>
      </w:pPr>
      <w:r>
        <w:rPr>
          <w:rFonts w:ascii="Arial" w:hAnsi="Arial" w:cs="Arial"/>
          <w:sz w:val="22"/>
          <w:szCs w:val="22"/>
        </w:rPr>
        <w:t xml:space="preserve">Resultando que a través de la Orden EHA/733/2010, ha supuesto una aclaración del régimen de contabilización hasta ahora vigente, de las transferencias entre la entidad local y sus sociedades </w:t>
      </w:r>
      <w:r>
        <w:rPr>
          <w:rFonts w:ascii="Arial" w:hAnsi="Arial" w:cs="Arial"/>
          <w:sz w:val="22"/>
          <w:szCs w:val="22"/>
        </w:rPr>
        <w:t>mercantiles dependientes.</w:t>
      </w:r>
    </w:p>
    <w:p w:rsidR="009B4233" w:rsidRDefault="009B4233">
      <w:pPr>
        <w:ind w:firstLine="708"/>
        <w:jc w:val="both"/>
        <w:rPr>
          <w:rFonts w:ascii="Arial" w:hAnsi="Arial" w:cs="Arial"/>
          <w:sz w:val="22"/>
          <w:szCs w:val="22"/>
        </w:rPr>
      </w:pPr>
    </w:p>
    <w:p w:rsidR="009B4233" w:rsidRDefault="006B08B9">
      <w:pPr>
        <w:ind w:firstLine="708"/>
        <w:jc w:val="both"/>
        <w:rPr>
          <w:rFonts w:ascii="Arial" w:hAnsi="Arial" w:cs="Arial"/>
          <w:sz w:val="22"/>
          <w:szCs w:val="22"/>
        </w:rPr>
      </w:pPr>
      <w:r>
        <w:rPr>
          <w:rFonts w:ascii="Arial" w:hAnsi="Arial" w:cs="Arial"/>
          <w:sz w:val="22"/>
          <w:szCs w:val="22"/>
        </w:rPr>
        <w:t>En efecto, la norma sexta se refiere a esta cuestión, definiendo los criterios para calificar Jurídicamente a las transferencias que se realicen:</w:t>
      </w:r>
    </w:p>
    <w:p w:rsidR="009B4233" w:rsidRDefault="009B4233">
      <w:pPr>
        <w:ind w:firstLine="708"/>
        <w:jc w:val="both"/>
        <w:rPr>
          <w:rFonts w:ascii="Arial" w:hAnsi="Arial" w:cs="Arial"/>
          <w:sz w:val="22"/>
          <w:szCs w:val="22"/>
        </w:rPr>
      </w:pPr>
    </w:p>
    <w:p w:rsidR="009B4233" w:rsidRDefault="006B08B9">
      <w:pPr>
        <w:jc w:val="both"/>
      </w:pPr>
      <w:r>
        <w:rPr>
          <w:rFonts w:ascii="Arial" w:hAnsi="Arial" w:cs="Arial"/>
          <w:i/>
          <w:iCs/>
          <w:sz w:val="22"/>
          <w:szCs w:val="22"/>
        </w:rPr>
        <w:t>«Sexta. Criterios aplicables para calificar una actividad subvencionada como de «i</w:t>
      </w:r>
      <w:r>
        <w:rPr>
          <w:rFonts w:ascii="Arial" w:hAnsi="Arial" w:cs="Arial"/>
          <w:i/>
          <w:iCs/>
          <w:sz w:val="22"/>
          <w:szCs w:val="22"/>
        </w:rPr>
        <w:t>nterés público o general»:</w:t>
      </w:r>
    </w:p>
    <w:p w:rsidR="009B4233" w:rsidRDefault="006B08B9">
      <w:pPr>
        <w:jc w:val="both"/>
      </w:pPr>
      <w:r>
        <w:rPr>
          <w:rFonts w:ascii="Arial" w:hAnsi="Arial" w:cs="Arial"/>
          <w:i/>
          <w:iCs/>
          <w:sz w:val="22"/>
          <w:szCs w:val="22"/>
        </w:rPr>
        <w:t>1. Las empresas públicas que reciban subvenciones de la entidad pública dominante para financiar actividades de «interés público o general» contabilizarán dichas ayudas de acuerdo con los criterios generales recogidos en el apart</w:t>
      </w:r>
      <w:r>
        <w:rPr>
          <w:rFonts w:ascii="Arial" w:hAnsi="Arial" w:cs="Arial"/>
          <w:i/>
          <w:iCs/>
          <w:sz w:val="22"/>
          <w:szCs w:val="22"/>
        </w:rPr>
        <w:t>ado 1 de la norma de registro y valoración 18. «Subvenciones, donaciones y Legados recibidos», del Plan General de Contabilidad. En particular, estos criterios se aplicarán en los siguientes casos:</w:t>
      </w:r>
    </w:p>
    <w:p w:rsidR="009B4233" w:rsidRDefault="006B08B9">
      <w:pPr>
        <w:jc w:val="both"/>
      </w:pPr>
      <w:r>
        <w:rPr>
          <w:rFonts w:ascii="Arial" w:hAnsi="Arial" w:cs="Arial"/>
          <w:i/>
          <w:iCs/>
          <w:sz w:val="22"/>
          <w:szCs w:val="22"/>
        </w:rPr>
        <w:t>a) Subvenciones concedidas a las empresas públicas por ent</w:t>
      </w:r>
      <w:r>
        <w:rPr>
          <w:rFonts w:ascii="Arial" w:hAnsi="Arial" w:cs="Arial"/>
          <w:i/>
          <w:iCs/>
          <w:sz w:val="22"/>
          <w:szCs w:val="22"/>
        </w:rPr>
        <w:t>idades públicas dominantes que cumplan los requisitos establecidos en la Ley 38/2003, de 17 de noviembre, General de Subvenciones.</w:t>
      </w:r>
    </w:p>
    <w:p w:rsidR="009B4233" w:rsidRDefault="006B08B9">
      <w:pPr>
        <w:jc w:val="both"/>
      </w:pPr>
      <w:r>
        <w:rPr>
          <w:rFonts w:ascii="Arial" w:hAnsi="Arial" w:cs="Arial"/>
          <w:i/>
          <w:iCs/>
          <w:sz w:val="22"/>
          <w:szCs w:val="22"/>
        </w:rPr>
        <w:t>b) Transferencias u otras entregas sin contraprestación recibidas de las entidades públicas dominantes para financiar activid</w:t>
      </w:r>
      <w:r>
        <w:rPr>
          <w:rFonts w:ascii="Arial" w:hAnsi="Arial" w:cs="Arial"/>
          <w:i/>
          <w:iCs/>
          <w:sz w:val="22"/>
          <w:szCs w:val="22"/>
        </w:rPr>
        <w:t>ades específicas que cumplan alguno de los siguientes requisitos:</w:t>
      </w:r>
    </w:p>
    <w:p w:rsidR="009B4233" w:rsidRDefault="006B08B9">
      <w:pPr>
        <w:jc w:val="both"/>
      </w:pPr>
      <w:r>
        <w:rPr>
          <w:rFonts w:ascii="Arial" w:hAnsi="Arial" w:cs="Arial"/>
          <w:i/>
          <w:iCs/>
          <w:sz w:val="22"/>
          <w:szCs w:val="22"/>
        </w:rPr>
        <w:t>b.1) Las destinadas a financiar actividades específicas que hayan sido declaradas de interés público o general mediante una norma Jurídica. Si la transferencia compensa pérdidas genéricas se</w:t>
      </w:r>
      <w:r>
        <w:rPr>
          <w:rFonts w:ascii="Arial" w:hAnsi="Arial" w:cs="Arial"/>
          <w:i/>
          <w:iCs/>
          <w:sz w:val="22"/>
          <w:szCs w:val="22"/>
        </w:rPr>
        <w:t>rá de aplicación el apartado 2 de esta norma, salvo que la empresa desarrolle una sola actividad específica que haya sido declarada de interés público o general mediante una norma Jurídica.</w:t>
      </w:r>
    </w:p>
    <w:p w:rsidR="009B4233" w:rsidRDefault="006B08B9">
      <w:pPr>
        <w:jc w:val="both"/>
        <w:rPr>
          <w:rFonts w:ascii="Arial" w:hAnsi="Arial" w:cs="Arial"/>
          <w:i/>
          <w:iCs/>
          <w:sz w:val="22"/>
          <w:szCs w:val="22"/>
        </w:rPr>
      </w:pPr>
      <w:r>
        <w:rPr>
          <w:rFonts w:ascii="Arial" w:hAnsi="Arial" w:cs="Arial"/>
          <w:i/>
          <w:iCs/>
          <w:sz w:val="22"/>
          <w:szCs w:val="22"/>
        </w:rPr>
        <w:t>b.2) Las establecidas mediante contratos-programa, convenios, plan</w:t>
      </w:r>
      <w:r>
        <w:rPr>
          <w:rFonts w:ascii="Arial" w:hAnsi="Arial" w:cs="Arial"/>
          <w:i/>
          <w:iCs/>
          <w:sz w:val="22"/>
          <w:szCs w:val="22"/>
        </w:rPr>
        <w:t>es aprobados por el correspondiente Gobierno u otros instrumentos Jurídicos cuya finalidad sea la realización de una determinada actividad o la prestación de un determinado servicio de interés público o general, siempre que en dichos instrumentos Jurídicos</w:t>
      </w:r>
      <w:r>
        <w:rPr>
          <w:rFonts w:ascii="Arial" w:hAnsi="Arial" w:cs="Arial"/>
          <w:i/>
          <w:iCs/>
          <w:sz w:val="22"/>
          <w:szCs w:val="22"/>
        </w:rPr>
        <w:t xml:space="preserve"> se especifiquen las distintas finalidades que pueda tener la transferencia y los importes que financian cada una de las actividades específicas.</w:t>
      </w:r>
    </w:p>
    <w:p w:rsidR="009B4233" w:rsidRDefault="009B4233">
      <w:pPr>
        <w:jc w:val="both"/>
        <w:rPr>
          <w:rFonts w:ascii="Arial" w:hAnsi="Arial" w:cs="Arial"/>
          <w:i/>
          <w:iCs/>
          <w:sz w:val="22"/>
          <w:szCs w:val="22"/>
        </w:rPr>
      </w:pPr>
    </w:p>
    <w:p w:rsidR="009B4233" w:rsidRDefault="006B08B9">
      <w:pPr>
        <w:ind w:firstLine="708"/>
        <w:jc w:val="both"/>
        <w:rPr>
          <w:rFonts w:ascii="Arial" w:hAnsi="Arial" w:cs="Arial"/>
          <w:bCs/>
          <w:iCs/>
          <w:sz w:val="22"/>
          <w:szCs w:val="22"/>
        </w:rPr>
      </w:pPr>
      <w:r>
        <w:rPr>
          <w:rFonts w:ascii="Arial" w:hAnsi="Arial" w:cs="Arial"/>
          <w:bCs/>
          <w:iCs/>
          <w:sz w:val="22"/>
          <w:szCs w:val="22"/>
        </w:rPr>
        <w:t>Con la entrada en vigor del Real Decreto 424/2017, de 28 de abril, por el que se regula el régimen jurídico d</w:t>
      </w:r>
      <w:r>
        <w:rPr>
          <w:rFonts w:ascii="Arial" w:hAnsi="Arial" w:cs="Arial"/>
          <w:bCs/>
          <w:iCs/>
          <w:sz w:val="22"/>
          <w:szCs w:val="22"/>
        </w:rPr>
        <w:t>el control interno en las entidades del Sector Público Local, las entidades dependientes de la Corporación local, deberán someterse a las auditorías de cuentas, de cumplimiento y operativa.</w:t>
      </w:r>
    </w:p>
    <w:p w:rsidR="009B4233" w:rsidRDefault="009B4233">
      <w:pPr>
        <w:ind w:firstLine="708"/>
        <w:jc w:val="both"/>
        <w:rPr>
          <w:rFonts w:ascii="Arial" w:hAnsi="Arial" w:cs="Arial"/>
          <w:bCs/>
          <w:iCs/>
          <w:sz w:val="22"/>
          <w:szCs w:val="22"/>
        </w:rPr>
      </w:pPr>
    </w:p>
    <w:p w:rsidR="009B4233" w:rsidRDefault="006B08B9">
      <w:pPr>
        <w:ind w:firstLine="708"/>
        <w:jc w:val="both"/>
      </w:pPr>
      <w:r>
        <w:rPr>
          <w:rFonts w:ascii="Arial" w:hAnsi="Arial" w:cs="Arial"/>
          <w:bCs/>
          <w:iCs/>
          <w:sz w:val="22"/>
          <w:szCs w:val="22"/>
        </w:rPr>
        <w:t xml:space="preserve">Por primera vez, </w:t>
      </w:r>
      <w:r>
        <w:rPr>
          <w:rFonts w:ascii="Arial" w:hAnsi="Arial" w:cs="Arial"/>
          <w:bCs/>
          <w:iCs/>
          <w:sz w:val="22"/>
          <w:szCs w:val="22"/>
          <w:lang w:val="ca-ES"/>
        </w:rPr>
        <w:t>se determinan objetivos para las entidades depen</w:t>
      </w:r>
      <w:r>
        <w:rPr>
          <w:rFonts w:ascii="Arial" w:hAnsi="Arial" w:cs="Arial"/>
          <w:bCs/>
          <w:iCs/>
          <w:sz w:val="22"/>
          <w:szCs w:val="22"/>
          <w:lang w:val="ca-ES"/>
        </w:rPr>
        <w:t>dientes, con detalle de los indicadores de gestión y de los efectos del incumplimiento de los compromisos acordados, en cumplimiento del articulo 68 de la Ley 47/2003 de 26 de novembre, General Presupuestaria.</w:t>
      </w:r>
    </w:p>
    <w:p w:rsidR="009B4233" w:rsidRDefault="009B4233">
      <w:pPr>
        <w:ind w:firstLine="708"/>
        <w:jc w:val="both"/>
        <w:rPr>
          <w:rFonts w:ascii="Arial" w:hAnsi="Arial" w:cs="Arial"/>
          <w:bCs/>
          <w:iCs/>
          <w:sz w:val="22"/>
          <w:szCs w:val="22"/>
          <w:lang w:val="ca-ES"/>
        </w:rPr>
      </w:pPr>
    </w:p>
    <w:p w:rsidR="009B4233" w:rsidRDefault="006B08B9">
      <w:pPr>
        <w:ind w:firstLine="708"/>
        <w:jc w:val="both"/>
        <w:rPr>
          <w:rFonts w:ascii="Arial" w:hAnsi="Arial" w:cs="Arial"/>
          <w:bCs/>
          <w:iCs/>
          <w:sz w:val="22"/>
          <w:szCs w:val="22"/>
          <w:lang w:val="ca-ES"/>
        </w:rPr>
      </w:pPr>
      <w:r>
        <w:rPr>
          <w:rFonts w:ascii="Arial" w:hAnsi="Arial" w:cs="Arial"/>
          <w:bCs/>
          <w:iCs/>
          <w:sz w:val="22"/>
          <w:szCs w:val="22"/>
          <w:lang w:val="ca-ES"/>
        </w:rPr>
        <w:t>Una vez emitidos los informes correspondiente</w:t>
      </w:r>
      <w:r>
        <w:rPr>
          <w:rFonts w:ascii="Arial" w:hAnsi="Arial" w:cs="Arial"/>
          <w:bCs/>
          <w:iCs/>
          <w:sz w:val="22"/>
          <w:szCs w:val="22"/>
          <w:lang w:val="ca-ES"/>
        </w:rPr>
        <w:t>s, por parte de las citadas entidades, se trasladan las mismas en los siguientes cuadros, poniéndose de manifiesto, que se han cumplido por parte de las diferentes entidades, los indicadores, por lo que no procede detraer cantidad alguna con cargo al Presu</w:t>
      </w:r>
      <w:r>
        <w:rPr>
          <w:rFonts w:ascii="Arial" w:hAnsi="Arial" w:cs="Arial"/>
          <w:bCs/>
          <w:iCs/>
          <w:sz w:val="22"/>
          <w:szCs w:val="22"/>
          <w:lang w:val="ca-ES"/>
        </w:rPr>
        <w:t xml:space="preserve">puesto General, para este ejercicio: </w:t>
      </w:r>
    </w:p>
    <w:p w:rsidR="009B4233" w:rsidRDefault="009B4233">
      <w:pPr>
        <w:ind w:firstLine="708"/>
        <w:jc w:val="both"/>
        <w:rPr>
          <w:rFonts w:ascii="Arial" w:hAnsi="Arial" w:cs="Arial"/>
          <w:bCs/>
          <w:iCs/>
          <w:sz w:val="22"/>
          <w:szCs w:val="22"/>
          <w:lang w:val="ca-ES"/>
        </w:rPr>
      </w:pPr>
    </w:p>
    <w:p w:rsidR="009B4233" w:rsidRDefault="009B4233">
      <w:pPr>
        <w:ind w:firstLine="708"/>
        <w:jc w:val="both"/>
        <w:rPr>
          <w:rFonts w:ascii="Arial" w:hAnsi="Arial" w:cs="Arial"/>
          <w:bCs/>
          <w:iCs/>
          <w:sz w:val="22"/>
          <w:szCs w:val="22"/>
          <w:lang w:val="ca-ES"/>
        </w:rPr>
      </w:pPr>
    </w:p>
    <w:p w:rsidR="009B4233" w:rsidRDefault="009B4233">
      <w:pPr>
        <w:ind w:firstLine="708"/>
        <w:jc w:val="both"/>
        <w:rPr>
          <w:rFonts w:ascii="Arial" w:hAnsi="Arial" w:cs="Arial"/>
          <w:bCs/>
          <w:iCs/>
          <w:sz w:val="22"/>
          <w:szCs w:val="22"/>
          <w:lang w:val="ca-ES"/>
        </w:rPr>
      </w:pPr>
    </w:p>
    <w:p w:rsidR="009B4233" w:rsidRDefault="009B4233">
      <w:pPr>
        <w:ind w:firstLine="708"/>
        <w:jc w:val="both"/>
        <w:rPr>
          <w:rFonts w:ascii="Arial" w:hAnsi="Arial" w:cs="Arial"/>
          <w:bCs/>
          <w:iCs/>
          <w:sz w:val="22"/>
          <w:szCs w:val="22"/>
          <w:lang w:val="ca-ES"/>
        </w:rPr>
      </w:pPr>
    </w:p>
    <w:p w:rsidR="009B4233" w:rsidRDefault="009B4233">
      <w:pPr>
        <w:ind w:firstLine="708"/>
        <w:jc w:val="both"/>
        <w:rPr>
          <w:rFonts w:ascii="Arial" w:hAnsi="Arial" w:cs="Arial"/>
          <w:bCs/>
          <w:iCs/>
          <w:sz w:val="22"/>
          <w:szCs w:val="22"/>
          <w:lang w:val="ca-ES"/>
        </w:rPr>
      </w:pPr>
    </w:p>
    <w:p w:rsidR="009B4233" w:rsidRDefault="009B4233">
      <w:pPr>
        <w:ind w:firstLine="708"/>
        <w:jc w:val="both"/>
        <w:rPr>
          <w:rFonts w:ascii="Arial" w:hAnsi="Arial" w:cs="Arial"/>
          <w:bCs/>
          <w:iCs/>
          <w:sz w:val="22"/>
          <w:szCs w:val="22"/>
          <w:lang w:val="ca-ES"/>
        </w:rPr>
      </w:pPr>
    </w:p>
    <w:p w:rsidR="009B4233" w:rsidRDefault="009B4233">
      <w:pPr>
        <w:ind w:firstLine="708"/>
        <w:jc w:val="both"/>
        <w:rPr>
          <w:rFonts w:ascii="Arial" w:hAnsi="Arial" w:cs="Arial"/>
          <w:bCs/>
          <w:iCs/>
          <w:sz w:val="22"/>
          <w:szCs w:val="22"/>
          <w:lang w:val="ca-ES"/>
        </w:rPr>
      </w:pPr>
    </w:p>
    <w:p w:rsidR="009B4233" w:rsidRDefault="009B4233">
      <w:pPr>
        <w:ind w:firstLine="708"/>
        <w:jc w:val="both"/>
        <w:rPr>
          <w:rFonts w:ascii="Arial" w:hAnsi="Arial" w:cs="Arial"/>
          <w:bCs/>
          <w:iCs/>
          <w:sz w:val="22"/>
          <w:szCs w:val="22"/>
          <w:lang w:val="ca-ES"/>
        </w:rPr>
      </w:pPr>
    </w:p>
    <w:p w:rsidR="009B4233" w:rsidRDefault="006B08B9">
      <w:pPr>
        <w:jc w:val="both"/>
        <w:rPr>
          <w:rFonts w:ascii="Arial" w:hAnsi="Arial" w:cs="Arial"/>
          <w:b/>
          <w:bCs/>
          <w:i/>
          <w:iCs/>
          <w:sz w:val="22"/>
          <w:szCs w:val="22"/>
          <w:lang w:val="ca-ES"/>
        </w:rPr>
      </w:pPr>
      <w:r>
        <w:rPr>
          <w:rFonts w:ascii="Arial" w:hAnsi="Arial" w:cs="Arial"/>
          <w:b/>
          <w:bCs/>
          <w:i/>
          <w:iCs/>
          <w:sz w:val="22"/>
          <w:szCs w:val="22"/>
          <w:lang w:val="ca-ES"/>
        </w:rPr>
        <w:t>1.- Entidad Pública Empresarial:</w:t>
      </w:r>
    </w:p>
    <w:p w:rsidR="009B4233" w:rsidRDefault="009B4233">
      <w:pPr>
        <w:jc w:val="both"/>
        <w:rPr>
          <w:rFonts w:ascii="Arial" w:hAnsi="Arial" w:cs="Arial"/>
          <w:bCs/>
          <w:iCs/>
          <w:sz w:val="22"/>
          <w:szCs w:val="22"/>
          <w:lang w:val="ca-ES"/>
        </w:rPr>
      </w:pPr>
    </w:p>
    <w:tbl>
      <w:tblPr>
        <w:tblW w:w="8564" w:type="dxa"/>
        <w:tblCellMar>
          <w:left w:w="10" w:type="dxa"/>
          <w:right w:w="10" w:type="dxa"/>
        </w:tblCellMar>
        <w:tblLook w:val="0000" w:firstRow="0" w:lastRow="0" w:firstColumn="0" w:lastColumn="0" w:noHBand="0" w:noVBand="0"/>
      </w:tblPr>
      <w:tblGrid>
        <w:gridCol w:w="1385"/>
        <w:gridCol w:w="1578"/>
        <w:gridCol w:w="1711"/>
        <w:gridCol w:w="1881"/>
        <w:gridCol w:w="2009"/>
      </w:tblGrid>
      <w:tr w:rsidR="009B4233">
        <w:tblPrEx>
          <w:tblCellMar>
            <w:top w:w="0" w:type="dxa"/>
            <w:bottom w:w="0" w:type="dxa"/>
          </w:tblCellMar>
        </w:tblPrEx>
        <w:tc>
          <w:tcPr>
            <w:tcW w:w="13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jc w:val="both"/>
              <w:rPr>
                <w:rFonts w:ascii="Arial" w:hAnsi="Arial" w:cs="Arial"/>
                <w:b/>
                <w:bCs/>
                <w:iCs/>
                <w:sz w:val="22"/>
                <w:szCs w:val="22"/>
                <w:lang w:val="ca-ES"/>
              </w:rPr>
            </w:pPr>
            <w:r>
              <w:rPr>
                <w:rFonts w:ascii="Arial" w:hAnsi="Arial" w:cs="Arial"/>
                <w:b/>
                <w:bCs/>
                <w:iCs/>
                <w:sz w:val="22"/>
                <w:szCs w:val="22"/>
                <w:lang w:val="ca-ES"/>
              </w:rPr>
              <w:t>OBJETIVOS</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jc w:val="both"/>
              <w:rPr>
                <w:rFonts w:ascii="Arial" w:hAnsi="Arial" w:cs="Arial"/>
                <w:b/>
                <w:bCs/>
                <w:iCs/>
                <w:sz w:val="22"/>
                <w:szCs w:val="22"/>
                <w:lang w:val="ca-ES"/>
              </w:rPr>
            </w:pPr>
            <w:r>
              <w:rPr>
                <w:rFonts w:ascii="Arial" w:hAnsi="Arial" w:cs="Arial"/>
                <w:b/>
                <w:bCs/>
                <w:iCs/>
                <w:sz w:val="22"/>
                <w:szCs w:val="22"/>
                <w:lang w:val="ca-ES"/>
              </w:rPr>
              <w:t>INDICADORES</w:t>
            </w:r>
          </w:p>
        </w:tc>
        <w:tc>
          <w:tcPr>
            <w:tcW w:w="17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jc w:val="both"/>
              <w:rPr>
                <w:rFonts w:ascii="Arial" w:hAnsi="Arial" w:cs="Arial"/>
                <w:b/>
                <w:bCs/>
                <w:iCs/>
                <w:sz w:val="22"/>
                <w:szCs w:val="22"/>
                <w:lang w:val="ca-ES"/>
              </w:rPr>
            </w:pPr>
            <w:r>
              <w:rPr>
                <w:rFonts w:ascii="Arial" w:hAnsi="Arial" w:cs="Arial"/>
                <w:b/>
                <w:bCs/>
                <w:iCs/>
                <w:sz w:val="22"/>
                <w:szCs w:val="22"/>
                <w:lang w:val="ca-ES"/>
              </w:rPr>
              <w:t>GRADO CUMPLIMIENTO</w:t>
            </w:r>
          </w:p>
        </w:tc>
        <w:tc>
          <w:tcPr>
            <w:tcW w:w="18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jc w:val="both"/>
              <w:rPr>
                <w:rFonts w:ascii="Arial" w:hAnsi="Arial" w:cs="Arial"/>
                <w:b/>
                <w:bCs/>
                <w:iCs/>
                <w:sz w:val="22"/>
                <w:szCs w:val="22"/>
                <w:lang w:val="ca-ES"/>
              </w:rPr>
            </w:pPr>
            <w:r>
              <w:rPr>
                <w:rFonts w:ascii="Arial" w:hAnsi="Arial" w:cs="Arial"/>
                <w:b/>
                <w:bCs/>
                <w:iCs/>
                <w:sz w:val="22"/>
                <w:szCs w:val="22"/>
                <w:lang w:val="ca-ES"/>
              </w:rPr>
              <w:t>CUMPLIMIENTO</w:t>
            </w:r>
          </w:p>
          <w:p w:rsidR="009B4233" w:rsidRDefault="006B08B9">
            <w:pPr>
              <w:jc w:val="both"/>
              <w:rPr>
                <w:rFonts w:ascii="Arial" w:hAnsi="Arial" w:cs="Arial"/>
                <w:b/>
                <w:bCs/>
                <w:iCs/>
                <w:sz w:val="22"/>
                <w:szCs w:val="22"/>
                <w:lang w:val="ca-ES"/>
              </w:rPr>
            </w:pPr>
            <w:r>
              <w:rPr>
                <w:rFonts w:ascii="Arial" w:hAnsi="Arial" w:cs="Arial"/>
                <w:b/>
                <w:bCs/>
                <w:iCs/>
                <w:sz w:val="22"/>
                <w:szCs w:val="22"/>
                <w:lang w:val="ca-ES"/>
              </w:rPr>
              <w:t>/ INCUMPLIMIENTO</w:t>
            </w:r>
          </w:p>
        </w:tc>
        <w:tc>
          <w:tcPr>
            <w:tcW w:w="20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jc w:val="both"/>
              <w:rPr>
                <w:rFonts w:ascii="Arial" w:hAnsi="Arial" w:cs="Arial"/>
                <w:b/>
                <w:bCs/>
                <w:iCs/>
                <w:sz w:val="22"/>
                <w:szCs w:val="22"/>
                <w:lang w:val="ca-ES"/>
              </w:rPr>
            </w:pPr>
            <w:r>
              <w:rPr>
                <w:rFonts w:ascii="Arial" w:hAnsi="Arial" w:cs="Arial"/>
                <w:b/>
                <w:bCs/>
                <w:iCs/>
                <w:sz w:val="22"/>
                <w:szCs w:val="22"/>
                <w:lang w:val="ca-ES"/>
              </w:rPr>
              <w:t>EFECTOS INCUMPLIMIENTOS</w:t>
            </w:r>
          </w:p>
        </w:tc>
      </w:tr>
      <w:tr w:rsidR="009B4233">
        <w:tblPrEx>
          <w:tblCellMar>
            <w:top w:w="0" w:type="dxa"/>
            <w:bottom w:w="0" w:type="dxa"/>
          </w:tblCellMar>
        </w:tblPrEx>
        <w:tc>
          <w:tcPr>
            <w:tcW w:w="13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jc w:val="both"/>
              <w:rPr>
                <w:rFonts w:ascii="Arial" w:hAnsi="Arial" w:cs="Arial"/>
                <w:bCs/>
                <w:iCs/>
                <w:sz w:val="22"/>
                <w:szCs w:val="22"/>
                <w:lang w:val="ca-ES"/>
              </w:rPr>
            </w:pPr>
            <w:r>
              <w:rPr>
                <w:rFonts w:ascii="Arial" w:hAnsi="Arial" w:cs="Arial"/>
                <w:bCs/>
                <w:iCs/>
                <w:sz w:val="22"/>
                <w:szCs w:val="22"/>
                <w:lang w:val="ca-ES"/>
              </w:rPr>
              <w:t>Pago a Proveedores en Plazo</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jc w:val="both"/>
              <w:rPr>
                <w:rFonts w:ascii="Arial" w:hAnsi="Arial" w:cs="Arial"/>
                <w:bCs/>
                <w:iCs/>
                <w:sz w:val="22"/>
                <w:szCs w:val="22"/>
                <w:lang w:val="ca-ES"/>
              </w:rPr>
            </w:pPr>
            <w:r>
              <w:rPr>
                <w:rFonts w:ascii="Arial" w:hAnsi="Arial" w:cs="Arial"/>
                <w:bCs/>
                <w:iCs/>
                <w:sz w:val="22"/>
                <w:szCs w:val="22"/>
                <w:lang w:val="ca-ES"/>
              </w:rPr>
              <w:t>Cumplimiento Periodo Medio de pago anual</w:t>
            </w:r>
          </w:p>
        </w:tc>
        <w:tc>
          <w:tcPr>
            <w:tcW w:w="17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jc w:val="both"/>
              <w:rPr>
                <w:rFonts w:ascii="Arial" w:hAnsi="Arial" w:cs="Arial"/>
                <w:bCs/>
                <w:iCs/>
                <w:sz w:val="22"/>
                <w:szCs w:val="22"/>
                <w:lang w:val="ca-ES"/>
              </w:rPr>
            </w:pPr>
            <w:r>
              <w:rPr>
                <w:rFonts w:ascii="Arial" w:hAnsi="Arial" w:cs="Arial"/>
                <w:bCs/>
                <w:iCs/>
                <w:sz w:val="22"/>
                <w:szCs w:val="22"/>
                <w:lang w:val="ca-ES"/>
              </w:rPr>
              <w:t xml:space="preserve">5,79 &lt; 30 </w:t>
            </w:r>
            <w:r>
              <w:rPr>
                <w:rFonts w:ascii="Arial" w:hAnsi="Arial" w:cs="Arial"/>
                <w:bCs/>
                <w:iCs/>
                <w:sz w:val="22"/>
                <w:szCs w:val="22"/>
                <w:lang w:val="ca-ES"/>
              </w:rPr>
              <w:t>días</w:t>
            </w:r>
          </w:p>
        </w:tc>
        <w:tc>
          <w:tcPr>
            <w:tcW w:w="18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jc w:val="both"/>
              <w:rPr>
                <w:rFonts w:ascii="Arial" w:hAnsi="Arial" w:cs="Arial"/>
                <w:bCs/>
                <w:iCs/>
                <w:sz w:val="22"/>
                <w:szCs w:val="22"/>
                <w:lang w:val="ca-ES"/>
              </w:rPr>
            </w:pPr>
            <w:r>
              <w:rPr>
                <w:rFonts w:ascii="Arial" w:hAnsi="Arial" w:cs="Arial"/>
                <w:bCs/>
                <w:iCs/>
                <w:sz w:val="22"/>
                <w:szCs w:val="22"/>
                <w:lang w:val="ca-ES"/>
              </w:rPr>
              <w:t>CUMPLIENTO</w:t>
            </w:r>
          </w:p>
        </w:tc>
        <w:tc>
          <w:tcPr>
            <w:tcW w:w="20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jc w:val="both"/>
              <w:rPr>
                <w:rFonts w:ascii="Arial" w:hAnsi="Arial" w:cs="Arial"/>
                <w:bCs/>
                <w:iCs/>
                <w:sz w:val="22"/>
                <w:szCs w:val="22"/>
                <w:lang w:val="ca-ES"/>
              </w:rPr>
            </w:pPr>
            <w:r>
              <w:rPr>
                <w:rFonts w:ascii="Arial" w:hAnsi="Arial" w:cs="Arial"/>
                <w:bCs/>
                <w:iCs/>
                <w:sz w:val="22"/>
                <w:szCs w:val="22"/>
                <w:lang w:val="ca-ES"/>
              </w:rPr>
              <w:t xml:space="preserve"> NO</w:t>
            </w:r>
          </w:p>
        </w:tc>
      </w:tr>
      <w:tr w:rsidR="009B4233">
        <w:tblPrEx>
          <w:tblCellMar>
            <w:top w:w="0" w:type="dxa"/>
            <w:bottom w:w="0" w:type="dxa"/>
          </w:tblCellMar>
        </w:tblPrEx>
        <w:tc>
          <w:tcPr>
            <w:tcW w:w="13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jc w:val="both"/>
              <w:rPr>
                <w:rFonts w:ascii="Arial" w:hAnsi="Arial" w:cs="Arial"/>
                <w:bCs/>
                <w:iCs/>
                <w:sz w:val="22"/>
                <w:szCs w:val="22"/>
                <w:lang w:val="ca-ES"/>
              </w:rPr>
            </w:pPr>
            <w:r>
              <w:rPr>
                <w:rFonts w:ascii="Arial" w:hAnsi="Arial" w:cs="Arial"/>
                <w:bCs/>
                <w:iCs/>
                <w:sz w:val="22"/>
                <w:szCs w:val="22"/>
                <w:lang w:val="ca-ES"/>
              </w:rPr>
              <w:t>Costes de Personal</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jc w:val="both"/>
              <w:rPr>
                <w:rFonts w:ascii="Arial" w:hAnsi="Arial" w:cs="Arial"/>
                <w:bCs/>
                <w:iCs/>
                <w:sz w:val="22"/>
                <w:szCs w:val="22"/>
                <w:lang w:val="ca-ES"/>
              </w:rPr>
            </w:pPr>
            <w:r>
              <w:rPr>
                <w:rFonts w:ascii="Arial" w:hAnsi="Arial" w:cs="Arial"/>
                <w:bCs/>
                <w:iCs/>
                <w:sz w:val="22"/>
                <w:szCs w:val="22"/>
                <w:lang w:val="ca-ES"/>
              </w:rPr>
              <w:t>No superar las Previsiones presupuestadas en Personal</w:t>
            </w:r>
          </w:p>
        </w:tc>
        <w:tc>
          <w:tcPr>
            <w:tcW w:w="17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jc w:val="both"/>
              <w:rPr>
                <w:rFonts w:ascii="Arial" w:hAnsi="Arial" w:cs="Arial"/>
                <w:bCs/>
                <w:iCs/>
                <w:sz w:val="22"/>
                <w:szCs w:val="22"/>
                <w:lang w:val="ca-ES"/>
              </w:rPr>
            </w:pPr>
            <w:r>
              <w:rPr>
                <w:rFonts w:ascii="Arial" w:hAnsi="Arial" w:cs="Arial"/>
                <w:bCs/>
                <w:iCs/>
                <w:sz w:val="22"/>
                <w:szCs w:val="22"/>
                <w:lang w:val="ca-ES"/>
              </w:rPr>
              <w:t>540.704,21 € Presupuesto) &gt; 440.543,09 € (Gasto)</w:t>
            </w:r>
          </w:p>
        </w:tc>
        <w:tc>
          <w:tcPr>
            <w:tcW w:w="18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jc w:val="both"/>
              <w:rPr>
                <w:rFonts w:ascii="Arial" w:hAnsi="Arial" w:cs="Arial"/>
                <w:bCs/>
                <w:iCs/>
                <w:sz w:val="22"/>
                <w:szCs w:val="22"/>
                <w:lang w:val="ca-ES"/>
              </w:rPr>
            </w:pPr>
            <w:r>
              <w:rPr>
                <w:rFonts w:ascii="Arial" w:hAnsi="Arial" w:cs="Arial"/>
                <w:bCs/>
                <w:iCs/>
                <w:sz w:val="22"/>
                <w:szCs w:val="22"/>
                <w:lang w:val="ca-ES"/>
              </w:rPr>
              <w:t>CUMPLIMIENTO</w:t>
            </w:r>
          </w:p>
        </w:tc>
        <w:tc>
          <w:tcPr>
            <w:tcW w:w="20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jc w:val="both"/>
              <w:rPr>
                <w:rFonts w:ascii="Arial" w:hAnsi="Arial" w:cs="Arial"/>
                <w:bCs/>
                <w:iCs/>
                <w:sz w:val="22"/>
                <w:szCs w:val="22"/>
                <w:lang w:val="ca-ES"/>
              </w:rPr>
            </w:pPr>
            <w:r>
              <w:rPr>
                <w:rFonts w:ascii="Arial" w:hAnsi="Arial" w:cs="Arial"/>
                <w:bCs/>
                <w:iCs/>
                <w:sz w:val="22"/>
                <w:szCs w:val="22"/>
                <w:lang w:val="ca-ES"/>
              </w:rPr>
              <w:t>NO</w:t>
            </w:r>
          </w:p>
        </w:tc>
      </w:tr>
      <w:tr w:rsidR="009B4233">
        <w:tblPrEx>
          <w:tblCellMar>
            <w:top w:w="0" w:type="dxa"/>
            <w:bottom w:w="0" w:type="dxa"/>
          </w:tblCellMar>
        </w:tblPrEx>
        <w:tc>
          <w:tcPr>
            <w:tcW w:w="13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jc w:val="both"/>
              <w:rPr>
                <w:rFonts w:ascii="Arial" w:hAnsi="Arial" w:cs="Arial"/>
                <w:bCs/>
                <w:iCs/>
                <w:sz w:val="22"/>
                <w:szCs w:val="22"/>
                <w:lang w:val="ca-ES"/>
              </w:rPr>
            </w:pPr>
            <w:r>
              <w:rPr>
                <w:rFonts w:ascii="Arial" w:hAnsi="Arial" w:cs="Arial"/>
                <w:bCs/>
                <w:iCs/>
                <w:sz w:val="22"/>
                <w:szCs w:val="22"/>
                <w:lang w:val="ca-ES"/>
              </w:rPr>
              <w:t>Cumplimiento Legislación fiscal, laboral</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jc w:val="both"/>
              <w:rPr>
                <w:rFonts w:ascii="Arial" w:hAnsi="Arial" w:cs="Arial"/>
                <w:bCs/>
                <w:iCs/>
                <w:sz w:val="22"/>
                <w:szCs w:val="22"/>
                <w:lang w:val="ca-ES"/>
              </w:rPr>
            </w:pPr>
            <w:r>
              <w:rPr>
                <w:rFonts w:ascii="Arial" w:hAnsi="Arial" w:cs="Arial"/>
                <w:bCs/>
                <w:iCs/>
                <w:sz w:val="22"/>
                <w:szCs w:val="22"/>
                <w:lang w:val="ca-ES"/>
              </w:rPr>
              <w:t>Presentación en plazo de Modelos de ámbito fiscal y Lab</w:t>
            </w:r>
            <w:r>
              <w:rPr>
                <w:rFonts w:ascii="Arial" w:hAnsi="Arial" w:cs="Arial"/>
                <w:bCs/>
                <w:iCs/>
                <w:sz w:val="22"/>
                <w:szCs w:val="22"/>
                <w:lang w:val="ca-ES"/>
              </w:rPr>
              <w:t>oral</w:t>
            </w:r>
          </w:p>
        </w:tc>
        <w:tc>
          <w:tcPr>
            <w:tcW w:w="17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jc w:val="both"/>
              <w:rPr>
                <w:rFonts w:ascii="Arial" w:hAnsi="Arial" w:cs="Arial"/>
                <w:bCs/>
                <w:iCs/>
                <w:sz w:val="22"/>
                <w:szCs w:val="22"/>
                <w:lang w:val="ca-ES"/>
              </w:rPr>
            </w:pPr>
            <w:r>
              <w:rPr>
                <w:rFonts w:ascii="Arial" w:hAnsi="Arial" w:cs="Arial"/>
                <w:bCs/>
                <w:iCs/>
                <w:sz w:val="22"/>
                <w:szCs w:val="22"/>
                <w:lang w:val="ca-ES"/>
              </w:rPr>
              <w:t>PRESENTACIÓN EN PLAZO DE MODELOS</w:t>
            </w:r>
          </w:p>
        </w:tc>
        <w:tc>
          <w:tcPr>
            <w:tcW w:w="18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jc w:val="both"/>
              <w:rPr>
                <w:rFonts w:ascii="Arial" w:hAnsi="Arial" w:cs="Arial"/>
                <w:bCs/>
                <w:iCs/>
                <w:sz w:val="22"/>
                <w:szCs w:val="22"/>
                <w:lang w:val="ca-ES"/>
              </w:rPr>
            </w:pPr>
            <w:r>
              <w:rPr>
                <w:rFonts w:ascii="Arial" w:hAnsi="Arial" w:cs="Arial"/>
                <w:bCs/>
                <w:iCs/>
                <w:sz w:val="22"/>
                <w:szCs w:val="22"/>
                <w:lang w:val="ca-ES"/>
              </w:rPr>
              <w:t>CUMPLIMIENTO</w:t>
            </w:r>
          </w:p>
        </w:tc>
        <w:tc>
          <w:tcPr>
            <w:tcW w:w="20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jc w:val="both"/>
              <w:rPr>
                <w:rFonts w:ascii="Arial" w:hAnsi="Arial" w:cs="Arial"/>
                <w:bCs/>
                <w:iCs/>
                <w:sz w:val="22"/>
                <w:szCs w:val="22"/>
                <w:lang w:val="ca-ES"/>
              </w:rPr>
            </w:pPr>
            <w:r>
              <w:rPr>
                <w:rFonts w:ascii="Arial" w:hAnsi="Arial" w:cs="Arial"/>
                <w:bCs/>
                <w:iCs/>
                <w:sz w:val="22"/>
                <w:szCs w:val="22"/>
                <w:lang w:val="ca-ES"/>
              </w:rPr>
              <w:t>NO</w:t>
            </w:r>
          </w:p>
        </w:tc>
      </w:tr>
    </w:tbl>
    <w:p w:rsidR="009B4233" w:rsidRDefault="009B4233">
      <w:pPr>
        <w:jc w:val="both"/>
        <w:rPr>
          <w:rFonts w:ascii="Arial" w:hAnsi="Arial" w:cs="Arial"/>
          <w:bCs/>
          <w:iCs/>
          <w:sz w:val="22"/>
          <w:szCs w:val="22"/>
          <w:lang w:val="ca-ES"/>
        </w:rPr>
      </w:pPr>
    </w:p>
    <w:p w:rsidR="009B4233" w:rsidRDefault="009B4233">
      <w:pPr>
        <w:jc w:val="both"/>
        <w:rPr>
          <w:rFonts w:ascii="Arial" w:hAnsi="Arial" w:cs="Arial"/>
          <w:bCs/>
          <w:iCs/>
          <w:sz w:val="22"/>
          <w:szCs w:val="22"/>
          <w:lang w:val="ca-ES"/>
        </w:rPr>
      </w:pPr>
    </w:p>
    <w:p w:rsidR="009B4233" w:rsidRDefault="009B4233">
      <w:pPr>
        <w:jc w:val="both"/>
        <w:rPr>
          <w:rFonts w:ascii="Arial" w:hAnsi="Arial" w:cs="Arial"/>
          <w:bCs/>
          <w:iCs/>
          <w:sz w:val="22"/>
          <w:szCs w:val="22"/>
          <w:lang w:val="ca-ES"/>
        </w:rPr>
      </w:pPr>
    </w:p>
    <w:p w:rsidR="009B4233" w:rsidRDefault="009B4233">
      <w:pPr>
        <w:jc w:val="both"/>
        <w:rPr>
          <w:rFonts w:ascii="Arial" w:hAnsi="Arial" w:cs="Arial"/>
          <w:bCs/>
          <w:iCs/>
          <w:sz w:val="22"/>
          <w:szCs w:val="22"/>
          <w:lang w:val="ca-ES"/>
        </w:rPr>
      </w:pPr>
    </w:p>
    <w:p w:rsidR="009B4233" w:rsidRDefault="006B08B9">
      <w:pPr>
        <w:jc w:val="both"/>
        <w:rPr>
          <w:rFonts w:ascii="Arial" w:hAnsi="Arial" w:cs="Arial"/>
          <w:b/>
          <w:bCs/>
          <w:i/>
          <w:iCs/>
          <w:sz w:val="22"/>
          <w:szCs w:val="22"/>
          <w:lang w:val="ca-ES"/>
        </w:rPr>
      </w:pPr>
      <w:r>
        <w:rPr>
          <w:rFonts w:ascii="Arial" w:hAnsi="Arial" w:cs="Arial"/>
          <w:b/>
          <w:bCs/>
          <w:i/>
          <w:iCs/>
          <w:sz w:val="22"/>
          <w:szCs w:val="22"/>
          <w:lang w:val="ca-ES"/>
        </w:rPr>
        <w:t>2.- Empresa de Inserción de Viviendas:</w:t>
      </w:r>
    </w:p>
    <w:p w:rsidR="009B4233" w:rsidRDefault="009B4233">
      <w:pPr>
        <w:jc w:val="both"/>
        <w:rPr>
          <w:rFonts w:ascii="Arial" w:hAnsi="Arial" w:cs="Arial"/>
          <w:b/>
          <w:bCs/>
          <w:i/>
          <w:iCs/>
          <w:sz w:val="22"/>
          <w:szCs w:val="22"/>
          <w:lang w:val="ca-ES"/>
        </w:rPr>
      </w:pPr>
    </w:p>
    <w:p w:rsidR="009B4233" w:rsidRDefault="009B4233">
      <w:pPr>
        <w:jc w:val="both"/>
        <w:rPr>
          <w:rFonts w:ascii="Arial" w:hAnsi="Arial" w:cs="Arial"/>
          <w:b/>
          <w:bCs/>
          <w:i/>
          <w:iCs/>
          <w:sz w:val="22"/>
          <w:szCs w:val="22"/>
          <w:lang w:val="ca-ES"/>
        </w:rPr>
      </w:pPr>
    </w:p>
    <w:p w:rsidR="009B4233" w:rsidRDefault="009B4233">
      <w:pPr>
        <w:jc w:val="both"/>
        <w:rPr>
          <w:rFonts w:ascii="Arial" w:hAnsi="Arial" w:cs="Arial"/>
          <w:b/>
          <w:bCs/>
          <w:i/>
          <w:iCs/>
          <w:sz w:val="22"/>
          <w:szCs w:val="22"/>
          <w:lang w:val="ca-ES"/>
        </w:rPr>
      </w:pPr>
    </w:p>
    <w:tbl>
      <w:tblPr>
        <w:tblW w:w="8564" w:type="dxa"/>
        <w:tblCellMar>
          <w:left w:w="10" w:type="dxa"/>
          <w:right w:w="10" w:type="dxa"/>
        </w:tblCellMar>
        <w:tblLook w:val="0000" w:firstRow="0" w:lastRow="0" w:firstColumn="0" w:lastColumn="0" w:noHBand="0" w:noVBand="0"/>
      </w:tblPr>
      <w:tblGrid>
        <w:gridCol w:w="1385"/>
        <w:gridCol w:w="1578"/>
        <w:gridCol w:w="1711"/>
        <w:gridCol w:w="1881"/>
        <w:gridCol w:w="2009"/>
      </w:tblGrid>
      <w:tr w:rsidR="009B4233">
        <w:tblPrEx>
          <w:tblCellMar>
            <w:top w:w="0" w:type="dxa"/>
            <w:bottom w:w="0" w:type="dxa"/>
          </w:tblCellMar>
        </w:tblPrEx>
        <w:tc>
          <w:tcPr>
            <w:tcW w:w="13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jc w:val="both"/>
              <w:rPr>
                <w:rFonts w:ascii="Arial" w:hAnsi="Arial" w:cs="Arial"/>
                <w:b/>
                <w:bCs/>
                <w:iCs/>
                <w:sz w:val="22"/>
                <w:szCs w:val="22"/>
                <w:lang w:val="ca-ES"/>
              </w:rPr>
            </w:pPr>
            <w:r>
              <w:rPr>
                <w:rFonts w:ascii="Arial" w:hAnsi="Arial" w:cs="Arial"/>
                <w:b/>
                <w:bCs/>
                <w:iCs/>
                <w:sz w:val="22"/>
                <w:szCs w:val="22"/>
                <w:lang w:val="ca-ES"/>
              </w:rPr>
              <w:t>OBJETIVOS</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jc w:val="both"/>
              <w:rPr>
                <w:rFonts w:ascii="Arial" w:hAnsi="Arial" w:cs="Arial"/>
                <w:b/>
                <w:bCs/>
                <w:iCs/>
                <w:sz w:val="22"/>
                <w:szCs w:val="22"/>
                <w:lang w:val="ca-ES"/>
              </w:rPr>
            </w:pPr>
            <w:r>
              <w:rPr>
                <w:rFonts w:ascii="Arial" w:hAnsi="Arial" w:cs="Arial"/>
                <w:b/>
                <w:bCs/>
                <w:iCs/>
                <w:sz w:val="22"/>
                <w:szCs w:val="22"/>
                <w:lang w:val="ca-ES"/>
              </w:rPr>
              <w:t>INDICADORES</w:t>
            </w:r>
          </w:p>
        </w:tc>
        <w:tc>
          <w:tcPr>
            <w:tcW w:w="17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jc w:val="both"/>
              <w:rPr>
                <w:rFonts w:ascii="Arial" w:hAnsi="Arial" w:cs="Arial"/>
                <w:b/>
                <w:bCs/>
                <w:iCs/>
                <w:sz w:val="22"/>
                <w:szCs w:val="22"/>
                <w:lang w:val="ca-ES"/>
              </w:rPr>
            </w:pPr>
            <w:r>
              <w:rPr>
                <w:rFonts w:ascii="Arial" w:hAnsi="Arial" w:cs="Arial"/>
                <w:b/>
                <w:bCs/>
                <w:iCs/>
                <w:sz w:val="22"/>
                <w:szCs w:val="22"/>
                <w:lang w:val="ca-ES"/>
              </w:rPr>
              <w:t>GRADO CUMPLIMIENTO</w:t>
            </w:r>
          </w:p>
        </w:tc>
        <w:tc>
          <w:tcPr>
            <w:tcW w:w="18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jc w:val="both"/>
              <w:rPr>
                <w:rFonts w:ascii="Arial" w:hAnsi="Arial" w:cs="Arial"/>
                <w:b/>
                <w:bCs/>
                <w:iCs/>
                <w:sz w:val="22"/>
                <w:szCs w:val="22"/>
                <w:lang w:val="ca-ES"/>
              </w:rPr>
            </w:pPr>
            <w:r>
              <w:rPr>
                <w:rFonts w:ascii="Arial" w:hAnsi="Arial" w:cs="Arial"/>
                <w:b/>
                <w:bCs/>
                <w:iCs/>
                <w:sz w:val="22"/>
                <w:szCs w:val="22"/>
                <w:lang w:val="ca-ES"/>
              </w:rPr>
              <w:t>CUMPLIMIENTO</w:t>
            </w:r>
          </w:p>
          <w:p w:rsidR="009B4233" w:rsidRDefault="006B08B9">
            <w:pPr>
              <w:jc w:val="both"/>
              <w:rPr>
                <w:rFonts w:ascii="Arial" w:hAnsi="Arial" w:cs="Arial"/>
                <w:b/>
                <w:bCs/>
                <w:iCs/>
                <w:sz w:val="22"/>
                <w:szCs w:val="22"/>
                <w:lang w:val="ca-ES"/>
              </w:rPr>
            </w:pPr>
            <w:r>
              <w:rPr>
                <w:rFonts w:ascii="Arial" w:hAnsi="Arial" w:cs="Arial"/>
                <w:b/>
                <w:bCs/>
                <w:iCs/>
                <w:sz w:val="22"/>
                <w:szCs w:val="22"/>
                <w:lang w:val="ca-ES"/>
              </w:rPr>
              <w:t>/ INCUMPLIMIENTO</w:t>
            </w:r>
          </w:p>
        </w:tc>
        <w:tc>
          <w:tcPr>
            <w:tcW w:w="20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jc w:val="both"/>
              <w:rPr>
                <w:rFonts w:ascii="Arial" w:hAnsi="Arial" w:cs="Arial"/>
                <w:b/>
                <w:bCs/>
                <w:iCs/>
                <w:sz w:val="22"/>
                <w:szCs w:val="22"/>
                <w:lang w:val="ca-ES"/>
              </w:rPr>
            </w:pPr>
            <w:r>
              <w:rPr>
                <w:rFonts w:ascii="Arial" w:hAnsi="Arial" w:cs="Arial"/>
                <w:b/>
                <w:bCs/>
                <w:iCs/>
                <w:sz w:val="22"/>
                <w:szCs w:val="22"/>
                <w:lang w:val="ca-ES"/>
              </w:rPr>
              <w:t>EFECTOS INCUMPLIMIENTOS</w:t>
            </w:r>
          </w:p>
        </w:tc>
      </w:tr>
      <w:tr w:rsidR="009B4233">
        <w:tblPrEx>
          <w:tblCellMar>
            <w:top w:w="0" w:type="dxa"/>
            <w:bottom w:w="0" w:type="dxa"/>
          </w:tblCellMar>
        </w:tblPrEx>
        <w:tc>
          <w:tcPr>
            <w:tcW w:w="13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jc w:val="both"/>
              <w:rPr>
                <w:rFonts w:ascii="Arial" w:hAnsi="Arial" w:cs="Arial"/>
                <w:bCs/>
                <w:iCs/>
                <w:sz w:val="22"/>
                <w:szCs w:val="22"/>
                <w:lang w:val="ca-ES"/>
              </w:rPr>
            </w:pPr>
            <w:r>
              <w:rPr>
                <w:rFonts w:ascii="Arial" w:hAnsi="Arial" w:cs="Arial"/>
                <w:bCs/>
                <w:iCs/>
                <w:sz w:val="22"/>
                <w:szCs w:val="22"/>
                <w:lang w:val="ca-ES"/>
              </w:rPr>
              <w:t>Pago a Proveedores en Plazo</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jc w:val="both"/>
              <w:rPr>
                <w:rFonts w:ascii="Arial" w:hAnsi="Arial" w:cs="Arial"/>
                <w:bCs/>
                <w:iCs/>
                <w:sz w:val="22"/>
                <w:szCs w:val="22"/>
                <w:lang w:val="ca-ES"/>
              </w:rPr>
            </w:pPr>
            <w:r>
              <w:rPr>
                <w:rFonts w:ascii="Arial" w:hAnsi="Arial" w:cs="Arial"/>
                <w:bCs/>
                <w:iCs/>
                <w:sz w:val="22"/>
                <w:szCs w:val="22"/>
                <w:lang w:val="ca-ES"/>
              </w:rPr>
              <w:t xml:space="preserve">Cumplimiento Periodo Medio de </w:t>
            </w:r>
            <w:r>
              <w:rPr>
                <w:rFonts w:ascii="Arial" w:hAnsi="Arial" w:cs="Arial"/>
                <w:bCs/>
                <w:iCs/>
                <w:sz w:val="22"/>
                <w:szCs w:val="22"/>
                <w:lang w:val="ca-ES"/>
              </w:rPr>
              <w:t>pago anual</w:t>
            </w:r>
          </w:p>
        </w:tc>
        <w:tc>
          <w:tcPr>
            <w:tcW w:w="17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jc w:val="both"/>
              <w:rPr>
                <w:rFonts w:ascii="Arial" w:hAnsi="Arial" w:cs="Arial"/>
                <w:bCs/>
                <w:iCs/>
                <w:sz w:val="22"/>
                <w:szCs w:val="22"/>
                <w:lang w:val="ca-ES"/>
              </w:rPr>
            </w:pPr>
            <w:r>
              <w:rPr>
                <w:rFonts w:ascii="Arial" w:hAnsi="Arial" w:cs="Arial"/>
                <w:bCs/>
                <w:iCs/>
                <w:sz w:val="22"/>
                <w:szCs w:val="22"/>
                <w:lang w:val="ca-ES"/>
              </w:rPr>
              <w:t>24,1 &lt; 30 días</w:t>
            </w:r>
          </w:p>
        </w:tc>
        <w:tc>
          <w:tcPr>
            <w:tcW w:w="18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jc w:val="both"/>
              <w:rPr>
                <w:rFonts w:ascii="Arial" w:hAnsi="Arial" w:cs="Arial"/>
                <w:bCs/>
                <w:iCs/>
                <w:sz w:val="22"/>
                <w:szCs w:val="22"/>
                <w:lang w:val="ca-ES"/>
              </w:rPr>
            </w:pPr>
            <w:r>
              <w:rPr>
                <w:rFonts w:ascii="Arial" w:hAnsi="Arial" w:cs="Arial"/>
                <w:bCs/>
                <w:iCs/>
                <w:sz w:val="22"/>
                <w:szCs w:val="22"/>
                <w:lang w:val="ca-ES"/>
              </w:rPr>
              <w:t>CUMPLIENTO</w:t>
            </w:r>
          </w:p>
        </w:tc>
        <w:tc>
          <w:tcPr>
            <w:tcW w:w="20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jc w:val="both"/>
              <w:rPr>
                <w:rFonts w:ascii="Arial" w:hAnsi="Arial" w:cs="Arial"/>
                <w:bCs/>
                <w:iCs/>
                <w:sz w:val="22"/>
                <w:szCs w:val="22"/>
                <w:lang w:val="ca-ES"/>
              </w:rPr>
            </w:pPr>
            <w:r>
              <w:rPr>
                <w:rFonts w:ascii="Arial" w:hAnsi="Arial" w:cs="Arial"/>
                <w:bCs/>
                <w:iCs/>
                <w:sz w:val="22"/>
                <w:szCs w:val="22"/>
                <w:lang w:val="ca-ES"/>
              </w:rPr>
              <w:t xml:space="preserve"> NO</w:t>
            </w:r>
          </w:p>
        </w:tc>
      </w:tr>
      <w:tr w:rsidR="009B4233">
        <w:tblPrEx>
          <w:tblCellMar>
            <w:top w:w="0" w:type="dxa"/>
            <w:bottom w:w="0" w:type="dxa"/>
          </w:tblCellMar>
        </w:tblPrEx>
        <w:tc>
          <w:tcPr>
            <w:tcW w:w="13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jc w:val="both"/>
              <w:rPr>
                <w:rFonts w:ascii="Arial" w:hAnsi="Arial" w:cs="Arial"/>
                <w:bCs/>
                <w:iCs/>
                <w:sz w:val="22"/>
                <w:szCs w:val="22"/>
                <w:lang w:val="ca-ES"/>
              </w:rPr>
            </w:pPr>
            <w:r>
              <w:rPr>
                <w:rFonts w:ascii="Arial" w:hAnsi="Arial" w:cs="Arial"/>
                <w:bCs/>
                <w:iCs/>
                <w:sz w:val="22"/>
                <w:szCs w:val="22"/>
                <w:lang w:val="ca-ES"/>
              </w:rPr>
              <w:t>Costes de Personal</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jc w:val="both"/>
              <w:rPr>
                <w:rFonts w:ascii="Arial" w:hAnsi="Arial" w:cs="Arial"/>
                <w:bCs/>
                <w:iCs/>
                <w:sz w:val="22"/>
                <w:szCs w:val="22"/>
                <w:lang w:val="ca-ES"/>
              </w:rPr>
            </w:pPr>
            <w:r>
              <w:rPr>
                <w:rFonts w:ascii="Arial" w:hAnsi="Arial" w:cs="Arial"/>
                <w:bCs/>
                <w:iCs/>
                <w:sz w:val="22"/>
                <w:szCs w:val="22"/>
                <w:lang w:val="ca-ES"/>
              </w:rPr>
              <w:t>No superar las Previsiones presupuestadas en Personal</w:t>
            </w:r>
          </w:p>
        </w:tc>
        <w:tc>
          <w:tcPr>
            <w:tcW w:w="17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jc w:val="both"/>
              <w:rPr>
                <w:rFonts w:ascii="Arial" w:hAnsi="Arial" w:cs="Arial"/>
                <w:bCs/>
                <w:iCs/>
                <w:sz w:val="22"/>
                <w:szCs w:val="22"/>
                <w:lang w:val="ca-ES"/>
              </w:rPr>
            </w:pPr>
            <w:r>
              <w:rPr>
                <w:rFonts w:ascii="Arial" w:hAnsi="Arial" w:cs="Arial"/>
                <w:bCs/>
                <w:iCs/>
                <w:sz w:val="22"/>
                <w:szCs w:val="22"/>
                <w:lang w:val="ca-ES"/>
              </w:rPr>
              <w:t>1.004.390,37 € Presupuesto) &gt; 871.304,60 € (Gasto)</w:t>
            </w:r>
          </w:p>
        </w:tc>
        <w:tc>
          <w:tcPr>
            <w:tcW w:w="18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jc w:val="both"/>
              <w:rPr>
                <w:rFonts w:ascii="Arial" w:hAnsi="Arial" w:cs="Arial"/>
                <w:bCs/>
                <w:iCs/>
                <w:sz w:val="22"/>
                <w:szCs w:val="22"/>
                <w:lang w:val="ca-ES"/>
              </w:rPr>
            </w:pPr>
            <w:r>
              <w:rPr>
                <w:rFonts w:ascii="Arial" w:hAnsi="Arial" w:cs="Arial"/>
                <w:bCs/>
                <w:iCs/>
                <w:sz w:val="22"/>
                <w:szCs w:val="22"/>
                <w:lang w:val="ca-ES"/>
              </w:rPr>
              <w:t>CUMPLIMIENTO</w:t>
            </w:r>
          </w:p>
        </w:tc>
        <w:tc>
          <w:tcPr>
            <w:tcW w:w="20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jc w:val="both"/>
              <w:rPr>
                <w:rFonts w:ascii="Arial" w:hAnsi="Arial" w:cs="Arial"/>
                <w:bCs/>
                <w:iCs/>
                <w:sz w:val="22"/>
                <w:szCs w:val="22"/>
                <w:lang w:val="ca-ES"/>
              </w:rPr>
            </w:pPr>
            <w:r>
              <w:rPr>
                <w:rFonts w:ascii="Arial" w:hAnsi="Arial" w:cs="Arial"/>
                <w:bCs/>
                <w:iCs/>
                <w:sz w:val="22"/>
                <w:szCs w:val="22"/>
                <w:lang w:val="ca-ES"/>
              </w:rPr>
              <w:t>NO</w:t>
            </w:r>
          </w:p>
        </w:tc>
      </w:tr>
      <w:tr w:rsidR="009B4233">
        <w:tblPrEx>
          <w:tblCellMar>
            <w:top w:w="0" w:type="dxa"/>
            <w:bottom w:w="0" w:type="dxa"/>
          </w:tblCellMar>
        </w:tblPrEx>
        <w:tc>
          <w:tcPr>
            <w:tcW w:w="13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jc w:val="both"/>
              <w:rPr>
                <w:rFonts w:ascii="Arial" w:hAnsi="Arial" w:cs="Arial"/>
                <w:bCs/>
                <w:iCs/>
                <w:sz w:val="22"/>
                <w:szCs w:val="22"/>
                <w:lang w:val="ca-ES"/>
              </w:rPr>
            </w:pPr>
            <w:r>
              <w:rPr>
                <w:rFonts w:ascii="Arial" w:hAnsi="Arial" w:cs="Arial"/>
                <w:bCs/>
                <w:iCs/>
                <w:sz w:val="22"/>
                <w:szCs w:val="22"/>
                <w:lang w:val="ca-ES"/>
              </w:rPr>
              <w:t>Cumplimiento Legislación fiscal, laboral</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jc w:val="both"/>
              <w:rPr>
                <w:rFonts w:ascii="Arial" w:hAnsi="Arial" w:cs="Arial"/>
                <w:bCs/>
                <w:iCs/>
                <w:sz w:val="22"/>
                <w:szCs w:val="22"/>
                <w:lang w:val="ca-ES"/>
              </w:rPr>
            </w:pPr>
            <w:r>
              <w:rPr>
                <w:rFonts w:ascii="Arial" w:hAnsi="Arial" w:cs="Arial"/>
                <w:bCs/>
                <w:iCs/>
                <w:sz w:val="22"/>
                <w:szCs w:val="22"/>
                <w:lang w:val="ca-ES"/>
              </w:rPr>
              <w:t>Presentación en plazo de Modelos</w:t>
            </w:r>
            <w:r>
              <w:rPr>
                <w:rFonts w:ascii="Arial" w:hAnsi="Arial" w:cs="Arial"/>
                <w:bCs/>
                <w:iCs/>
                <w:sz w:val="22"/>
                <w:szCs w:val="22"/>
                <w:lang w:val="ca-ES"/>
              </w:rPr>
              <w:t xml:space="preserve"> de ámbito fiscal y Laboral</w:t>
            </w:r>
          </w:p>
        </w:tc>
        <w:tc>
          <w:tcPr>
            <w:tcW w:w="17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jc w:val="both"/>
              <w:rPr>
                <w:rFonts w:ascii="Arial" w:hAnsi="Arial" w:cs="Arial"/>
                <w:bCs/>
                <w:iCs/>
                <w:sz w:val="22"/>
                <w:szCs w:val="22"/>
                <w:lang w:val="ca-ES"/>
              </w:rPr>
            </w:pPr>
            <w:r>
              <w:rPr>
                <w:rFonts w:ascii="Arial" w:hAnsi="Arial" w:cs="Arial"/>
                <w:bCs/>
                <w:iCs/>
                <w:sz w:val="22"/>
                <w:szCs w:val="22"/>
                <w:lang w:val="ca-ES"/>
              </w:rPr>
              <w:t>PRESENTACIÓN EN PLAZO DE MODELOS</w:t>
            </w:r>
          </w:p>
        </w:tc>
        <w:tc>
          <w:tcPr>
            <w:tcW w:w="18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jc w:val="both"/>
              <w:rPr>
                <w:rFonts w:ascii="Arial" w:hAnsi="Arial" w:cs="Arial"/>
                <w:bCs/>
                <w:iCs/>
                <w:sz w:val="22"/>
                <w:szCs w:val="22"/>
                <w:lang w:val="ca-ES"/>
              </w:rPr>
            </w:pPr>
            <w:r>
              <w:rPr>
                <w:rFonts w:ascii="Arial" w:hAnsi="Arial" w:cs="Arial"/>
                <w:bCs/>
                <w:iCs/>
                <w:sz w:val="22"/>
                <w:szCs w:val="22"/>
                <w:lang w:val="ca-ES"/>
              </w:rPr>
              <w:t>CUMPLIMIENTO</w:t>
            </w:r>
          </w:p>
        </w:tc>
        <w:tc>
          <w:tcPr>
            <w:tcW w:w="20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jc w:val="both"/>
              <w:rPr>
                <w:rFonts w:ascii="Arial" w:hAnsi="Arial" w:cs="Arial"/>
                <w:bCs/>
                <w:iCs/>
                <w:sz w:val="22"/>
                <w:szCs w:val="22"/>
                <w:lang w:val="ca-ES"/>
              </w:rPr>
            </w:pPr>
            <w:r>
              <w:rPr>
                <w:rFonts w:ascii="Arial" w:hAnsi="Arial" w:cs="Arial"/>
                <w:bCs/>
                <w:iCs/>
                <w:sz w:val="22"/>
                <w:szCs w:val="22"/>
                <w:lang w:val="ca-ES"/>
              </w:rPr>
              <w:t>NO</w:t>
            </w:r>
          </w:p>
        </w:tc>
      </w:tr>
    </w:tbl>
    <w:p w:rsidR="009B4233" w:rsidRDefault="009B4233">
      <w:pPr>
        <w:jc w:val="both"/>
        <w:rPr>
          <w:rFonts w:ascii="Arial" w:hAnsi="Arial" w:cs="Arial"/>
          <w:b/>
          <w:bCs/>
          <w:i/>
          <w:iCs/>
          <w:sz w:val="22"/>
          <w:szCs w:val="22"/>
          <w:lang w:val="ca-ES"/>
        </w:rPr>
      </w:pPr>
    </w:p>
    <w:p w:rsidR="009B4233" w:rsidRDefault="009B4233">
      <w:pPr>
        <w:jc w:val="both"/>
        <w:rPr>
          <w:rFonts w:ascii="Arial" w:hAnsi="Arial" w:cs="Arial"/>
          <w:bCs/>
          <w:iCs/>
          <w:sz w:val="22"/>
          <w:szCs w:val="22"/>
          <w:lang w:val="ca-ES"/>
        </w:rPr>
      </w:pPr>
    </w:p>
    <w:p w:rsidR="009B4233" w:rsidRDefault="006B08B9">
      <w:pPr>
        <w:jc w:val="both"/>
        <w:rPr>
          <w:rFonts w:ascii="Arial" w:hAnsi="Arial" w:cs="Arial"/>
          <w:b/>
          <w:bCs/>
          <w:i/>
          <w:iCs/>
          <w:sz w:val="22"/>
          <w:szCs w:val="22"/>
          <w:lang w:val="ca-ES"/>
        </w:rPr>
      </w:pPr>
      <w:r>
        <w:rPr>
          <w:rFonts w:ascii="Arial" w:hAnsi="Arial" w:cs="Arial"/>
          <w:b/>
          <w:bCs/>
          <w:i/>
          <w:iCs/>
          <w:sz w:val="22"/>
          <w:szCs w:val="22"/>
          <w:lang w:val="ca-ES"/>
        </w:rPr>
        <w:t>3.- Fundación Candesol:</w:t>
      </w:r>
    </w:p>
    <w:p w:rsidR="009B4233" w:rsidRDefault="009B4233">
      <w:pPr>
        <w:jc w:val="both"/>
        <w:rPr>
          <w:rFonts w:ascii="Arial" w:hAnsi="Arial" w:cs="Arial"/>
          <w:bCs/>
          <w:iCs/>
          <w:sz w:val="22"/>
          <w:szCs w:val="22"/>
          <w:lang w:val="ca-ES"/>
        </w:rPr>
      </w:pPr>
    </w:p>
    <w:tbl>
      <w:tblPr>
        <w:tblW w:w="8564" w:type="dxa"/>
        <w:tblCellMar>
          <w:left w:w="10" w:type="dxa"/>
          <w:right w:w="10" w:type="dxa"/>
        </w:tblCellMar>
        <w:tblLook w:val="0000" w:firstRow="0" w:lastRow="0" w:firstColumn="0" w:lastColumn="0" w:noHBand="0" w:noVBand="0"/>
      </w:tblPr>
      <w:tblGrid>
        <w:gridCol w:w="1385"/>
        <w:gridCol w:w="1578"/>
        <w:gridCol w:w="1711"/>
        <w:gridCol w:w="1881"/>
        <w:gridCol w:w="2009"/>
      </w:tblGrid>
      <w:tr w:rsidR="009B4233">
        <w:tblPrEx>
          <w:tblCellMar>
            <w:top w:w="0" w:type="dxa"/>
            <w:bottom w:w="0" w:type="dxa"/>
          </w:tblCellMar>
        </w:tblPrEx>
        <w:tc>
          <w:tcPr>
            <w:tcW w:w="13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jc w:val="both"/>
              <w:rPr>
                <w:rFonts w:ascii="Arial" w:hAnsi="Arial" w:cs="Arial"/>
                <w:b/>
                <w:bCs/>
                <w:iCs/>
                <w:sz w:val="22"/>
                <w:szCs w:val="22"/>
                <w:lang w:val="ca-ES"/>
              </w:rPr>
            </w:pPr>
            <w:r>
              <w:rPr>
                <w:rFonts w:ascii="Arial" w:hAnsi="Arial" w:cs="Arial"/>
                <w:b/>
                <w:bCs/>
                <w:iCs/>
                <w:sz w:val="22"/>
                <w:szCs w:val="22"/>
                <w:lang w:val="ca-ES"/>
              </w:rPr>
              <w:t>OBJETIVOS</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jc w:val="both"/>
              <w:rPr>
                <w:rFonts w:ascii="Arial" w:hAnsi="Arial" w:cs="Arial"/>
                <w:b/>
                <w:bCs/>
                <w:iCs/>
                <w:sz w:val="22"/>
                <w:szCs w:val="22"/>
                <w:lang w:val="ca-ES"/>
              </w:rPr>
            </w:pPr>
            <w:r>
              <w:rPr>
                <w:rFonts w:ascii="Arial" w:hAnsi="Arial" w:cs="Arial"/>
                <w:b/>
                <w:bCs/>
                <w:iCs/>
                <w:sz w:val="22"/>
                <w:szCs w:val="22"/>
                <w:lang w:val="ca-ES"/>
              </w:rPr>
              <w:t>INDICADORES</w:t>
            </w:r>
          </w:p>
        </w:tc>
        <w:tc>
          <w:tcPr>
            <w:tcW w:w="17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jc w:val="both"/>
              <w:rPr>
                <w:rFonts w:ascii="Arial" w:hAnsi="Arial" w:cs="Arial"/>
                <w:b/>
                <w:bCs/>
                <w:iCs/>
                <w:sz w:val="22"/>
                <w:szCs w:val="22"/>
                <w:lang w:val="ca-ES"/>
              </w:rPr>
            </w:pPr>
            <w:r>
              <w:rPr>
                <w:rFonts w:ascii="Arial" w:hAnsi="Arial" w:cs="Arial"/>
                <w:b/>
                <w:bCs/>
                <w:iCs/>
                <w:sz w:val="22"/>
                <w:szCs w:val="22"/>
                <w:lang w:val="ca-ES"/>
              </w:rPr>
              <w:t>GRADO CUMPLIMIENTO</w:t>
            </w:r>
          </w:p>
        </w:tc>
        <w:tc>
          <w:tcPr>
            <w:tcW w:w="18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jc w:val="both"/>
              <w:rPr>
                <w:rFonts w:ascii="Arial" w:hAnsi="Arial" w:cs="Arial"/>
                <w:b/>
                <w:bCs/>
                <w:iCs/>
                <w:sz w:val="22"/>
                <w:szCs w:val="22"/>
                <w:lang w:val="ca-ES"/>
              </w:rPr>
            </w:pPr>
            <w:r>
              <w:rPr>
                <w:rFonts w:ascii="Arial" w:hAnsi="Arial" w:cs="Arial"/>
                <w:b/>
                <w:bCs/>
                <w:iCs/>
                <w:sz w:val="22"/>
                <w:szCs w:val="22"/>
                <w:lang w:val="ca-ES"/>
              </w:rPr>
              <w:t>CUMPLIMIENTO</w:t>
            </w:r>
          </w:p>
          <w:p w:rsidR="009B4233" w:rsidRDefault="006B08B9">
            <w:pPr>
              <w:jc w:val="both"/>
              <w:rPr>
                <w:rFonts w:ascii="Arial" w:hAnsi="Arial" w:cs="Arial"/>
                <w:b/>
                <w:bCs/>
                <w:iCs/>
                <w:sz w:val="22"/>
                <w:szCs w:val="22"/>
                <w:lang w:val="ca-ES"/>
              </w:rPr>
            </w:pPr>
            <w:r>
              <w:rPr>
                <w:rFonts w:ascii="Arial" w:hAnsi="Arial" w:cs="Arial"/>
                <w:b/>
                <w:bCs/>
                <w:iCs/>
                <w:sz w:val="22"/>
                <w:szCs w:val="22"/>
                <w:lang w:val="ca-ES"/>
              </w:rPr>
              <w:t>/ INCUMPLIMIENTO</w:t>
            </w:r>
          </w:p>
        </w:tc>
        <w:tc>
          <w:tcPr>
            <w:tcW w:w="20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jc w:val="both"/>
              <w:rPr>
                <w:rFonts w:ascii="Arial" w:hAnsi="Arial" w:cs="Arial"/>
                <w:b/>
                <w:bCs/>
                <w:iCs/>
                <w:sz w:val="22"/>
                <w:szCs w:val="22"/>
                <w:lang w:val="ca-ES"/>
              </w:rPr>
            </w:pPr>
            <w:r>
              <w:rPr>
                <w:rFonts w:ascii="Arial" w:hAnsi="Arial" w:cs="Arial"/>
                <w:b/>
                <w:bCs/>
                <w:iCs/>
                <w:sz w:val="22"/>
                <w:szCs w:val="22"/>
                <w:lang w:val="ca-ES"/>
              </w:rPr>
              <w:t>EFECTOS INCUMPLIMIENTOS</w:t>
            </w:r>
          </w:p>
        </w:tc>
      </w:tr>
      <w:tr w:rsidR="009B4233">
        <w:tblPrEx>
          <w:tblCellMar>
            <w:top w:w="0" w:type="dxa"/>
            <w:bottom w:w="0" w:type="dxa"/>
          </w:tblCellMar>
        </w:tblPrEx>
        <w:tc>
          <w:tcPr>
            <w:tcW w:w="13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jc w:val="both"/>
              <w:rPr>
                <w:rFonts w:ascii="Arial" w:hAnsi="Arial" w:cs="Arial"/>
                <w:bCs/>
                <w:iCs/>
                <w:sz w:val="22"/>
                <w:szCs w:val="22"/>
                <w:lang w:val="ca-ES"/>
              </w:rPr>
            </w:pPr>
            <w:r>
              <w:rPr>
                <w:rFonts w:ascii="Arial" w:hAnsi="Arial" w:cs="Arial"/>
                <w:bCs/>
                <w:iCs/>
                <w:sz w:val="22"/>
                <w:szCs w:val="22"/>
                <w:lang w:val="ca-ES"/>
              </w:rPr>
              <w:t>Pago a Proveedores en Plazo</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jc w:val="both"/>
              <w:rPr>
                <w:rFonts w:ascii="Arial" w:hAnsi="Arial" w:cs="Arial"/>
                <w:bCs/>
                <w:iCs/>
                <w:sz w:val="22"/>
                <w:szCs w:val="22"/>
                <w:lang w:val="ca-ES"/>
              </w:rPr>
            </w:pPr>
            <w:r>
              <w:rPr>
                <w:rFonts w:ascii="Arial" w:hAnsi="Arial" w:cs="Arial"/>
                <w:bCs/>
                <w:iCs/>
                <w:sz w:val="22"/>
                <w:szCs w:val="22"/>
                <w:lang w:val="ca-ES"/>
              </w:rPr>
              <w:t xml:space="preserve">Cumplimiento Periodo Medio </w:t>
            </w:r>
            <w:r>
              <w:rPr>
                <w:rFonts w:ascii="Arial" w:hAnsi="Arial" w:cs="Arial"/>
                <w:bCs/>
                <w:iCs/>
                <w:sz w:val="22"/>
                <w:szCs w:val="22"/>
                <w:lang w:val="ca-ES"/>
              </w:rPr>
              <w:t>de pago anual</w:t>
            </w:r>
          </w:p>
        </w:tc>
        <w:tc>
          <w:tcPr>
            <w:tcW w:w="17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jc w:val="both"/>
              <w:rPr>
                <w:rFonts w:ascii="Arial" w:hAnsi="Arial" w:cs="Arial"/>
                <w:bCs/>
                <w:iCs/>
                <w:sz w:val="22"/>
                <w:szCs w:val="22"/>
                <w:lang w:val="ca-ES"/>
              </w:rPr>
            </w:pPr>
            <w:r>
              <w:rPr>
                <w:rFonts w:ascii="Arial" w:hAnsi="Arial" w:cs="Arial"/>
                <w:bCs/>
                <w:iCs/>
                <w:sz w:val="22"/>
                <w:szCs w:val="22"/>
                <w:lang w:val="ca-ES"/>
              </w:rPr>
              <w:t>7,11 &lt; 30 días</w:t>
            </w:r>
          </w:p>
        </w:tc>
        <w:tc>
          <w:tcPr>
            <w:tcW w:w="18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jc w:val="both"/>
              <w:rPr>
                <w:rFonts w:ascii="Arial" w:hAnsi="Arial" w:cs="Arial"/>
                <w:bCs/>
                <w:iCs/>
                <w:sz w:val="22"/>
                <w:szCs w:val="22"/>
                <w:lang w:val="ca-ES"/>
              </w:rPr>
            </w:pPr>
            <w:r>
              <w:rPr>
                <w:rFonts w:ascii="Arial" w:hAnsi="Arial" w:cs="Arial"/>
                <w:bCs/>
                <w:iCs/>
                <w:sz w:val="22"/>
                <w:szCs w:val="22"/>
                <w:lang w:val="ca-ES"/>
              </w:rPr>
              <w:t>CUMPLIENTO</w:t>
            </w:r>
          </w:p>
        </w:tc>
        <w:tc>
          <w:tcPr>
            <w:tcW w:w="20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jc w:val="both"/>
              <w:rPr>
                <w:rFonts w:ascii="Arial" w:hAnsi="Arial" w:cs="Arial"/>
                <w:bCs/>
                <w:iCs/>
                <w:sz w:val="22"/>
                <w:szCs w:val="22"/>
                <w:lang w:val="ca-ES"/>
              </w:rPr>
            </w:pPr>
            <w:r>
              <w:rPr>
                <w:rFonts w:ascii="Arial" w:hAnsi="Arial" w:cs="Arial"/>
                <w:bCs/>
                <w:iCs/>
                <w:sz w:val="22"/>
                <w:szCs w:val="22"/>
                <w:lang w:val="ca-ES"/>
              </w:rPr>
              <w:t xml:space="preserve"> NO</w:t>
            </w:r>
          </w:p>
        </w:tc>
      </w:tr>
      <w:tr w:rsidR="009B4233">
        <w:tblPrEx>
          <w:tblCellMar>
            <w:top w:w="0" w:type="dxa"/>
            <w:bottom w:w="0" w:type="dxa"/>
          </w:tblCellMar>
        </w:tblPrEx>
        <w:tc>
          <w:tcPr>
            <w:tcW w:w="13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jc w:val="both"/>
              <w:rPr>
                <w:rFonts w:ascii="Arial" w:hAnsi="Arial" w:cs="Arial"/>
                <w:bCs/>
                <w:iCs/>
                <w:sz w:val="22"/>
                <w:szCs w:val="22"/>
                <w:lang w:val="ca-ES"/>
              </w:rPr>
            </w:pPr>
            <w:r>
              <w:rPr>
                <w:rFonts w:ascii="Arial" w:hAnsi="Arial" w:cs="Arial"/>
                <w:bCs/>
                <w:iCs/>
                <w:sz w:val="22"/>
                <w:szCs w:val="22"/>
                <w:lang w:val="ca-ES"/>
              </w:rPr>
              <w:t>Costes de Personal</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jc w:val="both"/>
              <w:rPr>
                <w:rFonts w:ascii="Arial" w:hAnsi="Arial" w:cs="Arial"/>
                <w:bCs/>
                <w:iCs/>
                <w:sz w:val="22"/>
                <w:szCs w:val="22"/>
                <w:lang w:val="ca-ES"/>
              </w:rPr>
            </w:pPr>
            <w:r>
              <w:rPr>
                <w:rFonts w:ascii="Arial" w:hAnsi="Arial" w:cs="Arial"/>
                <w:bCs/>
                <w:iCs/>
                <w:sz w:val="22"/>
                <w:szCs w:val="22"/>
                <w:lang w:val="ca-ES"/>
              </w:rPr>
              <w:t>No superar las Previsiones presupuestadas en Personal</w:t>
            </w:r>
          </w:p>
        </w:tc>
        <w:tc>
          <w:tcPr>
            <w:tcW w:w="17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jc w:val="both"/>
              <w:rPr>
                <w:rFonts w:ascii="Arial" w:hAnsi="Arial" w:cs="Arial"/>
                <w:bCs/>
                <w:iCs/>
                <w:sz w:val="22"/>
                <w:szCs w:val="22"/>
                <w:lang w:val="ca-ES"/>
              </w:rPr>
            </w:pPr>
            <w:r>
              <w:rPr>
                <w:rFonts w:ascii="Arial" w:hAnsi="Arial" w:cs="Arial"/>
                <w:bCs/>
                <w:iCs/>
                <w:sz w:val="22"/>
                <w:szCs w:val="22"/>
                <w:lang w:val="ca-ES"/>
              </w:rPr>
              <w:t>169.693,93 € Presupuesto) &gt; 150.473,52 € (Gasto)</w:t>
            </w:r>
          </w:p>
        </w:tc>
        <w:tc>
          <w:tcPr>
            <w:tcW w:w="18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jc w:val="both"/>
              <w:rPr>
                <w:rFonts w:ascii="Arial" w:hAnsi="Arial" w:cs="Arial"/>
                <w:bCs/>
                <w:iCs/>
                <w:sz w:val="22"/>
                <w:szCs w:val="22"/>
                <w:lang w:val="ca-ES"/>
              </w:rPr>
            </w:pPr>
            <w:r>
              <w:rPr>
                <w:rFonts w:ascii="Arial" w:hAnsi="Arial" w:cs="Arial"/>
                <w:bCs/>
                <w:iCs/>
                <w:sz w:val="22"/>
                <w:szCs w:val="22"/>
                <w:lang w:val="ca-ES"/>
              </w:rPr>
              <w:t>CUMPLIMIENTO</w:t>
            </w:r>
          </w:p>
        </w:tc>
        <w:tc>
          <w:tcPr>
            <w:tcW w:w="20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jc w:val="both"/>
              <w:rPr>
                <w:rFonts w:ascii="Arial" w:hAnsi="Arial" w:cs="Arial"/>
                <w:bCs/>
                <w:iCs/>
                <w:sz w:val="22"/>
                <w:szCs w:val="22"/>
                <w:lang w:val="ca-ES"/>
              </w:rPr>
            </w:pPr>
            <w:r>
              <w:rPr>
                <w:rFonts w:ascii="Arial" w:hAnsi="Arial" w:cs="Arial"/>
                <w:bCs/>
                <w:iCs/>
                <w:sz w:val="22"/>
                <w:szCs w:val="22"/>
                <w:lang w:val="ca-ES"/>
              </w:rPr>
              <w:t>NO</w:t>
            </w:r>
          </w:p>
        </w:tc>
      </w:tr>
      <w:tr w:rsidR="009B4233">
        <w:tblPrEx>
          <w:tblCellMar>
            <w:top w:w="0" w:type="dxa"/>
            <w:bottom w:w="0" w:type="dxa"/>
          </w:tblCellMar>
        </w:tblPrEx>
        <w:tc>
          <w:tcPr>
            <w:tcW w:w="13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jc w:val="both"/>
              <w:rPr>
                <w:rFonts w:ascii="Arial" w:hAnsi="Arial" w:cs="Arial"/>
                <w:bCs/>
                <w:iCs/>
                <w:sz w:val="22"/>
                <w:szCs w:val="22"/>
                <w:lang w:val="ca-ES"/>
              </w:rPr>
            </w:pPr>
            <w:r>
              <w:rPr>
                <w:rFonts w:ascii="Arial" w:hAnsi="Arial" w:cs="Arial"/>
                <w:bCs/>
                <w:iCs/>
                <w:sz w:val="22"/>
                <w:szCs w:val="22"/>
                <w:lang w:val="ca-ES"/>
              </w:rPr>
              <w:t>Cumplimiento Legislación fiscal, laboral</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jc w:val="both"/>
              <w:rPr>
                <w:rFonts w:ascii="Arial" w:hAnsi="Arial" w:cs="Arial"/>
                <w:bCs/>
                <w:iCs/>
                <w:sz w:val="22"/>
                <w:szCs w:val="22"/>
                <w:lang w:val="ca-ES"/>
              </w:rPr>
            </w:pPr>
            <w:r>
              <w:rPr>
                <w:rFonts w:ascii="Arial" w:hAnsi="Arial" w:cs="Arial"/>
                <w:bCs/>
                <w:iCs/>
                <w:sz w:val="22"/>
                <w:szCs w:val="22"/>
                <w:lang w:val="ca-ES"/>
              </w:rPr>
              <w:t xml:space="preserve">Presentación en plazo de </w:t>
            </w:r>
            <w:r>
              <w:rPr>
                <w:rFonts w:ascii="Arial" w:hAnsi="Arial" w:cs="Arial"/>
                <w:bCs/>
                <w:iCs/>
                <w:sz w:val="22"/>
                <w:szCs w:val="22"/>
                <w:lang w:val="ca-ES"/>
              </w:rPr>
              <w:t>Modelos de ámbito fiscal y Laboral</w:t>
            </w:r>
          </w:p>
        </w:tc>
        <w:tc>
          <w:tcPr>
            <w:tcW w:w="17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jc w:val="both"/>
              <w:rPr>
                <w:rFonts w:ascii="Arial" w:hAnsi="Arial" w:cs="Arial"/>
                <w:bCs/>
                <w:iCs/>
                <w:sz w:val="22"/>
                <w:szCs w:val="22"/>
                <w:lang w:val="ca-ES"/>
              </w:rPr>
            </w:pPr>
            <w:r>
              <w:rPr>
                <w:rFonts w:ascii="Arial" w:hAnsi="Arial" w:cs="Arial"/>
                <w:bCs/>
                <w:iCs/>
                <w:sz w:val="22"/>
                <w:szCs w:val="22"/>
                <w:lang w:val="ca-ES"/>
              </w:rPr>
              <w:t>PRESENTACIÓN EN PLAZO DE MODELOS</w:t>
            </w:r>
          </w:p>
        </w:tc>
        <w:tc>
          <w:tcPr>
            <w:tcW w:w="18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jc w:val="both"/>
              <w:rPr>
                <w:rFonts w:ascii="Arial" w:hAnsi="Arial" w:cs="Arial"/>
                <w:bCs/>
                <w:iCs/>
                <w:sz w:val="22"/>
                <w:szCs w:val="22"/>
                <w:lang w:val="ca-ES"/>
              </w:rPr>
            </w:pPr>
            <w:r>
              <w:rPr>
                <w:rFonts w:ascii="Arial" w:hAnsi="Arial" w:cs="Arial"/>
                <w:bCs/>
                <w:iCs/>
                <w:sz w:val="22"/>
                <w:szCs w:val="22"/>
                <w:lang w:val="ca-ES"/>
              </w:rPr>
              <w:t>CUMPLIMIENTO</w:t>
            </w:r>
          </w:p>
        </w:tc>
        <w:tc>
          <w:tcPr>
            <w:tcW w:w="20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jc w:val="both"/>
              <w:rPr>
                <w:rFonts w:ascii="Arial" w:hAnsi="Arial" w:cs="Arial"/>
                <w:bCs/>
                <w:iCs/>
                <w:sz w:val="22"/>
                <w:szCs w:val="22"/>
                <w:lang w:val="ca-ES"/>
              </w:rPr>
            </w:pPr>
            <w:r>
              <w:rPr>
                <w:rFonts w:ascii="Arial" w:hAnsi="Arial" w:cs="Arial"/>
                <w:bCs/>
                <w:iCs/>
                <w:sz w:val="22"/>
                <w:szCs w:val="22"/>
                <w:lang w:val="ca-ES"/>
              </w:rPr>
              <w:t>NO</w:t>
            </w:r>
          </w:p>
        </w:tc>
      </w:tr>
    </w:tbl>
    <w:p w:rsidR="009B4233" w:rsidRDefault="009B4233">
      <w:pPr>
        <w:jc w:val="both"/>
        <w:rPr>
          <w:rFonts w:ascii="Arial" w:hAnsi="Arial" w:cs="Arial"/>
          <w:bCs/>
          <w:iCs/>
          <w:sz w:val="22"/>
          <w:szCs w:val="22"/>
          <w:lang w:val="ca-ES"/>
        </w:rPr>
      </w:pPr>
    </w:p>
    <w:p w:rsidR="009B4233" w:rsidRDefault="009B4233">
      <w:pPr>
        <w:ind w:firstLine="708"/>
        <w:jc w:val="both"/>
        <w:rPr>
          <w:rFonts w:ascii="Arial" w:hAnsi="Arial" w:cs="Arial"/>
          <w:bCs/>
          <w:iCs/>
          <w:sz w:val="22"/>
          <w:szCs w:val="22"/>
          <w:lang w:val="ca-ES"/>
        </w:rPr>
      </w:pPr>
    </w:p>
    <w:p w:rsidR="009B4233" w:rsidRDefault="006B08B9">
      <w:pPr>
        <w:ind w:firstLine="360"/>
        <w:jc w:val="both"/>
        <w:rPr>
          <w:rFonts w:ascii="Arial" w:hAnsi="Arial" w:cs="Arial"/>
          <w:bCs/>
          <w:iCs/>
          <w:sz w:val="22"/>
          <w:szCs w:val="22"/>
          <w:lang w:val="ca-ES"/>
        </w:rPr>
      </w:pPr>
      <w:r>
        <w:rPr>
          <w:rFonts w:ascii="Arial" w:hAnsi="Arial" w:cs="Arial"/>
          <w:bCs/>
          <w:iCs/>
          <w:sz w:val="22"/>
          <w:szCs w:val="22"/>
          <w:lang w:val="ca-ES"/>
        </w:rPr>
        <w:t>Por ello, este interventor informa favorablemente el presente Contrato Programa para el ejercicio 2025, entre el Ayuntamiento de Candelaria, Epelcan, Empresa de inserció</w:t>
      </w:r>
      <w:r>
        <w:rPr>
          <w:rFonts w:ascii="Arial" w:hAnsi="Arial" w:cs="Arial"/>
          <w:bCs/>
          <w:iCs/>
          <w:sz w:val="22"/>
          <w:szCs w:val="22"/>
          <w:lang w:val="ca-ES"/>
        </w:rPr>
        <w:t>n y la Fundación Candesol.”</w:t>
      </w:r>
    </w:p>
    <w:p w:rsidR="009B4233" w:rsidRDefault="009B4233">
      <w:pPr>
        <w:jc w:val="both"/>
        <w:rPr>
          <w:rFonts w:ascii="Arial" w:hAnsi="Arial" w:cs="Arial"/>
          <w:b/>
          <w:sz w:val="22"/>
          <w:szCs w:val="22"/>
        </w:rPr>
      </w:pPr>
    </w:p>
    <w:p w:rsidR="009B4233" w:rsidRDefault="009B4233">
      <w:pPr>
        <w:rPr>
          <w:rFonts w:ascii="Arial" w:hAnsi="Arial" w:cs="Arial"/>
          <w:b/>
          <w:sz w:val="22"/>
          <w:szCs w:val="22"/>
        </w:rPr>
      </w:pPr>
    </w:p>
    <w:p w:rsidR="009B4233" w:rsidRDefault="009B4233">
      <w:pPr>
        <w:rPr>
          <w:rFonts w:ascii="Arial" w:hAnsi="Arial" w:cs="Arial"/>
          <w:b/>
          <w:sz w:val="22"/>
          <w:szCs w:val="22"/>
        </w:rPr>
      </w:pPr>
    </w:p>
    <w:p w:rsidR="009B4233" w:rsidRDefault="009B4233">
      <w:pPr>
        <w:rPr>
          <w:rFonts w:ascii="Arial" w:hAnsi="Arial" w:cs="Arial"/>
          <w:b/>
          <w:sz w:val="22"/>
          <w:szCs w:val="22"/>
        </w:rPr>
      </w:pPr>
    </w:p>
    <w:p w:rsidR="009B4233" w:rsidRDefault="006B08B9">
      <w:pPr>
        <w:jc w:val="both"/>
        <w:rPr>
          <w:rFonts w:ascii="Arial" w:hAnsi="Arial" w:cs="Arial"/>
          <w:b/>
          <w:sz w:val="22"/>
          <w:szCs w:val="22"/>
        </w:rPr>
      </w:pPr>
      <w:r>
        <w:rPr>
          <w:rFonts w:ascii="Arial" w:hAnsi="Arial" w:cs="Arial"/>
          <w:b/>
          <w:sz w:val="22"/>
          <w:szCs w:val="22"/>
        </w:rPr>
        <w:t xml:space="preserve">    Consta en el expediente propuesta del Concejal delegado de Hacienda, D. Airam Pérez Chinea, de fecha 15 de septiembre de 2025, que transcrito literalmente dice:</w:t>
      </w: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6B08B9">
      <w:pPr>
        <w:pStyle w:val="Ttulo1"/>
        <w:ind w:left="18" w:right="4"/>
        <w:rPr>
          <w:rFonts w:ascii="Arial" w:hAnsi="Arial" w:cs="Arial"/>
          <w:sz w:val="22"/>
          <w:szCs w:val="22"/>
        </w:rPr>
      </w:pPr>
      <w:r>
        <w:rPr>
          <w:rFonts w:ascii="Arial" w:hAnsi="Arial" w:cs="Arial"/>
          <w:sz w:val="22"/>
          <w:szCs w:val="22"/>
        </w:rPr>
        <w:t>“Propuesta de la Concejalía Delegada de Hacienda</w:t>
      </w:r>
    </w:p>
    <w:p w:rsidR="009B4233" w:rsidRDefault="006B08B9">
      <w:pPr>
        <w:spacing w:after="98" w:line="249" w:lineRule="auto"/>
        <w:ind w:left="14"/>
        <w:rPr>
          <w:rFonts w:ascii="Arial" w:hAnsi="Arial" w:cs="Arial"/>
          <w:sz w:val="22"/>
          <w:szCs w:val="22"/>
        </w:rPr>
      </w:pPr>
      <w:r>
        <w:rPr>
          <w:rFonts w:ascii="Arial" w:hAnsi="Arial" w:cs="Arial"/>
          <w:sz w:val="22"/>
          <w:szCs w:val="22"/>
        </w:rPr>
        <w:t xml:space="preserve"> </w:t>
      </w:r>
    </w:p>
    <w:p w:rsidR="009B4233" w:rsidRDefault="006B08B9">
      <w:pPr>
        <w:spacing w:after="5"/>
        <w:ind w:left="9" w:right="-9"/>
        <w:jc w:val="both"/>
      </w:pPr>
      <w:r>
        <w:rPr>
          <w:rFonts w:ascii="Arial" w:eastAsia="Arial" w:hAnsi="Arial" w:cs="Arial"/>
          <w:b/>
          <w:sz w:val="22"/>
          <w:szCs w:val="22"/>
        </w:rPr>
        <w:t>Asunto: CONTRATO PROGRAMA SOBRE EL MARCO DE RELACIONES ENTRE EL AYUNTAMIENTO DE CANDELARIA, LA ENTIDAD PUBLICA EMPRESARIAL “GESTIÓN DE EMPRESAS Y SERVICIOS MUNICIPALES DEL AYUNTAMIENTO DE LA VILLA DE CANDELARIA”, LA SOCIEDAD MERCANTIL “EMPRESA DE INSERCIÓN</w:t>
      </w:r>
      <w:r>
        <w:rPr>
          <w:rFonts w:ascii="Arial" w:eastAsia="Arial" w:hAnsi="Arial" w:cs="Arial"/>
          <w:b/>
          <w:sz w:val="22"/>
          <w:szCs w:val="22"/>
        </w:rPr>
        <w:t xml:space="preserve"> VIVIENDAS Y SERVICIOS MUNICIPALES DE CANDELARIA S.L.” Y LA FUNDACIÓN “CANDELARIA SOLIDARIA” PARA EL EJERCICIO 2025</w:t>
      </w:r>
    </w:p>
    <w:p w:rsidR="009B4233" w:rsidRDefault="006B08B9">
      <w:pPr>
        <w:spacing w:after="650" w:line="249" w:lineRule="auto"/>
        <w:ind w:left="18" w:right="-1042"/>
      </w:pPr>
      <w:r>
        <w:rPr>
          <w:rFonts w:ascii="Arial" w:hAnsi="Arial" w:cs="Arial"/>
          <w:noProof/>
          <w:sz w:val="22"/>
          <w:szCs w:val="22"/>
          <w:lang w:eastAsia="es-ES" w:bidi="ar-SA"/>
        </w:rPr>
        <mc:AlternateContent>
          <mc:Choice Requires="wps">
            <w:drawing>
              <wp:anchor distT="0" distB="0" distL="114300" distR="114300" simplePos="0" relativeHeight="251654656" behindDoc="0" locked="0" layoutInCell="1" allowOverlap="1">
                <wp:simplePos x="0" y="0"/>
                <wp:positionH relativeFrom="column">
                  <wp:posOffset>0</wp:posOffset>
                </wp:positionH>
                <wp:positionV relativeFrom="paragraph">
                  <wp:posOffset>0</wp:posOffset>
                </wp:positionV>
                <wp:extent cx="6059171" cy="0"/>
                <wp:effectExtent l="19050" t="19050" r="36829" b="38100"/>
                <wp:wrapSquare wrapText="bothSides"/>
                <wp:docPr id="21" name="Grupo 9790"/>
                <wp:cNvGraphicFramePr/>
                <a:graphic xmlns:a="http://schemas.openxmlformats.org/drawingml/2006/main">
                  <a:graphicData uri="http://schemas.microsoft.com/office/word/2010/wordprocessingShape">
                    <wps:wsp>
                      <wps:cNvSpPr/>
                      <wps:spPr>
                        <a:xfrm>
                          <a:off x="0" y="0"/>
                          <a:ext cx="6059171" cy="0"/>
                        </a:xfrm>
                        <a:custGeom>
                          <a:avLst/>
                          <a:gdLst>
                            <a:gd name="f0" fmla="val w"/>
                            <a:gd name="f1" fmla="val h"/>
                            <a:gd name="f2" fmla="val ss"/>
                            <a:gd name="f3" fmla="val 0"/>
                            <a:gd name="f4" fmla="val 6059170"/>
                            <a:gd name="f5" fmla="abs f0"/>
                            <a:gd name="f6" fmla="abs f1"/>
                            <a:gd name="f7" fmla="abs f2"/>
                            <a:gd name="f8" fmla="*/ f0 1 6059170"/>
                            <a:gd name="f9" fmla="+- f3 0 f3"/>
                            <a:gd name="f10" fmla="+- f4 0 f3"/>
                            <a:gd name="f11" fmla="?: f5 f0 1"/>
                            <a:gd name="f12" fmla="?: f6 f1 1"/>
                            <a:gd name="f13" fmla="?: f7 f2 1"/>
                            <a:gd name="f14" fmla="*/ f10 1 6059170"/>
                            <a:gd name="f15" fmla="*/ f9 1 0"/>
                            <a:gd name="f16" fmla="*/ f11 1 6059170"/>
                            <a:gd name="f17" fmla="*/ f12 1 21600"/>
                            <a:gd name="f18" fmla="*/ 21600 f12 1"/>
                            <a:gd name="f19" fmla="*/ 0 1 f14"/>
                            <a:gd name="f20" fmla="*/ 6059170 1 f14"/>
                            <a:gd name="f21" fmla="*/ 0 1 f15"/>
                            <a:gd name="f22" fmla="min f17 f16"/>
                            <a:gd name="f23" fmla="*/ f18 1 f13"/>
                            <a:gd name="f24" fmla="*/ f19 f8 1"/>
                            <a:gd name="f25" fmla="*/ f20 f8 1"/>
                            <a:gd name="f26" fmla="val f23"/>
                            <a:gd name="f27" fmla="*/ f3 f22 1"/>
                            <a:gd name="f28" fmla="+- f26 0 f3"/>
                            <a:gd name="f29" fmla="*/ f28 1 0"/>
                            <a:gd name="f30" fmla="*/ f21 f29 1"/>
                            <a:gd name="f31" fmla="*/ f30 f22 1"/>
                          </a:gdLst>
                          <a:ahLst/>
                          <a:cxnLst>
                            <a:cxn ang="3cd4">
                              <a:pos x="hc" y="t"/>
                            </a:cxn>
                            <a:cxn ang="0">
                              <a:pos x="r" y="vc"/>
                            </a:cxn>
                            <a:cxn ang="cd4">
                              <a:pos x="hc" y="b"/>
                            </a:cxn>
                            <a:cxn ang="cd2">
                              <a:pos x="l" y="vc"/>
                            </a:cxn>
                          </a:cxnLst>
                          <a:rect l="f24" t="f31" r="f25" b="f31"/>
                          <a:pathLst>
                            <a:path w="6059170">
                              <a:moveTo>
                                <a:pt x="f3" y="f27"/>
                              </a:moveTo>
                              <a:lnTo>
                                <a:pt x="f4" y="f27"/>
                              </a:lnTo>
                            </a:path>
                          </a:pathLst>
                        </a:custGeom>
                        <a:noFill/>
                        <a:ln w="25402" cap="sq">
                          <a:solidFill>
                            <a:srgbClr val="993366"/>
                          </a:solidFill>
                          <a:prstDash val="solid"/>
                          <a:miter/>
                        </a:ln>
                      </wps:spPr>
                      <wps:bodyPr lIns="0" tIns="0" rIns="0" bIns="0"/>
                    </wps:wsp>
                  </a:graphicData>
                </a:graphic>
              </wp:anchor>
            </w:drawing>
          </mc:Choice>
          <mc:Fallback>
            <w:pict>
              <v:shape w14:anchorId="1E85A08C" id="Grupo 9790" o:spid="_x0000_s1026" style="position:absolute;margin-left:0;margin-top:0;width:477.1pt;height:0;z-index:251654656;visibility:visible;mso-wrap-style:square;mso-wrap-distance-left:9pt;mso-wrap-distance-top:0;mso-wrap-distance-right:9pt;mso-wrap-distance-bottom:0;mso-position-horizontal:absolute;mso-position-horizontal-relative:text;mso-position-vertical:absolute;mso-position-vertical-relative:text;v-text-anchor:top" coordsize="60591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" path="m,l6059170,e" filled="f" strokecolor="#936" strokeweight=".70561mm">
                <v:stroke joinstyle="miter" endcap="square"/>
                <v:path arrowok="t" o:connecttype="custom" o:connectlocs="3029586,0;6059171,1;3029586,1;0,1" o:connectangles="270,0,90,180" textboxrect="0,0,6059170,0"/>
                <w10:wrap type="square"/>
              </v:shape>
            </w:pict>
          </mc:Fallback>
        </mc:AlternateContent>
      </w:r>
    </w:p>
    <w:p w:rsidR="009B4233" w:rsidRDefault="006B08B9">
      <w:pPr>
        <w:ind w:right="8"/>
        <w:jc w:val="both"/>
        <w:rPr>
          <w:rFonts w:ascii="Arial" w:hAnsi="Arial" w:cs="Arial"/>
          <w:sz w:val="22"/>
          <w:szCs w:val="22"/>
        </w:rPr>
      </w:pPr>
      <w:r>
        <w:rPr>
          <w:rFonts w:ascii="Arial" w:hAnsi="Arial" w:cs="Arial"/>
          <w:sz w:val="22"/>
          <w:szCs w:val="22"/>
        </w:rPr>
        <w:t>Visto el Contrato-Programa que se transcribe a continuación:</w:t>
      </w:r>
    </w:p>
    <w:p w:rsidR="009B4233" w:rsidRDefault="009B4233">
      <w:pPr>
        <w:ind w:right="8"/>
        <w:jc w:val="both"/>
        <w:rPr>
          <w:rFonts w:ascii="Arial" w:hAnsi="Arial" w:cs="Arial"/>
          <w:sz w:val="22"/>
          <w:szCs w:val="22"/>
        </w:rPr>
      </w:pPr>
    </w:p>
    <w:p w:rsidR="009B4233" w:rsidRDefault="006B08B9">
      <w:pPr>
        <w:ind w:left="9" w:right="8"/>
        <w:jc w:val="both"/>
      </w:pPr>
      <w:r>
        <w:rPr>
          <w:rFonts w:ascii="Arial" w:eastAsia="Arial" w:hAnsi="Arial" w:cs="Arial"/>
          <w:b/>
          <w:sz w:val="22"/>
          <w:szCs w:val="22"/>
        </w:rPr>
        <w:t>“I.-</w:t>
      </w:r>
      <w:r>
        <w:rPr>
          <w:rFonts w:ascii="Arial" w:hAnsi="Arial" w:cs="Arial"/>
          <w:sz w:val="22"/>
          <w:szCs w:val="22"/>
        </w:rPr>
        <w:t>El objeto del CONTRATO-PROGRAMA,</w:t>
      </w:r>
      <w:r>
        <w:rPr>
          <w:rFonts w:ascii="Arial" w:eastAsia="Arial" w:hAnsi="Arial" w:cs="Arial"/>
          <w:b/>
          <w:sz w:val="22"/>
          <w:szCs w:val="22"/>
        </w:rPr>
        <w:t xml:space="preserve"> </w:t>
      </w:r>
      <w:r>
        <w:rPr>
          <w:rFonts w:ascii="Arial" w:hAnsi="Arial" w:cs="Arial"/>
          <w:sz w:val="22"/>
          <w:szCs w:val="22"/>
        </w:rPr>
        <w:t xml:space="preserve">es establecer un marco de relaciones y </w:t>
      </w:r>
      <w:r>
        <w:rPr>
          <w:rFonts w:ascii="Arial" w:hAnsi="Arial" w:cs="Arial"/>
          <w:sz w:val="22"/>
          <w:szCs w:val="22"/>
        </w:rPr>
        <w:t>compromisos en materia de gestión, financiera y de ámbito de actividad, entre el Ayuntamiento de Candelaria y sus entes dependientes: la Entidad Pública Empresarial “Gestión de Empresas y Servicios Públicos del Ayuntamiento de la Villa Candelaria,” la Soci</w:t>
      </w:r>
      <w:r>
        <w:rPr>
          <w:rFonts w:ascii="Arial" w:hAnsi="Arial" w:cs="Arial"/>
          <w:sz w:val="22"/>
          <w:szCs w:val="22"/>
        </w:rPr>
        <w:t>edad Mercantil Municipal “E.I. Viviendas y Servicios Municipales de Candelaria S.L.” y la Fundación “Candelaria Solidaria”.</w:t>
      </w:r>
    </w:p>
    <w:p w:rsidR="009B4233" w:rsidRDefault="006B08B9">
      <w:pPr>
        <w:spacing w:after="548"/>
        <w:ind w:left="9" w:right="8"/>
        <w:jc w:val="both"/>
      </w:pPr>
      <w:r>
        <w:rPr>
          <w:rFonts w:ascii="Arial" w:eastAsia="Arial" w:hAnsi="Arial" w:cs="Arial"/>
          <w:b/>
          <w:sz w:val="22"/>
          <w:szCs w:val="22"/>
        </w:rPr>
        <w:t>II.-</w:t>
      </w:r>
      <w:r>
        <w:rPr>
          <w:rFonts w:ascii="Arial" w:hAnsi="Arial" w:cs="Arial"/>
          <w:sz w:val="22"/>
          <w:szCs w:val="22"/>
        </w:rPr>
        <w:t xml:space="preserve"> Que actualmente la Entidad Pública Empresarial, al amparo de lo preceptuado en el artículo 6.1.b.) de sus Estatutos, presta act</w:t>
      </w:r>
      <w:r>
        <w:rPr>
          <w:rFonts w:ascii="Arial" w:hAnsi="Arial" w:cs="Arial"/>
          <w:sz w:val="22"/>
          <w:szCs w:val="22"/>
        </w:rPr>
        <w:t>ualmente la gestión de los siguientes servicios:</w:t>
      </w:r>
    </w:p>
    <w:p w:rsidR="009B4233" w:rsidRDefault="006B08B9">
      <w:pPr>
        <w:widowControl/>
        <w:numPr>
          <w:ilvl w:val="0"/>
          <w:numId w:val="26"/>
        </w:numPr>
        <w:suppressAutoHyphens w:val="0"/>
        <w:spacing w:after="10" w:line="242" w:lineRule="auto"/>
        <w:ind w:right="8" w:hanging="360"/>
        <w:jc w:val="both"/>
        <w:textAlignment w:val="auto"/>
        <w:rPr>
          <w:rFonts w:ascii="Arial" w:hAnsi="Arial" w:cs="Arial"/>
          <w:sz w:val="22"/>
          <w:szCs w:val="22"/>
        </w:rPr>
      </w:pPr>
      <w:r>
        <w:rPr>
          <w:rFonts w:ascii="Arial" w:hAnsi="Arial" w:cs="Arial"/>
          <w:sz w:val="22"/>
          <w:szCs w:val="22"/>
        </w:rPr>
        <w:t>1.- Atención Sociosanitaria a Personas a Domicilio (Parcial).</w:t>
      </w:r>
    </w:p>
    <w:p w:rsidR="009B4233" w:rsidRDefault="006B08B9">
      <w:pPr>
        <w:widowControl/>
        <w:numPr>
          <w:ilvl w:val="0"/>
          <w:numId w:val="26"/>
        </w:numPr>
        <w:suppressAutoHyphens w:val="0"/>
        <w:spacing w:after="2" w:line="242" w:lineRule="auto"/>
        <w:ind w:right="8" w:hanging="360"/>
        <w:jc w:val="both"/>
        <w:textAlignment w:val="auto"/>
        <w:rPr>
          <w:rFonts w:ascii="Arial" w:hAnsi="Arial" w:cs="Arial"/>
          <w:sz w:val="22"/>
          <w:szCs w:val="22"/>
        </w:rPr>
      </w:pPr>
      <w:r>
        <w:rPr>
          <w:rFonts w:ascii="Arial" w:hAnsi="Arial" w:cs="Arial"/>
          <w:sz w:val="22"/>
          <w:szCs w:val="22"/>
        </w:rPr>
        <w:t>2.- Actividades de Conserjería en Edificios Municipales y Limpieza interior de inmuebles municipales y equipamiento urbano (Parcial).</w:t>
      </w:r>
    </w:p>
    <w:p w:rsidR="009B4233" w:rsidRDefault="006B08B9">
      <w:pPr>
        <w:widowControl/>
        <w:numPr>
          <w:ilvl w:val="0"/>
          <w:numId w:val="26"/>
        </w:numPr>
        <w:suppressAutoHyphens w:val="0"/>
        <w:spacing w:after="10" w:line="242" w:lineRule="auto"/>
        <w:ind w:right="8" w:hanging="360"/>
        <w:jc w:val="both"/>
        <w:textAlignment w:val="auto"/>
        <w:rPr>
          <w:rFonts w:ascii="Arial" w:hAnsi="Arial" w:cs="Arial"/>
          <w:sz w:val="22"/>
          <w:szCs w:val="22"/>
        </w:rPr>
      </w:pPr>
      <w:r>
        <w:rPr>
          <w:rFonts w:ascii="Arial" w:hAnsi="Arial" w:cs="Arial"/>
          <w:sz w:val="22"/>
          <w:szCs w:val="22"/>
        </w:rPr>
        <w:t>3.- Gestión</w:t>
      </w:r>
      <w:r>
        <w:rPr>
          <w:rFonts w:ascii="Arial" w:hAnsi="Arial" w:cs="Arial"/>
          <w:sz w:val="22"/>
          <w:szCs w:val="22"/>
        </w:rPr>
        <w:t xml:space="preserve"> de Aseos Autolimpiables instalados en Litoral de Candelaria.</w:t>
      </w:r>
    </w:p>
    <w:p w:rsidR="009B4233" w:rsidRDefault="006B08B9">
      <w:pPr>
        <w:widowControl/>
        <w:numPr>
          <w:ilvl w:val="0"/>
          <w:numId w:val="26"/>
        </w:numPr>
        <w:suppressAutoHyphens w:val="0"/>
        <w:spacing w:after="10" w:line="242" w:lineRule="auto"/>
        <w:ind w:right="8" w:hanging="360"/>
        <w:jc w:val="both"/>
        <w:textAlignment w:val="auto"/>
        <w:rPr>
          <w:rFonts w:ascii="Arial" w:hAnsi="Arial" w:cs="Arial"/>
          <w:sz w:val="22"/>
          <w:szCs w:val="22"/>
        </w:rPr>
      </w:pPr>
      <w:r>
        <w:rPr>
          <w:rFonts w:ascii="Arial" w:hAnsi="Arial" w:cs="Arial"/>
          <w:sz w:val="22"/>
          <w:szCs w:val="22"/>
        </w:rPr>
        <w:t>4.- Radio Municipal.</w:t>
      </w:r>
    </w:p>
    <w:p w:rsidR="009B4233" w:rsidRDefault="006B08B9">
      <w:pPr>
        <w:widowControl/>
        <w:numPr>
          <w:ilvl w:val="0"/>
          <w:numId w:val="26"/>
        </w:numPr>
        <w:suppressAutoHyphens w:val="0"/>
        <w:spacing w:after="10" w:line="242" w:lineRule="auto"/>
        <w:ind w:right="8" w:hanging="360"/>
        <w:jc w:val="both"/>
        <w:textAlignment w:val="auto"/>
        <w:rPr>
          <w:rFonts w:ascii="Arial" w:hAnsi="Arial" w:cs="Arial"/>
          <w:sz w:val="22"/>
          <w:szCs w:val="22"/>
        </w:rPr>
      </w:pPr>
      <w:r>
        <w:rPr>
          <w:rFonts w:ascii="Arial" w:hAnsi="Arial" w:cs="Arial"/>
          <w:sz w:val="22"/>
          <w:szCs w:val="22"/>
        </w:rPr>
        <w:t>5.- Escuela Infantil.</w:t>
      </w:r>
    </w:p>
    <w:p w:rsidR="009B4233" w:rsidRDefault="006B08B9">
      <w:pPr>
        <w:widowControl/>
        <w:numPr>
          <w:ilvl w:val="0"/>
          <w:numId w:val="26"/>
        </w:numPr>
        <w:suppressAutoHyphens w:val="0"/>
        <w:spacing w:after="268" w:line="242" w:lineRule="auto"/>
        <w:ind w:right="8" w:hanging="360"/>
        <w:jc w:val="both"/>
        <w:textAlignment w:val="auto"/>
        <w:rPr>
          <w:rFonts w:ascii="Arial" w:hAnsi="Arial" w:cs="Arial"/>
          <w:sz w:val="22"/>
          <w:szCs w:val="22"/>
        </w:rPr>
      </w:pPr>
      <w:r>
        <w:rPr>
          <w:rFonts w:ascii="Arial" w:hAnsi="Arial" w:cs="Arial"/>
          <w:sz w:val="22"/>
          <w:szCs w:val="22"/>
        </w:rPr>
        <w:t>6.- Gestión de Personal de Escuelas Deportivas.</w:t>
      </w:r>
    </w:p>
    <w:p w:rsidR="009B4233" w:rsidRDefault="006B08B9">
      <w:pPr>
        <w:ind w:left="9" w:right="8"/>
        <w:jc w:val="both"/>
      </w:pPr>
      <w:r>
        <w:rPr>
          <w:rFonts w:ascii="Arial" w:eastAsia="Arial" w:hAnsi="Arial" w:cs="Arial"/>
          <w:b/>
          <w:sz w:val="22"/>
          <w:szCs w:val="22"/>
        </w:rPr>
        <w:t>III.-</w:t>
      </w:r>
      <w:r>
        <w:rPr>
          <w:rFonts w:ascii="Arial" w:hAnsi="Arial" w:cs="Arial"/>
          <w:sz w:val="22"/>
          <w:szCs w:val="22"/>
        </w:rPr>
        <w:t xml:space="preserve"> Que actualmente, la Sociedad Municipal de Viviendas y Servicios Municipales de Candelaria S.L.U.,</w:t>
      </w:r>
      <w:r>
        <w:rPr>
          <w:rFonts w:ascii="Arial" w:hAnsi="Arial" w:cs="Arial"/>
          <w:sz w:val="22"/>
          <w:szCs w:val="22"/>
        </w:rPr>
        <w:t xml:space="preserve"> cuya razón de ser de la Empresa Municipal, es promover la inserción sociolaboral de personas en situación de exclusión o en riesgo de padecerla y aquellos servicios que permitan realizar itinerarios individualizados de inserción laboral, según la normativ</w:t>
      </w:r>
      <w:r>
        <w:rPr>
          <w:rFonts w:ascii="Arial" w:hAnsi="Arial" w:cs="Arial"/>
          <w:sz w:val="22"/>
          <w:szCs w:val="22"/>
        </w:rPr>
        <w:t>a vigente, nacional y autonómica, y en particular la derivada de la Ley 44/2007, de 13 de diciembre, para la regulación del régimen de las empresas de inserción:</w:t>
      </w:r>
    </w:p>
    <w:p w:rsidR="009B4233" w:rsidRDefault="006B08B9">
      <w:pPr>
        <w:spacing w:after="10"/>
        <w:ind w:left="9" w:right="8"/>
        <w:jc w:val="both"/>
        <w:rPr>
          <w:rFonts w:ascii="Arial" w:hAnsi="Arial" w:cs="Arial"/>
          <w:sz w:val="22"/>
          <w:szCs w:val="22"/>
        </w:rPr>
      </w:pPr>
      <w:r>
        <w:rPr>
          <w:rFonts w:ascii="Arial" w:hAnsi="Arial" w:cs="Arial"/>
          <w:sz w:val="22"/>
          <w:szCs w:val="22"/>
        </w:rPr>
        <w:t>1.- Atención Sociosanitaria a Personas a Domicilio (Parcial).</w:t>
      </w:r>
    </w:p>
    <w:p w:rsidR="009B4233" w:rsidRDefault="006B08B9">
      <w:pPr>
        <w:ind w:left="9" w:right="8"/>
        <w:jc w:val="both"/>
        <w:rPr>
          <w:rFonts w:ascii="Arial" w:hAnsi="Arial" w:cs="Arial"/>
          <w:sz w:val="22"/>
          <w:szCs w:val="22"/>
        </w:rPr>
      </w:pPr>
      <w:r>
        <w:rPr>
          <w:rFonts w:ascii="Arial" w:hAnsi="Arial" w:cs="Arial"/>
          <w:sz w:val="22"/>
          <w:szCs w:val="22"/>
        </w:rPr>
        <w:t>2.- Actividades de Conserjería e</w:t>
      </w:r>
      <w:r>
        <w:rPr>
          <w:rFonts w:ascii="Arial" w:hAnsi="Arial" w:cs="Arial"/>
          <w:sz w:val="22"/>
          <w:szCs w:val="22"/>
        </w:rPr>
        <w:t>n Edificios Municipales y Limpieza interior de inmuebles municipales y equipamiento urbano (Parcial).</w:t>
      </w:r>
    </w:p>
    <w:p w:rsidR="009B4233" w:rsidRDefault="006B08B9">
      <w:pPr>
        <w:spacing w:after="10"/>
        <w:ind w:left="9" w:right="8"/>
        <w:jc w:val="both"/>
        <w:rPr>
          <w:rFonts w:ascii="Arial" w:hAnsi="Arial" w:cs="Arial"/>
          <w:sz w:val="22"/>
          <w:szCs w:val="22"/>
        </w:rPr>
      </w:pPr>
      <w:r>
        <w:rPr>
          <w:rFonts w:ascii="Arial" w:hAnsi="Arial" w:cs="Arial"/>
          <w:sz w:val="22"/>
          <w:szCs w:val="22"/>
        </w:rPr>
        <w:t>3.- Centro Alfarero.</w:t>
      </w:r>
    </w:p>
    <w:p w:rsidR="009B4233" w:rsidRDefault="006B08B9">
      <w:pPr>
        <w:spacing w:after="540"/>
        <w:ind w:left="9" w:right="8"/>
        <w:jc w:val="both"/>
        <w:rPr>
          <w:rFonts w:ascii="Arial" w:hAnsi="Arial" w:cs="Arial"/>
          <w:sz w:val="22"/>
          <w:szCs w:val="22"/>
        </w:rPr>
      </w:pPr>
      <w:r>
        <w:rPr>
          <w:rFonts w:ascii="Arial" w:hAnsi="Arial" w:cs="Arial"/>
          <w:sz w:val="22"/>
          <w:szCs w:val="22"/>
        </w:rPr>
        <w:t>4.- Gestión de la Piscina municipal (Parcial).</w:t>
      </w:r>
    </w:p>
    <w:p w:rsidR="009B4233" w:rsidRDefault="006B08B9">
      <w:pPr>
        <w:ind w:left="9" w:right="8"/>
        <w:jc w:val="both"/>
      </w:pPr>
      <w:r>
        <w:rPr>
          <w:rFonts w:ascii="Arial" w:eastAsia="Arial" w:hAnsi="Arial" w:cs="Arial"/>
          <w:b/>
          <w:sz w:val="22"/>
          <w:szCs w:val="22"/>
        </w:rPr>
        <w:t>IV.-</w:t>
      </w:r>
      <w:r>
        <w:rPr>
          <w:rFonts w:ascii="Arial" w:hAnsi="Arial" w:cs="Arial"/>
          <w:sz w:val="22"/>
          <w:szCs w:val="22"/>
        </w:rPr>
        <w:t xml:space="preserve"> Que la Fundación Candelaria Solidaria, conforme los fines previstos en los Estatu</w:t>
      </w:r>
      <w:r>
        <w:rPr>
          <w:rFonts w:ascii="Arial" w:hAnsi="Arial" w:cs="Arial"/>
          <w:sz w:val="22"/>
          <w:szCs w:val="22"/>
        </w:rPr>
        <w:t>tos y el Plan de Acción, que se aprueba anualmente por el Patronato, se puede concretar en:</w:t>
      </w:r>
    </w:p>
    <w:p w:rsidR="009B4233" w:rsidRDefault="006B08B9">
      <w:pPr>
        <w:widowControl/>
        <w:numPr>
          <w:ilvl w:val="0"/>
          <w:numId w:val="27"/>
        </w:numPr>
        <w:suppressAutoHyphens w:val="0"/>
        <w:spacing w:after="10" w:line="242" w:lineRule="auto"/>
        <w:ind w:right="8" w:hanging="360"/>
        <w:jc w:val="both"/>
        <w:textAlignment w:val="auto"/>
        <w:rPr>
          <w:rFonts w:ascii="Arial" w:hAnsi="Arial" w:cs="Arial"/>
          <w:sz w:val="22"/>
          <w:szCs w:val="22"/>
        </w:rPr>
      </w:pPr>
      <w:r>
        <w:rPr>
          <w:rFonts w:ascii="Arial" w:hAnsi="Arial" w:cs="Arial"/>
          <w:sz w:val="22"/>
          <w:szCs w:val="22"/>
        </w:rPr>
        <w:t>Gestión Centro Ocupacional Arco Iris.</w:t>
      </w:r>
    </w:p>
    <w:p w:rsidR="009B4233" w:rsidRDefault="006B08B9">
      <w:pPr>
        <w:widowControl/>
        <w:numPr>
          <w:ilvl w:val="0"/>
          <w:numId w:val="27"/>
        </w:numPr>
        <w:suppressAutoHyphens w:val="0"/>
        <w:spacing w:after="434" w:line="242" w:lineRule="auto"/>
        <w:ind w:right="8" w:hanging="360"/>
        <w:jc w:val="both"/>
        <w:textAlignment w:val="auto"/>
        <w:rPr>
          <w:rFonts w:ascii="Arial" w:hAnsi="Arial" w:cs="Arial"/>
          <w:sz w:val="22"/>
          <w:szCs w:val="22"/>
        </w:rPr>
      </w:pPr>
      <w:r>
        <w:rPr>
          <w:rFonts w:ascii="Arial" w:hAnsi="Arial" w:cs="Arial"/>
          <w:sz w:val="22"/>
          <w:szCs w:val="22"/>
        </w:rPr>
        <w:t>Centro Solidario de Alimentos.</w:t>
      </w:r>
    </w:p>
    <w:p w:rsidR="009B4233" w:rsidRDefault="006B08B9">
      <w:pPr>
        <w:spacing w:after="542"/>
        <w:ind w:left="9" w:right="8"/>
        <w:jc w:val="both"/>
      </w:pPr>
      <w:r>
        <w:rPr>
          <w:rFonts w:ascii="Arial" w:eastAsia="Arial" w:hAnsi="Arial" w:cs="Arial"/>
          <w:b/>
          <w:sz w:val="22"/>
          <w:szCs w:val="22"/>
        </w:rPr>
        <w:t>V.-</w:t>
      </w:r>
      <w:r>
        <w:rPr>
          <w:rFonts w:ascii="Arial" w:hAnsi="Arial" w:cs="Arial"/>
          <w:sz w:val="22"/>
          <w:szCs w:val="22"/>
        </w:rPr>
        <w:t xml:space="preserve"> Que la vigencia del Contrato-programa será indefinida, mientras existan las entidades </w:t>
      </w:r>
      <w:r>
        <w:rPr>
          <w:rFonts w:ascii="Arial" w:hAnsi="Arial" w:cs="Arial"/>
          <w:sz w:val="22"/>
          <w:szCs w:val="22"/>
        </w:rPr>
        <w:t>vinculadas con el presente Contrato- Programa.</w:t>
      </w:r>
    </w:p>
    <w:p w:rsidR="009B4233" w:rsidRDefault="006B08B9">
      <w:pPr>
        <w:ind w:left="9" w:right="8"/>
        <w:jc w:val="both"/>
      </w:pPr>
      <w:r>
        <w:rPr>
          <w:rFonts w:ascii="Arial" w:eastAsia="Arial" w:hAnsi="Arial" w:cs="Arial"/>
          <w:b/>
          <w:sz w:val="22"/>
          <w:szCs w:val="22"/>
        </w:rPr>
        <w:t xml:space="preserve">VII.- </w:t>
      </w:r>
      <w:r>
        <w:rPr>
          <w:rFonts w:ascii="Arial" w:hAnsi="Arial" w:cs="Arial"/>
          <w:sz w:val="22"/>
          <w:szCs w:val="22"/>
        </w:rPr>
        <w:t>El motivo del presente contrato-programa se justifica, desde la perspectiva interna, en el compromiso de alinear a la Empresa Municipal de Inserción, la Entidad Pública Empresarial del Ayuntamiento de la</w:t>
      </w:r>
      <w:r>
        <w:rPr>
          <w:rFonts w:ascii="Arial" w:hAnsi="Arial" w:cs="Arial"/>
          <w:sz w:val="22"/>
          <w:szCs w:val="22"/>
        </w:rPr>
        <w:t xml:space="preserve"> Villa de Candelaria y la Fundación, con el modelo de gestión municipal, regulando la financiación; y desde una perspectiva externa, en lograr una gestión eficiente de las actividades y servicios a realizar. </w:t>
      </w:r>
    </w:p>
    <w:p w:rsidR="009B4233" w:rsidRDefault="006B08B9">
      <w:pPr>
        <w:ind w:left="-1" w:right="8" w:firstLine="360"/>
        <w:jc w:val="both"/>
        <w:rPr>
          <w:rFonts w:ascii="Arial" w:hAnsi="Arial" w:cs="Arial"/>
          <w:sz w:val="22"/>
          <w:szCs w:val="22"/>
        </w:rPr>
      </w:pPr>
      <w:r>
        <w:rPr>
          <w:rFonts w:ascii="Arial" w:hAnsi="Arial" w:cs="Arial"/>
          <w:sz w:val="22"/>
          <w:szCs w:val="22"/>
        </w:rPr>
        <w:t>De acuerdo con ello, las líneas estratégicas de</w:t>
      </w:r>
      <w:r>
        <w:rPr>
          <w:rFonts w:ascii="Arial" w:hAnsi="Arial" w:cs="Arial"/>
          <w:sz w:val="22"/>
          <w:szCs w:val="22"/>
        </w:rPr>
        <w:t xml:space="preserve"> los entes vinculados al contrato-programa, son las siguientes:</w:t>
      </w:r>
    </w:p>
    <w:p w:rsidR="009B4233" w:rsidRDefault="006B08B9">
      <w:pPr>
        <w:widowControl/>
        <w:numPr>
          <w:ilvl w:val="1"/>
          <w:numId w:val="27"/>
        </w:numPr>
        <w:suppressAutoHyphens w:val="0"/>
        <w:spacing w:after="164" w:line="242" w:lineRule="auto"/>
        <w:ind w:right="8" w:hanging="266"/>
        <w:jc w:val="both"/>
        <w:textAlignment w:val="auto"/>
        <w:rPr>
          <w:rFonts w:ascii="Arial" w:hAnsi="Arial" w:cs="Arial"/>
          <w:sz w:val="22"/>
          <w:szCs w:val="22"/>
        </w:rPr>
      </w:pPr>
      <w:r>
        <w:rPr>
          <w:rFonts w:ascii="Arial" w:hAnsi="Arial" w:cs="Arial"/>
          <w:sz w:val="22"/>
          <w:szCs w:val="22"/>
        </w:rPr>
        <w:t>Alinear la planificación y el  modelo de gestión y presupuestación con el del Ayuntamiento.</w:t>
      </w:r>
    </w:p>
    <w:p w:rsidR="009B4233" w:rsidRDefault="006B08B9">
      <w:pPr>
        <w:widowControl/>
        <w:numPr>
          <w:ilvl w:val="1"/>
          <w:numId w:val="27"/>
        </w:numPr>
        <w:suppressAutoHyphens w:val="0"/>
        <w:spacing w:after="164" w:line="242" w:lineRule="auto"/>
        <w:ind w:right="8" w:hanging="266"/>
        <w:jc w:val="both"/>
        <w:textAlignment w:val="auto"/>
        <w:rPr>
          <w:rFonts w:ascii="Arial" w:hAnsi="Arial" w:cs="Arial"/>
          <w:sz w:val="22"/>
          <w:szCs w:val="22"/>
        </w:rPr>
      </w:pPr>
      <w:r>
        <w:rPr>
          <w:rFonts w:ascii="Arial" w:hAnsi="Arial" w:cs="Arial"/>
          <w:sz w:val="22"/>
          <w:szCs w:val="22"/>
        </w:rPr>
        <w:t>Pasar de  la cultura del gasto a la cultura del coste.</w:t>
      </w:r>
    </w:p>
    <w:p w:rsidR="009B4233" w:rsidRDefault="006B08B9">
      <w:pPr>
        <w:widowControl/>
        <w:numPr>
          <w:ilvl w:val="1"/>
          <w:numId w:val="27"/>
        </w:numPr>
        <w:suppressAutoHyphens w:val="0"/>
        <w:spacing w:after="164" w:line="242" w:lineRule="auto"/>
        <w:ind w:right="8" w:hanging="266"/>
        <w:jc w:val="both"/>
        <w:textAlignment w:val="auto"/>
        <w:rPr>
          <w:rFonts w:ascii="Arial" w:hAnsi="Arial" w:cs="Arial"/>
          <w:sz w:val="22"/>
          <w:szCs w:val="22"/>
        </w:rPr>
      </w:pPr>
      <w:r>
        <w:rPr>
          <w:rFonts w:ascii="Arial" w:hAnsi="Arial" w:cs="Arial"/>
          <w:sz w:val="22"/>
          <w:szCs w:val="22"/>
        </w:rPr>
        <w:t>Gestionar con transparencia.</w:t>
      </w:r>
    </w:p>
    <w:p w:rsidR="009B4233" w:rsidRDefault="006B08B9">
      <w:pPr>
        <w:widowControl/>
        <w:numPr>
          <w:ilvl w:val="1"/>
          <w:numId w:val="27"/>
        </w:numPr>
        <w:suppressAutoHyphens w:val="0"/>
        <w:spacing w:after="164" w:line="242" w:lineRule="auto"/>
        <w:ind w:right="8" w:hanging="266"/>
        <w:jc w:val="both"/>
        <w:textAlignment w:val="auto"/>
        <w:rPr>
          <w:rFonts w:ascii="Arial" w:hAnsi="Arial" w:cs="Arial"/>
          <w:sz w:val="22"/>
          <w:szCs w:val="22"/>
        </w:rPr>
      </w:pPr>
      <w:r>
        <w:rPr>
          <w:rFonts w:ascii="Arial" w:hAnsi="Arial" w:cs="Arial"/>
          <w:sz w:val="22"/>
          <w:szCs w:val="22"/>
        </w:rPr>
        <w:t>Adecuar la gesti</w:t>
      </w:r>
      <w:r>
        <w:rPr>
          <w:rFonts w:ascii="Arial" w:hAnsi="Arial" w:cs="Arial"/>
          <w:sz w:val="22"/>
          <w:szCs w:val="22"/>
        </w:rPr>
        <w:t>ón a los principios de eficiencia, eficacia y economia, conforme el Real Decreto 424/2017 de 28 de abril, por el que se regula el régimen jurídico del sistema de control interno.</w:t>
      </w:r>
    </w:p>
    <w:p w:rsidR="009B4233" w:rsidRDefault="006B08B9">
      <w:pPr>
        <w:widowControl/>
        <w:numPr>
          <w:ilvl w:val="1"/>
          <w:numId w:val="27"/>
        </w:numPr>
        <w:suppressAutoHyphens w:val="0"/>
        <w:spacing w:after="268" w:line="242" w:lineRule="auto"/>
        <w:ind w:right="8" w:hanging="266"/>
        <w:jc w:val="both"/>
        <w:textAlignment w:val="auto"/>
        <w:rPr>
          <w:rFonts w:ascii="Arial" w:hAnsi="Arial" w:cs="Arial"/>
          <w:sz w:val="22"/>
          <w:szCs w:val="22"/>
        </w:rPr>
      </w:pPr>
      <w:r>
        <w:rPr>
          <w:rFonts w:ascii="Arial" w:hAnsi="Arial" w:cs="Arial"/>
          <w:sz w:val="22"/>
          <w:szCs w:val="22"/>
        </w:rPr>
        <w:t>Adecuar su funcionamiento a las recomendaciones de los Auditores que verifiqu</w:t>
      </w:r>
      <w:r>
        <w:rPr>
          <w:rFonts w:ascii="Arial" w:hAnsi="Arial" w:cs="Arial"/>
          <w:sz w:val="22"/>
          <w:szCs w:val="22"/>
        </w:rPr>
        <w:t>en su gestión, contratados para la prestación de los servicios de colaboración con la intervención Municipal en la realización de Auditorías Públicas consistente, en la verificación, realizada con posterioridad y efectuada de forma sistemática, de la activ</w:t>
      </w:r>
      <w:r>
        <w:rPr>
          <w:rFonts w:ascii="Arial" w:hAnsi="Arial" w:cs="Arial"/>
          <w:sz w:val="22"/>
          <w:szCs w:val="22"/>
        </w:rPr>
        <w:t xml:space="preserve">idad económico-financiera de </w:t>
      </w:r>
    </w:p>
    <w:p w:rsidR="009B4233" w:rsidRDefault="006B08B9">
      <w:pPr>
        <w:spacing w:after="164"/>
        <w:ind w:left="744" w:right="8"/>
        <w:jc w:val="both"/>
        <w:rPr>
          <w:rFonts w:ascii="Arial" w:hAnsi="Arial" w:cs="Arial"/>
          <w:sz w:val="22"/>
          <w:szCs w:val="22"/>
        </w:rPr>
      </w:pPr>
      <w:r>
        <w:rPr>
          <w:rFonts w:ascii="Arial" w:hAnsi="Arial" w:cs="Arial"/>
          <w:sz w:val="22"/>
          <w:szCs w:val="22"/>
        </w:rPr>
        <w:t>las entidades auditadas, mediante la aplicación de los procedimientos de revisión selectivos, contenidos en las normas de auditoría e instrucciones que dicte la Intervención General de la Administración del Estado.</w:t>
      </w:r>
    </w:p>
    <w:p w:rsidR="009B4233" w:rsidRDefault="006B08B9">
      <w:pPr>
        <w:widowControl/>
        <w:numPr>
          <w:ilvl w:val="1"/>
          <w:numId w:val="27"/>
        </w:numPr>
        <w:suppressAutoHyphens w:val="0"/>
        <w:spacing w:after="440" w:line="242" w:lineRule="auto"/>
        <w:ind w:right="8" w:hanging="266"/>
        <w:jc w:val="both"/>
        <w:textAlignment w:val="auto"/>
        <w:rPr>
          <w:rFonts w:ascii="Arial" w:hAnsi="Arial" w:cs="Arial"/>
          <w:sz w:val="22"/>
          <w:szCs w:val="22"/>
        </w:rPr>
      </w:pPr>
      <w:r>
        <w:rPr>
          <w:rFonts w:ascii="Arial" w:hAnsi="Arial" w:cs="Arial"/>
          <w:sz w:val="22"/>
          <w:szCs w:val="22"/>
        </w:rPr>
        <w:t>Definir los</w:t>
      </w:r>
      <w:r>
        <w:rPr>
          <w:rFonts w:ascii="Arial" w:hAnsi="Arial" w:cs="Arial"/>
          <w:sz w:val="22"/>
          <w:szCs w:val="22"/>
        </w:rPr>
        <w:t xml:space="preserve"> centros gestores de Gastos e Ingresos.</w:t>
      </w:r>
    </w:p>
    <w:p w:rsidR="009B4233" w:rsidRDefault="006B08B9">
      <w:pPr>
        <w:ind w:left="9" w:right="8"/>
        <w:jc w:val="both"/>
        <w:rPr>
          <w:rFonts w:ascii="Arial" w:hAnsi="Arial" w:cs="Arial"/>
          <w:sz w:val="22"/>
          <w:szCs w:val="22"/>
        </w:rPr>
      </w:pPr>
      <w:r>
        <w:rPr>
          <w:rFonts w:ascii="Arial" w:hAnsi="Arial" w:cs="Arial"/>
          <w:sz w:val="22"/>
          <w:szCs w:val="22"/>
        </w:rPr>
        <w:t>Para su desarrollo, los objetivos estratégicos de actuación serán los siguientes:</w:t>
      </w:r>
    </w:p>
    <w:p w:rsidR="009B4233" w:rsidRDefault="006B08B9">
      <w:pPr>
        <w:spacing w:after="10"/>
        <w:ind w:left="9" w:right="8"/>
        <w:jc w:val="both"/>
        <w:rPr>
          <w:rFonts w:ascii="Arial" w:hAnsi="Arial" w:cs="Arial"/>
          <w:sz w:val="22"/>
          <w:szCs w:val="22"/>
        </w:rPr>
      </w:pPr>
      <w:r>
        <w:rPr>
          <w:rFonts w:ascii="Arial" w:hAnsi="Arial" w:cs="Arial"/>
          <w:sz w:val="22"/>
          <w:szCs w:val="22"/>
        </w:rPr>
        <w:t>1.- Incorporar la Planificación en la gestión de todas las entidades.</w:t>
      </w:r>
    </w:p>
    <w:p w:rsidR="009B4233" w:rsidRDefault="006B08B9">
      <w:pPr>
        <w:spacing w:after="542"/>
        <w:ind w:left="9" w:right="8"/>
        <w:jc w:val="both"/>
        <w:rPr>
          <w:rFonts w:ascii="Arial" w:hAnsi="Arial" w:cs="Arial"/>
          <w:sz w:val="22"/>
          <w:szCs w:val="22"/>
        </w:rPr>
      </w:pPr>
      <w:r>
        <w:rPr>
          <w:rFonts w:ascii="Arial" w:hAnsi="Arial" w:cs="Arial"/>
          <w:sz w:val="22"/>
          <w:szCs w:val="22"/>
        </w:rPr>
        <w:t>2.- Adaptar las previsiones de ingresos y gastos de los entes, c</w:t>
      </w:r>
      <w:r>
        <w:rPr>
          <w:rFonts w:ascii="Arial" w:hAnsi="Arial" w:cs="Arial"/>
          <w:sz w:val="22"/>
          <w:szCs w:val="22"/>
        </w:rPr>
        <w:t>onforme los principios de economia, eficiencia y eficacia.</w:t>
      </w:r>
    </w:p>
    <w:p w:rsidR="009B4233" w:rsidRDefault="006B08B9">
      <w:pPr>
        <w:ind w:left="9" w:right="8"/>
        <w:jc w:val="both"/>
      </w:pPr>
      <w:r>
        <w:rPr>
          <w:rFonts w:ascii="Arial" w:eastAsia="Arial" w:hAnsi="Arial" w:cs="Arial"/>
          <w:b/>
          <w:sz w:val="22"/>
          <w:szCs w:val="22"/>
        </w:rPr>
        <w:t xml:space="preserve">VIII.- </w:t>
      </w:r>
      <w:r>
        <w:rPr>
          <w:rFonts w:ascii="Arial" w:hAnsi="Arial" w:cs="Arial"/>
          <w:sz w:val="22"/>
          <w:szCs w:val="22"/>
        </w:rPr>
        <w:t>Las entidades dependientes del Ayuntamiento de Candelaria, sometidas al presente Contrato-Programa, anualmente, deberán someterse a un proceso de auditoria, por la empresa que resulte adjudi</w:t>
      </w:r>
      <w:r>
        <w:rPr>
          <w:rFonts w:ascii="Arial" w:hAnsi="Arial" w:cs="Arial"/>
          <w:sz w:val="22"/>
          <w:szCs w:val="22"/>
        </w:rPr>
        <w:t>cataria por el Ayuntamiento, verificando la actividad económico-financiera de las citadas entidades , que deberá emitir informes que presentarán los hechos reales de forma exacta, incluyendo únicamente información sobre hechos comprobados y conclusiones fu</w:t>
      </w:r>
      <w:r>
        <w:rPr>
          <w:rFonts w:ascii="Arial" w:hAnsi="Arial" w:cs="Arial"/>
          <w:sz w:val="22"/>
          <w:szCs w:val="22"/>
        </w:rPr>
        <w:t>ndamentadas por evidencia suficiente, contenidos en los papeles de trabajo. Deberán incluirse de forma clara las conclusiones y, en su caso, las recomendaciones.</w:t>
      </w:r>
    </w:p>
    <w:p w:rsidR="009B4233" w:rsidRDefault="009B4233">
      <w:pPr>
        <w:ind w:left="9" w:right="8"/>
        <w:jc w:val="both"/>
        <w:rPr>
          <w:rFonts w:ascii="Arial" w:hAnsi="Arial" w:cs="Arial"/>
          <w:sz w:val="22"/>
          <w:szCs w:val="22"/>
        </w:rPr>
      </w:pPr>
    </w:p>
    <w:p w:rsidR="009B4233" w:rsidRDefault="006B08B9">
      <w:pPr>
        <w:ind w:left="9" w:right="8"/>
        <w:jc w:val="both"/>
        <w:rPr>
          <w:rFonts w:ascii="Arial" w:hAnsi="Arial" w:cs="Arial"/>
          <w:sz w:val="22"/>
          <w:szCs w:val="22"/>
        </w:rPr>
      </w:pPr>
      <w:r>
        <w:rPr>
          <w:rFonts w:ascii="Arial" w:hAnsi="Arial" w:cs="Arial"/>
          <w:sz w:val="22"/>
          <w:szCs w:val="22"/>
        </w:rPr>
        <w:t>Las modalidades de auditorías a realizar son:</w:t>
      </w:r>
    </w:p>
    <w:p w:rsidR="009B4233" w:rsidRDefault="009B4233">
      <w:pPr>
        <w:ind w:left="9" w:right="8"/>
        <w:jc w:val="both"/>
        <w:rPr>
          <w:rFonts w:ascii="Arial" w:hAnsi="Arial" w:cs="Arial"/>
          <w:sz w:val="22"/>
          <w:szCs w:val="22"/>
        </w:rPr>
      </w:pPr>
    </w:p>
    <w:p w:rsidR="009B4233" w:rsidRDefault="006B08B9">
      <w:pPr>
        <w:numPr>
          <w:ilvl w:val="0"/>
          <w:numId w:val="28"/>
        </w:numPr>
        <w:ind w:right="8"/>
        <w:jc w:val="both"/>
        <w:textAlignment w:val="auto"/>
      </w:pPr>
      <w:r>
        <w:rPr>
          <w:rFonts w:ascii="Arial" w:eastAsia="Arial" w:hAnsi="Arial" w:cs="Arial"/>
          <w:b/>
          <w:sz w:val="22"/>
          <w:szCs w:val="22"/>
        </w:rPr>
        <w:t>Auditoría de las Cuentas Anuales.</w:t>
      </w:r>
      <w:r>
        <w:rPr>
          <w:rFonts w:ascii="Arial" w:hAnsi="Arial" w:cs="Arial"/>
          <w:sz w:val="22"/>
          <w:szCs w:val="22"/>
        </w:rPr>
        <w:t xml:space="preserve"> Examen de lo</w:t>
      </w:r>
      <w:r>
        <w:rPr>
          <w:rFonts w:ascii="Arial" w:hAnsi="Arial" w:cs="Arial"/>
          <w:sz w:val="22"/>
          <w:szCs w:val="22"/>
        </w:rPr>
        <w:t>s estados financieros de la Sociedad, mediante procedimientos de verificación, comparación, confirmación, análisis y demás que se considere oportuno aplicar, con objeto de opinar sobre si los mismos reflejan adecuadamente su situación patrimonial, los resu</w:t>
      </w:r>
      <w:r>
        <w:rPr>
          <w:rFonts w:ascii="Arial" w:hAnsi="Arial" w:cs="Arial"/>
          <w:sz w:val="22"/>
          <w:szCs w:val="22"/>
        </w:rPr>
        <w:t>ltados de sus operaciones y los cambios en su situación financiera, de acuerdo con los principios de contabilidad generalmente aceptados y la legislación vigente.</w:t>
      </w:r>
    </w:p>
    <w:p w:rsidR="009B4233" w:rsidRDefault="009B4233">
      <w:pPr>
        <w:ind w:left="9" w:right="8"/>
        <w:jc w:val="both"/>
        <w:rPr>
          <w:rFonts w:ascii="Arial" w:hAnsi="Arial" w:cs="Arial"/>
          <w:sz w:val="22"/>
          <w:szCs w:val="22"/>
        </w:rPr>
      </w:pPr>
    </w:p>
    <w:p w:rsidR="009B4233" w:rsidRDefault="006B08B9">
      <w:pPr>
        <w:ind w:left="9" w:right="8"/>
        <w:jc w:val="both"/>
      </w:pPr>
      <w:r>
        <w:rPr>
          <w:rFonts w:ascii="Arial" w:eastAsia="Arial" w:hAnsi="Arial" w:cs="Arial"/>
          <w:b/>
          <w:sz w:val="22"/>
          <w:szCs w:val="22"/>
        </w:rPr>
        <w:t>2.- Auditoría de cumplimiento.</w:t>
      </w:r>
      <w:r>
        <w:rPr>
          <w:rFonts w:ascii="Arial" w:hAnsi="Arial" w:cs="Arial"/>
          <w:sz w:val="22"/>
          <w:szCs w:val="22"/>
        </w:rPr>
        <w:t xml:space="preserve"> Los trabajos realizados abarcarán las distintas áreas de gest</w:t>
      </w:r>
      <w:r>
        <w:rPr>
          <w:rFonts w:ascii="Arial" w:hAnsi="Arial" w:cs="Arial"/>
          <w:sz w:val="22"/>
          <w:szCs w:val="22"/>
        </w:rPr>
        <w:t>ión de cada sociedad objeto de control, desde la perspectiva del cumplimiento de la legalidad:</w:t>
      </w:r>
    </w:p>
    <w:p w:rsidR="009B4233" w:rsidRDefault="009B4233">
      <w:pPr>
        <w:ind w:left="9" w:right="8"/>
        <w:jc w:val="both"/>
        <w:rPr>
          <w:rFonts w:ascii="Arial" w:hAnsi="Arial" w:cs="Arial"/>
          <w:sz w:val="22"/>
          <w:szCs w:val="22"/>
        </w:rPr>
      </w:pPr>
    </w:p>
    <w:p w:rsidR="009B4233" w:rsidRDefault="006B08B9">
      <w:pPr>
        <w:ind w:left="9" w:right="8"/>
        <w:jc w:val="both"/>
      </w:pPr>
      <w:r>
        <w:rPr>
          <w:rFonts w:ascii="Arial" w:hAnsi="Arial" w:cs="Arial"/>
          <w:sz w:val="22"/>
          <w:szCs w:val="22"/>
          <w:u w:val="single" w:color="000000"/>
        </w:rPr>
        <w:t>Área de ingresos</w:t>
      </w:r>
      <w:r>
        <w:rPr>
          <w:rFonts w:ascii="Arial" w:hAnsi="Arial" w:cs="Arial"/>
          <w:sz w:val="22"/>
          <w:szCs w:val="22"/>
        </w:rPr>
        <w:t>: se analizarán los recursos que gestiona la entidad, así como su procedencia. Se comprobará la correcta contabilización de los ingresos, analiz</w:t>
      </w:r>
      <w:r>
        <w:rPr>
          <w:rFonts w:ascii="Arial" w:hAnsi="Arial" w:cs="Arial"/>
          <w:sz w:val="22"/>
          <w:szCs w:val="22"/>
        </w:rPr>
        <w:t xml:space="preserve">ando los ingresos devengados y recaudados. </w:t>
      </w:r>
    </w:p>
    <w:p w:rsidR="009B4233" w:rsidRDefault="009B4233">
      <w:pPr>
        <w:ind w:left="9" w:right="8"/>
        <w:jc w:val="both"/>
        <w:rPr>
          <w:rFonts w:ascii="Arial" w:hAnsi="Arial" w:cs="Arial"/>
          <w:sz w:val="22"/>
          <w:szCs w:val="22"/>
        </w:rPr>
      </w:pPr>
    </w:p>
    <w:p w:rsidR="009B4233" w:rsidRDefault="006B08B9">
      <w:pPr>
        <w:ind w:left="-1" w:right="8" w:firstLine="996"/>
        <w:jc w:val="both"/>
        <w:rPr>
          <w:rFonts w:ascii="Arial" w:hAnsi="Arial" w:cs="Arial"/>
          <w:sz w:val="22"/>
          <w:szCs w:val="22"/>
        </w:rPr>
      </w:pPr>
      <w:r>
        <w:rPr>
          <w:rFonts w:ascii="Arial" w:hAnsi="Arial" w:cs="Arial"/>
          <w:sz w:val="22"/>
          <w:szCs w:val="22"/>
        </w:rPr>
        <w:t xml:space="preserve">Se comprobará que los ingresos que proceden de prestaciones de servicios o contratos de Entes distintos a la entidad matriz se adecuan al objeto y Estatutos de la sociedad, y que se han tramitado de acuerdo con </w:t>
      </w:r>
      <w:r>
        <w:rPr>
          <w:rFonts w:ascii="Arial" w:hAnsi="Arial" w:cs="Arial"/>
          <w:sz w:val="22"/>
          <w:szCs w:val="22"/>
        </w:rPr>
        <w:t xml:space="preserve">la normativa de aplicación. </w:t>
      </w:r>
    </w:p>
    <w:p w:rsidR="009B4233" w:rsidRDefault="006B08B9">
      <w:pPr>
        <w:ind w:left="9" w:right="8"/>
        <w:jc w:val="both"/>
      </w:pPr>
      <w:r>
        <w:rPr>
          <w:rFonts w:ascii="Arial" w:hAnsi="Arial" w:cs="Arial"/>
          <w:sz w:val="22"/>
          <w:szCs w:val="22"/>
          <w:u w:val="single" w:color="000000"/>
        </w:rPr>
        <w:t>Área de activos</w:t>
      </w:r>
      <w:r>
        <w:rPr>
          <w:rFonts w:ascii="Arial" w:hAnsi="Arial" w:cs="Arial"/>
          <w:sz w:val="22"/>
          <w:szCs w:val="22"/>
        </w:rPr>
        <w:t xml:space="preserve">: Se comprobará la existencia de un Inventario y el uso racional y regular de los activos de la entidad, así como la posible existencia de activos no contemplados en la contabilidad de la misma. </w:t>
      </w:r>
    </w:p>
    <w:p w:rsidR="009B4233" w:rsidRDefault="006B08B9">
      <w:pPr>
        <w:ind w:left="9" w:right="8"/>
        <w:jc w:val="both"/>
      </w:pPr>
      <w:r>
        <w:rPr>
          <w:rFonts w:ascii="Arial" w:hAnsi="Arial" w:cs="Arial"/>
          <w:sz w:val="22"/>
          <w:szCs w:val="22"/>
          <w:u w:val="single" w:color="000000"/>
        </w:rPr>
        <w:t>Área de Recursos</w:t>
      </w:r>
      <w:r>
        <w:rPr>
          <w:rFonts w:ascii="Arial" w:hAnsi="Arial" w:cs="Arial"/>
          <w:sz w:val="22"/>
          <w:szCs w:val="22"/>
          <w:u w:val="single" w:color="000000"/>
        </w:rPr>
        <w:t xml:space="preserve"> Humanos</w:t>
      </w:r>
      <w:r>
        <w:rPr>
          <w:rFonts w:ascii="Arial" w:hAnsi="Arial" w:cs="Arial"/>
          <w:sz w:val="22"/>
          <w:szCs w:val="22"/>
        </w:rPr>
        <w:t>: Se analizarán las altas y las bajas del personal en los periodos controlados, comprobando la existencia de procedimientos de selección adecuados. Por otra parte, se analizará la política retributiva de la entidad. Se analizará de forma exhaustiva</w:t>
      </w:r>
      <w:r>
        <w:rPr>
          <w:rFonts w:ascii="Arial" w:hAnsi="Arial" w:cs="Arial"/>
          <w:sz w:val="22"/>
          <w:szCs w:val="22"/>
        </w:rPr>
        <w:t xml:space="preserve"> los puestos de Dirección, Gerencia e equivalentes. Finalmente se comprobarán los gastos salariales y de seguridad social de la entidad. </w:t>
      </w:r>
    </w:p>
    <w:p w:rsidR="009B4233" w:rsidRDefault="009B4233">
      <w:pPr>
        <w:ind w:left="9" w:right="8"/>
        <w:jc w:val="both"/>
        <w:rPr>
          <w:rFonts w:ascii="Arial" w:hAnsi="Arial" w:cs="Arial"/>
          <w:sz w:val="22"/>
          <w:szCs w:val="22"/>
        </w:rPr>
      </w:pPr>
    </w:p>
    <w:p w:rsidR="009B4233" w:rsidRDefault="006B08B9">
      <w:pPr>
        <w:widowControl/>
        <w:numPr>
          <w:ilvl w:val="0"/>
          <w:numId w:val="29"/>
        </w:numPr>
        <w:suppressAutoHyphens w:val="0"/>
        <w:spacing w:after="268" w:line="242" w:lineRule="auto"/>
        <w:ind w:right="8" w:hanging="10"/>
        <w:jc w:val="both"/>
        <w:textAlignment w:val="auto"/>
        <w:rPr>
          <w:rFonts w:ascii="Arial" w:hAnsi="Arial" w:cs="Arial"/>
          <w:sz w:val="22"/>
          <w:szCs w:val="22"/>
        </w:rPr>
      </w:pPr>
      <w:r>
        <w:rPr>
          <w:rFonts w:ascii="Arial" w:hAnsi="Arial" w:cs="Arial"/>
          <w:sz w:val="22"/>
          <w:szCs w:val="22"/>
        </w:rPr>
        <w:t>Respecto de las altas y bajas, se verificará la existencia de un procedimiento de selección de personal que se adecue</w:t>
      </w:r>
      <w:r>
        <w:rPr>
          <w:rFonts w:ascii="Arial" w:hAnsi="Arial" w:cs="Arial"/>
          <w:sz w:val="22"/>
          <w:szCs w:val="22"/>
        </w:rPr>
        <w:t xml:space="preserve"> a las normas que resulten aplicables a la entidad y, en todo caso, a los principios de igualdad, mérito, capacidad y publicidad, comprobando sobre una muestra representativa, que la contratación del personal se realiza conforme al citado procedimiento, re</w:t>
      </w:r>
      <w:r>
        <w:rPr>
          <w:rFonts w:ascii="Arial" w:hAnsi="Arial" w:cs="Arial"/>
          <w:sz w:val="22"/>
          <w:szCs w:val="22"/>
        </w:rPr>
        <w:t xml:space="preserve">sponde a las necesidades de la entidad y respeta lo establecido en la normativa que le resulte de aplicación. </w:t>
      </w:r>
    </w:p>
    <w:p w:rsidR="009B4233" w:rsidRDefault="006B08B9">
      <w:pPr>
        <w:ind w:left="9" w:right="8"/>
        <w:jc w:val="both"/>
        <w:rPr>
          <w:rFonts w:ascii="Arial" w:hAnsi="Arial" w:cs="Arial"/>
          <w:sz w:val="22"/>
          <w:szCs w:val="22"/>
        </w:rPr>
      </w:pPr>
      <w:r>
        <w:rPr>
          <w:rFonts w:ascii="Arial" w:hAnsi="Arial" w:cs="Arial"/>
          <w:sz w:val="22"/>
          <w:szCs w:val="22"/>
        </w:rPr>
        <w:t xml:space="preserve">Se verificarán todos expedientes de ceses por despidos. </w:t>
      </w:r>
    </w:p>
    <w:p w:rsidR="009B4233" w:rsidRDefault="006B08B9">
      <w:pPr>
        <w:widowControl/>
        <w:numPr>
          <w:ilvl w:val="0"/>
          <w:numId w:val="29"/>
        </w:numPr>
        <w:suppressAutoHyphens w:val="0"/>
        <w:spacing w:after="268" w:line="242" w:lineRule="auto"/>
        <w:ind w:right="8" w:hanging="10"/>
        <w:jc w:val="both"/>
        <w:textAlignment w:val="auto"/>
        <w:rPr>
          <w:rFonts w:ascii="Arial" w:hAnsi="Arial" w:cs="Arial"/>
          <w:sz w:val="22"/>
          <w:szCs w:val="22"/>
        </w:rPr>
      </w:pPr>
      <w:r>
        <w:rPr>
          <w:rFonts w:ascii="Arial" w:hAnsi="Arial" w:cs="Arial"/>
          <w:sz w:val="22"/>
          <w:szCs w:val="22"/>
        </w:rPr>
        <w:t>Respecto de la política retributiva, se verificará la existencia de un sistema de retrib</w:t>
      </w:r>
      <w:r>
        <w:rPr>
          <w:rFonts w:ascii="Arial" w:hAnsi="Arial" w:cs="Arial"/>
          <w:sz w:val="22"/>
          <w:szCs w:val="22"/>
        </w:rPr>
        <w:t>uciones que se establezca en consideración al contenido de los puestos de trabajo a desempeñar, desglosando adecuadamente todos los conceptos e importes que integran las retribuciones del personal; verificando que éste se aplica de forma homogénea al perso</w:t>
      </w:r>
      <w:r>
        <w:rPr>
          <w:rFonts w:ascii="Arial" w:hAnsi="Arial" w:cs="Arial"/>
          <w:sz w:val="22"/>
          <w:szCs w:val="22"/>
        </w:rPr>
        <w:t xml:space="preserve">nal. Finalmente, se comprobará que la política retributiva de la sociedad en los ejercicios controlados respeta lo establecido en la normativa que le resulta de aplicación. </w:t>
      </w:r>
    </w:p>
    <w:p w:rsidR="009B4233" w:rsidRDefault="006B08B9">
      <w:pPr>
        <w:widowControl/>
        <w:numPr>
          <w:ilvl w:val="0"/>
          <w:numId w:val="29"/>
        </w:numPr>
        <w:suppressAutoHyphens w:val="0"/>
        <w:spacing w:after="268" w:line="242" w:lineRule="auto"/>
        <w:ind w:right="8" w:hanging="10"/>
        <w:jc w:val="both"/>
        <w:textAlignment w:val="auto"/>
        <w:rPr>
          <w:rFonts w:ascii="Arial" w:hAnsi="Arial" w:cs="Arial"/>
          <w:sz w:val="22"/>
          <w:szCs w:val="22"/>
        </w:rPr>
      </w:pPr>
      <w:r>
        <w:rPr>
          <w:rFonts w:ascii="Arial" w:hAnsi="Arial" w:cs="Arial"/>
          <w:sz w:val="22"/>
          <w:szCs w:val="22"/>
        </w:rPr>
        <w:t xml:space="preserve">Respecto de los puestos de Dirección o Gerencia, se comprobará el cumplimiento de </w:t>
      </w:r>
      <w:r>
        <w:rPr>
          <w:rFonts w:ascii="Arial" w:hAnsi="Arial" w:cs="Arial"/>
          <w:sz w:val="22"/>
          <w:szCs w:val="22"/>
        </w:rPr>
        <w:t>la normativa que le resulte de aplicación en los siguientes aspectos: procedimientos de selección y nombramientos, retribuciones anuales aprobadas, modalidad de contrato formalizado, cláusulas indemnizatorias en los supuestos de ceses, percepción de otro t</w:t>
      </w:r>
      <w:r>
        <w:rPr>
          <w:rFonts w:ascii="Arial" w:hAnsi="Arial" w:cs="Arial"/>
          <w:sz w:val="22"/>
          <w:szCs w:val="22"/>
        </w:rPr>
        <w:t xml:space="preserve">ipo de remuneraciones distintas a las estipuladas en contrato, disposición y utilización de tarjetas de crédito, y poderes otorgados. </w:t>
      </w:r>
    </w:p>
    <w:p w:rsidR="009B4233" w:rsidRDefault="006B08B9">
      <w:pPr>
        <w:ind w:left="-1" w:right="8" w:firstLine="996"/>
        <w:jc w:val="both"/>
        <w:rPr>
          <w:rFonts w:ascii="Arial" w:hAnsi="Arial" w:cs="Arial"/>
          <w:sz w:val="22"/>
          <w:szCs w:val="22"/>
        </w:rPr>
      </w:pPr>
      <w:r>
        <w:rPr>
          <w:rFonts w:ascii="Arial" w:hAnsi="Arial" w:cs="Arial"/>
          <w:sz w:val="22"/>
          <w:szCs w:val="22"/>
        </w:rPr>
        <w:t>El alcance de las comprobaciones en este apartado, será del cien por cien de los puestos de dirección, el cien por cien d</w:t>
      </w:r>
      <w:r>
        <w:rPr>
          <w:rFonts w:ascii="Arial" w:hAnsi="Arial" w:cs="Arial"/>
          <w:sz w:val="22"/>
          <w:szCs w:val="22"/>
        </w:rPr>
        <w:t>e sus gastos salariales así como gastos por desplazamientos y dietas, y respecto de los procedimientos de selección y cese, podrán extenderse a periodos distintos a los controlados.</w:t>
      </w:r>
    </w:p>
    <w:p w:rsidR="009B4233" w:rsidRDefault="009B4233">
      <w:pPr>
        <w:ind w:left="-1" w:right="8" w:firstLine="996"/>
        <w:jc w:val="both"/>
        <w:rPr>
          <w:rFonts w:ascii="Arial" w:hAnsi="Arial" w:cs="Arial"/>
          <w:sz w:val="22"/>
          <w:szCs w:val="22"/>
        </w:rPr>
      </w:pPr>
    </w:p>
    <w:p w:rsidR="009B4233" w:rsidRDefault="006B08B9">
      <w:pPr>
        <w:widowControl/>
        <w:numPr>
          <w:ilvl w:val="0"/>
          <w:numId w:val="29"/>
        </w:numPr>
        <w:suppressAutoHyphens w:val="0"/>
        <w:spacing w:after="268" w:line="242" w:lineRule="auto"/>
        <w:ind w:right="8" w:hanging="10"/>
        <w:jc w:val="both"/>
        <w:textAlignment w:val="auto"/>
        <w:rPr>
          <w:rFonts w:ascii="Arial" w:hAnsi="Arial" w:cs="Arial"/>
          <w:sz w:val="22"/>
          <w:szCs w:val="22"/>
        </w:rPr>
      </w:pPr>
      <w:r>
        <w:rPr>
          <w:rFonts w:ascii="Arial" w:hAnsi="Arial" w:cs="Arial"/>
          <w:sz w:val="22"/>
          <w:szCs w:val="22"/>
        </w:rPr>
        <w:t xml:space="preserve">Respecto de los gastos salariales y de seguridad social, se analizará su </w:t>
      </w:r>
      <w:r>
        <w:rPr>
          <w:rFonts w:ascii="Arial" w:hAnsi="Arial" w:cs="Arial"/>
          <w:sz w:val="22"/>
          <w:szCs w:val="22"/>
        </w:rPr>
        <w:t xml:space="preserve">variación respecto del ejercicio anterior, comprobando que respeta lo establecido en la Ley de Presupuestos Generales del Estado. Se comprobará su adecuado registro contable, y sobre una muestra representativa de trabajadores, se comprobarán los contratos </w:t>
      </w:r>
      <w:r>
        <w:rPr>
          <w:rFonts w:ascii="Arial" w:hAnsi="Arial" w:cs="Arial"/>
          <w:sz w:val="22"/>
          <w:szCs w:val="22"/>
        </w:rPr>
        <w:t>de trabajo, las nóminas y seguros sociales.</w:t>
      </w:r>
    </w:p>
    <w:p w:rsidR="009B4233" w:rsidRDefault="006B08B9">
      <w:pPr>
        <w:widowControl/>
        <w:numPr>
          <w:ilvl w:val="0"/>
          <w:numId w:val="29"/>
        </w:numPr>
        <w:suppressAutoHyphens w:val="0"/>
        <w:spacing w:after="268" w:line="242" w:lineRule="auto"/>
        <w:ind w:right="8" w:hanging="10"/>
        <w:jc w:val="both"/>
        <w:textAlignment w:val="auto"/>
        <w:rPr>
          <w:rFonts w:ascii="Arial" w:hAnsi="Arial" w:cs="Arial"/>
          <w:sz w:val="22"/>
          <w:szCs w:val="22"/>
        </w:rPr>
      </w:pPr>
      <w:r>
        <w:rPr>
          <w:rFonts w:ascii="Arial" w:hAnsi="Arial" w:cs="Arial"/>
          <w:sz w:val="22"/>
          <w:szCs w:val="22"/>
        </w:rPr>
        <w:t>Se comprobará la existencia de algún tipo de beneficios sociales en laentidad, para valorar la correcta concesión y gestión de los mismos (créditos al personal, ayudas para estudios y formación, planes y fondos d</w:t>
      </w:r>
      <w:r>
        <w:rPr>
          <w:rFonts w:ascii="Arial" w:hAnsi="Arial" w:cs="Arial"/>
          <w:sz w:val="22"/>
          <w:szCs w:val="22"/>
        </w:rPr>
        <w:t>e pensiones, pólizas de seguros de vida, seguros médicos, comedor de empresa, premios de vinculación, etc.).</w:t>
      </w:r>
    </w:p>
    <w:p w:rsidR="009B4233" w:rsidRDefault="006B08B9">
      <w:pPr>
        <w:widowControl/>
        <w:numPr>
          <w:ilvl w:val="0"/>
          <w:numId w:val="29"/>
        </w:numPr>
        <w:suppressAutoHyphens w:val="0"/>
        <w:spacing w:after="268" w:line="242" w:lineRule="auto"/>
        <w:ind w:right="8" w:hanging="10"/>
        <w:jc w:val="both"/>
        <w:textAlignment w:val="auto"/>
        <w:rPr>
          <w:rFonts w:ascii="Arial" w:hAnsi="Arial" w:cs="Arial"/>
          <w:sz w:val="22"/>
          <w:szCs w:val="22"/>
        </w:rPr>
      </w:pPr>
      <w:r>
        <w:rPr>
          <w:rFonts w:ascii="Arial" w:hAnsi="Arial" w:cs="Arial"/>
          <w:sz w:val="22"/>
          <w:szCs w:val="22"/>
        </w:rPr>
        <w:t>Finalmente, se analizará los gastos por desplazamientos y dietas del personal, y sobre una muestra representativa se verificará su aprobación confo</w:t>
      </w:r>
      <w:r>
        <w:rPr>
          <w:rFonts w:ascii="Arial" w:hAnsi="Arial" w:cs="Arial"/>
          <w:sz w:val="22"/>
          <w:szCs w:val="22"/>
        </w:rPr>
        <w:t>rme a los importes debidos, su adecuada justificación documental, pago y contabilización, así como el motivo que la justifica y su adecuación a los fines y actividades de la entidad.</w:t>
      </w:r>
    </w:p>
    <w:p w:rsidR="009B4233" w:rsidRDefault="006B08B9">
      <w:pPr>
        <w:ind w:left="9" w:right="8"/>
        <w:jc w:val="both"/>
      </w:pPr>
      <w:r>
        <w:rPr>
          <w:rFonts w:ascii="Arial" w:hAnsi="Arial" w:cs="Arial"/>
          <w:sz w:val="22"/>
          <w:szCs w:val="22"/>
          <w:u w:val="single" w:color="000000"/>
        </w:rPr>
        <w:t>Área de contratación</w:t>
      </w:r>
      <w:r>
        <w:rPr>
          <w:rFonts w:ascii="Arial" w:hAnsi="Arial" w:cs="Arial"/>
          <w:sz w:val="22"/>
          <w:szCs w:val="22"/>
        </w:rPr>
        <w:t>: se comprobará que la actividad de contratación de l</w:t>
      </w:r>
      <w:r>
        <w:rPr>
          <w:rFonts w:ascii="Arial" w:hAnsi="Arial" w:cs="Arial"/>
          <w:sz w:val="22"/>
          <w:szCs w:val="22"/>
        </w:rPr>
        <w:t>a entidad con sus proveedores se realiza siguiendo lo dispuesto en la normativa que le resulte de aplicación, que con carácter general será la Ley de Contratos del Sector Público.</w:t>
      </w:r>
    </w:p>
    <w:p w:rsidR="009B4233" w:rsidRDefault="006B08B9">
      <w:pPr>
        <w:ind w:left="-1" w:right="8" w:firstLine="996"/>
        <w:jc w:val="both"/>
        <w:rPr>
          <w:rFonts w:ascii="Arial" w:hAnsi="Arial" w:cs="Arial"/>
          <w:sz w:val="22"/>
          <w:szCs w:val="22"/>
        </w:rPr>
      </w:pPr>
      <w:r>
        <w:rPr>
          <w:rFonts w:ascii="Arial" w:hAnsi="Arial" w:cs="Arial"/>
          <w:sz w:val="22"/>
          <w:szCs w:val="22"/>
        </w:rPr>
        <w:t xml:space="preserve">Se comprobará si la tramitación, formalización y ejecución de los distintos </w:t>
      </w:r>
      <w:r>
        <w:rPr>
          <w:rFonts w:ascii="Arial" w:hAnsi="Arial" w:cs="Arial"/>
          <w:sz w:val="22"/>
          <w:szCs w:val="22"/>
        </w:rPr>
        <w:t xml:space="preserve">contratos respeta lo establecido en las instrucciones de contratación y/o el LCSP. </w:t>
      </w:r>
    </w:p>
    <w:p w:rsidR="009B4233" w:rsidRDefault="006B08B9">
      <w:pPr>
        <w:ind w:left="-1" w:right="8" w:firstLine="996"/>
        <w:jc w:val="both"/>
        <w:rPr>
          <w:rFonts w:ascii="Arial" w:hAnsi="Arial" w:cs="Arial"/>
          <w:sz w:val="22"/>
          <w:szCs w:val="22"/>
        </w:rPr>
      </w:pPr>
      <w:r>
        <w:rPr>
          <w:rFonts w:ascii="Arial" w:hAnsi="Arial" w:cs="Arial"/>
          <w:sz w:val="22"/>
          <w:szCs w:val="22"/>
        </w:rPr>
        <w:t>El alcance en esta área abarcará tanto los contratos licitados y adjudicados en el ejercicio objeto de control, como aquellos otros que habiendo sido adjudicados en ejercic</w:t>
      </w:r>
      <w:r>
        <w:rPr>
          <w:rFonts w:ascii="Arial" w:hAnsi="Arial" w:cs="Arial"/>
          <w:sz w:val="22"/>
          <w:szCs w:val="22"/>
        </w:rPr>
        <w:t>ios anteriores, se ejecuten, desarrollen o liquiden durante el ejercicio auditado. Sobre la totalidad de los contratos adjudicados se seleccionará una muestra representativa de los mismos y se verificará el cumplimiento de la normativa que le sea de aplica</w:t>
      </w:r>
      <w:r>
        <w:rPr>
          <w:rFonts w:ascii="Arial" w:hAnsi="Arial" w:cs="Arial"/>
          <w:sz w:val="22"/>
          <w:szCs w:val="22"/>
        </w:rPr>
        <w:t xml:space="preserve">ción. </w:t>
      </w:r>
    </w:p>
    <w:p w:rsidR="009B4233" w:rsidRDefault="009B4233">
      <w:pPr>
        <w:ind w:left="-1" w:right="8" w:firstLine="996"/>
        <w:jc w:val="both"/>
        <w:rPr>
          <w:rFonts w:ascii="Arial" w:hAnsi="Arial" w:cs="Arial"/>
          <w:sz w:val="22"/>
          <w:szCs w:val="22"/>
        </w:rPr>
      </w:pPr>
    </w:p>
    <w:p w:rsidR="009B4233" w:rsidRDefault="006B08B9">
      <w:pPr>
        <w:ind w:left="9" w:right="8"/>
        <w:jc w:val="both"/>
      </w:pPr>
      <w:r>
        <w:rPr>
          <w:rFonts w:ascii="Arial" w:hAnsi="Arial" w:cs="Arial"/>
          <w:sz w:val="22"/>
          <w:szCs w:val="22"/>
          <w:u w:val="single" w:color="000000"/>
        </w:rPr>
        <w:t>Área de gestión Económica o financiera</w:t>
      </w:r>
      <w:r>
        <w:rPr>
          <w:rFonts w:ascii="Arial" w:hAnsi="Arial" w:cs="Arial"/>
          <w:sz w:val="22"/>
          <w:szCs w:val="22"/>
        </w:rPr>
        <w:t xml:space="preserve">: Se verificarán los siguientes aspectos: </w:t>
      </w:r>
    </w:p>
    <w:p w:rsidR="009B4233" w:rsidRDefault="006B08B9">
      <w:pPr>
        <w:widowControl/>
        <w:numPr>
          <w:ilvl w:val="0"/>
          <w:numId w:val="30"/>
        </w:numPr>
        <w:suppressAutoHyphens w:val="0"/>
        <w:spacing w:after="2" w:line="242" w:lineRule="auto"/>
        <w:ind w:right="8" w:hanging="360"/>
        <w:jc w:val="both"/>
        <w:textAlignment w:val="auto"/>
        <w:rPr>
          <w:rFonts w:ascii="Arial" w:hAnsi="Arial" w:cs="Arial"/>
          <w:sz w:val="22"/>
          <w:szCs w:val="22"/>
        </w:rPr>
      </w:pPr>
      <w:r>
        <w:rPr>
          <w:rFonts w:ascii="Arial" w:hAnsi="Arial" w:cs="Arial"/>
          <w:sz w:val="22"/>
          <w:szCs w:val="22"/>
        </w:rPr>
        <w:t xml:space="preserve">El cumplimiento de los aspectos formales en materia fiscal que le sea de aplicación a la entidad. </w:t>
      </w:r>
    </w:p>
    <w:p w:rsidR="009B4233" w:rsidRDefault="006B08B9">
      <w:pPr>
        <w:widowControl/>
        <w:numPr>
          <w:ilvl w:val="0"/>
          <w:numId w:val="30"/>
        </w:numPr>
        <w:suppressAutoHyphens w:val="0"/>
        <w:spacing w:after="268" w:line="242" w:lineRule="auto"/>
        <w:ind w:right="8" w:hanging="360"/>
        <w:jc w:val="both"/>
        <w:textAlignment w:val="auto"/>
        <w:rPr>
          <w:rFonts w:ascii="Arial" w:hAnsi="Arial" w:cs="Arial"/>
          <w:sz w:val="22"/>
          <w:szCs w:val="22"/>
        </w:rPr>
      </w:pPr>
      <w:r>
        <w:rPr>
          <w:rFonts w:ascii="Arial" w:hAnsi="Arial" w:cs="Arial"/>
          <w:sz w:val="22"/>
          <w:szCs w:val="22"/>
        </w:rPr>
        <w:t xml:space="preserve">La gestión de la tesorería conforme a los principios de buena </w:t>
      </w:r>
      <w:r>
        <w:rPr>
          <w:rFonts w:ascii="Arial" w:hAnsi="Arial" w:cs="Arial"/>
          <w:sz w:val="22"/>
          <w:szCs w:val="22"/>
        </w:rPr>
        <w:t>gestión financiera. En este apartado será necesario verificar, al menos, los medios de pago utilizados por la entidad, totalidad de cuentas bancarias abiertas, personas debidamente autorizadas en las citadas cuentas especificando límites de disposición y c</w:t>
      </w:r>
      <w:r>
        <w:rPr>
          <w:rFonts w:ascii="Arial" w:hAnsi="Arial" w:cs="Arial"/>
          <w:sz w:val="22"/>
          <w:szCs w:val="22"/>
        </w:rPr>
        <w:t>arácter solidario o mancomunado, conciliación de saldos bancarios con los datos contables, existencia de cajas de efectivo, procedimientos de utilización de éstas, saldos iniciales y finales, arqueos debidamente firmados y, en su caso, selección de una mue</w:t>
      </w:r>
      <w:r>
        <w:rPr>
          <w:rFonts w:ascii="Arial" w:hAnsi="Arial" w:cs="Arial"/>
          <w:sz w:val="22"/>
          <w:szCs w:val="22"/>
        </w:rPr>
        <w:t xml:space="preserve">stra de pagos realizados a través de caja para comprobar su adecuada justificación y adecuación a los fines y actividades de la entidad. </w:t>
      </w:r>
    </w:p>
    <w:p w:rsidR="009B4233" w:rsidRDefault="006B08B9">
      <w:pPr>
        <w:ind w:left="9" w:right="8"/>
        <w:jc w:val="both"/>
        <w:rPr>
          <w:rFonts w:ascii="Arial" w:hAnsi="Arial" w:cs="Arial"/>
          <w:sz w:val="22"/>
          <w:szCs w:val="22"/>
        </w:rPr>
      </w:pPr>
      <w:r>
        <w:rPr>
          <w:rFonts w:ascii="Arial" w:hAnsi="Arial" w:cs="Arial"/>
          <w:sz w:val="22"/>
          <w:szCs w:val="22"/>
        </w:rPr>
        <w:t xml:space="preserve">Sobre una muestra de pagos por cuenta corriente se constatará la realidad del destinatario de los fondos. </w:t>
      </w:r>
    </w:p>
    <w:p w:rsidR="009B4233" w:rsidRDefault="009B4233">
      <w:pPr>
        <w:ind w:left="9" w:right="8"/>
        <w:jc w:val="both"/>
        <w:rPr>
          <w:rFonts w:ascii="Arial" w:hAnsi="Arial" w:cs="Arial"/>
          <w:sz w:val="22"/>
          <w:szCs w:val="22"/>
        </w:rPr>
      </w:pPr>
    </w:p>
    <w:p w:rsidR="009B4233" w:rsidRDefault="006B08B9">
      <w:pPr>
        <w:ind w:left="9" w:right="8"/>
        <w:jc w:val="both"/>
      </w:pPr>
      <w:r>
        <w:rPr>
          <w:rFonts w:ascii="Arial" w:eastAsia="Arial" w:hAnsi="Arial" w:cs="Arial"/>
          <w:b/>
          <w:sz w:val="22"/>
          <w:szCs w:val="22"/>
        </w:rPr>
        <w:t xml:space="preserve">3.- </w:t>
      </w:r>
      <w:r>
        <w:rPr>
          <w:rFonts w:ascii="Arial" w:eastAsia="Arial" w:hAnsi="Arial" w:cs="Arial"/>
          <w:b/>
          <w:sz w:val="22"/>
          <w:szCs w:val="22"/>
        </w:rPr>
        <w:t>Informe de Auditoría Operativa.</w:t>
      </w:r>
      <w:r>
        <w:rPr>
          <w:rFonts w:ascii="Arial" w:hAnsi="Arial" w:cs="Arial"/>
          <w:sz w:val="22"/>
          <w:szCs w:val="22"/>
        </w:rPr>
        <w:t xml:space="preserve"> Tiene como objetivo realizar una evaluación global, en términos de economía, eficiencia y eficacia de la gestión de la Empresa, así como de los procedimientos operativos, de control interno y consecución de los objetivos pre</w:t>
      </w:r>
      <w:r>
        <w:rPr>
          <w:rFonts w:ascii="Arial" w:hAnsi="Arial" w:cs="Arial"/>
          <w:sz w:val="22"/>
          <w:szCs w:val="22"/>
        </w:rPr>
        <w:t xml:space="preserve">viamente fijados. </w:t>
      </w:r>
    </w:p>
    <w:p w:rsidR="009B4233" w:rsidRDefault="006B08B9">
      <w:pPr>
        <w:ind w:left="-1" w:right="8" w:firstLine="996"/>
        <w:jc w:val="both"/>
        <w:rPr>
          <w:rFonts w:ascii="Arial" w:hAnsi="Arial" w:cs="Arial"/>
          <w:sz w:val="22"/>
          <w:szCs w:val="22"/>
        </w:rPr>
      </w:pPr>
      <w:r>
        <w:rPr>
          <w:rFonts w:ascii="Arial" w:hAnsi="Arial" w:cs="Arial"/>
          <w:sz w:val="22"/>
          <w:szCs w:val="22"/>
        </w:rPr>
        <w:t xml:space="preserve">El trabajo de la técnica de auditoria, debe analizar los siguientes aspectos: </w:t>
      </w:r>
    </w:p>
    <w:p w:rsidR="009B4233" w:rsidRDefault="006B08B9">
      <w:pPr>
        <w:spacing w:after="257" w:line="249" w:lineRule="auto"/>
        <w:ind w:left="9"/>
        <w:jc w:val="both"/>
      </w:pPr>
      <w:r>
        <w:rPr>
          <w:rFonts w:ascii="Arial" w:hAnsi="Arial" w:cs="Arial"/>
          <w:sz w:val="22"/>
          <w:szCs w:val="22"/>
          <w:u w:val="single" w:color="000000"/>
        </w:rPr>
        <w:t>Con respecto a la eficacia:</w:t>
      </w:r>
    </w:p>
    <w:p w:rsidR="009B4233" w:rsidRDefault="006B08B9">
      <w:pPr>
        <w:widowControl/>
        <w:numPr>
          <w:ilvl w:val="0"/>
          <w:numId w:val="30"/>
        </w:numPr>
        <w:suppressAutoHyphens w:val="0"/>
        <w:spacing w:after="10" w:line="242" w:lineRule="auto"/>
        <w:ind w:right="8" w:hanging="360"/>
        <w:jc w:val="both"/>
        <w:textAlignment w:val="auto"/>
        <w:rPr>
          <w:rFonts w:ascii="Arial" w:hAnsi="Arial" w:cs="Arial"/>
          <w:sz w:val="22"/>
          <w:szCs w:val="22"/>
        </w:rPr>
      </w:pPr>
      <w:r>
        <w:rPr>
          <w:rFonts w:ascii="Arial" w:hAnsi="Arial" w:cs="Arial"/>
          <w:sz w:val="22"/>
          <w:szCs w:val="22"/>
        </w:rPr>
        <w:t xml:space="preserve">La existencia de Programas claramente definidos. </w:t>
      </w:r>
    </w:p>
    <w:p w:rsidR="009B4233" w:rsidRDefault="006B08B9">
      <w:pPr>
        <w:spacing w:line="249" w:lineRule="auto"/>
        <w:ind w:left="14"/>
        <w:jc w:val="both"/>
        <w:rPr>
          <w:rFonts w:ascii="Arial" w:hAnsi="Arial" w:cs="Arial"/>
          <w:sz w:val="22"/>
          <w:szCs w:val="22"/>
        </w:rPr>
      </w:pPr>
      <w:r>
        <w:rPr>
          <w:rFonts w:ascii="Arial" w:hAnsi="Arial" w:cs="Arial"/>
          <w:sz w:val="22"/>
          <w:szCs w:val="22"/>
        </w:rPr>
        <w:t xml:space="preserve"> </w:t>
      </w:r>
    </w:p>
    <w:p w:rsidR="009B4233" w:rsidRDefault="006B08B9">
      <w:pPr>
        <w:ind w:left="9" w:right="8"/>
        <w:jc w:val="both"/>
        <w:rPr>
          <w:rFonts w:ascii="Arial" w:hAnsi="Arial" w:cs="Arial"/>
          <w:sz w:val="22"/>
          <w:szCs w:val="22"/>
        </w:rPr>
      </w:pPr>
      <w:r>
        <w:rPr>
          <w:rFonts w:ascii="Arial" w:hAnsi="Arial" w:cs="Arial"/>
          <w:sz w:val="22"/>
          <w:szCs w:val="22"/>
        </w:rPr>
        <w:t xml:space="preserve">         En el caso de que así fuera si éstos han sido aprobados por algún órg</w:t>
      </w:r>
      <w:r>
        <w:rPr>
          <w:rFonts w:ascii="Arial" w:hAnsi="Arial" w:cs="Arial"/>
          <w:sz w:val="22"/>
          <w:szCs w:val="22"/>
        </w:rPr>
        <w:t>ano y con qué criterios se aprueban.</w:t>
      </w:r>
    </w:p>
    <w:p w:rsidR="009B4233" w:rsidRDefault="006B08B9">
      <w:pPr>
        <w:widowControl/>
        <w:numPr>
          <w:ilvl w:val="0"/>
          <w:numId w:val="30"/>
        </w:numPr>
        <w:suppressAutoHyphens w:val="0"/>
        <w:spacing w:after="268" w:line="242" w:lineRule="auto"/>
        <w:ind w:right="8" w:hanging="360"/>
        <w:jc w:val="both"/>
        <w:textAlignment w:val="auto"/>
        <w:rPr>
          <w:rFonts w:ascii="Arial" w:hAnsi="Arial" w:cs="Arial"/>
          <w:sz w:val="22"/>
          <w:szCs w:val="22"/>
        </w:rPr>
      </w:pPr>
      <w:r>
        <w:rPr>
          <w:rFonts w:ascii="Arial" w:hAnsi="Arial" w:cs="Arial"/>
          <w:sz w:val="22"/>
          <w:szCs w:val="22"/>
        </w:rPr>
        <w:t xml:space="preserve">Si los Programas aprobados fijan claramente y cuantitativamente cuales son los objetivos a cumplir. </w:t>
      </w:r>
    </w:p>
    <w:p w:rsidR="009B4233" w:rsidRDefault="006B08B9">
      <w:pPr>
        <w:widowControl/>
        <w:numPr>
          <w:ilvl w:val="0"/>
          <w:numId w:val="30"/>
        </w:numPr>
        <w:suppressAutoHyphens w:val="0"/>
        <w:spacing w:after="446" w:line="242" w:lineRule="auto"/>
        <w:ind w:right="8" w:hanging="360"/>
        <w:jc w:val="both"/>
        <w:textAlignment w:val="auto"/>
        <w:rPr>
          <w:rFonts w:ascii="Arial" w:hAnsi="Arial" w:cs="Arial"/>
          <w:sz w:val="22"/>
          <w:szCs w:val="22"/>
        </w:rPr>
      </w:pPr>
      <w:r>
        <w:rPr>
          <w:rFonts w:ascii="Arial" w:hAnsi="Arial" w:cs="Arial"/>
          <w:sz w:val="22"/>
          <w:szCs w:val="22"/>
        </w:rPr>
        <w:t xml:space="preserve">La posible racionalidad a la hora de fijar los objetivos que determinen la consecución y éxito de dichos programas. </w:t>
      </w:r>
    </w:p>
    <w:p w:rsidR="009B4233" w:rsidRDefault="006B08B9">
      <w:pPr>
        <w:widowControl/>
        <w:numPr>
          <w:ilvl w:val="0"/>
          <w:numId w:val="30"/>
        </w:numPr>
        <w:suppressAutoHyphens w:val="0"/>
        <w:spacing w:after="268" w:line="242" w:lineRule="auto"/>
        <w:ind w:right="8" w:hanging="360"/>
        <w:jc w:val="both"/>
        <w:textAlignment w:val="auto"/>
        <w:rPr>
          <w:rFonts w:ascii="Arial" w:hAnsi="Arial" w:cs="Arial"/>
          <w:sz w:val="22"/>
          <w:szCs w:val="22"/>
        </w:rPr>
      </w:pPr>
      <w:r>
        <w:rPr>
          <w:rFonts w:ascii="Arial" w:hAnsi="Arial" w:cs="Arial"/>
          <w:sz w:val="22"/>
          <w:szCs w:val="22"/>
        </w:rPr>
        <w:t>L</w:t>
      </w:r>
      <w:r>
        <w:rPr>
          <w:rFonts w:ascii="Arial" w:hAnsi="Arial" w:cs="Arial"/>
          <w:sz w:val="22"/>
          <w:szCs w:val="22"/>
        </w:rPr>
        <w:t xml:space="preserve">a existencia de un conjunto de indicadores que nos permitan analizar el grado de consecución de los mismos, entendiendo además que dichos objetivos son óptimos a la hora de determinar que se consigue el objetivo propuesto. </w:t>
      </w:r>
    </w:p>
    <w:p w:rsidR="009B4233" w:rsidRDefault="006B08B9">
      <w:pPr>
        <w:widowControl/>
        <w:numPr>
          <w:ilvl w:val="0"/>
          <w:numId w:val="30"/>
        </w:numPr>
        <w:suppressAutoHyphens w:val="0"/>
        <w:spacing w:after="268" w:line="242" w:lineRule="auto"/>
        <w:ind w:right="8" w:hanging="360"/>
        <w:jc w:val="both"/>
        <w:textAlignment w:val="auto"/>
        <w:rPr>
          <w:rFonts w:ascii="Arial" w:hAnsi="Arial" w:cs="Arial"/>
          <w:sz w:val="22"/>
          <w:szCs w:val="22"/>
        </w:rPr>
      </w:pPr>
      <w:r>
        <w:rPr>
          <w:rFonts w:ascii="Arial" w:hAnsi="Arial" w:cs="Arial"/>
          <w:sz w:val="22"/>
          <w:szCs w:val="22"/>
        </w:rPr>
        <w:t>La existencia de una memoria fin</w:t>
      </w:r>
      <w:r>
        <w:rPr>
          <w:rFonts w:ascii="Arial" w:hAnsi="Arial" w:cs="Arial"/>
          <w:sz w:val="22"/>
          <w:szCs w:val="22"/>
        </w:rPr>
        <w:t xml:space="preserve">al de evaluación de los programas ejecutados. Así como en su caso la aprobación por algún órgano de la entidad y en base a qué criterio. </w:t>
      </w:r>
    </w:p>
    <w:p w:rsidR="009B4233" w:rsidRDefault="006B08B9">
      <w:pPr>
        <w:widowControl/>
        <w:numPr>
          <w:ilvl w:val="0"/>
          <w:numId w:val="30"/>
        </w:numPr>
        <w:suppressAutoHyphens w:val="0"/>
        <w:spacing w:after="268" w:line="242" w:lineRule="auto"/>
        <w:ind w:right="8" w:hanging="360"/>
        <w:jc w:val="both"/>
        <w:textAlignment w:val="auto"/>
        <w:rPr>
          <w:rFonts w:ascii="Arial" w:hAnsi="Arial" w:cs="Arial"/>
          <w:sz w:val="22"/>
          <w:szCs w:val="22"/>
        </w:rPr>
      </w:pPr>
      <w:r>
        <w:rPr>
          <w:rFonts w:ascii="Arial" w:hAnsi="Arial" w:cs="Arial"/>
          <w:sz w:val="22"/>
          <w:szCs w:val="22"/>
        </w:rPr>
        <w:t>La posible existencia de programas que no se consideran necesarios según su actividad o la necesidad e implantar nuevo</w:t>
      </w:r>
      <w:r>
        <w:rPr>
          <w:rFonts w:ascii="Arial" w:hAnsi="Arial" w:cs="Arial"/>
          <w:sz w:val="22"/>
          <w:szCs w:val="22"/>
        </w:rPr>
        <w:t xml:space="preserve">s programas que actualmente no se prestan. </w:t>
      </w:r>
    </w:p>
    <w:p w:rsidR="009B4233" w:rsidRDefault="006B08B9">
      <w:pPr>
        <w:spacing w:after="257" w:line="249" w:lineRule="auto"/>
        <w:ind w:left="9"/>
        <w:jc w:val="both"/>
      </w:pPr>
      <w:r>
        <w:rPr>
          <w:rFonts w:ascii="Arial" w:hAnsi="Arial" w:cs="Arial"/>
          <w:sz w:val="22"/>
          <w:szCs w:val="22"/>
          <w:u w:val="single" w:color="000000"/>
        </w:rPr>
        <w:t xml:space="preserve">Con respecto a la economía y eficiencia: </w:t>
      </w:r>
    </w:p>
    <w:p w:rsidR="009B4233" w:rsidRDefault="006B08B9">
      <w:pPr>
        <w:widowControl/>
        <w:numPr>
          <w:ilvl w:val="0"/>
          <w:numId w:val="30"/>
        </w:numPr>
        <w:suppressAutoHyphens w:val="0"/>
        <w:spacing w:after="1" w:line="242" w:lineRule="auto"/>
        <w:ind w:right="8" w:hanging="360"/>
        <w:jc w:val="both"/>
        <w:textAlignment w:val="auto"/>
        <w:rPr>
          <w:rFonts w:ascii="Arial" w:hAnsi="Arial" w:cs="Arial"/>
          <w:sz w:val="22"/>
          <w:szCs w:val="22"/>
        </w:rPr>
      </w:pPr>
      <w:r>
        <w:rPr>
          <w:rFonts w:ascii="Arial" w:hAnsi="Arial" w:cs="Arial"/>
          <w:sz w:val="22"/>
          <w:szCs w:val="22"/>
        </w:rPr>
        <w:t xml:space="preserve">Analizar si los gastos de personal y medios materiales son adecuados a la estructura de la empresa. </w:t>
      </w:r>
    </w:p>
    <w:p w:rsidR="009B4233" w:rsidRDefault="006B08B9">
      <w:pPr>
        <w:widowControl/>
        <w:numPr>
          <w:ilvl w:val="0"/>
          <w:numId w:val="30"/>
        </w:numPr>
        <w:suppressAutoHyphens w:val="0"/>
        <w:spacing w:after="268" w:line="242" w:lineRule="auto"/>
        <w:ind w:right="8" w:hanging="360"/>
        <w:jc w:val="both"/>
        <w:textAlignment w:val="auto"/>
        <w:rPr>
          <w:rFonts w:ascii="Arial" w:hAnsi="Arial" w:cs="Arial"/>
          <w:sz w:val="22"/>
          <w:szCs w:val="22"/>
        </w:rPr>
      </w:pPr>
      <w:r>
        <w:rPr>
          <w:rFonts w:ascii="Arial" w:hAnsi="Arial" w:cs="Arial"/>
          <w:sz w:val="22"/>
          <w:szCs w:val="22"/>
        </w:rPr>
        <w:t xml:space="preserve">Analizar si los gastos de personal y medios materiales son adecuados </w:t>
      </w:r>
      <w:r>
        <w:rPr>
          <w:rFonts w:ascii="Arial" w:hAnsi="Arial" w:cs="Arial"/>
          <w:sz w:val="22"/>
          <w:szCs w:val="22"/>
        </w:rPr>
        <w:t xml:space="preserve">al nivel de la actividad de la empresa y comparable con otras entidades similares. </w:t>
      </w:r>
    </w:p>
    <w:p w:rsidR="009B4233" w:rsidRDefault="006B08B9">
      <w:pPr>
        <w:spacing w:after="257" w:line="249" w:lineRule="auto"/>
        <w:ind w:left="9"/>
        <w:jc w:val="both"/>
      </w:pPr>
      <w:r>
        <w:rPr>
          <w:rFonts w:ascii="Arial" w:hAnsi="Arial" w:cs="Arial"/>
          <w:sz w:val="22"/>
          <w:szCs w:val="22"/>
          <w:u w:val="single" w:color="000000"/>
        </w:rPr>
        <w:t>Con respecto a los sistemas y procedimientos:</w:t>
      </w:r>
      <w:r>
        <w:rPr>
          <w:rFonts w:ascii="Arial" w:hAnsi="Arial" w:cs="Arial"/>
          <w:sz w:val="22"/>
          <w:szCs w:val="22"/>
        </w:rPr>
        <w:t xml:space="preserve"> </w:t>
      </w:r>
    </w:p>
    <w:p w:rsidR="009B4233" w:rsidRDefault="006B08B9">
      <w:pPr>
        <w:widowControl/>
        <w:numPr>
          <w:ilvl w:val="0"/>
          <w:numId w:val="30"/>
        </w:numPr>
        <w:suppressAutoHyphens w:val="0"/>
        <w:spacing w:line="242" w:lineRule="auto"/>
        <w:ind w:right="8" w:hanging="360"/>
        <w:jc w:val="both"/>
        <w:textAlignment w:val="auto"/>
        <w:rPr>
          <w:rFonts w:ascii="Arial" w:hAnsi="Arial" w:cs="Arial"/>
          <w:sz w:val="22"/>
          <w:szCs w:val="22"/>
        </w:rPr>
      </w:pPr>
      <w:r>
        <w:rPr>
          <w:rFonts w:ascii="Arial" w:hAnsi="Arial" w:cs="Arial"/>
          <w:sz w:val="22"/>
          <w:szCs w:val="22"/>
        </w:rPr>
        <w:t xml:space="preserve">Los procedimientos que tengan fijados la empresa se ajustan a los legalmente establecidos. </w:t>
      </w:r>
    </w:p>
    <w:p w:rsidR="009B4233" w:rsidRDefault="006B08B9">
      <w:pPr>
        <w:widowControl/>
        <w:numPr>
          <w:ilvl w:val="0"/>
          <w:numId w:val="30"/>
        </w:numPr>
        <w:suppressAutoHyphens w:val="0"/>
        <w:spacing w:line="242" w:lineRule="auto"/>
        <w:ind w:right="8" w:hanging="360"/>
        <w:jc w:val="both"/>
        <w:textAlignment w:val="auto"/>
        <w:rPr>
          <w:rFonts w:ascii="Arial" w:hAnsi="Arial" w:cs="Arial"/>
          <w:sz w:val="22"/>
          <w:szCs w:val="22"/>
        </w:rPr>
      </w:pPr>
      <w:r>
        <w:rPr>
          <w:rFonts w:ascii="Arial" w:hAnsi="Arial" w:cs="Arial"/>
          <w:sz w:val="22"/>
          <w:szCs w:val="22"/>
        </w:rPr>
        <w:t>La existencia de un sistema en re</w:t>
      </w:r>
      <w:r>
        <w:rPr>
          <w:rFonts w:ascii="Arial" w:hAnsi="Arial" w:cs="Arial"/>
          <w:sz w:val="22"/>
          <w:szCs w:val="22"/>
        </w:rPr>
        <w:t xml:space="preserve">lación a costes y rendimientos lo suficientemente detallada, amplia y fiable. </w:t>
      </w:r>
    </w:p>
    <w:p w:rsidR="009B4233" w:rsidRDefault="006B08B9">
      <w:pPr>
        <w:widowControl/>
        <w:numPr>
          <w:ilvl w:val="0"/>
          <w:numId w:val="30"/>
        </w:numPr>
        <w:suppressAutoHyphens w:val="0"/>
        <w:spacing w:after="268" w:line="242" w:lineRule="auto"/>
        <w:ind w:right="8" w:hanging="360"/>
        <w:jc w:val="both"/>
        <w:textAlignment w:val="auto"/>
        <w:rPr>
          <w:rFonts w:ascii="Arial" w:hAnsi="Arial" w:cs="Arial"/>
          <w:sz w:val="22"/>
          <w:szCs w:val="22"/>
        </w:rPr>
      </w:pPr>
      <w:r>
        <w:rPr>
          <w:rFonts w:ascii="Arial" w:hAnsi="Arial" w:cs="Arial"/>
          <w:sz w:val="22"/>
          <w:szCs w:val="22"/>
        </w:rPr>
        <w:t xml:space="preserve">La existencia de un sistema de control interno en relación a las actividades relacionadas, así como cuales han sido las actuaciones llevadas a cabo por el mismo y procedimiento </w:t>
      </w:r>
      <w:r>
        <w:rPr>
          <w:rFonts w:ascii="Arial" w:hAnsi="Arial" w:cs="Arial"/>
          <w:sz w:val="22"/>
          <w:szCs w:val="22"/>
        </w:rPr>
        <w:t>de notificación a los órganos superiores de la entidad de las debilidades o defectos detectadas.</w:t>
      </w:r>
    </w:p>
    <w:p w:rsidR="009B4233" w:rsidRDefault="006B08B9">
      <w:pPr>
        <w:ind w:left="9" w:right="8"/>
        <w:jc w:val="both"/>
      </w:pPr>
      <w:r>
        <w:rPr>
          <w:rFonts w:ascii="Arial" w:eastAsia="Arial" w:hAnsi="Arial" w:cs="Arial"/>
          <w:b/>
          <w:sz w:val="22"/>
          <w:szCs w:val="22"/>
        </w:rPr>
        <w:t xml:space="preserve">IX.- </w:t>
      </w:r>
      <w:r>
        <w:rPr>
          <w:rFonts w:ascii="Arial" w:hAnsi="Arial" w:cs="Arial"/>
          <w:sz w:val="22"/>
          <w:szCs w:val="22"/>
        </w:rPr>
        <w:t xml:space="preserve">Se determinan objetivos para las entidades dependientes, con detalle de los indicadores de gestión y de los efectos del incumplimiento de los compromisos </w:t>
      </w:r>
      <w:r>
        <w:rPr>
          <w:rFonts w:ascii="Arial" w:hAnsi="Arial" w:cs="Arial"/>
          <w:sz w:val="22"/>
          <w:szCs w:val="22"/>
        </w:rPr>
        <w:t>acordados, en cumplimiento del artículo 68 de la Ley 47/2003 de 26 de novembre, General Presupuestaria:</w:t>
      </w:r>
    </w:p>
    <w:p w:rsidR="009B4233" w:rsidRDefault="009B4233">
      <w:pPr>
        <w:ind w:left="9" w:right="8"/>
        <w:jc w:val="both"/>
        <w:rPr>
          <w:rFonts w:ascii="Arial" w:hAnsi="Arial" w:cs="Arial"/>
          <w:sz w:val="22"/>
          <w:szCs w:val="22"/>
        </w:rPr>
      </w:pPr>
    </w:p>
    <w:p w:rsidR="009B4233" w:rsidRDefault="006B08B9">
      <w:pPr>
        <w:spacing w:line="249" w:lineRule="auto"/>
        <w:ind w:left="-5"/>
        <w:jc w:val="both"/>
      </w:pPr>
      <w:r>
        <w:rPr>
          <w:rFonts w:ascii="Arial" w:eastAsia="Arial" w:hAnsi="Arial" w:cs="Arial"/>
          <w:b/>
          <w:sz w:val="22"/>
          <w:szCs w:val="22"/>
        </w:rPr>
        <w:t>1.- Entidad Pública Empresarial:</w:t>
      </w:r>
    </w:p>
    <w:tbl>
      <w:tblPr>
        <w:tblW w:w="8654" w:type="dxa"/>
        <w:tblInd w:w="-102" w:type="dxa"/>
        <w:tblCellMar>
          <w:left w:w="10" w:type="dxa"/>
          <w:right w:w="10" w:type="dxa"/>
        </w:tblCellMar>
        <w:tblLook w:val="0000" w:firstRow="0" w:lastRow="0" w:firstColumn="0" w:lastColumn="0" w:noHBand="0" w:noVBand="0"/>
      </w:tblPr>
      <w:tblGrid>
        <w:gridCol w:w="2882"/>
        <w:gridCol w:w="2880"/>
        <w:gridCol w:w="2892"/>
      </w:tblGrid>
      <w:tr w:rsidR="009B4233">
        <w:tblPrEx>
          <w:tblCellMar>
            <w:top w:w="0" w:type="dxa"/>
            <w:bottom w:w="0" w:type="dxa"/>
          </w:tblCellMar>
        </w:tblPrEx>
        <w:trPr>
          <w:trHeight w:val="562"/>
        </w:trPr>
        <w:tc>
          <w:tcPr>
            <w:tcW w:w="2882" w:type="dxa"/>
            <w:tcBorders>
              <w:top w:val="single" w:sz="4" w:space="0" w:color="000000"/>
              <w:left w:val="single" w:sz="4" w:space="0" w:color="000000"/>
              <w:bottom w:val="single" w:sz="4" w:space="0" w:color="000000"/>
              <w:right w:val="single" w:sz="4" w:space="0" w:color="000000"/>
            </w:tcBorders>
            <w:shd w:val="clear" w:color="auto" w:fill="auto"/>
            <w:tcMar>
              <w:top w:w="14" w:type="dxa"/>
              <w:left w:w="110" w:type="dxa"/>
              <w:bottom w:w="0" w:type="dxa"/>
              <w:right w:w="38" w:type="dxa"/>
            </w:tcMar>
          </w:tcPr>
          <w:p w:rsidR="009B4233" w:rsidRDefault="006B08B9">
            <w:pPr>
              <w:spacing w:line="249" w:lineRule="auto"/>
            </w:pPr>
            <w:r>
              <w:rPr>
                <w:rFonts w:ascii="Arial" w:eastAsia="Arial" w:hAnsi="Arial" w:cs="Arial"/>
                <w:b/>
                <w:sz w:val="22"/>
                <w:szCs w:val="22"/>
              </w:rPr>
              <w:t>OBJETIVOS</w:t>
            </w:r>
          </w:p>
        </w:tc>
        <w:tc>
          <w:tcPr>
            <w:tcW w:w="2880" w:type="dxa"/>
            <w:tcBorders>
              <w:top w:val="single" w:sz="4" w:space="0" w:color="000000"/>
              <w:left w:val="single" w:sz="4" w:space="0" w:color="000000"/>
              <w:bottom w:val="single" w:sz="4" w:space="0" w:color="000000"/>
              <w:right w:val="single" w:sz="4" w:space="0" w:color="000000"/>
            </w:tcBorders>
            <w:shd w:val="clear" w:color="auto" w:fill="auto"/>
            <w:tcMar>
              <w:top w:w="14" w:type="dxa"/>
              <w:left w:w="110" w:type="dxa"/>
              <w:bottom w:w="0" w:type="dxa"/>
              <w:right w:w="38" w:type="dxa"/>
            </w:tcMar>
          </w:tcPr>
          <w:p w:rsidR="009B4233" w:rsidRDefault="006B08B9">
            <w:pPr>
              <w:spacing w:line="249" w:lineRule="auto"/>
            </w:pPr>
            <w:r>
              <w:rPr>
                <w:rFonts w:ascii="Arial" w:eastAsia="Arial" w:hAnsi="Arial" w:cs="Arial"/>
                <w:b/>
                <w:sz w:val="22"/>
                <w:szCs w:val="22"/>
              </w:rPr>
              <w:t>INDICADORES</w:t>
            </w:r>
          </w:p>
        </w:tc>
        <w:tc>
          <w:tcPr>
            <w:tcW w:w="2892" w:type="dxa"/>
            <w:tcBorders>
              <w:top w:val="single" w:sz="4" w:space="0" w:color="000000"/>
              <w:left w:val="single" w:sz="4" w:space="0" w:color="000000"/>
              <w:bottom w:val="single" w:sz="4" w:space="0" w:color="000000"/>
              <w:right w:val="single" w:sz="4" w:space="0" w:color="000000"/>
            </w:tcBorders>
            <w:shd w:val="clear" w:color="auto" w:fill="auto"/>
            <w:tcMar>
              <w:top w:w="14" w:type="dxa"/>
              <w:left w:w="110" w:type="dxa"/>
              <w:bottom w:w="0" w:type="dxa"/>
              <w:right w:w="38" w:type="dxa"/>
            </w:tcMar>
          </w:tcPr>
          <w:p w:rsidR="009B4233" w:rsidRDefault="006B08B9">
            <w:pPr>
              <w:spacing w:line="249" w:lineRule="auto"/>
            </w:pPr>
            <w:r>
              <w:rPr>
                <w:rFonts w:ascii="Arial" w:eastAsia="Arial" w:hAnsi="Arial" w:cs="Arial"/>
                <w:b/>
                <w:sz w:val="22"/>
                <w:szCs w:val="22"/>
              </w:rPr>
              <w:t xml:space="preserve">EFECTOS </w:t>
            </w:r>
          </w:p>
          <w:p w:rsidR="009B4233" w:rsidRDefault="006B08B9">
            <w:pPr>
              <w:spacing w:line="249" w:lineRule="auto"/>
            </w:pPr>
            <w:r>
              <w:rPr>
                <w:rFonts w:ascii="Arial" w:eastAsia="Arial" w:hAnsi="Arial" w:cs="Arial"/>
                <w:b/>
                <w:sz w:val="22"/>
                <w:szCs w:val="22"/>
              </w:rPr>
              <w:t>INCUMPLIMIENTOS</w:t>
            </w:r>
          </w:p>
        </w:tc>
      </w:tr>
      <w:tr w:rsidR="009B4233">
        <w:tblPrEx>
          <w:tblCellMar>
            <w:top w:w="0" w:type="dxa"/>
            <w:bottom w:w="0" w:type="dxa"/>
          </w:tblCellMar>
        </w:tblPrEx>
        <w:trPr>
          <w:trHeight w:val="562"/>
        </w:trPr>
        <w:tc>
          <w:tcPr>
            <w:tcW w:w="2882" w:type="dxa"/>
            <w:tcBorders>
              <w:top w:val="single" w:sz="4" w:space="0" w:color="000000"/>
              <w:left w:val="single" w:sz="4" w:space="0" w:color="000000"/>
              <w:bottom w:val="single" w:sz="4" w:space="0" w:color="000000"/>
              <w:right w:val="single" w:sz="4" w:space="0" w:color="000000"/>
            </w:tcBorders>
            <w:shd w:val="clear" w:color="auto" w:fill="auto"/>
            <w:tcMar>
              <w:top w:w="14" w:type="dxa"/>
              <w:left w:w="110" w:type="dxa"/>
              <w:bottom w:w="0" w:type="dxa"/>
              <w:right w:w="38" w:type="dxa"/>
            </w:tcMar>
          </w:tcPr>
          <w:p w:rsidR="009B4233" w:rsidRDefault="006B08B9">
            <w:pPr>
              <w:spacing w:line="249" w:lineRule="auto"/>
              <w:rPr>
                <w:rFonts w:ascii="Arial" w:hAnsi="Arial" w:cs="Arial"/>
                <w:sz w:val="22"/>
                <w:szCs w:val="22"/>
              </w:rPr>
            </w:pPr>
            <w:r>
              <w:rPr>
                <w:rFonts w:ascii="Arial" w:hAnsi="Arial" w:cs="Arial"/>
                <w:sz w:val="22"/>
                <w:szCs w:val="22"/>
              </w:rPr>
              <w:t>Pago a Proveedores en Plazo</w:t>
            </w:r>
          </w:p>
        </w:tc>
        <w:tc>
          <w:tcPr>
            <w:tcW w:w="2880" w:type="dxa"/>
            <w:tcBorders>
              <w:top w:val="single" w:sz="4" w:space="0" w:color="000000"/>
              <w:left w:val="single" w:sz="4" w:space="0" w:color="000000"/>
              <w:bottom w:val="single" w:sz="4" w:space="0" w:color="000000"/>
              <w:right w:val="single" w:sz="4" w:space="0" w:color="000000"/>
            </w:tcBorders>
            <w:shd w:val="clear" w:color="auto" w:fill="auto"/>
            <w:tcMar>
              <w:top w:w="14" w:type="dxa"/>
              <w:left w:w="110" w:type="dxa"/>
              <w:bottom w:w="0" w:type="dxa"/>
              <w:right w:w="38" w:type="dxa"/>
            </w:tcMar>
          </w:tcPr>
          <w:p w:rsidR="009B4233" w:rsidRDefault="006B08B9">
            <w:pPr>
              <w:spacing w:line="249" w:lineRule="auto"/>
              <w:rPr>
                <w:rFonts w:ascii="Arial" w:hAnsi="Arial" w:cs="Arial"/>
                <w:sz w:val="22"/>
                <w:szCs w:val="22"/>
              </w:rPr>
            </w:pPr>
            <w:r>
              <w:rPr>
                <w:rFonts w:ascii="Arial" w:hAnsi="Arial" w:cs="Arial"/>
                <w:sz w:val="22"/>
                <w:szCs w:val="22"/>
              </w:rPr>
              <w:t>Cumplimiento Periodo Medio de pago anual</w:t>
            </w:r>
          </w:p>
        </w:tc>
        <w:tc>
          <w:tcPr>
            <w:tcW w:w="2892" w:type="dxa"/>
            <w:tcBorders>
              <w:top w:val="single" w:sz="4" w:space="0" w:color="000000"/>
              <w:left w:val="single" w:sz="4" w:space="0" w:color="000000"/>
              <w:bottom w:val="single" w:sz="4" w:space="0" w:color="000000"/>
              <w:right w:val="single" w:sz="4" w:space="0" w:color="000000"/>
            </w:tcBorders>
            <w:shd w:val="clear" w:color="auto" w:fill="auto"/>
            <w:tcMar>
              <w:top w:w="14" w:type="dxa"/>
              <w:left w:w="110" w:type="dxa"/>
              <w:bottom w:w="0" w:type="dxa"/>
              <w:right w:w="38" w:type="dxa"/>
            </w:tcMar>
          </w:tcPr>
          <w:p w:rsidR="009B4233" w:rsidRDefault="006B08B9">
            <w:pPr>
              <w:tabs>
                <w:tab w:val="right" w:pos="2744"/>
              </w:tabs>
              <w:spacing w:line="249" w:lineRule="auto"/>
              <w:rPr>
                <w:rFonts w:ascii="Arial" w:hAnsi="Arial" w:cs="Arial"/>
                <w:sz w:val="22"/>
                <w:szCs w:val="22"/>
              </w:rPr>
            </w:pPr>
            <w:r>
              <w:rPr>
                <w:rFonts w:ascii="Arial" w:hAnsi="Arial" w:cs="Arial"/>
                <w:sz w:val="22"/>
                <w:szCs w:val="22"/>
              </w:rPr>
              <w:t xml:space="preserve"> </w:t>
            </w:r>
            <w:r>
              <w:rPr>
                <w:rFonts w:ascii="Arial" w:hAnsi="Arial" w:cs="Arial"/>
                <w:sz w:val="22"/>
                <w:szCs w:val="22"/>
              </w:rPr>
              <w:tab/>
              <w:t xml:space="preserve">1 % Aportación </w:t>
            </w:r>
          </w:p>
          <w:p w:rsidR="009B4233" w:rsidRDefault="006B08B9">
            <w:pPr>
              <w:spacing w:line="249" w:lineRule="auto"/>
              <w:rPr>
                <w:rFonts w:ascii="Arial" w:hAnsi="Arial" w:cs="Arial"/>
                <w:sz w:val="22"/>
                <w:szCs w:val="22"/>
              </w:rPr>
            </w:pPr>
            <w:r>
              <w:rPr>
                <w:rFonts w:ascii="Arial" w:hAnsi="Arial" w:cs="Arial"/>
                <w:sz w:val="22"/>
                <w:szCs w:val="22"/>
              </w:rPr>
              <w:t>Municipal</w:t>
            </w:r>
          </w:p>
        </w:tc>
      </w:tr>
      <w:tr w:rsidR="009B4233">
        <w:tblPrEx>
          <w:tblCellMar>
            <w:top w:w="0" w:type="dxa"/>
            <w:bottom w:w="0" w:type="dxa"/>
          </w:tblCellMar>
        </w:tblPrEx>
        <w:trPr>
          <w:trHeight w:val="1114"/>
        </w:trPr>
        <w:tc>
          <w:tcPr>
            <w:tcW w:w="2882" w:type="dxa"/>
            <w:tcBorders>
              <w:top w:val="single" w:sz="4" w:space="0" w:color="000000"/>
              <w:left w:val="single" w:sz="4" w:space="0" w:color="000000"/>
              <w:bottom w:val="single" w:sz="4" w:space="0" w:color="000000"/>
              <w:right w:val="single" w:sz="4" w:space="0" w:color="000000"/>
            </w:tcBorders>
            <w:shd w:val="clear" w:color="auto" w:fill="auto"/>
            <w:tcMar>
              <w:top w:w="14" w:type="dxa"/>
              <w:left w:w="110" w:type="dxa"/>
              <w:bottom w:w="0" w:type="dxa"/>
              <w:right w:w="38" w:type="dxa"/>
            </w:tcMar>
          </w:tcPr>
          <w:p w:rsidR="009B4233" w:rsidRDefault="006B08B9">
            <w:pPr>
              <w:spacing w:line="249" w:lineRule="auto"/>
              <w:rPr>
                <w:rFonts w:ascii="Arial" w:hAnsi="Arial" w:cs="Arial"/>
                <w:sz w:val="22"/>
                <w:szCs w:val="22"/>
              </w:rPr>
            </w:pPr>
            <w:r>
              <w:rPr>
                <w:rFonts w:ascii="Arial" w:hAnsi="Arial" w:cs="Arial"/>
                <w:sz w:val="22"/>
                <w:szCs w:val="22"/>
              </w:rPr>
              <w:t>Costes de Personal</w:t>
            </w:r>
          </w:p>
        </w:tc>
        <w:tc>
          <w:tcPr>
            <w:tcW w:w="2880" w:type="dxa"/>
            <w:tcBorders>
              <w:top w:val="single" w:sz="4" w:space="0" w:color="000000"/>
              <w:left w:val="single" w:sz="4" w:space="0" w:color="000000"/>
              <w:bottom w:val="single" w:sz="4" w:space="0" w:color="000000"/>
              <w:right w:val="single" w:sz="4" w:space="0" w:color="000000"/>
            </w:tcBorders>
            <w:shd w:val="clear" w:color="auto" w:fill="auto"/>
            <w:tcMar>
              <w:top w:w="14" w:type="dxa"/>
              <w:left w:w="110" w:type="dxa"/>
              <w:bottom w:w="0" w:type="dxa"/>
              <w:right w:w="38" w:type="dxa"/>
            </w:tcMar>
          </w:tcPr>
          <w:p w:rsidR="009B4233" w:rsidRDefault="006B08B9">
            <w:pPr>
              <w:tabs>
                <w:tab w:val="center" w:pos="582"/>
                <w:tab w:val="center" w:pos="1332"/>
                <w:tab w:val="center" w:pos="2014"/>
                <w:tab w:val="right" w:pos="2732"/>
              </w:tabs>
              <w:spacing w:line="249" w:lineRule="auto"/>
              <w:rPr>
                <w:rFonts w:ascii="Arial" w:hAnsi="Arial" w:cs="Arial"/>
                <w:sz w:val="22"/>
                <w:szCs w:val="22"/>
              </w:rPr>
            </w:pPr>
            <w:r>
              <w:rPr>
                <w:rFonts w:ascii="Arial" w:hAnsi="Arial" w:cs="Arial"/>
                <w:sz w:val="22"/>
                <w:szCs w:val="22"/>
              </w:rPr>
              <w:t>No</w:t>
            </w:r>
            <w:r>
              <w:rPr>
                <w:rFonts w:ascii="Arial" w:hAnsi="Arial" w:cs="Arial"/>
                <w:sz w:val="22"/>
                <w:szCs w:val="22"/>
              </w:rPr>
              <w:tab/>
              <w:t xml:space="preserve"> </w:t>
            </w:r>
            <w:r>
              <w:rPr>
                <w:rFonts w:ascii="Arial" w:hAnsi="Arial" w:cs="Arial"/>
                <w:sz w:val="22"/>
                <w:szCs w:val="22"/>
              </w:rPr>
              <w:tab/>
              <w:t>superar</w:t>
            </w:r>
            <w:r>
              <w:rPr>
                <w:rFonts w:ascii="Arial" w:hAnsi="Arial" w:cs="Arial"/>
                <w:sz w:val="22"/>
                <w:szCs w:val="22"/>
              </w:rPr>
              <w:tab/>
              <w:t xml:space="preserve"> </w:t>
            </w:r>
            <w:r>
              <w:rPr>
                <w:rFonts w:ascii="Arial" w:hAnsi="Arial" w:cs="Arial"/>
                <w:sz w:val="22"/>
                <w:szCs w:val="22"/>
              </w:rPr>
              <w:tab/>
              <w:t xml:space="preserve">las </w:t>
            </w:r>
          </w:p>
          <w:p w:rsidR="009B4233" w:rsidRDefault="006B08B9">
            <w:pPr>
              <w:spacing w:line="249" w:lineRule="auto"/>
              <w:rPr>
                <w:rFonts w:ascii="Arial" w:hAnsi="Arial" w:cs="Arial"/>
                <w:sz w:val="22"/>
                <w:szCs w:val="22"/>
              </w:rPr>
            </w:pPr>
            <w:r>
              <w:rPr>
                <w:rFonts w:ascii="Arial" w:hAnsi="Arial" w:cs="Arial"/>
                <w:sz w:val="22"/>
                <w:szCs w:val="22"/>
              </w:rPr>
              <w:t xml:space="preserve">Previsiones </w:t>
            </w:r>
          </w:p>
          <w:p w:rsidR="009B4233" w:rsidRDefault="006B08B9">
            <w:pPr>
              <w:tabs>
                <w:tab w:val="center" w:pos="2017"/>
                <w:tab w:val="right" w:pos="2732"/>
              </w:tabs>
              <w:spacing w:line="249" w:lineRule="auto"/>
              <w:rPr>
                <w:rFonts w:ascii="Arial" w:hAnsi="Arial" w:cs="Arial"/>
                <w:sz w:val="22"/>
                <w:szCs w:val="22"/>
              </w:rPr>
            </w:pPr>
            <w:r>
              <w:rPr>
                <w:rFonts w:ascii="Arial" w:hAnsi="Arial" w:cs="Arial"/>
                <w:sz w:val="22"/>
                <w:szCs w:val="22"/>
              </w:rPr>
              <w:t>presupuestadas</w:t>
            </w:r>
            <w:r>
              <w:rPr>
                <w:rFonts w:ascii="Arial" w:hAnsi="Arial" w:cs="Arial"/>
                <w:sz w:val="22"/>
                <w:szCs w:val="22"/>
              </w:rPr>
              <w:tab/>
              <w:t xml:space="preserve"> </w:t>
            </w:r>
            <w:r>
              <w:rPr>
                <w:rFonts w:ascii="Arial" w:hAnsi="Arial" w:cs="Arial"/>
                <w:sz w:val="22"/>
                <w:szCs w:val="22"/>
              </w:rPr>
              <w:tab/>
              <w:t xml:space="preserve">en </w:t>
            </w:r>
          </w:p>
          <w:p w:rsidR="009B4233" w:rsidRDefault="006B08B9">
            <w:pPr>
              <w:spacing w:line="249" w:lineRule="auto"/>
              <w:rPr>
                <w:rFonts w:ascii="Arial" w:hAnsi="Arial" w:cs="Arial"/>
                <w:sz w:val="22"/>
                <w:szCs w:val="22"/>
              </w:rPr>
            </w:pPr>
            <w:r>
              <w:rPr>
                <w:rFonts w:ascii="Arial" w:hAnsi="Arial" w:cs="Arial"/>
                <w:sz w:val="22"/>
                <w:szCs w:val="22"/>
              </w:rPr>
              <w:t>Personal</w:t>
            </w:r>
          </w:p>
        </w:tc>
        <w:tc>
          <w:tcPr>
            <w:tcW w:w="2892" w:type="dxa"/>
            <w:tcBorders>
              <w:top w:val="single" w:sz="4" w:space="0" w:color="000000"/>
              <w:left w:val="single" w:sz="4" w:space="0" w:color="000000"/>
              <w:bottom w:val="single" w:sz="4" w:space="0" w:color="000000"/>
              <w:right w:val="single" w:sz="4" w:space="0" w:color="000000"/>
            </w:tcBorders>
            <w:shd w:val="clear" w:color="auto" w:fill="auto"/>
            <w:tcMar>
              <w:top w:w="14" w:type="dxa"/>
              <w:left w:w="110" w:type="dxa"/>
              <w:bottom w:w="0" w:type="dxa"/>
              <w:right w:w="38" w:type="dxa"/>
            </w:tcMar>
          </w:tcPr>
          <w:p w:rsidR="009B4233" w:rsidRDefault="006B08B9">
            <w:pPr>
              <w:tabs>
                <w:tab w:val="right" w:pos="2744"/>
              </w:tabs>
              <w:spacing w:line="249" w:lineRule="auto"/>
              <w:rPr>
                <w:rFonts w:ascii="Arial" w:hAnsi="Arial" w:cs="Arial"/>
                <w:sz w:val="22"/>
                <w:szCs w:val="22"/>
              </w:rPr>
            </w:pPr>
            <w:r>
              <w:rPr>
                <w:rFonts w:ascii="Arial" w:hAnsi="Arial" w:cs="Arial"/>
                <w:sz w:val="22"/>
                <w:szCs w:val="22"/>
              </w:rPr>
              <w:t xml:space="preserve"> </w:t>
            </w:r>
            <w:r>
              <w:rPr>
                <w:rFonts w:ascii="Arial" w:hAnsi="Arial" w:cs="Arial"/>
                <w:sz w:val="22"/>
                <w:szCs w:val="22"/>
              </w:rPr>
              <w:tab/>
              <w:t xml:space="preserve">1 % Aportación </w:t>
            </w:r>
          </w:p>
          <w:p w:rsidR="009B4233" w:rsidRDefault="006B08B9">
            <w:pPr>
              <w:spacing w:line="249" w:lineRule="auto"/>
              <w:rPr>
                <w:rFonts w:ascii="Arial" w:hAnsi="Arial" w:cs="Arial"/>
                <w:sz w:val="22"/>
                <w:szCs w:val="22"/>
              </w:rPr>
            </w:pPr>
            <w:r>
              <w:rPr>
                <w:rFonts w:ascii="Arial" w:hAnsi="Arial" w:cs="Arial"/>
                <w:sz w:val="22"/>
                <w:szCs w:val="22"/>
              </w:rPr>
              <w:t>Municipal</w:t>
            </w:r>
          </w:p>
        </w:tc>
      </w:tr>
      <w:tr w:rsidR="009B4233">
        <w:tblPrEx>
          <w:tblCellMar>
            <w:top w:w="0" w:type="dxa"/>
            <w:bottom w:w="0" w:type="dxa"/>
          </w:tblCellMar>
        </w:tblPrEx>
        <w:trPr>
          <w:trHeight w:val="838"/>
        </w:trPr>
        <w:tc>
          <w:tcPr>
            <w:tcW w:w="2882" w:type="dxa"/>
            <w:tcBorders>
              <w:top w:val="single" w:sz="4" w:space="0" w:color="000000"/>
              <w:left w:val="single" w:sz="4" w:space="0" w:color="000000"/>
              <w:bottom w:val="single" w:sz="4" w:space="0" w:color="000000"/>
              <w:right w:val="single" w:sz="4" w:space="0" w:color="000000"/>
            </w:tcBorders>
            <w:shd w:val="clear" w:color="auto" w:fill="auto"/>
            <w:tcMar>
              <w:top w:w="14" w:type="dxa"/>
              <w:left w:w="110" w:type="dxa"/>
              <w:bottom w:w="0" w:type="dxa"/>
              <w:right w:w="38" w:type="dxa"/>
            </w:tcMar>
          </w:tcPr>
          <w:p w:rsidR="009B4233" w:rsidRDefault="006B08B9">
            <w:pPr>
              <w:spacing w:line="249" w:lineRule="auto"/>
              <w:rPr>
                <w:rFonts w:ascii="Arial" w:hAnsi="Arial" w:cs="Arial"/>
                <w:sz w:val="22"/>
                <w:szCs w:val="22"/>
              </w:rPr>
            </w:pPr>
            <w:r>
              <w:rPr>
                <w:rFonts w:ascii="Arial" w:hAnsi="Arial" w:cs="Arial"/>
                <w:sz w:val="22"/>
                <w:szCs w:val="22"/>
              </w:rPr>
              <w:t xml:space="preserve">Cumplimiento </w:t>
            </w:r>
          </w:p>
          <w:p w:rsidR="009B4233" w:rsidRDefault="006B08B9">
            <w:pPr>
              <w:tabs>
                <w:tab w:val="center" w:pos="1592"/>
                <w:tab w:val="right" w:pos="2734"/>
              </w:tabs>
              <w:spacing w:line="249" w:lineRule="auto"/>
              <w:rPr>
                <w:rFonts w:ascii="Arial" w:hAnsi="Arial" w:cs="Arial"/>
                <w:sz w:val="22"/>
                <w:szCs w:val="22"/>
              </w:rPr>
            </w:pPr>
            <w:r>
              <w:rPr>
                <w:rFonts w:ascii="Arial" w:hAnsi="Arial" w:cs="Arial"/>
                <w:sz w:val="22"/>
                <w:szCs w:val="22"/>
              </w:rPr>
              <w:t>Legislación</w:t>
            </w:r>
            <w:r>
              <w:rPr>
                <w:rFonts w:ascii="Arial" w:hAnsi="Arial" w:cs="Arial"/>
                <w:sz w:val="22"/>
                <w:szCs w:val="22"/>
              </w:rPr>
              <w:tab/>
              <w:t xml:space="preserve"> </w:t>
            </w:r>
            <w:r>
              <w:rPr>
                <w:rFonts w:ascii="Arial" w:hAnsi="Arial" w:cs="Arial"/>
                <w:sz w:val="22"/>
                <w:szCs w:val="22"/>
              </w:rPr>
              <w:tab/>
              <w:t xml:space="preserve">fiscal, </w:t>
            </w:r>
          </w:p>
          <w:p w:rsidR="009B4233" w:rsidRDefault="006B08B9">
            <w:pPr>
              <w:spacing w:line="249" w:lineRule="auto"/>
              <w:rPr>
                <w:rFonts w:ascii="Arial" w:hAnsi="Arial" w:cs="Arial"/>
                <w:sz w:val="22"/>
                <w:szCs w:val="22"/>
              </w:rPr>
            </w:pPr>
            <w:r>
              <w:rPr>
                <w:rFonts w:ascii="Arial" w:hAnsi="Arial" w:cs="Arial"/>
                <w:sz w:val="22"/>
                <w:szCs w:val="22"/>
              </w:rPr>
              <w:t>laboral</w:t>
            </w:r>
          </w:p>
        </w:tc>
        <w:tc>
          <w:tcPr>
            <w:tcW w:w="2880" w:type="dxa"/>
            <w:tcBorders>
              <w:top w:val="single" w:sz="4" w:space="0" w:color="000000"/>
              <w:left w:val="single" w:sz="4" w:space="0" w:color="000000"/>
              <w:bottom w:val="single" w:sz="4" w:space="0" w:color="000000"/>
              <w:right w:val="single" w:sz="4" w:space="0" w:color="000000"/>
            </w:tcBorders>
            <w:shd w:val="clear" w:color="auto" w:fill="auto"/>
            <w:tcMar>
              <w:top w:w="14" w:type="dxa"/>
              <w:left w:w="110" w:type="dxa"/>
              <w:bottom w:w="0" w:type="dxa"/>
              <w:right w:w="38" w:type="dxa"/>
            </w:tcMar>
          </w:tcPr>
          <w:p w:rsidR="009B4233" w:rsidRDefault="006B08B9">
            <w:pPr>
              <w:rPr>
                <w:rFonts w:ascii="Arial" w:hAnsi="Arial" w:cs="Arial"/>
                <w:sz w:val="22"/>
                <w:szCs w:val="22"/>
              </w:rPr>
            </w:pPr>
            <w:r>
              <w:rPr>
                <w:rFonts w:ascii="Arial" w:hAnsi="Arial" w:cs="Arial"/>
                <w:sz w:val="22"/>
                <w:szCs w:val="22"/>
              </w:rPr>
              <w:t xml:space="preserve">Presentación en plazo de Modelos de ámbito </w:t>
            </w:r>
          </w:p>
          <w:p w:rsidR="009B4233" w:rsidRDefault="006B08B9">
            <w:pPr>
              <w:spacing w:line="249" w:lineRule="auto"/>
              <w:rPr>
                <w:rFonts w:ascii="Arial" w:hAnsi="Arial" w:cs="Arial"/>
                <w:sz w:val="22"/>
                <w:szCs w:val="22"/>
              </w:rPr>
            </w:pPr>
            <w:r>
              <w:rPr>
                <w:rFonts w:ascii="Arial" w:hAnsi="Arial" w:cs="Arial"/>
                <w:sz w:val="22"/>
                <w:szCs w:val="22"/>
              </w:rPr>
              <w:t>fiscal y Laboral</w:t>
            </w:r>
          </w:p>
        </w:tc>
        <w:tc>
          <w:tcPr>
            <w:tcW w:w="2892" w:type="dxa"/>
            <w:tcBorders>
              <w:top w:val="single" w:sz="4" w:space="0" w:color="000000"/>
              <w:left w:val="single" w:sz="4" w:space="0" w:color="000000"/>
              <w:bottom w:val="single" w:sz="4" w:space="0" w:color="000000"/>
              <w:right w:val="single" w:sz="4" w:space="0" w:color="000000"/>
            </w:tcBorders>
            <w:shd w:val="clear" w:color="auto" w:fill="auto"/>
            <w:tcMar>
              <w:top w:w="14" w:type="dxa"/>
              <w:left w:w="110" w:type="dxa"/>
              <w:bottom w:w="0" w:type="dxa"/>
              <w:right w:w="38" w:type="dxa"/>
            </w:tcMar>
          </w:tcPr>
          <w:p w:rsidR="009B4233" w:rsidRDefault="006B08B9">
            <w:pPr>
              <w:tabs>
                <w:tab w:val="center" w:pos="400"/>
                <w:tab w:val="center" w:pos="838"/>
                <w:tab w:val="center" w:pos="1209"/>
                <w:tab w:val="right" w:pos="2744"/>
              </w:tabs>
              <w:spacing w:line="249" w:lineRule="auto"/>
              <w:rPr>
                <w:rFonts w:ascii="Arial" w:hAnsi="Arial" w:cs="Arial"/>
                <w:sz w:val="22"/>
                <w:szCs w:val="22"/>
              </w:rPr>
            </w:pPr>
            <w:r>
              <w:rPr>
                <w:rFonts w:ascii="Arial" w:hAnsi="Arial" w:cs="Arial"/>
                <w:sz w:val="22"/>
                <w:szCs w:val="22"/>
              </w:rPr>
              <w:t>1</w:t>
            </w:r>
            <w:r>
              <w:rPr>
                <w:rFonts w:ascii="Arial" w:hAnsi="Arial" w:cs="Arial"/>
                <w:sz w:val="22"/>
                <w:szCs w:val="22"/>
              </w:rPr>
              <w:tab/>
              <w:t xml:space="preserve"> </w:t>
            </w:r>
            <w:r>
              <w:rPr>
                <w:rFonts w:ascii="Arial" w:hAnsi="Arial" w:cs="Arial"/>
                <w:sz w:val="22"/>
                <w:szCs w:val="22"/>
              </w:rPr>
              <w:tab/>
              <w:t>%</w:t>
            </w:r>
            <w:r>
              <w:rPr>
                <w:rFonts w:ascii="Arial" w:hAnsi="Arial" w:cs="Arial"/>
                <w:sz w:val="22"/>
                <w:szCs w:val="22"/>
              </w:rPr>
              <w:tab/>
              <w:t xml:space="preserve"> </w:t>
            </w:r>
            <w:r>
              <w:rPr>
                <w:rFonts w:ascii="Arial" w:hAnsi="Arial" w:cs="Arial"/>
                <w:sz w:val="22"/>
                <w:szCs w:val="22"/>
              </w:rPr>
              <w:tab/>
            </w:r>
            <w:r>
              <w:rPr>
                <w:rFonts w:ascii="Arial" w:hAnsi="Arial" w:cs="Arial"/>
                <w:sz w:val="22"/>
                <w:szCs w:val="22"/>
              </w:rPr>
              <w:t xml:space="preserve">Aportación </w:t>
            </w:r>
          </w:p>
          <w:p w:rsidR="009B4233" w:rsidRDefault="006B08B9">
            <w:pPr>
              <w:spacing w:line="249" w:lineRule="auto"/>
              <w:rPr>
                <w:rFonts w:ascii="Arial" w:hAnsi="Arial" w:cs="Arial"/>
                <w:sz w:val="22"/>
                <w:szCs w:val="22"/>
              </w:rPr>
            </w:pPr>
            <w:r>
              <w:rPr>
                <w:rFonts w:ascii="Arial" w:hAnsi="Arial" w:cs="Arial"/>
                <w:sz w:val="22"/>
                <w:szCs w:val="22"/>
              </w:rPr>
              <w:t>Municipal</w:t>
            </w:r>
          </w:p>
        </w:tc>
      </w:tr>
    </w:tbl>
    <w:p w:rsidR="009B4233" w:rsidRDefault="006B08B9">
      <w:pPr>
        <w:spacing w:line="249" w:lineRule="auto"/>
        <w:ind w:left="-5"/>
      </w:pPr>
      <w:r>
        <w:rPr>
          <w:rFonts w:ascii="Arial" w:eastAsia="Arial" w:hAnsi="Arial" w:cs="Arial"/>
          <w:b/>
          <w:sz w:val="22"/>
          <w:szCs w:val="22"/>
        </w:rPr>
        <w:t>2.- Empresa de Inserción de Viviendas:</w:t>
      </w:r>
    </w:p>
    <w:tbl>
      <w:tblPr>
        <w:tblW w:w="8654" w:type="dxa"/>
        <w:tblInd w:w="-102" w:type="dxa"/>
        <w:tblCellMar>
          <w:left w:w="10" w:type="dxa"/>
          <w:right w:w="10" w:type="dxa"/>
        </w:tblCellMar>
        <w:tblLook w:val="0000" w:firstRow="0" w:lastRow="0" w:firstColumn="0" w:lastColumn="0" w:noHBand="0" w:noVBand="0"/>
      </w:tblPr>
      <w:tblGrid>
        <w:gridCol w:w="2882"/>
        <w:gridCol w:w="2880"/>
        <w:gridCol w:w="2892"/>
      </w:tblGrid>
      <w:tr w:rsidR="009B4233">
        <w:tblPrEx>
          <w:tblCellMar>
            <w:top w:w="0" w:type="dxa"/>
            <w:bottom w:w="0" w:type="dxa"/>
          </w:tblCellMar>
        </w:tblPrEx>
        <w:trPr>
          <w:trHeight w:val="562"/>
        </w:trPr>
        <w:tc>
          <w:tcPr>
            <w:tcW w:w="2882" w:type="dxa"/>
            <w:tcBorders>
              <w:top w:val="single" w:sz="4" w:space="0" w:color="000000"/>
              <w:left w:val="single" w:sz="4" w:space="0" w:color="000000"/>
              <w:bottom w:val="single" w:sz="4" w:space="0" w:color="000000"/>
              <w:right w:val="single" w:sz="4" w:space="0" w:color="000000"/>
            </w:tcBorders>
            <w:shd w:val="clear" w:color="auto" w:fill="auto"/>
            <w:tcMar>
              <w:top w:w="14" w:type="dxa"/>
              <w:left w:w="110" w:type="dxa"/>
              <w:bottom w:w="0" w:type="dxa"/>
              <w:right w:w="38" w:type="dxa"/>
            </w:tcMar>
          </w:tcPr>
          <w:p w:rsidR="009B4233" w:rsidRDefault="006B08B9">
            <w:pPr>
              <w:spacing w:line="249" w:lineRule="auto"/>
            </w:pPr>
            <w:r>
              <w:rPr>
                <w:rFonts w:ascii="Arial" w:eastAsia="Arial" w:hAnsi="Arial" w:cs="Arial"/>
                <w:b/>
                <w:sz w:val="22"/>
                <w:szCs w:val="22"/>
              </w:rPr>
              <w:t>OBJETIVOS</w:t>
            </w:r>
          </w:p>
        </w:tc>
        <w:tc>
          <w:tcPr>
            <w:tcW w:w="2880" w:type="dxa"/>
            <w:tcBorders>
              <w:top w:val="single" w:sz="4" w:space="0" w:color="000000"/>
              <w:left w:val="single" w:sz="4" w:space="0" w:color="000000"/>
              <w:bottom w:val="single" w:sz="4" w:space="0" w:color="000000"/>
              <w:right w:val="single" w:sz="4" w:space="0" w:color="000000"/>
            </w:tcBorders>
            <w:shd w:val="clear" w:color="auto" w:fill="auto"/>
            <w:tcMar>
              <w:top w:w="14" w:type="dxa"/>
              <w:left w:w="110" w:type="dxa"/>
              <w:bottom w:w="0" w:type="dxa"/>
              <w:right w:w="38" w:type="dxa"/>
            </w:tcMar>
          </w:tcPr>
          <w:p w:rsidR="009B4233" w:rsidRDefault="006B08B9">
            <w:pPr>
              <w:spacing w:line="249" w:lineRule="auto"/>
            </w:pPr>
            <w:r>
              <w:rPr>
                <w:rFonts w:ascii="Arial" w:eastAsia="Arial" w:hAnsi="Arial" w:cs="Arial"/>
                <w:b/>
                <w:sz w:val="22"/>
                <w:szCs w:val="22"/>
              </w:rPr>
              <w:t>INDICADORES</w:t>
            </w:r>
          </w:p>
        </w:tc>
        <w:tc>
          <w:tcPr>
            <w:tcW w:w="2892" w:type="dxa"/>
            <w:tcBorders>
              <w:top w:val="single" w:sz="4" w:space="0" w:color="000000"/>
              <w:left w:val="single" w:sz="4" w:space="0" w:color="000000"/>
              <w:bottom w:val="single" w:sz="4" w:space="0" w:color="000000"/>
              <w:right w:val="single" w:sz="4" w:space="0" w:color="000000"/>
            </w:tcBorders>
            <w:shd w:val="clear" w:color="auto" w:fill="auto"/>
            <w:tcMar>
              <w:top w:w="14" w:type="dxa"/>
              <w:left w:w="110" w:type="dxa"/>
              <w:bottom w:w="0" w:type="dxa"/>
              <w:right w:w="38" w:type="dxa"/>
            </w:tcMar>
          </w:tcPr>
          <w:p w:rsidR="009B4233" w:rsidRDefault="006B08B9">
            <w:pPr>
              <w:spacing w:line="249" w:lineRule="auto"/>
            </w:pPr>
            <w:r>
              <w:rPr>
                <w:rFonts w:ascii="Arial" w:eastAsia="Arial" w:hAnsi="Arial" w:cs="Arial"/>
                <w:b/>
                <w:sz w:val="22"/>
                <w:szCs w:val="22"/>
              </w:rPr>
              <w:t xml:space="preserve">EFECTOS </w:t>
            </w:r>
          </w:p>
          <w:p w:rsidR="009B4233" w:rsidRDefault="006B08B9">
            <w:pPr>
              <w:spacing w:line="249" w:lineRule="auto"/>
            </w:pPr>
            <w:r>
              <w:rPr>
                <w:rFonts w:ascii="Arial" w:eastAsia="Arial" w:hAnsi="Arial" w:cs="Arial"/>
                <w:b/>
                <w:sz w:val="22"/>
                <w:szCs w:val="22"/>
              </w:rPr>
              <w:t>INCUMPLIMIENTOS</w:t>
            </w:r>
          </w:p>
        </w:tc>
      </w:tr>
      <w:tr w:rsidR="009B4233">
        <w:tblPrEx>
          <w:tblCellMar>
            <w:top w:w="0" w:type="dxa"/>
            <w:bottom w:w="0" w:type="dxa"/>
          </w:tblCellMar>
        </w:tblPrEx>
        <w:trPr>
          <w:trHeight w:val="562"/>
        </w:trPr>
        <w:tc>
          <w:tcPr>
            <w:tcW w:w="2882" w:type="dxa"/>
            <w:tcBorders>
              <w:top w:val="single" w:sz="4" w:space="0" w:color="000000"/>
              <w:left w:val="single" w:sz="4" w:space="0" w:color="000000"/>
              <w:bottom w:val="single" w:sz="4" w:space="0" w:color="000000"/>
              <w:right w:val="single" w:sz="4" w:space="0" w:color="000000"/>
            </w:tcBorders>
            <w:shd w:val="clear" w:color="auto" w:fill="auto"/>
            <w:tcMar>
              <w:top w:w="14" w:type="dxa"/>
              <w:left w:w="110" w:type="dxa"/>
              <w:bottom w:w="0" w:type="dxa"/>
              <w:right w:w="38" w:type="dxa"/>
            </w:tcMar>
          </w:tcPr>
          <w:p w:rsidR="009B4233" w:rsidRDefault="006B08B9">
            <w:pPr>
              <w:spacing w:line="249" w:lineRule="auto"/>
              <w:rPr>
                <w:rFonts w:ascii="Arial" w:hAnsi="Arial" w:cs="Arial"/>
                <w:sz w:val="22"/>
                <w:szCs w:val="22"/>
              </w:rPr>
            </w:pPr>
            <w:r>
              <w:rPr>
                <w:rFonts w:ascii="Arial" w:hAnsi="Arial" w:cs="Arial"/>
                <w:sz w:val="22"/>
                <w:szCs w:val="22"/>
              </w:rPr>
              <w:t>Pago a Proveedores en Plazo</w:t>
            </w:r>
          </w:p>
        </w:tc>
        <w:tc>
          <w:tcPr>
            <w:tcW w:w="2880" w:type="dxa"/>
            <w:tcBorders>
              <w:top w:val="single" w:sz="4" w:space="0" w:color="000000"/>
              <w:left w:val="single" w:sz="4" w:space="0" w:color="000000"/>
              <w:bottom w:val="single" w:sz="4" w:space="0" w:color="000000"/>
              <w:right w:val="single" w:sz="4" w:space="0" w:color="000000"/>
            </w:tcBorders>
            <w:shd w:val="clear" w:color="auto" w:fill="auto"/>
            <w:tcMar>
              <w:top w:w="14" w:type="dxa"/>
              <w:left w:w="110" w:type="dxa"/>
              <w:bottom w:w="0" w:type="dxa"/>
              <w:right w:w="38" w:type="dxa"/>
            </w:tcMar>
          </w:tcPr>
          <w:p w:rsidR="009B4233" w:rsidRDefault="006B08B9">
            <w:pPr>
              <w:spacing w:line="249" w:lineRule="auto"/>
              <w:rPr>
                <w:rFonts w:ascii="Arial" w:hAnsi="Arial" w:cs="Arial"/>
                <w:sz w:val="22"/>
                <w:szCs w:val="22"/>
              </w:rPr>
            </w:pPr>
            <w:r>
              <w:rPr>
                <w:rFonts w:ascii="Arial" w:hAnsi="Arial" w:cs="Arial"/>
                <w:sz w:val="22"/>
                <w:szCs w:val="22"/>
              </w:rPr>
              <w:t>Cumplimiento Periodo Medio de pago anual</w:t>
            </w:r>
          </w:p>
        </w:tc>
        <w:tc>
          <w:tcPr>
            <w:tcW w:w="2892" w:type="dxa"/>
            <w:tcBorders>
              <w:top w:val="single" w:sz="4" w:space="0" w:color="000000"/>
              <w:left w:val="single" w:sz="4" w:space="0" w:color="000000"/>
              <w:bottom w:val="single" w:sz="4" w:space="0" w:color="000000"/>
              <w:right w:val="single" w:sz="4" w:space="0" w:color="000000"/>
            </w:tcBorders>
            <w:shd w:val="clear" w:color="auto" w:fill="auto"/>
            <w:tcMar>
              <w:top w:w="14" w:type="dxa"/>
              <w:left w:w="110" w:type="dxa"/>
              <w:bottom w:w="0" w:type="dxa"/>
              <w:right w:w="38" w:type="dxa"/>
            </w:tcMar>
          </w:tcPr>
          <w:p w:rsidR="009B4233" w:rsidRDefault="006B08B9">
            <w:pPr>
              <w:tabs>
                <w:tab w:val="right" w:pos="2744"/>
              </w:tabs>
              <w:spacing w:line="249" w:lineRule="auto"/>
              <w:rPr>
                <w:rFonts w:ascii="Arial" w:hAnsi="Arial" w:cs="Arial"/>
                <w:sz w:val="22"/>
                <w:szCs w:val="22"/>
              </w:rPr>
            </w:pPr>
            <w:r>
              <w:rPr>
                <w:rFonts w:ascii="Arial" w:hAnsi="Arial" w:cs="Arial"/>
                <w:sz w:val="22"/>
                <w:szCs w:val="22"/>
              </w:rPr>
              <w:t xml:space="preserve"> </w:t>
            </w:r>
            <w:r>
              <w:rPr>
                <w:rFonts w:ascii="Arial" w:hAnsi="Arial" w:cs="Arial"/>
                <w:sz w:val="22"/>
                <w:szCs w:val="22"/>
              </w:rPr>
              <w:tab/>
              <w:t xml:space="preserve">1 % Aportación </w:t>
            </w:r>
          </w:p>
          <w:p w:rsidR="009B4233" w:rsidRDefault="006B08B9">
            <w:pPr>
              <w:spacing w:line="249" w:lineRule="auto"/>
              <w:rPr>
                <w:rFonts w:ascii="Arial" w:hAnsi="Arial" w:cs="Arial"/>
                <w:sz w:val="22"/>
                <w:szCs w:val="22"/>
              </w:rPr>
            </w:pPr>
            <w:r>
              <w:rPr>
                <w:rFonts w:ascii="Arial" w:hAnsi="Arial" w:cs="Arial"/>
                <w:sz w:val="22"/>
                <w:szCs w:val="22"/>
              </w:rPr>
              <w:t>Municipal</w:t>
            </w:r>
          </w:p>
        </w:tc>
      </w:tr>
      <w:tr w:rsidR="009B4233">
        <w:tblPrEx>
          <w:tblCellMar>
            <w:top w:w="0" w:type="dxa"/>
            <w:bottom w:w="0" w:type="dxa"/>
          </w:tblCellMar>
        </w:tblPrEx>
        <w:trPr>
          <w:trHeight w:val="1114"/>
        </w:trPr>
        <w:tc>
          <w:tcPr>
            <w:tcW w:w="2882" w:type="dxa"/>
            <w:tcBorders>
              <w:top w:val="single" w:sz="4" w:space="0" w:color="000000"/>
              <w:left w:val="single" w:sz="4" w:space="0" w:color="000000"/>
              <w:bottom w:val="single" w:sz="4" w:space="0" w:color="000000"/>
              <w:right w:val="single" w:sz="4" w:space="0" w:color="000000"/>
            </w:tcBorders>
            <w:shd w:val="clear" w:color="auto" w:fill="auto"/>
            <w:tcMar>
              <w:top w:w="14" w:type="dxa"/>
              <w:left w:w="110" w:type="dxa"/>
              <w:bottom w:w="0" w:type="dxa"/>
              <w:right w:w="38" w:type="dxa"/>
            </w:tcMar>
          </w:tcPr>
          <w:p w:rsidR="009B4233" w:rsidRDefault="006B08B9">
            <w:pPr>
              <w:spacing w:line="249" w:lineRule="auto"/>
              <w:rPr>
                <w:rFonts w:ascii="Arial" w:hAnsi="Arial" w:cs="Arial"/>
                <w:sz w:val="22"/>
                <w:szCs w:val="22"/>
              </w:rPr>
            </w:pPr>
            <w:r>
              <w:rPr>
                <w:rFonts w:ascii="Arial" w:hAnsi="Arial" w:cs="Arial"/>
                <w:sz w:val="22"/>
                <w:szCs w:val="22"/>
              </w:rPr>
              <w:t>Costes de Personal</w:t>
            </w:r>
          </w:p>
        </w:tc>
        <w:tc>
          <w:tcPr>
            <w:tcW w:w="2880" w:type="dxa"/>
            <w:tcBorders>
              <w:top w:val="single" w:sz="4" w:space="0" w:color="000000"/>
              <w:left w:val="single" w:sz="4" w:space="0" w:color="000000"/>
              <w:bottom w:val="single" w:sz="4" w:space="0" w:color="000000"/>
              <w:right w:val="single" w:sz="4" w:space="0" w:color="000000"/>
            </w:tcBorders>
            <w:shd w:val="clear" w:color="auto" w:fill="auto"/>
            <w:tcMar>
              <w:top w:w="14" w:type="dxa"/>
              <w:left w:w="110" w:type="dxa"/>
              <w:bottom w:w="0" w:type="dxa"/>
              <w:right w:w="38" w:type="dxa"/>
            </w:tcMar>
          </w:tcPr>
          <w:p w:rsidR="009B4233" w:rsidRDefault="006B08B9">
            <w:pPr>
              <w:tabs>
                <w:tab w:val="center" w:pos="582"/>
                <w:tab w:val="center" w:pos="1332"/>
                <w:tab w:val="center" w:pos="2014"/>
                <w:tab w:val="right" w:pos="2732"/>
              </w:tabs>
              <w:spacing w:line="249" w:lineRule="auto"/>
              <w:rPr>
                <w:rFonts w:ascii="Arial" w:hAnsi="Arial" w:cs="Arial"/>
                <w:sz w:val="22"/>
                <w:szCs w:val="22"/>
              </w:rPr>
            </w:pPr>
            <w:r>
              <w:rPr>
                <w:rFonts w:ascii="Arial" w:hAnsi="Arial" w:cs="Arial"/>
                <w:sz w:val="22"/>
                <w:szCs w:val="22"/>
              </w:rPr>
              <w:t>No</w:t>
            </w:r>
            <w:r>
              <w:rPr>
                <w:rFonts w:ascii="Arial" w:hAnsi="Arial" w:cs="Arial"/>
                <w:sz w:val="22"/>
                <w:szCs w:val="22"/>
              </w:rPr>
              <w:tab/>
              <w:t xml:space="preserve"> </w:t>
            </w:r>
            <w:r>
              <w:rPr>
                <w:rFonts w:ascii="Arial" w:hAnsi="Arial" w:cs="Arial"/>
                <w:sz w:val="22"/>
                <w:szCs w:val="22"/>
              </w:rPr>
              <w:tab/>
              <w:t>superar</w:t>
            </w:r>
            <w:r>
              <w:rPr>
                <w:rFonts w:ascii="Arial" w:hAnsi="Arial" w:cs="Arial"/>
                <w:sz w:val="22"/>
                <w:szCs w:val="22"/>
              </w:rPr>
              <w:tab/>
              <w:t xml:space="preserve"> </w:t>
            </w:r>
            <w:r>
              <w:rPr>
                <w:rFonts w:ascii="Arial" w:hAnsi="Arial" w:cs="Arial"/>
                <w:sz w:val="22"/>
                <w:szCs w:val="22"/>
              </w:rPr>
              <w:tab/>
              <w:t xml:space="preserve">las </w:t>
            </w:r>
          </w:p>
          <w:p w:rsidR="009B4233" w:rsidRDefault="006B08B9">
            <w:pPr>
              <w:spacing w:line="249" w:lineRule="auto"/>
              <w:rPr>
                <w:rFonts w:ascii="Arial" w:hAnsi="Arial" w:cs="Arial"/>
                <w:sz w:val="22"/>
                <w:szCs w:val="22"/>
              </w:rPr>
            </w:pPr>
            <w:r>
              <w:rPr>
                <w:rFonts w:ascii="Arial" w:hAnsi="Arial" w:cs="Arial"/>
                <w:sz w:val="22"/>
                <w:szCs w:val="22"/>
              </w:rPr>
              <w:t xml:space="preserve">Previsiones </w:t>
            </w:r>
          </w:p>
          <w:p w:rsidR="009B4233" w:rsidRDefault="006B08B9">
            <w:pPr>
              <w:tabs>
                <w:tab w:val="center" w:pos="2017"/>
                <w:tab w:val="right" w:pos="2732"/>
              </w:tabs>
              <w:spacing w:line="249" w:lineRule="auto"/>
              <w:rPr>
                <w:rFonts w:ascii="Arial" w:hAnsi="Arial" w:cs="Arial"/>
                <w:sz w:val="22"/>
                <w:szCs w:val="22"/>
              </w:rPr>
            </w:pPr>
            <w:r>
              <w:rPr>
                <w:rFonts w:ascii="Arial" w:hAnsi="Arial" w:cs="Arial"/>
                <w:sz w:val="22"/>
                <w:szCs w:val="22"/>
              </w:rPr>
              <w:t>presupuestadas</w:t>
            </w:r>
            <w:r>
              <w:rPr>
                <w:rFonts w:ascii="Arial" w:hAnsi="Arial" w:cs="Arial"/>
                <w:sz w:val="22"/>
                <w:szCs w:val="22"/>
              </w:rPr>
              <w:tab/>
              <w:t xml:space="preserve"> </w:t>
            </w:r>
            <w:r>
              <w:rPr>
                <w:rFonts w:ascii="Arial" w:hAnsi="Arial" w:cs="Arial"/>
                <w:sz w:val="22"/>
                <w:szCs w:val="22"/>
              </w:rPr>
              <w:tab/>
              <w:t xml:space="preserve">en </w:t>
            </w:r>
          </w:p>
          <w:p w:rsidR="009B4233" w:rsidRDefault="006B08B9">
            <w:pPr>
              <w:spacing w:line="249" w:lineRule="auto"/>
              <w:rPr>
                <w:rFonts w:ascii="Arial" w:hAnsi="Arial" w:cs="Arial"/>
                <w:sz w:val="22"/>
                <w:szCs w:val="22"/>
              </w:rPr>
            </w:pPr>
            <w:r>
              <w:rPr>
                <w:rFonts w:ascii="Arial" w:hAnsi="Arial" w:cs="Arial"/>
                <w:sz w:val="22"/>
                <w:szCs w:val="22"/>
              </w:rPr>
              <w:t>Personal</w:t>
            </w:r>
          </w:p>
        </w:tc>
        <w:tc>
          <w:tcPr>
            <w:tcW w:w="2892" w:type="dxa"/>
            <w:tcBorders>
              <w:top w:val="single" w:sz="4" w:space="0" w:color="000000"/>
              <w:left w:val="single" w:sz="4" w:space="0" w:color="000000"/>
              <w:bottom w:val="single" w:sz="4" w:space="0" w:color="000000"/>
              <w:right w:val="single" w:sz="4" w:space="0" w:color="000000"/>
            </w:tcBorders>
            <w:shd w:val="clear" w:color="auto" w:fill="auto"/>
            <w:tcMar>
              <w:top w:w="14" w:type="dxa"/>
              <w:left w:w="110" w:type="dxa"/>
              <w:bottom w:w="0" w:type="dxa"/>
              <w:right w:w="38" w:type="dxa"/>
            </w:tcMar>
          </w:tcPr>
          <w:p w:rsidR="009B4233" w:rsidRDefault="006B08B9">
            <w:pPr>
              <w:tabs>
                <w:tab w:val="right" w:pos="2744"/>
              </w:tabs>
              <w:spacing w:line="249" w:lineRule="auto"/>
              <w:rPr>
                <w:rFonts w:ascii="Arial" w:hAnsi="Arial" w:cs="Arial"/>
                <w:sz w:val="22"/>
                <w:szCs w:val="22"/>
              </w:rPr>
            </w:pPr>
            <w:r>
              <w:rPr>
                <w:rFonts w:ascii="Arial" w:hAnsi="Arial" w:cs="Arial"/>
                <w:sz w:val="22"/>
                <w:szCs w:val="22"/>
              </w:rPr>
              <w:t xml:space="preserve"> </w:t>
            </w:r>
            <w:r>
              <w:rPr>
                <w:rFonts w:ascii="Arial" w:hAnsi="Arial" w:cs="Arial"/>
                <w:sz w:val="22"/>
                <w:szCs w:val="22"/>
              </w:rPr>
              <w:tab/>
              <w:t xml:space="preserve">1 % Aportación </w:t>
            </w:r>
          </w:p>
          <w:p w:rsidR="009B4233" w:rsidRDefault="006B08B9">
            <w:pPr>
              <w:spacing w:line="249" w:lineRule="auto"/>
              <w:rPr>
                <w:rFonts w:ascii="Arial" w:hAnsi="Arial" w:cs="Arial"/>
                <w:sz w:val="22"/>
                <w:szCs w:val="22"/>
              </w:rPr>
            </w:pPr>
            <w:r>
              <w:rPr>
                <w:rFonts w:ascii="Arial" w:hAnsi="Arial" w:cs="Arial"/>
                <w:sz w:val="22"/>
                <w:szCs w:val="22"/>
              </w:rPr>
              <w:t>Municipal</w:t>
            </w:r>
          </w:p>
        </w:tc>
      </w:tr>
      <w:tr w:rsidR="009B4233">
        <w:tblPrEx>
          <w:tblCellMar>
            <w:top w:w="0" w:type="dxa"/>
            <w:bottom w:w="0" w:type="dxa"/>
          </w:tblCellMar>
        </w:tblPrEx>
        <w:trPr>
          <w:trHeight w:val="838"/>
        </w:trPr>
        <w:tc>
          <w:tcPr>
            <w:tcW w:w="2882" w:type="dxa"/>
            <w:tcBorders>
              <w:top w:val="single" w:sz="4" w:space="0" w:color="000000"/>
              <w:left w:val="single" w:sz="4" w:space="0" w:color="000000"/>
              <w:bottom w:val="single" w:sz="4" w:space="0" w:color="000000"/>
              <w:right w:val="single" w:sz="4" w:space="0" w:color="000000"/>
            </w:tcBorders>
            <w:shd w:val="clear" w:color="auto" w:fill="auto"/>
            <w:tcMar>
              <w:top w:w="14" w:type="dxa"/>
              <w:left w:w="110" w:type="dxa"/>
              <w:bottom w:w="0" w:type="dxa"/>
              <w:right w:w="38" w:type="dxa"/>
            </w:tcMar>
          </w:tcPr>
          <w:p w:rsidR="009B4233" w:rsidRDefault="006B08B9">
            <w:pPr>
              <w:spacing w:line="249" w:lineRule="auto"/>
              <w:rPr>
                <w:rFonts w:ascii="Arial" w:hAnsi="Arial" w:cs="Arial"/>
                <w:sz w:val="22"/>
                <w:szCs w:val="22"/>
              </w:rPr>
            </w:pPr>
            <w:r>
              <w:rPr>
                <w:rFonts w:ascii="Arial" w:hAnsi="Arial" w:cs="Arial"/>
                <w:sz w:val="22"/>
                <w:szCs w:val="22"/>
              </w:rPr>
              <w:t xml:space="preserve">Cumplimiento </w:t>
            </w:r>
          </w:p>
          <w:p w:rsidR="009B4233" w:rsidRDefault="006B08B9">
            <w:pPr>
              <w:tabs>
                <w:tab w:val="center" w:pos="1592"/>
                <w:tab w:val="right" w:pos="2734"/>
              </w:tabs>
              <w:spacing w:line="249" w:lineRule="auto"/>
              <w:rPr>
                <w:rFonts w:ascii="Arial" w:hAnsi="Arial" w:cs="Arial"/>
                <w:sz w:val="22"/>
                <w:szCs w:val="22"/>
              </w:rPr>
            </w:pPr>
            <w:r>
              <w:rPr>
                <w:rFonts w:ascii="Arial" w:hAnsi="Arial" w:cs="Arial"/>
                <w:sz w:val="22"/>
                <w:szCs w:val="22"/>
              </w:rPr>
              <w:t>Legislación</w:t>
            </w:r>
            <w:r>
              <w:rPr>
                <w:rFonts w:ascii="Arial" w:hAnsi="Arial" w:cs="Arial"/>
                <w:sz w:val="22"/>
                <w:szCs w:val="22"/>
              </w:rPr>
              <w:tab/>
              <w:t xml:space="preserve"> </w:t>
            </w:r>
            <w:r>
              <w:rPr>
                <w:rFonts w:ascii="Arial" w:hAnsi="Arial" w:cs="Arial"/>
                <w:sz w:val="22"/>
                <w:szCs w:val="22"/>
              </w:rPr>
              <w:tab/>
              <w:t xml:space="preserve">fiscal, </w:t>
            </w:r>
          </w:p>
          <w:p w:rsidR="009B4233" w:rsidRDefault="006B08B9">
            <w:pPr>
              <w:spacing w:line="249" w:lineRule="auto"/>
              <w:rPr>
                <w:rFonts w:ascii="Arial" w:hAnsi="Arial" w:cs="Arial"/>
                <w:sz w:val="22"/>
                <w:szCs w:val="22"/>
              </w:rPr>
            </w:pPr>
            <w:r>
              <w:rPr>
                <w:rFonts w:ascii="Arial" w:hAnsi="Arial" w:cs="Arial"/>
                <w:sz w:val="22"/>
                <w:szCs w:val="22"/>
              </w:rPr>
              <w:t>laboral</w:t>
            </w:r>
          </w:p>
        </w:tc>
        <w:tc>
          <w:tcPr>
            <w:tcW w:w="2880" w:type="dxa"/>
            <w:tcBorders>
              <w:top w:val="single" w:sz="4" w:space="0" w:color="000000"/>
              <w:left w:val="single" w:sz="4" w:space="0" w:color="000000"/>
              <w:bottom w:val="single" w:sz="4" w:space="0" w:color="000000"/>
              <w:right w:val="single" w:sz="4" w:space="0" w:color="000000"/>
            </w:tcBorders>
            <w:shd w:val="clear" w:color="auto" w:fill="auto"/>
            <w:tcMar>
              <w:top w:w="14" w:type="dxa"/>
              <w:left w:w="110" w:type="dxa"/>
              <w:bottom w:w="0" w:type="dxa"/>
              <w:right w:w="38" w:type="dxa"/>
            </w:tcMar>
          </w:tcPr>
          <w:p w:rsidR="009B4233" w:rsidRDefault="006B08B9">
            <w:pPr>
              <w:rPr>
                <w:rFonts w:ascii="Arial" w:hAnsi="Arial" w:cs="Arial"/>
                <w:sz w:val="22"/>
                <w:szCs w:val="22"/>
              </w:rPr>
            </w:pPr>
            <w:r>
              <w:rPr>
                <w:rFonts w:ascii="Arial" w:hAnsi="Arial" w:cs="Arial"/>
                <w:sz w:val="22"/>
                <w:szCs w:val="22"/>
              </w:rPr>
              <w:t xml:space="preserve">Presentación en plazo de Modelos de ámbito </w:t>
            </w:r>
          </w:p>
          <w:p w:rsidR="009B4233" w:rsidRDefault="006B08B9">
            <w:pPr>
              <w:spacing w:line="249" w:lineRule="auto"/>
              <w:rPr>
                <w:rFonts w:ascii="Arial" w:hAnsi="Arial" w:cs="Arial"/>
                <w:sz w:val="22"/>
                <w:szCs w:val="22"/>
              </w:rPr>
            </w:pPr>
            <w:r>
              <w:rPr>
                <w:rFonts w:ascii="Arial" w:hAnsi="Arial" w:cs="Arial"/>
                <w:sz w:val="22"/>
                <w:szCs w:val="22"/>
              </w:rPr>
              <w:t>fiscal y Laboral</w:t>
            </w:r>
          </w:p>
        </w:tc>
        <w:tc>
          <w:tcPr>
            <w:tcW w:w="2892" w:type="dxa"/>
            <w:tcBorders>
              <w:top w:val="single" w:sz="4" w:space="0" w:color="000000"/>
              <w:left w:val="single" w:sz="4" w:space="0" w:color="000000"/>
              <w:bottom w:val="single" w:sz="4" w:space="0" w:color="000000"/>
              <w:right w:val="single" w:sz="4" w:space="0" w:color="000000"/>
            </w:tcBorders>
            <w:shd w:val="clear" w:color="auto" w:fill="auto"/>
            <w:tcMar>
              <w:top w:w="14" w:type="dxa"/>
              <w:left w:w="110" w:type="dxa"/>
              <w:bottom w:w="0" w:type="dxa"/>
              <w:right w:w="38" w:type="dxa"/>
            </w:tcMar>
          </w:tcPr>
          <w:p w:rsidR="009B4233" w:rsidRDefault="006B08B9">
            <w:pPr>
              <w:tabs>
                <w:tab w:val="center" w:pos="400"/>
                <w:tab w:val="center" w:pos="838"/>
                <w:tab w:val="center" w:pos="1209"/>
                <w:tab w:val="right" w:pos="2744"/>
              </w:tabs>
              <w:spacing w:line="249" w:lineRule="auto"/>
              <w:rPr>
                <w:rFonts w:ascii="Arial" w:hAnsi="Arial" w:cs="Arial"/>
                <w:sz w:val="22"/>
                <w:szCs w:val="22"/>
              </w:rPr>
            </w:pPr>
            <w:r>
              <w:rPr>
                <w:rFonts w:ascii="Arial" w:hAnsi="Arial" w:cs="Arial"/>
                <w:sz w:val="22"/>
                <w:szCs w:val="22"/>
              </w:rPr>
              <w:t>1</w:t>
            </w:r>
            <w:r>
              <w:rPr>
                <w:rFonts w:ascii="Arial" w:hAnsi="Arial" w:cs="Arial"/>
                <w:sz w:val="22"/>
                <w:szCs w:val="22"/>
              </w:rPr>
              <w:tab/>
              <w:t xml:space="preserve"> </w:t>
            </w:r>
            <w:r>
              <w:rPr>
                <w:rFonts w:ascii="Arial" w:hAnsi="Arial" w:cs="Arial"/>
                <w:sz w:val="22"/>
                <w:szCs w:val="22"/>
              </w:rPr>
              <w:tab/>
              <w:t>%</w:t>
            </w:r>
            <w:r>
              <w:rPr>
                <w:rFonts w:ascii="Arial" w:hAnsi="Arial" w:cs="Arial"/>
                <w:sz w:val="22"/>
                <w:szCs w:val="22"/>
              </w:rPr>
              <w:tab/>
              <w:t xml:space="preserve"> </w:t>
            </w:r>
            <w:r>
              <w:rPr>
                <w:rFonts w:ascii="Arial" w:hAnsi="Arial" w:cs="Arial"/>
                <w:sz w:val="22"/>
                <w:szCs w:val="22"/>
              </w:rPr>
              <w:tab/>
              <w:t xml:space="preserve">Aportación </w:t>
            </w:r>
          </w:p>
          <w:p w:rsidR="009B4233" w:rsidRDefault="006B08B9">
            <w:pPr>
              <w:spacing w:line="249" w:lineRule="auto"/>
              <w:rPr>
                <w:rFonts w:ascii="Arial" w:hAnsi="Arial" w:cs="Arial"/>
                <w:sz w:val="22"/>
                <w:szCs w:val="22"/>
              </w:rPr>
            </w:pPr>
            <w:r>
              <w:rPr>
                <w:rFonts w:ascii="Arial" w:hAnsi="Arial" w:cs="Arial"/>
                <w:sz w:val="22"/>
                <w:szCs w:val="22"/>
              </w:rPr>
              <w:t>Municipal</w:t>
            </w:r>
          </w:p>
        </w:tc>
      </w:tr>
    </w:tbl>
    <w:p w:rsidR="009B4233" w:rsidRDefault="009B4233">
      <w:pPr>
        <w:spacing w:line="249" w:lineRule="auto"/>
        <w:ind w:left="-5"/>
        <w:rPr>
          <w:rFonts w:ascii="Arial" w:eastAsia="Arial" w:hAnsi="Arial" w:cs="Arial"/>
          <w:b/>
          <w:sz w:val="22"/>
          <w:szCs w:val="22"/>
        </w:rPr>
      </w:pPr>
    </w:p>
    <w:p w:rsidR="009B4233" w:rsidRDefault="009B4233">
      <w:pPr>
        <w:spacing w:line="249" w:lineRule="auto"/>
        <w:ind w:left="-5"/>
        <w:rPr>
          <w:rFonts w:ascii="Arial" w:eastAsia="Arial" w:hAnsi="Arial" w:cs="Arial"/>
          <w:b/>
          <w:sz w:val="22"/>
          <w:szCs w:val="22"/>
        </w:rPr>
      </w:pPr>
    </w:p>
    <w:p w:rsidR="009B4233" w:rsidRDefault="009B4233">
      <w:pPr>
        <w:spacing w:line="249" w:lineRule="auto"/>
        <w:ind w:left="-5"/>
        <w:rPr>
          <w:rFonts w:ascii="Arial" w:eastAsia="Arial" w:hAnsi="Arial" w:cs="Arial"/>
          <w:b/>
          <w:sz w:val="22"/>
          <w:szCs w:val="22"/>
        </w:rPr>
      </w:pPr>
    </w:p>
    <w:p w:rsidR="009B4233" w:rsidRDefault="006B08B9">
      <w:pPr>
        <w:spacing w:line="249" w:lineRule="auto"/>
        <w:ind w:left="-5"/>
      </w:pPr>
      <w:r>
        <w:rPr>
          <w:rFonts w:ascii="Arial" w:eastAsia="Arial" w:hAnsi="Arial" w:cs="Arial"/>
          <w:b/>
          <w:sz w:val="22"/>
          <w:szCs w:val="22"/>
        </w:rPr>
        <w:t>3.- Fundación Candesol:</w:t>
      </w:r>
    </w:p>
    <w:tbl>
      <w:tblPr>
        <w:tblW w:w="8654" w:type="dxa"/>
        <w:tblInd w:w="-102" w:type="dxa"/>
        <w:tblCellMar>
          <w:left w:w="10" w:type="dxa"/>
          <w:right w:w="10" w:type="dxa"/>
        </w:tblCellMar>
        <w:tblLook w:val="0000" w:firstRow="0" w:lastRow="0" w:firstColumn="0" w:lastColumn="0" w:noHBand="0" w:noVBand="0"/>
      </w:tblPr>
      <w:tblGrid>
        <w:gridCol w:w="2162"/>
        <w:gridCol w:w="720"/>
        <w:gridCol w:w="2880"/>
        <w:gridCol w:w="1319"/>
        <w:gridCol w:w="320"/>
        <w:gridCol w:w="1253"/>
      </w:tblGrid>
      <w:tr w:rsidR="009B4233">
        <w:tblPrEx>
          <w:tblCellMar>
            <w:top w:w="0" w:type="dxa"/>
            <w:bottom w:w="0" w:type="dxa"/>
          </w:tblCellMar>
        </w:tblPrEx>
        <w:trPr>
          <w:trHeight w:val="562"/>
        </w:trPr>
        <w:tc>
          <w:tcPr>
            <w:tcW w:w="2882" w:type="dxa"/>
            <w:gridSpan w:val="2"/>
            <w:tcBorders>
              <w:top w:val="single" w:sz="4" w:space="0" w:color="000000"/>
              <w:left w:val="single" w:sz="4" w:space="0" w:color="000000"/>
              <w:bottom w:val="single" w:sz="4" w:space="0" w:color="000000"/>
              <w:right w:val="single" w:sz="4" w:space="0" w:color="000000"/>
            </w:tcBorders>
            <w:shd w:val="clear" w:color="auto" w:fill="auto"/>
            <w:tcMar>
              <w:top w:w="14" w:type="dxa"/>
              <w:left w:w="0" w:type="dxa"/>
              <w:bottom w:w="0" w:type="dxa"/>
              <w:right w:w="38" w:type="dxa"/>
            </w:tcMar>
          </w:tcPr>
          <w:p w:rsidR="009B4233" w:rsidRDefault="006B08B9">
            <w:pPr>
              <w:spacing w:line="249" w:lineRule="auto"/>
            </w:pPr>
            <w:r>
              <w:rPr>
                <w:rFonts w:ascii="Arial" w:eastAsia="Arial" w:hAnsi="Arial" w:cs="Arial"/>
                <w:b/>
                <w:sz w:val="22"/>
                <w:szCs w:val="22"/>
              </w:rPr>
              <w:t>OBJETIVOS</w:t>
            </w:r>
          </w:p>
        </w:tc>
        <w:tc>
          <w:tcPr>
            <w:tcW w:w="2880" w:type="dxa"/>
            <w:tcBorders>
              <w:top w:val="single" w:sz="4" w:space="0" w:color="000000"/>
              <w:left w:val="single" w:sz="4" w:space="0" w:color="000000"/>
              <w:bottom w:val="single" w:sz="4" w:space="0" w:color="000000"/>
              <w:right w:val="single" w:sz="4" w:space="0" w:color="000000"/>
            </w:tcBorders>
            <w:shd w:val="clear" w:color="auto" w:fill="auto"/>
            <w:tcMar>
              <w:top w:w="14" w:type="dxa"/>
              <w:left w:w="0" w:type="dxa"/>
              <w:bottom w:w="0" w:type="dxa"/>
              <w:right w:w="38" w:type="dxa"/>
            </w:tcMar>
          </w:tcPr>
          <w:p w:rsidR="009B4233" w:rsidRDefault="006B08B9">
            <w:pPr>
              <w:spacing w:line="249" w:lineRule="auto"/>
            </w:pPr>
            <w:r>
              <w:rPr>
                <w:rFonts w:ascii="Arial" w:eastAsia="Arial" w:hAnsi="Arial" w:cs="Arial"/>
                <w:b/>
                <w:sz w:val="22"/>
                <w:szCs w:val="22"/>
              </w:rPr>
              <w:t>INDICADORES</w:t>
            </w:r>
          </w:p>
        </w:tc>
        <w:tc>
          <w:tcPr>
            <w:tcW w:w="2892" w:type="dxa"/>
            <w:gridSpan w:val="3"/>
            <w:tcBorders>
              <w:top w:val="single" w:sz="4" w:space="0" w:color="000000"/>
              <w:left w:val="single" w:sz="4" w:space="0" w:color="000000"/>
              <w:bottom w:val="single" w:sz="4" w:space="0" w:color="000000"/>
              <w:right w:val="single" w:sz="4" w:space="0" w:color="000000"/>
            </w:tcBorders>
            <w:shd w:val="clear" w:color="auto" w:fill="auto"/>
            <w:tcMar>
              <w:top w:w="14" w:type="dxa"/>
              <w:left w:w="0" w:type="dxa"/>
              <w:bottom w:w="0" w:type="dxa"/>
              <w:right w:w="38" w:type="dxa"/>
            </w:tcMar>
          </w:tcPr>
          <w:p w:rsidR="009B4233" w:rsidRDefault="006B08B9">
            <w:pPr>
              <w:spacing w:line="249" w:lineRule="auto"/>
            </w:pPr>
            <w:r>
              <w:rPr>
                <w:rFonts w:ascii="Arial" w:eastAsia="Arial" w:hAnsi="Arial" w:cs="Arial"/>
                <w:b/>
                <w:sz w:val="22"/>
                <w:szCs w:val="22"/>
              </w:rPr>
              <w:t xml:space="preserve">EFECTOS </w:t>
            </w:r>
          </w:p>
          <w:p w:rsidR="009B4233" w:rsidRDefault="006B08B9">
            <w:pPr>
              <w:spacing w:line="249" w:lineRule="auto"/>
            </w:pPr>
            <w:r>
              <w:rPr>
                <w:rFonts w:ascii="Arial" w:eastAsia="Arial" w:hAnsi="Arial" w:cs="Arial"/>
                <w:b/>
                <w:sz w:val="22"/>
                <w:szCs w:val="22"/>
              </w:rPr>
              <w:t>INCUMPLIMIENTOS</w:t>
            </w:r>
          </w:p>
        </w:tc>
      </w:tr>
      <w:tr w:rsidR="009B4233">
        <w:tblPrEx>
          <w:tblCellMar>
            <w:top w:w="0" w:type="dxa"/>
            <w:bottom w:w="0" w:type="dxa"/>
          </w:tblCellMar>
        </w:tblPrEx>
        <w:trPr>
          <w:trHeight w:val="562"/>
        </w:trPr>
        <w:tc>
          <w:tcPr>
            <w:tcW w:w="2882" w:type="dxa"/>
            <w:gridSpan w:val="2"/>
            <w:tcBorders>
              <w:top w:val="single" w:sz="4" w:space="0" w:color="000000"/>
              <w:left w:val="single" w:sz="4" w:space="0" w:color="000000"/>
              <w:bottom w:val="single" w:sz="4" w:space="0" w:color="000000"/>
              <w:right w:val="single" w:sz="4" w:space="0" w:color="000000"/>
            </w:tcBorders>
            <w:shd w:val="clear" w:color="auto" w:fill="auto"/>
            <w:tcMar>
              <w:top w:w="14" w:type="dxa"/>
              <w:left w:w="0" w:type="dxa"/>
              <w:bottom w:w="0" w:type="dxa"/>
              <w:right w:w="38" w:type="dxa"/>
            </w:tcMar>
          </w:tcPr>
          <w:p w:rsidR="009B4233" w:rsidRDefault="006B08B9">
            <w:pPr>
              <w:spacing w:line="249" w:lineRule="auto"/>
              <w:rPr>
                <w:rFonts w:ascii="Arial" w:hAnsi="Arial" w:cs="Arial"/>
                <w:sz w:val="22"/>
                <w:szCs w:val="22"/>
              </w:rPr>
            </w:pPr>
            <w:r>
              <w:rPr>
                <w:rFonts w:ascii="Arial" w:hAnsi="Arial" w:cs="Arial"/>
                <w:sz w:val="22"/>
                <w:szCs w:val="22"/>
              </w:rPr>
              <w:t>Pago a Proveedores en Plazo</w:t>
            </w:r>
          </w:p>
        </w:tc>
        <w:tc>
          <w:tcPr>
            <w:tcW w:w="2880" w:type="dxa"/>
            <w:tcBorders>
              <w:top w:val="single" w:sz="4" w:space="0" w:color="000000"/>
              <w:left w:val="single" w:sz="4" w:space="0" w:color="000000"/>
              <w:bottom w:val="single" w:sz="4" w:space="0" w:color="000000"/>
              <w:right w:val="single" w:sz="4" w:space="0" w:color="000000"/>
            </w:tcBorders>
            <w:shd w:val="clear" w:color="auto" w:fill="auto"/>
            <w:tcMar>
              <w:top w:w="14" w:type="dxa"/>
              <w:left w:w="0" w:type="dxa"/>
              <w:bottom w:w="0" w:type="dxa"/>
              <w:right w:w="38" w:type="dxa"/>
            </w:tcMar>
          </w:tcPr>
          <w:p w:rsidR="009B4233" w:rsidRDefault="006B08B9">
            <w:pPr>
              <w:spacing w:line="249" w:lineRule="auto"/>
              <w:rPr>
                <w:rFonts w:ascii="Arial" w:hAnsi="Arial" w:cs="Arial"/>
                <w:sz w:val="22"/>
                <w:szCs w:val="22"/>
              </w:rPr>
            </w:pPr>
            <w:r>
              <w:rPr>
                <w:rFonts w:ascii="Arial" w:hAnsi="Arial" w:cs="Arial"/>
                <w:sz w:val="22"/>
                <w:szCs w:val="22"/>
              </w:rPr>
              <w:t>Cumplimiento Periodo Medio de pago anual</w:t>
            </w:r>
          </w:p>
        </w:tc>
        <w:tc>
          <w:tcPr>
            <w:tcW w:w="2892" w:type="dxa"/>
            <w:gridSpan w:val="3"/>
            <w:tcBorders>
              <w:top w:val="single" w:sz="4" w:space="0" w:color="000000"/>
              <w:left w:val="single" w:sz="4" w:space="0" w:color="000000"/>
              <w:bottom w:val="single" w:sz="4" w:space="0" w:color="000000"/>
              <w:right w:val="single" w:sz="4" w:space="0" w:color="000000"/>
            </w:tcBorders>
            <w:shd w:val="clear" w:color="auto" w:fill="auto"/>
            <w:tcMar>
              <w:top w:w="14" w:type="dxa"/>
              <w:left w:w="0" w:type="dxa"/>
              <w:bottom w:w="0" w:type="dxa"/>
              <w:right w:w="38" w:type="dxa"/>
            </w:tcMar>
          </w:tcPr>
          <w:p w:rsidR="009B4233" w:rsidRDefault="006B08B9">
            <w:pPr>
              <w:tabs>
                <w:tab w:val="right" w:pos="2854"/>
              </w:tabs>
              <w:spacing w:line="249" w:lineRule="auto"/>
              <w:rPr>
                <w:rFonts w:ascii="Arial" w:hAnsi="Arial" w:cs="Arial"/>
                <w:sz w:val="22"/>
                <w:szCs w:val="22"/>
              </w:rPr>
            </w:pPr>
            <w:r>
              <w:rPr>
                <w:rFonts w:ascii="Arial" w:hAnsi="Arial" w:cs="Arial"/>
                <w:sz w:val="22"/>
                <w:szCs w:val="22"/>
              </w:rPr>
              <w:t xml:space="preserve"> </w:t>
            </w:r>
            <w:r>
              <w:rPr>
                <w:rFonts w:ascii="Arial" w:hAnsi="Arial" w:cs="Arial"/>
                <w:sz w:val="22"/>
                <w:szCs w:val="22"/>
              </w:rPr>
              <w:tab/>
              <w:t xml:space="preserve">1 % Aportación </w:t>
            </w:r>
          </w:p>
          <w:p w:rsidR="009B4233" w:rsidRDefault="006B08B9">
            <w:pPr>
              <w:spacing w:line="249" w:lineRule="auto"/>
              <w:rPr>
                <w:rFonts w:ascii="Arial" w:hAnsi="Arial" w:cs="Arial"/>
                <w:sz w:val="22"/>
                <w:szCs w:val="22"/>
              </w:rPr>
            </w:pPr>
            <w:r>
              <w:rPr>
                <w:rFonts w:ascii="Arial" w:hAnsi="Arial" w:cs="Arial"/>
                <w:sz w:val="22"/>
                <w:szCs w:val="22"/>
              </w:rPr>
              <w:t>Municipal</w:t>
            </w:r>
          </w:p>
        </w:tc>
      </w:tr>
      <w:tr w:rsidR="009B4233">
        <w:tblPrEx>
          <w:tblCellMar>
            <w:top w:w="0" w:type="dxa"/>
            <w:bottom w:w="0" w:type="dxa"/>
          </w:tblCellMar>
        </w:tblPrEx>
        <w:trPr>
          <w:trHeight w:val="1114"/>
        </w:trPr>
        <w:tc>
          <w:tcPr>
            <w:tcW w:w="2882" w:type="dxa"/>
            <w:gridSpan w:val="2"/>
            <w:tcBorders>
              <w:top w:val="single" w:sz="4" w:space="0" w:color="000000"/>
              <w:left w:val="single" w:sz="4" w:space="0" w:color="000000"/>
              <w:bottom w:val="single" w:sz="4" w:space="0" w:color="000000"/>
              <w:right w:val="single" w:sz="4" w:space="0" w:color="000000"/>
            </w:tcBorders>
            <w:shd w:val="clear" w:color="auto" w:fill="auto"/>
            <w:tcMar>
              <w:top w:w="14" w:type="dxa"/>
              <w:left w:w="0" w:type="dxa"/>
              <w:bottom w:w="0" w:type="dxa"/>
              <w:right w:w="38" w:type="dxa"/>
            </w:tcMar>
          </w:tcPr>
          <w:p w:rsidR="009B4233" w:rsidRDefault="006B08B9">
            <w:pPr>
              <w:spacing w:line="249" w:lineRule="auto"/>
              <w:rPr>
                <w:rFonts w:ascii="Arial" w:hAnsi="Arial" w:cs="Arial"/>
                <w:sz w:val="22"/>
                <w:szCs w:val="22"/>
              </w:rPr>
            </w:pPr>
            <w:r>
              <w:rPr>
                <w:rFonts w:ascii="Arial" w:hAnsi="Arial" w:cs="Arial"/>
                <w:sz w:val="22"/>
                <w:szCs w:val="22"/>
              </w:rPr>
              <w:t>Costes de Personal</w:t>
            </w:r>
          </w:p>
        </w:tc>
        <w:tc>
          <w:tcPr>
            <w:tcW w:w="2880" w:type="dxa"/>
            <w:tcBorders>
              <w:top w:val="single" w:sz="4" w:space="0" w:color="000000"/>
              <w:left w:val="single" w:sz="4" w:space="0" w:color="000000"/>
              <w:bottom w:val="single" w:sz="4" w:space="0" w:color="000000"/>
              <w:right w:val="single" w:sz="4" w:space="0" w:color="000000"/>
            </w:tcBorders>
            <w:shd w:val="clear" w:color="auto" w:fill="auto"/>
            <w:tcMar>
              <w:top w:w="14" w:type="dxa"/>
              <w:left w:w="0" w:type="dxa"/>
              <w:bottom w:w="0" w:type="dxa"/>
              <w:right w:w="38" w:type="dxa"/>
            </w:tcMar>
          </w:tcPr>
          <w:p w:rsidR="009B4233" w:rsidRDefault="006B08B9">
            <w:pPr>
              <w:tabs>
                <w:tab w:val="center" w:pos="692"/>
                <w:tab w:val="center" w:pos="1442"/>
                <w:tab w:val="center" w:pos="2124"/>
                <w:tab w:val="right" w:pos="2842"/>
              </w:tabs>
              <w:spacing w:line="249" w:lineRule="auto"/>
              <w:rPr>
                <w:rFonts w:ascii="Arial" w:hAnsi="Arial" w:cs="Arial"/>
                <w:sz w:val="22"/>
                <w:szCs w:val="22"/>
              </w:rPr>
            </w:pPr>
            <w:r>
              <w:rPr>
                <w:rFonts w:ascii="Arial" w:hAnsi="Arial" w:cs="Arial"/>
                <w:sz w:val="22"/>
                <w:szCs w:val="22"/>
              </w:rPr>
              <w:t>No</w:t>
            </w:r>
            <w:r>
              <w:rPr>
                <w:rFonts w:ascii="Arial" w:hAnsi="Arial" w:cs="Arial"/>
                <w:sz w:val="22"/>
                <w:szCs w:val="22"/>
              </w:rPr>
              <w:tab/>
              <w:t xml:space="preserve"> </w:t>
            </w:r>
            <w:r>
              <w:rPr>
                <w:rFonts w:ascii="Arial" w:hAnsi="Arial" w:cs="Arial"/>
                <w:sz w:val="22"/>
                <w:szCs w:val="22"/>
              </w:rPr>
              <w:tab/>
              <w:t>superar</w:t>
            </w:r>
            <w:r>
              <w:rPr>
                <w:rFonts w:ascii="Arial" w:hAnsi="Arial" w:cs="Arial"/>
                <w:sz w:val="22"/>
                <w:szCs w:val="22"/>
              </w:rPr>
              <w:tab/>
              <w:t xml:space="preserve"> </w:t>
            </w:r>
            <w:r>
              <w:rPr>
                <w:rFonts w:ascii="Arial" w:hAnsi="Arial" w:cs="Arial"/>
                <w:sz w:val="22"/>
                <w:szCs w:val="22"/>
              </w:rPr>
              <w:tab/>
              <w:t xml:space="preserve">las </w:t>
            </w:r>
          </w:p>
          <w:p w:rsidR="009B4233" w:rsidRDefault="006B08B9">
            <w:pPr>
              <w:spacing w:line="249" w:lineRule="auto"/>
              <w:rPr>
                <w:rFonts w:ascii="Arial" w:hAnsi="Arial" w:cs="Arial"/>
                <w:sz w:val="22"/>
                <w:szCs w:val="22"/>
              </w:rPr>
            </w:pPr>
            <w:r>
              <w:rPr>
                <w:rFonts w:ascii="Arial" w:hAnsi="Arial" w:cs="Arial"/>
                <w:sz w:val="22"/>
                <w:szCs w:val="22"/>
              </w:rPr>
              <w:t xml:space="preserve">Previsiones </w:t>
            </w:r>
          </w:p>
          <w:p w:rsidR="009B4233" w:rsidRDefault="006B08B9">
            <w:pPr>
              <w:tabs>
                <w:tab w:val="center" w:pos="2127"/>
                <w:tab w:val="right" w:pos="2842"/>
              </w:tabs>
              <w:spacing w:line="249" w:lineRule="auto"/>
              <w:rPr>
                <w:rFonts w:ascii="Arial" w:hAnsi="Arial" w:cs="Arial"/>
                <w:sz w:val="22"/>
                <w:szCs w:val="22"/>
              </w:rPr>
            </w:pPr>
            <w:r>
              <w:rPr>
                <w:rFonts w:ascii="Arial" w:hAnsi="Arial" w:cs="Arial"/>
                <w:sz w:val="22"/>
                <w:szCs w:val="22"/>
              </w:rPr>
              <w:t>presupuestadas</w:t>
            </w:r>
            <w:r>
              <w:rPr>
                <w:rFonts w:ascii="Arial" w:hAnsi="Arial" w:cs="Arial"/>
                <w:sz w:val="22"/>
                <w:szCs w:val="22"/>
              </w:rPr>
              <w:tab/>
              <w:t xml:space="preserve"> </w:t>
            </w:r>
            <w:r>
              <w:rPr>
                <w:rFonts w:ascii="Arial" w:hAnsi="Arial" w:cs="Arial"/>
                <w:sz w:val="22"/>
                <w:szCs w:val="22"/>
              </w:rPr>
              <w:tab/>
              <w:t xml:space="preserve">en </w:t>
            </w:r>
          </w:p>
          <w:p w:rsidR="009B4233" w:rsidRDefault="006B08B9">
            <w:pPr>
              <w:spacing w:line="249" w:lineRule="auto"/>
              <w:rPr>
                <w:rFonts w:ascii="Arial" w:hAnsi="Arial" w:cs="Arial"/>
                <w:sz w:val="22"/>
                <w:szCs w:val="22"/>
              </w:rPr>
            </w:pPr>
            <w:r>
              <w:rPr>
                <w:rFonts w:ascii="Arial" w:hAnsi="Arial" w:cs="Arial"/>
                <w:sz w:val="22"/>
                <w:szCs w:val="22"/>
              </w:rPr>
              <w:t>Personal</w:t>
            </w:r>
          </w:p>
        </w:tc>
        <w:tc>
          <w:tcPr>
            <w:tcW w:w="2892" w:type="dxa"/>
            <w:gridSpan w:val="3"/>
            <w:tcBorders>
              <w:top w:val="single" w:sz="4" w:space="0" w:color="000000"/>
              <w:left w:val="single" w:sz="4" w:space="0" w:color="000000"/>
              <w:bottom w:val="single" w:sz="4" w:space="0" w:color="000000"/>
              <w:right w:val="single" w:sz="4" w:space="0" w:color="000000"/>
            </w:tcBorders>
            <w:shd w:val="clear" w:color="auto" w:fill="auto"/>
            <w:tcMar>
              <w:top w:w="14" w:type="dxa"/>
              <w:left w:w="0" w:type="dxa"/>
              <w:bottom w:w="0" w:type="dxa"/>
              <w:right w:w="38" w:type="dxa"/>
            </w:tcMar>
          </w:tcPr>
          <w:p w:rsidR="009B4233" w:rsidRDefault="006B08B9">
            <w:pPr>
              <w:tabs>
                <w:tab w:val="right" w:pos="2854"/>
              </w:tabs>
              <w:spacing w:line="249" w:lineRule="auto"/>
              <w:rPr>
                <w:rFonts w:ascii="Arial" w:hAnsi="Arial" w:cs="Arial"/>
                <w:sz w:val="22"/>
                <w:szCs w:val="22"/>
              </w:rPr>
            </w:pPr>
            <w:r>
              <w:rPr>
                <w:rFonts w:ascii="Arial" w:hAnsi="Arial" w:cs="Arial"/>
                <w:sz w:val="22"/>
                <w:szCs w:val="22"/>
              </w:rPr>
              <w:t xml:space="preserve"> </w:t>
            </w:r>
            <w:r>
              <w:rPr>
                <w:rFonts w:ascii="Arial" w:hAnsi="Arial" w:cs="Arial"/>
                <w:sz w:val="22"/>
                <w:szCs w:val="22"/>
              </w:rPr>
              <w:tab/>
              <w:t xml:space="preserve">1 % Aportación </w:t>
            </w:r>
          </w:p>
          <w:p w:rsidR="009B4233" w:rsidRDefault="006B08B9">
            <w:pPr>
              <w:spacing w:line="249" w:lineRule="auto"/>
              <w:rPr>
                <w:rFonts w:ascii="Arial" w:hAnsi="Arial" w:cs="Arial"/>
                <w:sz w:val="22"/>
                <w:szCs w:val="22"/>
              </w:rPr>
            </w:pPr>
            <w:r>
              <w:rPr>
                <w:rFonts w:ascii="Arial" w:hAnsi="Arial" w:cs="Arial"/>
                <w:sz w:val="22"/>
                <w:szCs w:val="22"/>
              </w:rPr>
              <w:t>Municipal</w:t>
            </w:r>
          </w:p>
        </w:tc>
      </w:tr>
      <w:tr w:rsidR="009B4233">
        <w:tblPrEx>
          <w:tblCellMar>
            <w:top w:w="0" w:type="dxa"/>
            <w:bottom w:w="0" w:type="dxa"/>
          </w:tblCellMar>
        </w:tblPrEx>
        <w:trPr>
          <w:trHeight w:val="838"/>
        </w:trPr>
        <w:tc>
          <w:tcPr>
            <w:tcW w:w="2162" w:type="dxa"/>
            <w:tcBorders>
              <w:top w:val="single" w:sz="4" w:space="0" w:color="000000"/>
              <w:left w:val="single" w:sz="4" w:space="0" w:color="000000"/>
              <w:bottom w:val="single" w:sz="4" w:space="0" w:color="000000"/>
            </w:tcBorders>
            <w:shd w:val="clear" w:color="auto" w:fill="auto"/>
            <w:tcMar>
              <w:top w:w="14" w:type="dxa"/>
              <w:left w:w="0" w:type="dxa"/>
              <w:bottom w:w="0" w:type="dxa"/>
              <w:right w:w="38" w:type="dxa"/>
            </w:tcMar>
          </w:tcPr>
          <w:p w:rsidR="009B4233" w:rsidRDefault="006B08B9">
            <w:pPr>
              <w:spacing w:after="7"/>
              <w:ind w:left="110"/>
              <w:rPr>
                <w:rFonts w:ascii="Arial" w:hAnsi="Arial" w:cs="Arial"/>
                <w:sz w:val="22"/>
                <w:szCs w:val="22"/>
              </w:rPr>
            </w:pPr>
            <w:r>
              <w:rPr>
                <w:rFonts w:ascii="Arial" w:hAnsi="Arial" w:cs="Arial"/>
                <w:sz w:val="22"/>
                <w:szCs w:val="22"/>
              </w:rPr>
              <w:t>Cumplimiento Legislación</w:t>
            </w:r>
            <w:r>
              <w:rPr>
                <w:rFonts w:ascii="Arial" w:hAnsi="Arial" w:cs="Arial"/>
                <w:sz w:val="22"/>
                <w:szCs w:val="22"/>
              </w:rPr>
              <w:tab/>
              <w:t xml:space="preserve"> </w:t>
            </w:r>
          </w:p>
          <w:p w:rsidR="009B4233" w:rsidRDefault="006B08B9">
            <w:pPr>
              <w:spacing w:line="249" w:lineRule="auto"/>
              <w:ind w:left="110"/>
              <w:rPr>
                <w:rFonts w:ascii="Arial" w:hAnsi="Arial" w:cs="Arial"/>
                <w:sz w:val="22"/>
                <w:szCs w:val="22"/>
              </w:rPr>
            </w:pPr>
            <w:r>
              <w:rPr>
                <w:rFonts w:ascii="Arial" w:hAnsi="Arial" w:cs="Arial"/>
                <w:sz w:val="22"/>
                <w:szCs w:val="22"/>
              </w:rPr>
              <w:t>laboral</w:t>
            </w:r>
          </w:p>
        </w:tc>
        <w:tc>
          <w:tcPr>
            <w:tcW w:w="720" w:type="dxa"/>
            <w:tcBorders>
              <w:top w:val="single" w:sz="4" w:space="0" w:color="000000"/>
              <w:bottom w:val="single" w:sz="4" w:space="0" w:color="000000"/>
              <w:right w:val="single" w:sz="4" w:space="0" w:color="000000"/>
            </w:tcBorders>
            <w:shd w:val="clear" w:color="auto" w:fill="auto"/>
            <w:tcMar>
              <w:top w:w="14" w:type="dxa"/>
              <w:left w:w="0" w:type="dxa"/>
              <w:bottom w:w="0" w:type="dxa"/>
              <w:right w:w="38" w:type="dxa"/>
            </w:tcMar>
            <w:vAlign w:val="center"/>
          </w:tcPr>
          <w:p w:rsidR="009B4233" w:rsidRDefault="006B08B9">
            <w:pPr>
              <w:spacing w:line="249" w:lineRule="auto"/>
              <w:rPr>
                <w:rFonts w:ascii="Arial" w:hAnsi="Arial" w:cs="Arial"/>
                <w:sz w:val="22"/>
                <w:szCs w:val="22"/>
              </w:rPr>
            </w:pPr>
            <w:r>
              <w:rPr>
                <w:rFonts w:ascii="Arial" w:hAnsi="Arial" w:cs="Arial"/>
                <w:sz w:val="22"/>
                <w:szCs w:val="22"/>
              </w:rPr>
              <w:t xml:space="preserve">fiscal, </w:t>
            </w:r>
          </w:p>
        </w:tc>
        <w:tc>
          <w:tcPr>
            <w:tcW w:w="2880" w:type="dxa"/>
            <w:tcBorders>
              <w:top w:val="single" w:sz="4" w:space="0" w:color="000000"/>
              <w:left w:val="single" w:sz="4" w:space="0" w:color="000000"/>
              <w:bottom w:val="single" w:sz="4" w:space="0" w:color="000000"/>
              <w:right w:val="single" w:sz="4" w:space="0" w:color="000000"/>
            </w:tcBorders>
            <w:shd w:val="clear" w:color="auto" w:fill="auto"/>
            <w:tcMar>
              <w:top w:w="14" w:type="dxa"/>
              <w:left w:w="0" w:type="dxa"/>
              <w:bottom w:w="0" w:type="dxa"/>
              <w:right w:w="38" w:type="dxa"/>
            </w:tcMar>
          </w:tcPr>
          <w:p w:rsidR="009B4233" w:rsidRDefault="006B08B9">
            <w:pPr>
              <w:ind w:left="110"/>
              <w:rPr>
                <w:rFonts w:ascii="Arial" w:hAnsi="Arial" w:cs="Arial"/>
                <w:sz w:val="22"/>
                <w:szCs w:val="22"/>
              </w:rPr>
            </w:pPr>
            <w:r>
              <w:rPr>
                <w:rFonts w:ascii="Arial" w:hAnsi="Arial" w:cs="Arial"/>
                <w:sz w:val="22"/>
                <w:szCs w:val="22"/>
              </w:rPr>
              <w:t xml:space="preserve">Presentación en plazo de Modelos de ámbito </w:t>
            </w:r>
          </w:p>
          <w:p w:rsidR="009B4233" w:rsidRDefault="006B08B9">
            <w:pPr>
              <w:spacing w:line="249" w:lineRule="auto"/>
              <w:ind w:left="110"/>
              <w:rPr>
                <w:rFonts w:ascii="Arial" w:hAnsi="Arial" w:cs="Arial"/>
                <w:sz w:val="22"/>
                <w:szCs w:val="22"/>
              </w:rPr>
            </w:pPr>
            <w:r>
              <w:rPr>
                <w:rFonts w:ascii="Arial" w:hAnsi="Arial" w:cs="Arial"/>
                <w:sz w:val="22"/>
                <w:szCs w:val="22"/>
              </w:rPr>
              <w:t>fiscal y Laboral</w:t>
            </w:r>
          </w:p>
        </w:tc>
        <w:tc>
          <w:tcPr>
            <w:tcW w:w="1319" w:type="dxa"/>
            <w:tcBorders>
              <w:top w:val="single" w:sz="4" w:space="0" w:color="000000"/>
              <w:left w:val="single" w:sz="4" w:space="0" w:color="000000"/>
              <w:bottom w:val="single" w:sz="4" w:space="0" w:color="000000"/>
            </w:tcBorders>
            <w:shd w:val="clear" w:color="auto" w:fill="auto"/>
            <w:tcMar>
              <w:top w:w="14" w:type="dxa"/>
              <w:left w:w="0" w:type="dxa"/>
              <w:bottom w:w="0" w:type="dxa"/>
              <w:right w:w="38" w:type="dxa"/>
            </w:tcMar>
          </w:tcPr>
          <w:p w:rsidR="009B4233" w:rsidRDefault="006B08B9">
            <w:pPr>
              <w:tabs>
                <w:tab w:val="center" w:pos="510"/>
                <w:tab w:val="center" w:pos="948"/>
              </w:tabs>
              <w:spacing w:line="249" w:lineRule="auto"/>
              <w:rPr>
                <w:rFonts w:ascii="Arial" w:hAnsi="Arial" w:cs="Arial"/>
                <w:sz w:val="22"/>
                <w:szCs w:val="22"/>
              </w:rPr>
            </w:pPr>
            <w:r>
              <w:rPr>
                <w:rFonts w:ascii="Arial" w:hAnsi="Arial" w:cs="Arial"/>
                <w:sz w:val="22"/>
                <w:szCs w:val="22"/>
              </w:rPr>
              <w:t>1</w:t>
            </w:r>
            <w:r>
              <w:rPr>
                <w:rFonts w:ascii="Arial" w:hAnsi="Arial" w:cs="Arial"/>
                <w:sz w:val="22"/>
                <w:szCs w:val="22"/>
              </w:rPr>
              <w:tab/>
              <w:t xml:space="preserve"> </w:t>
            </w:r>
            <w:r>
              <w:rPr>
                <w:rFonts w:ascii="Arial" w:hAnsi="Arial" w:cs="Arial"/>
                <w:sz w:val="22"/>
                <w:szCs w:val="22"/>
              </w:rPr>
              <w:tab/>
              <w:t>%</w:t>
            </w:r>
          </w:p>
          <w:p w:rsidR="009B4233" w:rsidRDefault="006B08B9">
            <w:pPr>
              <w:spacing w:line="249" w:lineRule="auto"/>
              <w:ind w:left="110"/>
              <w:rPr>
                <w:rFonts w:ascii="Arial" w:hAnsi="Arial" w:cs="Arial"/>
                <w:sz w:val="22"/>
                <w:szCs w:val="22"/>
              </w:rPr>
            </w:pPr>
            <w:r>
              <w:rPr>
                <w:rFonts w:ascii="Arial" w:hAnsi="Arial" w:cs="Arial"/>
                <w:sz w:val="22"/>
                <w:szCs w:val="22"/>
              </w:rPr>
              <w:t>Municipal</w:t>
            </w:r>
          </w:p>
        </w:tc>
        <w:tc>
          <w:tcPr>
            <w:tcW w:w="320" w:type="dxa"/>
            <w:tcBorders>
              <w:top w:val="single" w:sz="4" w:space="0" w:color="000000"/>
              <w:bottom w:val="single" w:sz="4" w:space="0" w:color="000000"/>
            </w:tcBorders>
            <w:shd w:val="clear" w:color="auto" w:fill="auto"/>
            <w:tcMar>
              <w:top w:w="14" w:type="dxa"/>
              <w:left w:w="0" w:type="dxa"/>
              <w:bottom w:w="0" w:type="dxa"/>
              <w:right w:w="38" w:type="dxa"/>
            </w:tcMar>
          </w:tcPr>
          <w:p w:rsidR="009B4233" w:rsidRDefault="006B08B9">
            <w:pPr>
              <w:spacing w:line="249" w:lineRule="auto"/>
              <w:rPr>
                <w:rFonts w:ascii="Arial" w:hAnsi="Arial" w:cs="Arial"/>
                <w:sz w:val="22"/>
                <w:szCs w:val="22"/>
              </w:rPr>
            </w:pPr>
            <w:r>
              <w:rPr>
                <w:rFonts w:ascii="Arial" w:hAnsi="Arial" w:cs="Arial"/>
                <w:sz w:val="22"/>
                <w:szCs w:val="22"/>
              </w:rPr>
              <w:t xml:space="preserve"> </w:t>
            </w:r>
          </w:p>
        </w:tc>
        <w:tc>
          <w:tcPr>
            <w:tcW w:w="1253" w:type="dxa"/>
            <w:tcBorders>
              <w:top w:val="single" w:sz="4" w:space="0" w:color="000000"/>
              <w:bottom w:val="single" w:sz="4" w:space="0" w:color="000000"/>
              <w:right w:val="single" w:sz="4" w:space="0" w:color="000000"/>
            </w:tcBorders>
            <w:shd w:val="clear" w:color="auto" w:fill="auto"/>
            <w:tcMar>
              <w:top w:w="14" w:type="dxa"/>
              <w:left w:w="0" w:type="dxa"/>
              <w:bottom w:w="0" w:type="dxa"/>
              <w:right w:w="38" w:type="dxa"/>
            </w:tcMar>
          </w:tcPr>
          <w:p w:rsidR="009B4233" w:rsidRDefault="006B08B9">
            <w:pPr>
              <w:spacing w:line="249" w:lineRule="auto"/>
              <w:rPr>
                <w:rFonts w:ascii="Arial" w:hAnsi="Arial" w:cs="Arial"/>
                <w:sz w:val="22"/>
                <w:szCs w:val="22"/>
              </w:rPr>
            </w:pPr>
            <w:r>
              <w:rPr>
                <w:rFonts w:ascii="Arial" w:hAnsi="Arial" w:cs="Arial"/>
                <w:sz w:val="22"/>
                <w:szCs w:val="22"/>
              </w:rPr>
              <w:t xml:space="preserve">Aportación </w:t>
            </w:r>
          </w:p>
        </w:tc>
      </w:tr>
    </w:tbl>
    <w:p w:rsidR="009B4233" w:rsidRDefault="009B4233">
      <w:pPr>
        <w:spacing w:after="13"/>
        <w:ind w:left="9" w:right="8"/>
        <w:jc w:val="both"/>
        <w:rPr>
          <w:rFonts w:ascii="Arial" w:eastAsia="Arial" w:hAnsi="Arial" w:cs="Arial"/>
          <w:b/>
          <w:sz w:val="22"/>
          <w:szCs w:val="22"/>
        </w:rPr>
      </w:pPr>
    </w:p>
    <w:p w:rsidR="009B4233" w:rsidRDefault="006B08B9">
      <w:pPr>
        <w:spacing w:after="13"/>
        <w:ind w:left="9" w:right="8"/>
        <w:jc w:val="both"/>
      </w:pPr>
      <w:r>
        <w:rPr>
          <w:rFonts w:ascii="Arial" w:eastAsia="Arial" w:hAnsi="Arial" w:cs="Arial"/>
          <w:b/>
          <w:sz w:val="22"/>
          <w:szCs w:val="22"/>
        </w:rPr>
        <w:t>X.-</w:t>
      </w:r>
      <w:r>
        <w:rPr>
          <w:rFonts w:ascii="Arial" w:hAnsi="Arial" w:cs="Arial"/>
          <w:sz w:val="22"/>
          <w:szCs w:val="22"/>
        </w:rPr>
        <w:t xml:space="preserve"> Las aportaciones a las entidades incluidas en el Contrato-Programa, que han sido reflejadas en el Presupuesto </w:t>
      </w:r>
      <w:r>
        <w:rPr>
          <w:rFonts w:ascii="Arial" w:hAnsi="Arial" w:cs="Arial"/>
          <w:sz w:val="22"/>
          <w:szCs w:val="22"/>
        </w:rPr>
        <w:t>General del ejercicio 2025, se distribuye a lo siguientes servicios que se detallan a continuación, una vez aprobado y publicado el documento presupuestario para cada ejercicio:</w:t>
      </w:r>
    </w:p>
    <w:p w:rsidR="009B4233" w:rsidRDefault="009B4233">
      <w:pPr>
        <w:spacing w:after="13"/>
        <w:ind w:left="9" w:right="8"/>
        <w:jc w:val="both"/>
        <w:rPr>
          <w:rFonts w:ascii="Arial" w:hAnsi="Arial" w:cs="Arial"/>
          <w:sz w:val="22"/>
          <w:szCs w:val="22"/>
        </w:rPr>
      </w:pPr>
    </w:p>
    <w:tbl>
      <w:tblPr>
        <w:tblW w:w="8500" w:type="dxa"/>
        <w:tblInd w:w="636" w:type="dxa"/>
        <w:tblCellMar>
          <w:left w:w="10" w:type="dxa"/>
          <w:right w:w="10" w:type="dxa"/>
        </w:tblCellMar>
        <w:tblLook w:val="0000" w:firstRow="0" w:lastRow="0" w:firstColumn="0" w:lastColumn="0" w:noHBand="0" w:noVBand="0"/>
      </w:tblPr>
      <w:tblGrid>
        <w:gridCol w:w="6028"/>
        <w:gridCol w:w="2472"/>
      </w:tblGrid>
      <w:tr w:rsidR="009B4233">
        <w:tblPrEx>
          <w:tblCellMar>
            <w:top w:w="0" w:type="dxa"/>
            <w:bottom w:w="0" w:type="dxa"/>
          </w:tblCellMar>
        </w:tblPrEx>
        <w:trPr>
          <w:trHeight w:val="1120"/>
        </w:trPr>
        <w:tc>
          <w:tcPr>
            <w:tcW w:w="6028" w:type="dxa"/>
            <w:tcBorders>
              <w:top w:val="double" w:sz="12" w:space="0" w:color="C0C0C0"/>
              <w:left w:val="double" w:sz="12" w:space="0" w:color="C0C0C0"/>
              <w:bottom w:val="double" w:sz="12" w:space="0" w:color="C0C0C0"/>
              <w:right w:val="double" w:sz="12" w:space="0" w:color="C0C0C0"/>
            </w:tcBorders>
            <w:shd w:val="clear" w:color="auto" w:fill="993366"/>
            <w:tcMar>
              <w:top w:w="0" w:type="dxa"/>
              <w:left w:w="76" w:type="dxa"/>
              <w:bottom w:w="0" w:type="dxa"/>
              <w:right w:w="115" w:type="dxa"/>
            </w:tcMar>
            <w:vAlign w:val="center"/>
          </w:tcPr>
          <w:p w:rsidR="009B4233" w:rsidRDefault="006B08B9">
            <w:pPr>
              <w:spacing w:line="249" w:lineRule="auto"/>
              <w:ind w:left="36"/>
              <w:jc w:val="center"/>
            </w:pPr>
            <w:r>
              <w:rPr>
                <w:rFonts w:ascii="Arial" w:eastAsia="Calibri" w:hAnsi="Arial" w:cs="Arial"/>
                <w:b/>
                <w:color w:val="E6E6E6"/>
                <w:sz w:val="22"/>
                <w:szCs w:val="22"/>
              </w:rPr>
              <w:t>SERVICIOS ENCOMENDADOS</w:t>
            </w:r>
          </w:p>
        </w:tc>
        <w:tc>
          <w:tcPr>
            <w:tcW w:w="2472" w:type="dxa"/>
            <w:tcBorders>
              <w:top w:val="double" w:sz="12" w:space="0" w:color="C0C0C0"/>
              <w:left w:val="double" w:sz="12" w:space="0" w:color="C0C0C0"/>
              <w:bottom w:val="double" w:sz="12" w:space="0" w:color="C0C0C0"/>
              <w:right w:val="double" w:sz="12" w:space="0" w:color="C0C0C0"/>
            </w:tcBorders>
            <w:shd w:val="clear" w:color="auto" w:fill="993366"/>
            <w:tcMar>
              <w:top w:w="0" w:type="dxa"/>
              <w:left w:w="76" w:type="dxa"/>
              <w:bottom w:w="0" w:type="dxa"/>
              <w:right w:w="115" w:type="dxa"/>
            </w:tcMar>
            <w:vAlign w:val="center"/>
          </w:tcPr>
          <w:p w:rsidR="009B4233" w:rsidRDefault="006B08B9">
            <w:pPr>
              <w:spacing w:line="249" w:lineRule="auto"/>
              <w:ind w:left="43"/>
              <w:jc w:val="center"/>
            </w:pPr>
            <w:r>
              <w:rPr>
                <w:rFonts w:ascii="Arial" w:eastAsia="Calibri" w:hAnsi="Arial" w:cs="Arial"/>
                <w:b/>
                <w:color w:val="E6E6E6"/>
                <w:sz w:val="22"/>
                <w:szCs w:val="22"/>
              </w:rPr>
              <w:t xml:space="preserve">APORTACIÓN </w:t>
            </w:r>
          </w:p>
          <w:p w:rsidR="009B4233" w:rsidRDefault="006B08B9">
            <w:pPr>
              <w:spacing w:line="249" w:lineRule="auto"/>
              <w:ind w:left="44"/>
              <w:jc w:val="center"/>
            </w:pPr>
            <w:r>
              <w:rPr>
                <w:rFonts w:ascii="Arial" w:eastAsia="Calibri" w:hAnsi="Arial" w:cs="Arial"/>
                <w:b/>
                <w:color w:val="E6E6E6"/>
                <w:sz w:val="22"/>
                <w:szCs w:val="22"/>
              </w:rPr>
              <w:t xml:space="preserve">ESTIMADA POR </w:t>
            </w:r>
          </w:p>
          <w:p w:rsidR="009B4233" w:rsidRDefault="006B08B9">
            <w:pPr>
              <w:spacing w:line="249" w:lineRule="auto"/>
              <w:ind w:left="41"/>
              <w:jc w:val="center"/>
            </w:pPr>
            <w:r>
              <w:rPr>
                <w:rFonts w:ascii="Arial" w:eastAsia="Calibri" w:hAnsi="Arial" w:cs="Arial"/>
                <w:b/>
                <w:color w:val="E6E6E6"/>
                <w:sz w:val="22"/>
                <w:szCs w:val="22"/>
              </w:rPr>
              <w:t>SERVICIO 2025</w:t>
            </w:r>
          </w:p>
        </w:tc>
      </w:tr>
      <w:tr w:rsidR="009B4233">
        <w:tblPrEx>
          <w:tblCellMar>
            <w:top w:w="0" w:type="dxa"/>
            <w:bottom w:w="0" w:type="dxa"/>
          </w:tblCellMar>
        </w:tblPrEx>
        <w:trPr>
          <w:trHeight w:val="661"/>
        </w:trPr>
        <w:tc>
          <w:tcPr>
            <w:tcW w:w="6028" w:type="dxa"/>
            <w:tcBorders>
              <w:top w:val="double" w:sz="12" w:space="0" w:color="C0C0C0"/>
              <w:left w:val="double" w:sz="12" w:space="0" w:color="C0C0C0"/>
              <w:bottom w:val="double" w:sz="12" w:space="0" w:color="C0C0C0"/>
              <w:right w:val="double" w:sz="12" w:space="0" w:color="C0C0C0"/>
            </w:tcBorders>
            <w:shd w:val="clear" w:color="auto" w:fill="auto"/>
            <w:tcMar>
              <w:top w:w="0" w:type="dxa"/>
              <w:left w:w="76" w:type="dxa"/>
              <w:bottom w:w="0" w:type="dxa"/>
              <w:right w:w="115" w:type="dxa"/>
            </w:tcMar>
            <w:vAlign w:val="center"/>
          </w:tcPr>
          <w:p w:rsidR="009B4233" w:rsidRDefault="006B08B9">
            <w:pPr>
              <w:spacing w:line="249" w:lineRule="auto"/>
            </w:pPr>
            <w:r>
              <w:rPr>
                <w:rFonts w:ascii="Arial" w:eastAsia="Calibri" w:hAnsi="Arial" w:cs="Arial"/>
                <w:sz w:val="22"/>
                <w:szCs w:val="22"/>
              </w:rPr>
              <w:t>SAD</w:t>
            </w:r>
          </w:p>
        </w:tc>
        <w:tc>
          <w:tcPr>
            <w:tcW w:w="2472" w:type="dxa"/>
            <w:tcBorders>
              <w:top w:val="double" w:sz="12" w:space="0" w:color="C0C0C0"/>
              <w:left w:val="double" w:sz="12" w:space="0" w:color="C0C0C0"/>
              <w:bottom w:val="double" w:sz="12" w:space="0" w:color="C0C0C0"/>
              <w:right w:val="double" w:sz="12" w:space="0" w:color="C0C0C0"/>
            </w:tcBorders>
            <w:shd w:val="clear" w:color="auto" w:fill="auto"/>
            <w:tcMar>
              <w:top w:w="0" w:type="dxa"/>
              <w:left w:w="76" w:type="dxa"/>
              <w:bottom w:w="0" w:type="dxa"/>
              <w:right w:w="115" w:type="dxa"/>
            </w:tcMar>
            <w:vAlign w:val="center"/>
          </w:tcPr>
          <w:p w:rsidR="009B4233" w:rsidRDefault="006B08B9">
            <w:pPr>
              <w:spacing w:line="249" w:lineRule="auto"/>
              <w:ind w:left="41"/>
              <w:jc w:val="center"/>
            </w:pPr>
            <w:r>
              <w:rPr>
                <w:rFonts w:ascii="Arial" w:eastAsia="Calibri" w:hAnsi="Arial" w:cs="Arial"/>
                <w:sz w:val="22"/>
                <w:szCs w:val="22"/>
              </w:rPr>
              <w:t>488.531,49 €</w:t>
            </w:r>
          </w:p>
        </w:tc>
      </w:tr>
      <w:tr w:rsidR="009B4233">
        <w:tblPrEx>
          <w:tblCellMar>
            <w:top w:w="0" w:type="dxa"/>
            <w:bottom w:w="0" w:type="dxa"/>
          </w:tblCellMar>
        </w:tblPrEx>
        <w:trPr>
          <w:trHeight w:val="660"/>
        </w:trPr>
        <w:tc>
          <w:tcPr>
            <w:tcW w:w="6028" w:type="dxa"/>
            <w:tcBorders>
              <w:top w:val="double" w:sz="12" w:space="0" w:color="C0C0C0"/>
              <w:left w:val="double" w:sz="12" w:space="0" w:color="C0C0C0"/>
              <w:bottom w:val="double" w:sz="12" w:space="0" w:color="C0C0C0"/>
              <w:right w:val="double" w:sz="12" w:space="0" w:color="C0C0C0"/>
            </w:tcBorders>
            <w:shd w:val="clear" w:color="auto" w:fill="auto"/>
            <w:tcMar>
              <w:top w:w="0" w:type="dxa"/>
              <w:left w:w="76" w:type="dxa"/>
              <w:bottom w:w="0" w:type="dxa"/>
              <w:right w:w="115" w:type="dxa"/>
            </w:tcMar>
            <w:vAlign w:val="center"/>
          </w:tcPr>
          <w:p w:rsidR="009B4233" w:rsidRDefault="006B08B9">
            <w:pPr>
              <w:spacing w:line="249" w:lineRule="auto"/>
            </w:pPr>
            <w:r>
              <w:rPr>
                <w:rFonts w:ascii="Arial" w:eastAsia="Calibri" w:hAnsi="Arial" w:cs="Arial"/>
                <w:sz w:val="22"/>
                <w:szCs w:val="22"/>
              </w:rPr>
              <w:t>LIMPIEZA  Y CONSERJERÍA</w:t>
            </w:r>
          </w:p>
        </w:tc>
        <w:tc>
          <w:tcPr>
            <w:tcW w:w="2472" w:type="dxa"/>
            <w:tcBorders>
              <w:top w:val="double" w:sz="12" w:space="0" w:color="C0C0C0"/>
              <w:left w:val="double" w:sz="12" w:space="0" w:color="C0C0C0"/>
              <w:bottom w:val="double" w:sz="12" w:space="0" w:color="C0C0C0"/>
              <w:right w:val="double" w:sz="12" w:space="0" w:color="C0C0C0"/>
            </w:tcBorders>
            <w:shd w:val="clear" w:color="auto" w:fill="auto"/>
            <w:tcMar>
              <w:top w:w="0" w:type="dxa"/>
              <w:left w:w="76" w:type="dxa"/>
              <w:bottom w:w="0" w:type="dxa"/>
              <w:right w:w="115" w:type="dxa"/>
            </w:tcMar>
            <w:vAlign w:val="center"/>
          </w:tcPr>
          <w:p w:rsidR="009B4233" w:rsidRDefault="006B08B9">
            <w:pPr>
              <w:spacing w:line="249" w:lineRule="auto"/>
              <w:ind w:left="41"/>
              <w:jc w:val="center"/>
            </w:pPr>
            <w:r>
              <w:rPr>
                <w:rFonts w:ascii="Arial" w:eastAsia="Calibri" w:hAnsi="Arial" w:cs="Arial"/>
                <w:sz w:val="22"/>
                <w:szCs w:val="22"/>
              </w:rPr>
              <w:t>662.045,98 €</w:t>
            </w:r>
          </w:p>
        </w:tc>
      </w:tr>
      <w:tr w:rsidR="009B4233">
        <w:tblPrEx>
          <w:tblCellMar>
            <w:top w:w="0" w:type="dxa"/>
            <w:bottom w:w="0" w:type="dxa"/>
          </w:tblCellMar>
        </w:tblPrEx>
        <w:trPr>
          <w:trHeight w:val="658"/>
        </w:trPr>
        <w:tc>
          <w:tcPr>
            <w:tcW w:w="6028" w:type="dxa"/>
            <w:tcBorders>
              <w:top w:val="double" w:sz="12" w:space="0" w:color="C0C0C0"/>
              <w:left w:val="double" w:sz="12" w:space="0" w:color="C0C0C0"/>
              <w:bottom w:val="double" w:sz="12" w:space="0" w:color="C0C0C0"/>
              <w:right w:val="double" w:sz="12" w:space="0" w:color="C0C0C0"/>
            </w:tcBorders>
            <w:shd w:val="clear" w:color="auto" w:fill="auto"/>
            <w:tcMar>
              <w:top w:w="0" w:type="dxa"/>
              <w:left w:w="76" w:type="dxa"/>
              <w:bottom w:w="0" w:type="dxa"/>
              <w:right w:w="115" w:type="dxa"/>
            </w:tcMar>
            <w:vAlign w:val="center"/>
          </w:tcPr>
          <w:p w:rsidR="009B4233" w:rsidRDefault="006B08B9">
            <w:pPr>
              <w:spacing w:line="249" w:lineRule="auto"/>
            </w:pPr>
            <w:r>
              <w:rPr>
                <w:rFonts w:ascii="Arial" w:eastAsia="Calibri" w:hAnsi="Arial" w:cs="Arial"/>
                <w:sz w:val="22"/>
                <w:szCs w:val="22"/>
              </w:rPr>
              <w:t>CENTRO ALFARERO</w:t>
            </w:r>
          </w:p>
        </w:tc>
        <w:tc>
          <w:tcPr>
            <w:tcW w:w="2472" w:type="dxa"/>
            <w:tcBorders>
              <w:top w:val="double" w:sz="12" w:space="0" w:color="C0C0C0"/>
              <w:left w:val="double" w:sz="12" w:space="0" w:color="C0C0C0"/>
              <w:bottom w:val="double" w:sz="12" w:space="0" w:color="C0C0C0"/>
              <w:right w:val="double" w:sz="12" w:space="0" w:color="C0C0C0"/>
            </w:tcBorders>
            <w:shd w:val="clear" w:color="auto" w:fill="auto"/>
            <w:tcMar>
              <w:top w:w="0" w:type="dxa"/>
              <w:left w:w="76" w:type="dxa"/>
              <w:bottom w:w="0" w:type="dxa"/>
              <w:right w:w="115" w:type="dxa"/>
            </w:tcMar>
            <w:vAlign w:val="center"/>
          </w:tcPr>
          <w:p w:rsidR="009B4233" w:rsidRDefault="006B08B9">
            <w:pPr>
              <w:spacing w:line="249" w:lineRule="auto"/>
              <w:ind w:left="43"/>
              <w:jc w:val="center"/>
            </w:pPr>
            <w:r>
              <w:rPr>
                <w:rFonts w:ascii="Arial" w:eastAsia="Calibri" w:hAnsi="Arial" w:cs="Arial"/>
                <w:sz w:val="22"/>
                <w:szCs w:val="22"/>
              </w:rPr>
              <w:t>31.460,00 €</w:t>
            </w:r>
          </w:p>
        </w:tc>
      </w:tr>
      <w:tr w:rsidR="009B4233">
        <w:tblPrEx>
          <w:tblCellMar>
            <w:top w:w="0" w:type="dxa"/>
            <w:bottom w:w="0" w:type="dxa"/>
          </w:tblCellMar>
        </w:tblPrEx>
        <w:trPr>
          <w:trHeight w:val="660"/>
        </w:trPr>
        <w:tc>
          <w:tcPr>
            <w:tcW w:w="6028" w:type="dxa"/>
            <w:tcBorders>
              <w:top w:val="double" w:sz="12" w:space="0" w:color="C0C0C0"/>
              <w:left w:val="double" w:sz="12" w:space="0" w:color="C0C0C0"/>
              <w:bottom w:val="double" w:sz="12" w:space="0" w:color="C0C0C0"/>
              <w:right w:val="double" w:sz="12" w:space="0" w:color="C0C0C0"/>
            </w:tcBorders>
            <w:shd w:val="clear" w:color="auto" w:fill="auto"/>
            <w:tcMar>
              <w:top w:w="0" w:type="dxa"/>
              <w:left w:w="76" w:type="dxa"/>
              <w:bottom w:w="0" w:type="dxa"/>
              <w:right w:w="115" w:type="dxa"/>
            </w:tcMar>
            <w:vAlign w:val="center"/>
          </w:tcPr>
          <w:p w:rsidR="009B4233" w:rsidRDefault="006B08B9">
            <w:pPr>
              <w:spacing w:line="249" w:lineRule="auto"/>
            </w:pPr>
            <w:r>
              <w:rPr>
                <w:rFonts w:ascii="Arial" w:eastAsia="Calibri" w:hAnsi="Arial" w:cs="Arial"/>
                <w:sz w:val="22"/>
                <w:szCs w:val="22"/>
              </w:rPr>
              <w:t>RADIO MUNICIPAL</w:t>
            </w:r>
          </w:p>
        </w:tc>
        <w:tc>
          <w:tcPr>
            <w:tcW w:w="2472" w:type="dxa"/>
            <w:tcBorders>
              <w:top w:val="double" w:sz="12" w:space="0" w:color="C0C0C0"/>
              <w:left w:val="double" w:sz="12" w:space="0" w:color="C0C0C0"/>
              <w:bottom w:val="double" w:sz="12" w:space="0" w:color="C0C0C0"/>
              <w:right w:val="double" w:sz="12" w:space="0" w:color="C0C0C0"/>
            </w:tcBorders>
            <w:shd w:val="clear" w:color="auto" w:fill="auto"/>
            <w:tcMar>
              <w:top w:w="0" w:type="dxa"/>
              <w:left w:w="76" w:type="dxa"/>
              <w:bottom w:w="0" w:type="dxa"/>
              <w:right w:w="115" w:type="dxa"/>
            </w:tcMar>
            <w:vAlign w:val="center"/>
          </w:tcPr>
          <w:p w:rsidR="009B4233" w:rsidRDefault="006B08B9">
            <w:pPr>
              <w:spacing w:line="249" w:lineRule="auto"/>
              <w:ind w:left="41"/>
              <w:jc w:val="center"/>
            </w:pPr>
            <w:r>
              <w:rPr>
                <w:rFonts w:ascii="Arial" w:eastAsia="Calibri" w:hAnsi="Arial" w:cs="Arial"/>
                <w:sz w:val="22"/>
                <w:szCs w:val="22"/>
              </w:rPr>
              <w:t>140.928,67 €</w:t>
            </w:r>
          </w:p>
        </w:tc>
      </w:tr>
      <w:tr w:rsidR="009B4233">
        <w:tblPrEx>
          <w:tblCellMar>
            <w:top w:w="0" w:type="dxa"/>
            <w:bottom w:w="0" w:type="dxa"/>
          </w:tblCellMar>
        </w:tblPrEx>
        <w:trPr>
          <w:trHeight w:val="658"/>
        </w:trPr>
        <w:tc>
          <w:tcPr>
            <w:tcW w:w="6028" w:type="dxa"/>
            <w:tcBorders>
              <w:top w:val="double" w:sz="12" w:space="0" w:color="C0C0C0"/>
              <w:left w:val="double" w:sz="12" w:space="0" w:color="C0C0C0"/>
              <w:bottom w:val="double" w:sz="12" w:space="0" w:color="C0C0C0"/>
              <w:right w:val="double" w:sz="12" w:space="0" w:color="C0C0C0"/>
            </w:tcBorders>
            <w:shd w:val="clear" w:color="auto" w:fill="auto"/>
            <w:tcMar>
              <w:top w:w="0" w:type="dxa"/>
              <w:left w:w="76" w:type="dxa"/>
              <w:bottom w:w="0" w:type="dxa"/>
              <w:right w:w="115" w:type="dxa"/>
            </w:tcMar>
            <w:vAlign w:val="center"/>
          </w:tcPr>
          <w:p w:rsidR="009B4233" w:rsidRDefault="006B08B9">
            <w:pPr>
              <w:spacing w:line="249" w:lineRule="auto"/>
            </w:pPr>
            <w:r>
              <w:rPr>
                <w:rFonts w:ascii="Arial" w:eastAsia="Calibri" w:hAnsi="Arial" w:cs="Arial"/>
                <w:sz w:val="22"/>
                <w:szCs w:val="22"/>
              </w:rPr>
              <w:t>GESTIÓN ESCUELAS DEPORTIVAS</w:t>
            </w:r>
          </w:p>
        </w:tc>
        <w:tc>
          <w:tcPr>
            <w:tcW w:w="2472" w:type="dxa"/>
            <w:tcBorders>
              <w:top w:val="double" w:sz="12" w:space="0" w:color="C0C0C0"/>
              <w:left w:val="double" w:sz="12" w:space="0" w:color="C0C0C0"/>
              <w:bottom w:val="double" w:sz="12" w:space="0" w:color="C0C0C0"/>
              <w:right w:val="double" w:sz="12" w:space="0" w:color="C0C0C0"/>
            </w:tcBorders>
            <w:shd w:val="clear" w:color="auto" w:fill="auto"/>
            <w:tcMar>
              <w:top w:w="0" w:type="dxa"/>
              <w:left w:w="76" w:type="dxa"/>
              <w:bottom w:w="0" w:type="dxa"/>
              <w:right w:w="115" w:type="dxa"/>
            </w:tcMar>
            <w:vAlign w:val="center"/>
          </w:tcPr>
          <w:p w:rsidR="009B4233" w:rsidRDefault="006B08B9">
            <w:pPr>
              <w:spacing w:line="249" w:lineRule="auto"/>
              <w:ind w:left="43"/>
              <w:jc w:val="center"/>
            </w:pPr>
            <w:r>
              <w:rPr>
                <w:rFonts w:ascii="Arial" w:eastAsia="Calibri" w:hAnsi="Arial" w:cs="Arial"/>
                <w:sz w:val="22"/>
                <w:szCs w:val="22"/>
              </w:rPr>
              <w:t>35.408,20 €</w:t>
            </w:r>
          </w:p>
        </w:tc>
      </w:tr>
      <w:tr w:rsidR="009B4233">
        <w:tblPrEx>
          <w:tblCellMar>
            <w:top w:w="0" w:type="dxa"/>
            <w:bottom w:w="0" w:type="dxa"/>
          </w:tblCellMar>
        </w:tblPrEx>
        <w:trPr>
          <w:trHeight w:val="660"/>
        </w:trPr>
        <w:tc>
          <w:tcPr>
            <w:tcW w:w="6028" w:type="dxa"/>
            <w:tcBorders>
              <w:top w:val="double" w:sz="12" w:space="0" w:color="C0C0C0"/>
              <w:left w:val="double" w:sz="12" w:space="0" w:color="C0C0C0"/>
              <w:bottom w:val="double" w:sz="12" w:space="0" w:color="C0C0C0"/>
              <w:right w:val="double" w:sz="12" w:space="0" w:color="C0C0C0"/>
            </w:tcBorders>
            <w:shd w:val="clear" w:color="auto" w:fill="auto"/>
            <w:tcMar>
              <w:top w:w="0" w:type="dxa"/>
              <w:left w:w="76" w:type="dxa"/>
              <w:bottom w:w="0" w:type="dxa"/>
              <w:right w:w="115" w:type="dxa"/>
            </w:tcMar>
            <w:vAlign w:val="center"/>
          </w:tcPr>
          <w:p w:rsidR="009B4233" w:rsidRDefault="006B08B9">
            <w:pPr>
              <w:spacing w:line="249" w:lineRule="auto"/>
            </w:pPr>
            <w:r>
              <w:rPr>
                <w:rFonts w:ascii="Arial" w:eastAsia="Calibri" w:hAnsi="Arial" w:cs="Arial"/>
                <w:sz w:val="22"/>
                <w:szCs w:val="22"/>
              </w:rPr>
              <w:t>ESCUELA INFANTIL</w:t>
            </w:r>
          </w:p>
        </w:tc>
        <w:tc>
          <w:tcPr>
            <w:tcW w:w="2472" w:type="dxa"/>
            <w:tcBorders>
              <w:top w:val="double" w:sz="12" w:space="0" w:color="C0C0C0"/>
              <w:left w:val="double" w:sz="12" w:space="0" w:color="C0C0C0"/>
              <w:bottom w:val="double" w:sz="12" w:space="0" w:color="C0C0C0"/>
              <w:right w:val="double" w:sz="12" w:space="0" w:color="C0C0C0"/>
            </w:tcBorders>
            <w:shd w:val="clear" w:color="auto" w:fill="auto"/>
            <w:tcMar>
              <w:top w:w="0" w:type="dxa"/>
              <w:left w:w="76" w:type="dxa"/>
              <w:bottom w:w="0" w:type="dxa"/>
              <w:right w:w="115" w:type="dxa"/>
            </w:tcMar>
            <w:vAlign w:val="center"/>
          </w:tcPr>
          <w:p w:rsidR="009B4233" w:rsidRDefault="006B08B9">
            <w:pPr>
              <w:spacing w:line="249" w:lineRule="auto"/>
              <w:ind w:left="43"/>
              <w:jc w:val="center"/>
            </w:pPr>
            <w:r>
              <w:rPr>
                <w:rFonts w:ascii="Arial" w:eastAsia="Calibri" w:hAnsi="Arial" w:cs="Arial"/>
                <w:sz w:val="22"/>
                <w:szCs w:val="22"/>
              </w:rPr>
              <w:t>95.618,50 €</w:t>
            </w:r>
          </w:p>
        </w:tc>
      </w:tr>
      <w:tr w:rsidR="009B4233">
        <w:tblPrEx>
          <w:tblCellMar>
            <w:top w:w="0" w:type="dxa"/>
            <w:bottom w:w="0" w:type="dxa"/>
          </w:tblCellMar>
        </w:tblPrEx>
        <w:trPr>
          <w:trHeight w:val="656"/>
        </w:trPr>
        <w:tc>
          <w:tcPr>
            <w:tcW w:w="6028" w:type="dxa"/>
            <w:tcBorders>
              <w:top w:val="double" w:sz="12" w:space="0" w:color="C0C0C0"/>
              <w:left w:val="double" w:sz="12" w:space="0" w:color="C0C0C0"/>
              <w:bottom w:val="double" w:sz="12" w:space="0" w:color="C0C0C0"/>
              <w:right w:val="double" w:sz="12" w:space="0" w:color="C0C0C0"/>
            </w:tcBorders>
            <w:shd w:val="clear" w:color="auto" w:fill="auto"/>
            <w:tcMar>
              <w:top w:w="0" w:type="dxa"/>
              <w:left w:w="76" w:type="dxa"/>
              <w:bottom w:w="0" w:type="dxa"/>
              <w:right w:w="115" w:type="dxa"/>
            </w:tcMar>
            <w:vAlign w:val="center"/>
          </w:tcPr>
          <w:p w:rsidR="009B4233" w:rsidRDefault="006B08B9">
            <w:pPr>
              <w:spacing w:line="249" w:lineRule="auto"/>
            </w:pPr>
            <w:r>
              <w:rPr>
                <w:rFonts w:ascii="Arial" w:eastAsia="Calibri" w:hAnsi="Arial" w:cs="Arial"/>
                <w:sz w:val="22"/>
                <w:szCs w:val="22"/>
              </w:rPr>
              <w:t>PLAN DE ACCIÓN</w:t>
            </w:r>
          </w:p>
        </w:tc>
        <w:tc>
          <w:tcPr>
            <w:tcW w:w="2472" w:type="dxa"/>
            <w:tcBorders>
              <w:top w:val="double" w:sz="12" w:space="0" w:color="C0C0C0"/>
              <w:left w:val="double" w:sz="12" w:space="0" w:color="C0C0C0"/>
              <w:bottom w:val="double" w:sz="12" w:space="0" w:color="C0C0C0"/>
              <w:right w:val="double" w:sz="12" w:space="0" w:color="C0C0C0"/>
            </w:tcBorders>
            <w:shd w:val="clear" w:color="auto" w:fill="auto"/>
            <w:tcMar>
              <w:top w:w="0" w:type="dxa"/>
              <w:left w:w="76" w:type="dxa"/>
              <w:bottom w:w="0" w:type="dxa"/>
              <w:right w:w="115" w:type="dxa"/>
            </w:tcMar>
            <w:vAlign w:val="center"/>
          </w:tcPr>
          <w:p w:rsidR="009B4233" w:rsidRDefault="006B08B9">
            <w:pPr>
              <w:spacing w:line="249" w:lineRule="auto"/>
              <w:ind w:left="41"/>
              <w:jc w:val="center"/>
            </w:pPr>
            <w:r>
              <w:rPr>
                <w:rFonts w:ascii="Arial" w:eastAsia="Calibri" w:hAnsi="Arial" w:cs="Arial"/>
                <w:sz w:val="22"/>
                <w:szCs w:val="22"/>
              </w:rPr>
              <w:t>143.750,00 €</w:t>
            </w:r>
          </w:p>
        </w:tc>
      </w:tr>
      <w:tr w:rsidR="009B4233">
        <w:tblPrEx>
          <w:tblCellMar>
            <w:top w:w="0" w:type="dxa"/>
            <w:bottom w:w="0" w:type="dxa"/>
          </w:tblCellMar>
        </w:tblPrEx>
        <w:trPr>
          <w:trHeight w:val="662"/>
        </w:trPr>
        <w:tc>
          <w:tcPr>
            <w:tcW w:w="6028" w:type="dxa"/>
            <w:tcBorders>
              <w:top w:val="double" w:sz="12" w:space="0" w:color="C0C0C0"/>
              <w:left w:val="double" w:sz="12" w:space="0" w:color="C0C0C0"/>
              <w:bottom w:val="double" w:sz="12" w:space="0" w:color="C0C0C0"/>
              <w:right w:val="double" w:sz="12" w:space="0" w:color="C0C0C0"/>
            </w:tcBorders>
            <w:shd w:val="clear" w:color="auto" w:fill="993366"/>
            <w:tcMar>
              <w:top w:w="0" w:type="dxa"/>
              <w:left w:w="76" w:type="dxa"/>
              <w:bottom w:w="0" w:type="dxa"/>
              <w:right w:w="115" w:type="dxa"/>
            </w:tcMar>
            <w:vAlign w:val="center"/>
          </w:tcPr>
          <w:p w:rsidR="009B4233" w:rsidRDefault="006B08B9">
            <w:pPr>
              <w:spacing w:line="249" w:lineRule="auto"/>
              <w:ind w:left="39"/>
              <w:jc w:val="center"/>
            </w:pPr>
            <w:r>
              <w:rPr>
                <w:rFonts w:ascii="Arial" w:eastAsia="Calibri" w:hAnsi="Arial" w:cs="Arial"/>
                <w:b/>
                <w:color w:val="E6E6E6"/>
                <w:sz w:val="22"/>
                <w:szCs w:val="22"/>
              </w:rPr>
              <w:t>TOTAL</w:t>
            </w:r>
          </w:p>
        </w:tc>
        <w:tc>
          <w:tcPr>
            <w:tcW w:w="2472" w:type="dxa"/>
            <w:tcBorders>
              <w:top w:val="double" w:sz="12" w:space="0" w:color="C0C0C0"/>
              <w:left w:val="double" w:sz="12" w:space="0" w:color="C0C0C0"/>
              <w:bottom w:val="double" w:sz="12" w:space="0" w:color="C0C0C0"/>
              <w:right w:val="double" w:sz="12" w:space="0" w:color="C0C0C0"/>
            </w:tcBorders>
            <w:shd w:val="clear" w:color="auto" w:fill="993366"/>
            <w:tcMar>
              <w:top w:w="0" w:type="dxa"/>
              <w:left w:w="76" w:type="dxa"/>
              <w:bottom w:w="0" w:type="dxa"/>
              <w:right w:w="115" w:type="dxa"/>
            </w:tcMar>
            <w:vAlign w:val="center"/>
          </w:tcPr>
          <w:p w:rsidR="009B4233" w:rsidRDefault="006B08B9">
            <w:pPr>
              <w:spacing w:line="249" w:lineRule="auto"/>
              <w:ind w:left="42"/>
              <w:jc w:val="center"/>
            </w:pPr>
            <w:r>
              <w:rPr>
                <w:rFonts w:ascii="Arial" w:eastAsia="Calibri" w:hAnsi="Arial" w:cs="Arial"/>
                <w:b/>
                <w:color w:val="FFFFFF"/>
                <w:sz w:val="22"/>
                <w:szCs w:val="22"/>
              </w:rPr>
              <w:t>1.597.742,84 €</w:t>
            </w:r>
          </w:p>
        </w:tc>
      </w:tr>
    </w:tbl>
    <w:p w:rsidR="009B4233" w:rsidRDefault="009B4233">
      <w:pPr>
        <w:spacing w:after="3" w:line="249" w:lineRule="auto"/>
        <w:ind w:left="9"/>
        <w:rPr>
          <w:rFonts w:ascii="Arial" w:hAnsi="Arial" w:cs="Arial"/>
          <w:sz w:val="22"/>
          <w:szCs w:val="22"/>
        </w:rPr>
      </w:pPr>
    </w:p>
    <w:p w:rsidR="009B4233" w:rsidRDefault="009B4233">
      <w:pPr>
        <w:spacing w:after="3" w:line="249" w:lineRule="auto"/>
        <w:ind w:left="9"/>
        <w:rPr>
          <w:rFonts w:ascii="Arial" w:hAnsi="Arial" w:cs="Arial"/>
          <w:sz w:val="22"/>
          <w:szCs w:val="22"/>
        </w:rPr>
      </w:pPr>
    </w:p>
    <w:p w:rsidR="009B4233" w:rsidRDefault="009B4233">
      <w:pPr>
        <w:spacing w:after="3" w:line="249" w:lineRule="auto"/>
        <w:ind w:left="9"/>
        <w:rPr>
          <w:rFonts w:ascii="Arial" w:hAnsi="Arial" w:cs="Arial"/>
          <w:sz w:val="22"/>
          <w:szCs w:val="22"/>
        </w:rPr>
      </w:pPr>
    </w:p>
    <w:p w:rsidR="009B4233" w:rsidRDefault="009B4233">
      <w:pPr>
        <w:spacing w:after="3" w:line="249" w:lineRule="auto"/>
        <w:ind w:left="9"/>
        <w:rPr>
          <w:rFonts w:ascii="Arial" w:hAnsi="Arial" w:cs="Arial"/>
          <w:sz w:val="22"/>
          <w:szCs w:val="22"/>
        </w:rPr>
      </w:pPr>
    </w:p>
    <w:p w:rsidR="009B4233" w:rsidRDefault="006B08B9">
      <w:pPr>
        <w:spacing w:after="3" w:line="249" w:lineRule="auto"/>
        <w:ind w:left="9"/>
        <w:rPr>
          <w:rFonts w:ascii="Arial" w:hAnsi="Arial" w:cs="Arial"/>
          <w:sz w:val="22"/>
          <w:szCs w:val="22"/>
        </w:rPr>
      </w:pPr>
      <w:r>
        <w:rPr>
          <w:rFonts w:ascii="Arial" w:hAnsi="Arial" w:cs="Arial"/>
          <w:sz w:val="22"/>
          <w:szCs w:val="22"/>
        </w:rPr>
        <w:t>Y por entidades:</w:t>
      </w:r>
    </w:p>
    <w:tbl>
      <w:tblPr>
        <w:tblW w:w="8500" w:type="dxa"/>
        <w:tblInd w:w="636" w:type="dxa"/>
        <w:tblCellMar>
          <w:left w:w="10" w:type="dxa"/>
          <w:right w:w="10" w:type="dxa"/>
        </w:tblCellMar>
        <w:tblLook w:val="0000" w:firstRow="0" w:lastRow="0" w:firstColumn="0" w:lastColumn="0" w:noHBand="0" w:noVBand="0"/>
      </w:tblPr>
      <w:tblGrid>
        <w:gridCol w:w="6028"/>
        <w:gridCol w:w="2472"/>
      </w:tblGrid>
      <w:tr w:rsidR="009B4233">
        <w:tblPrEx>
          <w:tblCellMar>
            <w:top w:w="0" w:type="dxa"/>
            <w:bottom w:w="0" w:type="dxa"/>
          </w:tblCellMar>
        </w:tblPrEx>
        <w:trPr>
          <w:trHeight w:val="1118"/>
        </w:trPr>
        <w:tc>
          <w:tcPr>
            <w:tcW w:w="6028" w:type="dxa"/>
            <w:tcBorders>
              <w:top w:val="double" w:sz="12" w:space="0" w:color="C0C0C0"/>
              <w:left w:val="double" w:sz="12" w:space="0" w:color="C0C0C0"/>
              <w:bottom w:val="double" w:sz="12" w:space="0" w:color="C0C0C0"/>
              <w:right w:val="double" w:sz="12" w:space="0" w:color="C0C0C0"/>
            </w:tcBorders>
            <w:shd w:val="clear" w:color="auto" w:fill="993366"/>
            <w:tcMar>
              <w:top w:w="0" w:type="dxa"/>
              <w:left w:w="76" w:type="dxa"/>
              <w:bottom w:w="0" w:type="dxa"/>
              <w:right w:w="115" w:type="dxa"/>
            </w:tcMar>
            <w:vAlign w:val="center"/>
          </w:tcPr>
          <w:p w:rsidR="009B4233" w:rsidRDefault="006B08B9">
            <w:pPr>
              <w:spacing w:line="249" w:lineRule="auto"/>
              <w:ind w:left="36"/>
              <w:jc w:val="center"/>
            </w:pPr>
            <w:r>
              <w:rPr>
                <w:rFonts w:ascii="Arial" w:eastAsia="Calibri" w:hAnsi="Arial" w:cs="Arial"/>
                <w:b/>
                <w:color w:val="E6E6E6"/>
                <w:sz w:val="22"/>
                <w:szCs w:val="22"/>
              </w:rPr>
              <w:t>ENTIDADES DEPENDIENTES</w:t>
            </w:r>
          </w:p>
        </w:tc>
        <w:tc>
          <w:tcPr>
            <w:tcW w:w="2472" w:type="dxa"/>
            <w:tcBorders>
              <w:top w:val="double" w:sz="12" w:space="0" w:color="C0C0C0"/>
              <w:left w:val="double" w:sz="12" w:space="0" w:color="C0C0C0"/>
              <w:bottom w:val="double" w:sz="12" w:space="0" w:color="C0C0C0"/>
              <w:right w:val="double" w:sz="12" w:space="0" w:color="C0C0C0"/>
            </w:tcBorders>
            <w:shd w:val="clear" w:color="auto" w:fill="993366"/>
            <w:tcMar>
              <w:top w:w="0" w:type="dxa"/>
              <w:left w:w="76" w:type="dxa"/>
              <w:bottom w:w="0" w:type="dxa"/>
              <w:right w:w="115" w:type="dxa"/>
            </w:tcMar>
            <w:vAlign w:val="center"/>
          </w:tcPr>
          <w:p w:rsidR="009B4233" w:rsidRDefault="006B08B9">
            <w:pPr>
              <w:spacing w:line="249" w:lineRule="auto"/>
              <w:ind w:left="43"/>
              <w:jc w:val="center"/>
            </w:pPr>
            <w:r>
              <w:rPr>
                <w:rFonts w:ascii="Arial" w:eastAsia="Calibri" w:hAnsi="Arial" w:cs="Arial"/>
                <w:b/>
                <w:color w:val="E6E6E6"/>
                <w:sz w:val="22"/>
                <w:szCs w:val="22"/>
              </w:rPr>
              <w:t xml:space="preserve">APORTACIÓN </w:t>
            </w:r>
          </w:p>
          <w:p w:rsidR="009B4233" w:rsidRDefault="006B08B9">
            <w:pPr>
              <w:spacing w:line="249" w:lineRule="auto"/>
              <w:ind w:left="44"/>
              <w:jc w:val="center"/>
            </w:pPr>
            <w:r>
              <w:rPr>
                <w:rFonts w:ascii="Arial" w:eastAsia="Calibri" w:hAnsi="Arial" w:cs="Arial"/>
                <w:b/>
                <w:color w:val="E6E6E6"/>
                <w:sz w:val="22"/>
                <w:szCs w:val="22"/>
              </w:rPr>
              <w:t xml:space="preserve">ESTIMADA POR </w:t>
            </w:r>
          </w:p>
          <w:p w:rsidR="009B4233" w:rsidRDefault="006B08B9">
            <w:pPr>
              <w:spacing w:line="249" w:lineRule="auto"/>
              <w:ind w:left="41"/>
              <w:jc w:val="center"/>
            </w:pPr>
            <w:r>
              <w:rPr>
                <w:rFonts w:ascii="Arial" w:eastAsia="Calibri" w:hAnsi="Arial" w:cs="Arial"/>
                <w:b/>
                <w:color w:val="E6E6E6"/>
                <w:sz w:val="22"/>
                <w:szCs w:val="22"/>
              </w:rPr>
              <w:t>SERVICIO 2025</w:t>
            </w:r>
          </w:p>
        </w:tc>
      </w:tr>
      <w:tr w:rsidR="009B4233">
        <w:tblPrEx>
          <w:tblCellMar>
            <w:top w:w="0" w:type="dxa"/>
            <w:bottom w:w="0" w:type="dxa"/>
          </w:tblCellMar>
        </w:tblPrEx>
        <w:trPr>
          <w:trHeight w:val="1261"/>
        </w:trPr>
        <w:tc>
          <w:tcPr>
            <w:tcW w:w="6028" w:type="dxa"/>
            <w:tcBorders>
              <w:top w:val="double" w:sz="12" w:space="0" w:color="C0C0C0"/>
              <w:left w:val="double" w:sz="12" w:space="0" w:color="C0C0C0"/>
              <w:bottom w:val="double" w:sz="12" w:space="0" w:color="C0C0C0"/>
              <w:right w:val="double" w:sz="12" w:space="0" w:color="C0C0C0"/>
            </w:tcBorders>
            <w:shd w:val="clear" w:color="auto" w:fill="auto"/>
            <w:tcMar>
              <w:top w:w="0" w:type="dxa"/>
              <w:left w:w="76" w:type="dxa"/>
              <w:bottom w:w="0" w:type="dxa"/>
              <w:right w:w="115" w:type="dxa"/>
            </w:tcMar>
            <w:vAlign w:val="center"/>
          </w:tcPr>
          <w:p w:rsidR="009B4233" w:rsidRDefault="006B08B9">
            <w:pPr>
              <w:spacing w:line="249" w:lineRule="auto"/>
              <w:rPr>
                <w:rFonts w:ascii="Arial" w:hAnsi="Arial" w:cs="Arial"/>
                <w:sz w:val="22"/>
                <w:szCs w:val="22"/>
              </w:rPr>
            </w:pPr>
            <w:r>
              <w:rPr>
                <w:rFonts w:ascii="Arial" w:hAnsi="Arial" w:cs="Arial"/>
                <w:sz w:val="22"/>
                <w:szCs w:val="22"/>
              </w:rPr>
              <w:t>Entidad Pública Empresarial de Gestión de Empresas y Servicios Públicos del Ayuntamiento de Candelaria (Epelcan)</w:t>
            </w:r>
          </w:p>
        </w:tc>
        <w:tc>
          <w:tcPr>
            <w:tcW w:w="2472" w:type="dxa"/>
            <w:tcBorders>
              <w:top w:val="double" w:sz="12" w:space="0" w:color="C0C0C0"/>
              <w:left w:val="double" w:sz="12" w:space="0" w:color="C0C0C0"/>
              <w:bottom w:val="double" w:sz="12" w:space="0" w:color="C0C0C0"/>
              <w:right w:val="double" w:sz="12" w:space="0" w:color="C0C0C0"/>
            </w:tcBorders>
            <w:shd w:val="clear" w:color="auto" w:fill="auto"/>
            <w:tcMar>
              <w:top w:w="0" w:type="dxa"/>
              <w:left w:w="76" w:type="dxa"/>
              <w:bottom w:w="0" w:type="dxa"/>
              <w:right w:w="115" w:type="dxa"/>
            </w:tcMar>
          </w:tcPr>
          <w:p w:rsidR="009B4233" w:rsidRDefault="006B08B9">
            <w:pPr>
              <w:spacing w:line="249" w:lineRule="auto"/>
              <w:ind w:left="42"/>
              <w:jc w:val="center"/>
              <w:rPr>
                <w:rFonts w:ascii="Arial" w:hAnsi="Arial" w:cs="Arial"/>
                <w:sz w:val="22"/>
                <w:szCs w:val="22"/>
              </w:rPr>
            </w:pPr>
            <w:r>
              <w:rPr>
                <w:rFonts w:ascii="Arial" w:hAnsi="Arial" w:cs="Arial"/>
                <w:sz w:val="22"/>
                <w:szCs w:val="22"/>
              </w:rPr>
              <w:t>678.593,67 €</w:t>
            </w:r>
          </w:p>
        </w:tc>
      </w:tr>
      <w:tr w:rsidR="009B4233">
        <w:tblPrEx>
          <w:tblCellMar>
            <w:top w:w="0" w:type="dxa"/>
            <w:bottom w:w="0" w:type="dxa"/>
          </w:tblCellMar>
        </w:tblPrEx>
        <w:trPr>
          <w:trHeight w:val="708"/>
        </w:trPr>
        <w:tc>
          <w:tcPr>
            <w:tcW w:w="6028" w:type="dxa"/>
            <w:tcBorders>
              <w:top w:val="double" w:sz="12" w:space="0" w:color="C0C0C0"/>
              <w:left w:val="double" w:sz="12" w:space="0" w:color="C0C0C0"/>
              <w:bottom w:val="double" w:sz="12" w:space="0" w:color="C0C0C0"/>
              <w:right w:val="double" w:sz="12" w:space="0" w:color="C0C0C0"/>
            </w:tcBorders>
            <w:shd w:val="clear" w:color="auto" w:fill="auto"/>
            <w:tcMar>
              <w:top w:w="0" w:type="dxa"/>
              <w:left w:w="76" w:type="dxa"/>
              <w:bottom w:w="0" w:type="dxa"/>
              <w:right w:w="115" w:type="dxa"/>
            </w:tcMar>
            <w:vAlign w:val="center"/>
          </w:tcPr>
          <w:p w:rsidR="009B4233" w:rsidRDefault="006B08B9">
            <w:pPr>
              <w:spacing w:line="249" w:lineRule="auto"/>
              <w:rPr>
                <w:rFonts w:ascii="Arial" w:hAnsi="Arial" w:cs="Arial"/>
                <w:sz w:val="22"/>
                <w:szCs w:val="22"/>
              </w:rPr>
            </w:pPr>
            <w:r>
              <w:rPr>
                <w:rFonts w:ascii="Arial" w:hAnsi="Arial" w:cs="Arial"/>
                <w:sz w:val="22"/>
                <w:szCs w:val="22"/>
              </w:rPr>
              <w:t xml:space="preserve">Sociedad Municipal de Viviendas y Servicios </w:t>
            </w:r>
          </w:p>
        </w:tc>
        <w:tc>
          <w:tcPr>
            <w:tcW w:w="2472" w:type="dxa"/>
            <w:tcBorders>
              <w:top w:val="double" w:sz="12" w:space="0" w:color="C0C0C0"/>
              <w:left w:val="double" w:sz="12" w:space="0" w:color="C0C0C0"/>
              <w:bottom w:val="double" w:sz="12" w:space="0" w:color="C0C0C0"/>
              <w:right w:val="double" w:sz="12" w:space="0" w:color="C0C0C0"/>
            </w:tcBorders>
            <w:shd w:val="clear" w:color="auto" w:fill="auto"/>
            <w:tcMar>
              <w:top w:w="0" w:type="dxa"/>
              <w:left w:w="76" w:type="dxa"/>
              <w:bottom w:w="0" w:type="dxa"/>
              <w:right w:w="115" w:type="dxa"/>
            </w:tcMar>
            <w:vAlign w:val="center"/>
          </w:tcPr>
          <w:p w:rsidR="009B4233" w:rsidRDefault="006B08B9">
            <w:pPr>
              <w:spacing w:line="249" w:lineRule="auto"/>
              <w:ind w:left="42"/>
              <w:jc w:val="center"/>
              <w:rPr>
                <w:rFonts w:ascii="Arial" w:hAnsi="Arial" w:cs="Arial"/>
                <w:sz w:val="22"/>
                <w:szCs w:val="22"/>
              </w:rPr>
            </w:pPr>
            <w:r>
              <w:rPr>
                <w:rFonts w:ascii="Arial" w:hAnsi="Arial" w:cs="Arial"/>
                <w:sz w:val="22"/>
                <w:szCs w:val="22"/>
              </w:rPr>
              <w:t>775.399,17 €</w:t>
            </w:r>
          </w:p>
        </w:tc>
      </w:tr>
      <w:tr w:rsidR="009B4233">
        <w:tblPrEx>
          <w:tblCellMar>
            <w:top w:w="0" w:type="dxa"/>
            <w:bottom w:w="0" w:type="dxa"/>
          </w:tblCellMar>
        </w:tblPrEx>
        <w:trPr>
          <w:trHeight w:val="706"/>
        </w:trPr>
        <w:tc>
          <w:tcPr>
            <w:tcW w:w="6028" w:type="dxa"/>
            <w:tcBorders>
              <w:top w:val="double" w:sz="12" w:space="0" w:color="C0C0C0"/>
              <w:left w:val="double" w:sz="12" w:space="0" w:color="C0C0C0"/>
              <w:bottom w:val="double" w:sz="12" w:space="0" w:color="C0C0C0"/>
              <w:right w:val="double" w:sz="12" w:space="0" w:color="C0C0C0"/>
            </w:tcBorders>
            <w:shd w:val="clear" w:color="auto" w:fill="auto"/>
            <w:tcMar>
              <w:top w:w="0" w:type="dxa"/>
              <w:left w:w="76" w:type="dxa"/>
              <w:bottom w:w="0" w:type="dxa"/>
              <w:right w:w="115" w:type="dxa"/>
            </w:tcMar>
            <w:vAlign w:val="center"/>
          </w:tcPr>
          <w:p w:rsidR="009B4233" w:rsidRDefault="006B08B9">
            <w:pPr>
              <w:spacing w:line="249" w:lineRule="auto"/>
              <w:rPr>
                <w:rFonts w:ascii="Arial" w:hAnsi="Arial" w:cs="Arial"/>
                <w:sz w:val="22"/>
                <w:szCs w:val="22"/>
              </w:rPr>
            </w:pPr>
            <w:r>
              <w:rPr>
                <w:rFonts w:ascii="Arial" w:hAnsi="Arial" w:cs="Arial"/>
                <w:sz w:val="22"/>
                <w:szCs w:val="22"/>
              </w:rPr>
              <w:t>Municipales de Candelaria S.L.U.</w:t>
            </w:r>
          </w:p>
        </w:tc>
        <w:tc>
          <w:tcPr>
            <w:tcW w:w="2472" w:type="dxa"/>
            <w:tcBorders>
              <w:top w:val="double" w:sz="12" w:space="0" w:color="C0C0C0"/>
              <w:left w:val="double" w:sz="12" w:space="0" w:color="C0C0C0"/>
              <w:bottom w:val="double" w:sz="12" w:space="0" w:color="C0C0C0"/>
              <w:right w:val="double" w:sz="12" w:space="0" w:color="C0C0C0"/>
            </w:tcBorders>
            <w:shd w:val="clear" w:color="auto" w:fill="auto"/>
            <w:tcMar>
              <w:top w:w="0" w:type="dxa"/>
              <w:left w:w="76" w:type="dxa"/>
              <w:bottom w:w="0" w:type="dxa"/>
              <w:right w:w="115" w:type="dxa"/>
            </w:tcMar>
          </w:tcPr>
          <w:p w:rsidR="009B4233" w:rsidRDefault="009B4233">
            <w:pPr>
              <w:spacing w:after="160" w:line="249" w:lineRule="auto"/>
              <w:rPr>
                <w:rFonts w:ascii="Arial" w:hAnsi="Arial" w:cs="Arial"/>
                <w:sz w:val="22"/>
                <w:szCs w:val="22"/>
              </w:rPr>
            </w:pPr>
          </w:p>
        </w:tc>
      </w:tr>
      <w:tr w:rsidR="009B4233">
        <w:tblPrEx>
          <w:tblCellMar>
            <w:top w:w="0" w:type="dxa"/>
            <w:bottom w:w="0" w:type="dxa"/>
          </w:tblCellMar>
        </w:tblPrEx>
        <w:trPr>
          <w:trHeight w:val="702"/>
        </w:trPr>
        <w:tc>
          <w:tcPr>
            <w:tcW w:w="6028" w:type="dxa"/>
            <w:tcBorders>
              <w:top w:val="double" w:sz="12" w:space="0" w:color="C0C0C0"/>
              <w:left w:val="double" w:sz="12" w:space="0" w:color="C0C0C0"/>
              <w:bottom w:val="double" w:sz="12" w:space="0" w:color="C0C0C0"/>
              <w:right w:val="double" w:sz="12" w:space="0" w:color="C0C0C0"/>
            </w:tcBorders>
            <w:shd w:val="clear" w:color="auto" w:fill="auto"/>
            <w:tcMar>
              <w:top w:w="0" w:type="dxa"/>
              <w:left w:w="76" w:type="dxa"/>
              <w:bottom w:w="0" w:type="dxa"/>
              <w:right w:w="115" w:type="dxa"/>
            </w:tcMar>
            <w:vAlign w:val="center"/>
          </w:tcPr>
          <w:p w:rsidR="009B4233" w:rsidRDefault="006B08B9">
            <w:pPr>
              <w:spacing w:line="249" w:lineRule="auto"/>
              <w:rPr>
                <w:rFonts w:ascii="Arial" w:hAnsi="Arial" w:cs="Arial"/>
                <w:sz w:val="22"/>
                <w:szCs w:val="22"/>
              </w:rPr>
            </w:pPr>
            <w:r>
              <w:rPr>
                <w:rFonts w:ascii="Arial" w:hAnsi="Arial" w:cs="Arial"/>
                <w:sz w:val="22"/>
                <w:szCs w:val="22"/>
              </w:rPr>
              <w:t>Fundación Candelaria Solidaria (Candesol)</w:t>
            </w:r>
          </w:p>
        </w:tc>
        <w:tc>
          <w:tcPr>
            <w:tcW w:w="2472" w:type="dxa"/>
            <w:tcBorders>
              <w:top w:val="double" w:sz="12" w:space="0" w:color="C0C0C0"/>
              <w:left w:val="double" w:sz="12" w:space="0" w:color="C0C0C0"/>
              <w:bottom w:val="double" w:sz="12" w:space="0" w:color="C0C0C0"/>
              <w:right w:val="double" w:sz="12" w:space="0" w:color="C0C0C0"/>
            </w:tcBorders>
            <w:shd w:val="clear" w:color="auto" w:fill="auto"/>
            <w:tcMar>
              <w:top w:w="0" w:type="dxa"/>
              <w:left w:w="76" w:type="dxa"/>
              <w:bottom w:w="0" w:type="dxa"/>
              <w:right w:w="115" w:type="dxa"/>
            </w:tcMar>
            <w:vAlign w:val="center"/>
          </w:tcPr>
          <w:p w:rsidR="009B4233" w:rsidRDefault="006B08B9">
            <w:pPr>
              <w:spacing w:line="249" w:lineRule="auto"/>
              <w:ind w:left="42"/>
              <w:jc w:val="center"/>
              <w:rPr>
                <w:rFonts w:ascii="Arial" w:hAnsi="Arial" w:cs="Arial"/>
                <w:sz w:val="22"/>
                <w:szCs w:val="22"/>
              </w:rPr>
            </w:pPr>
            <w:r>
              <w:rPr>
                <w:rFonts w:ascii="Arial" w:hAnsi="Arial" w:cs="Arial"/>
                <w:sz w:val="22"/>
                <w:szCs w:val="22"/>
              </w:rPr>
              <w:t>143.750,00 €</w:t>
            </w:r>
          </w:p>
        </w:tc>
      </w:tr>
      <w:tr w:rsidR="009B4233">
        <w:tblPrEx>
          <w:tblCellMar>
            <w:top w:w="0" w:type="dxa"/>
            <w:bottom w:w="0" w:type="dxa"/>
          </w:tblCellMar>
        </w:tblPrEx>
        <w:trPr>
          <w:trHeight w:val="662"/>
        </w:trPr>
        <w:tc>
          <w:tcPr>
            <w:tcW w:w="6028" w:type="dxa"/>
            <w:tcBorders>
              <w:top w:val="double" w:sz="12" w:space="0" w:color="C0C0C0"/>
              <w:left w:val="double" w:sz="12" w:space="0" w:color="C0C0C0"/>
              <w:bottom w:val="double" w:sz="12" w:space="0" w:color="C0C0C0"/>
              <w:right w:val="double" w:sz="12" w:space="0" w:color="C0C0C0"/>
            </w:tcBorders>
            <w:shd w:val="clear" w:color="auto" w:fill="993366"/>
            <w:tcMar>
              <w:top w:w="0" w:type="dxa"/>
              <w:left w:w="76" w:type="dxa"/>
              <w:bottom w:w="0" w:type="dxa"/>
              <w:right w:w="115" w:type="dxa"/>
            </w:tcMar>
            <w:vAlign w:val="center"/>
          </w:tcPr>
          <w:p w:rsidR="009B4233" w:rsidRDefault="006B08B9">
            <w:pPr>
              <w:spacing w:line="249" w:lineRule="auto"/>
              <w:ind w:left="39"/>
              <w:jc w:val="center"/>
            </w:pPr>
            <w:r>
              <w:rPr>
                <w:rFonts w:ascii="Arial" w:eastAsia="Calibri" w:hAnsi="Arial" w:cs="Arial"/>
                <w:b/>
                <w:color w:val="E6E6E6"/>
                <w:sz w:val="22"/>
                <w:szCs w:val="22"/>
              </w:rPr>
              <w:t>TOTAL</w:t>
            </w:r>
          </w:p>
        </w:tc>
        <w:tc>
          <w:tcPr>
            <w:tcW w:w="2472" w:type="dxa"/>
            <w:tcBorders>
              <w:top w:val="double" w:sz="12" w:space="0" w:color="C0C0C0"/>
              <w:left w:val="double" w:sz="12" w:space="0" w:color="C0C0C0"/>
              <w:bottom w:val="double" w:sz="12" w:space="0" w:color="C0C0C0"/>
              <w:right w:val="double" w:sz="12" w:space="0" w:color="C0C0C0"/>
            </w:tcBorders>
            <w:shd w:val="clear" w:color="auto" w:fill="993366"/>
            <w:tcMar>
              <w:top w:w="0" w:type="dxa"/>
              <w:left w:w="76" w:type="dxa"/>
              <w:bottom w:w="0" w:type="dxa"/>
              <w:right w:w="115" w:type="dxa"/>
            </w:tcMar>
            <w:vAlign w:val="center"/>
          </w:tcPr>
          <w:p w:rsidR="009B4233" w:rsidRDefault="006B08B9">
            <w:pPr>
              <w:spacing w:line="249" w:lineRule="auto"/>
              <w:ind w:left="42"/>
              <w:jc w:val="center"/>
            </w:pPr>
            <w:r>
              <w:rPr>
                <w:rFonts w:ascii="Arial" w:eastAsia="Calibri" w:hAnsi="Arial" w:cs="Arial"/>
                <w:b/>
                <w:color w:val="FFFFFF"/>
                <w:sz w:val="22"/>
                <w:szCs w:val="22"/>
              </w:rPr>
              <w:t>1.597.742,84 €</w:t>
            </w:r>
          </w:p>
        </w:tc>
      </w:tr>
    </w:tbl>
    <w:p w:rsidR="009B4233" w:rsidRDefault="009B4233">
      <w:pPr>
        <w:ind w:left="-1" w:right="8" w:firstLine="708"/>
        <w:jc w:val="both"/>
        <w:rPr>
          <w:rFonts w:ascii="Arial" w:hAnsi="Arial" w:cs="Arial"/>
          <w:sz w:val="22"/>
          <w:szCs w:val="22"/>
        </w:rPr>
      </w:pPr>
    </w:p>
    <w:p w:rsidR="009B4233" w:rsidRDefault="006B08B9">
      <w:pPr>
        <w:ind w:left="-1" w:right="8" w:firstLine="708"/>
        <w:jc w:val="both"/>
        <w:rPr>
          <w:rFonts w:ascii="Arial" w:hAnsi="Arial" w:cs="Arial"/>
          <w:sz w:val="22"/>
          <w:szCs w:val="22"/>
        </w:rPr>
      </w:pPr>
      <w:r>
        <w:rPr>
          <w:rFonts w:ascii="Arial" w:hAnsi="Arial" w:cs="Arial"/>
          <w:sz w:val="22"/>
          <w:szCs w:val="22"/>
        </w:rPr>
        <w:t xml:space="preserve">El abono de las citadas aportaciones, se realizarà trimestralmente con caràcter anticipado, previa presentación de las analíticas de costes, </w:t>
      </w:r>
      <w:r>
        <w:rPr>
          <w:rFonts w:ascii="Arial" w:hAnsi="Arial" w:cs="Arial"/>
          <w:sz w:val="22"/>
          <w:szCs w:val="22"/>
        </w:rPr>
        <w:t>que pongan de manifiesto las transacciones y demás hechos económicos realizados en el trimestre anterior”.</w:t>
      </w:r>
    </w:p>
    <w:p w:rsidR="009B4233" w:rsidRDefault="009B4233">
      <w:pPr>
        <w:ind w:left="-1" w:right="8" w:firstLine="708"/>
        <w:jc w:val="both"/>
        <w:rPr>
          <w:rFonts w:ascii="Arial" w:hAnsi="Arial" w:cs="Arial"/>
          <w:sz w:val="22"/>
          <w:szCs w:val="22"/>
        </w:rPr>
      </w:pPr>
    </w:p>
    <w:p w:rsidR="009B4233" w:rsidRDefault="006B08B9">
      <w:pPr>
        <w:spacing w:after="772"/>
        <w:ind w:left="-1" w:right="8" w:firstLine="708"/>
        <w:jc w:val="both"/>
        <w:rPr>
          <w:rFonts w:ascii="Arial" w:hAnsi="Arial" w:cs="Arial"/>
          <w:sz w:val="22"/>
          <w:szCs w:val="22"/>
        </w:rPr>
      </w:pPr>
      <w:r>
        <w:rPr>
          <w:rFonts w:ascii="Arial" w:hAnsi="Arial" w:cs="Arial"/>
          <w:sz w:val="22"/>
          <w:szCs w:val="22"/>
        </w:rPr>
        <w:t>Visto el informe favorable del Interventor municipal que pone de manifiesto, que se han cumplido por parte de las diferentes entidades, los indicado</w:t>
      </w:r>
      <w:r>
        <w:rPr>
          <w:rFonts w:ascii="Arial" w:hAnsi="Arial" w:cs="Arial"/>
          <w:sz w:val="22"/>
          <w:szCs w:val="22"/>
        </w:rPr>
        <w:t xml:space="preserve">res recogidos en el Contrato Programa del ejercicio 2025, por lo que no procede detraer cantidad alguna con cargo al Presupuesto General, para este ejercicio: </w:t>
      </w:r>
    </w:p>
    <w:p w:rsidR="009B4233" w:rsidRDefault="006B08B9">
      <w:pPr>
        <w:spacing w:after="542"/>
        <w:ind w:left="-1" w:right="8" w:firstLine="708"/>
        <w:jc w:val="both"/>
        <w:rPr>
          <w:rFonts w:ascii="Arial" w:hAnsi="Arial" w:cs="Arial"/>
          <w:b/>
          <w:sz w:val="22"/>
          <w:szCs w:val="22"/>
        </w:rPr>
      </w:pPr>
      <w:r>
        <w:rPr>
          <w:rFonts w:ascii="Arial" w:hAnsi="Arial" w:cs="Arial"/>
          <w:b/>
          <w:sz w:val="22"/>
          <w:szCs w:val="22"/>
        </w:rPr>
        <w:t>Por ello, esta Concejalía PROPONE al Pleno municipal, la adopción del presente ACUERDO:</w:t>
      </w:r>
    </w:p>
    <w:p w:rsidR="009B4233" w:rsidRDefault="006B08B9">
      <w:pPr>
        <w:spacing w:after="10"/>
        <w:ind w:left="9" w:right="8"/>
        <w:jc w:val="both"/>
      </w:pPr>
      <w:r>
        <w:rPr>
          <w:rFonts w:ascii="Arial" w:eastAsia="Arial" w:hAnsi="Arial" w:cs="Arial"/>
          <w:b/>
          <w:sz w:val="22"/>
          <w:szCs w:val="22"/>
        </w:rPr>
        <w:t>Primero:</w:t>
      </w:r>
      <w:r>
        <w:rPr>
          <w:rFonts w:ascii="Arial" w:hAnsi="Arial" w:cs="Arial"/>
          <w:sz w:val="22"/>
          <w:szCs w:val="22"/>
        </w:rPr>
        <w:t xml:space="preserve"> Aprobar el Contrato Programa sobre el marco de relaciones entre el Ayuntamiento de Candelaria, la Entidad Pública Empresarial “Gestión de Empresas y Servicios Municipales del Ayuntamiento de la villa de Candelaria,, la Sociedad Mercantil ”Empresa de Inser</w:t>
      </w:r>
      <w:r>
        <w:rPr>
          <w:rFonts w:ascii="Arial" w:hAnsi="Arial" w:cs="Arial"/>
          <w:sz w:val="22"/>
          <w:szCs w:val="22"/>
        </w:rPr>
        <w:t>ción de Viviendas y Servicios Municipales de Candelaria, SL y la Fundación “Candelaria Solidaria”, para el ejercicio 2025</w:t>
      </w:r>
      <w:r>
        <w:rPr>
          <w:rFonts w:ascii="Arial" w:eastAsia="Arial" w:hAnsi="Arial" w:cs="Arial"/>
          <w:b/>
          <w:sz w:val="22"/>
          <w:szCs w:val="22"/>
        </w:rPr>
        <w:t>.</w:t>
      </w:r>
    </w:p>
    <w:p w:rsidR="009B4233" w:rsidRDefault="009B4233">
      <w:pPr>
        <w:spacing w:after="10"/>
        <w:ind w:left="9" w:right="8"/>
        <w:jc w:val="both"/>
        <w:rPr>
          <w:rFonts w:ascii="Arial" w:hAnsi="Arial" w:cs="Arial"/>
          <w:sz w:val="22"/>
          <w:szCs w:val="22"/>
        </w:rPr>
      </w:pPr>
    </w:p>
    <w:p w:rsidR="009B4233" w:rsidRDefault="006B08B9">
      <w:pPr>
        <w:spacing w:after="10"/>
        <w:ind w:left="9" w:right="8"/>
        <w:jc w:val="both"/>
      </w:pPr>
      <w:r>
        <w:rPr>
          <w:rFonts w:ascii="Arial" w:eastAsia="Arial" w:hAnsi="Arial" w:cs="Arial"/>
          <w:b/>
          <w:sz w:val="22"/>
          <w:szCs w:val="22"/>
        </w:rPr>
        <w:t>Segundo:</w:t>
      </w:r>
      <w:r>
        <w:rPr>
          <w:rFonts w:ascii="Arial" w:hAnsi="Arial" w:cs="Arial"/>
          <w:sz w:val="22"/>
          <w:szCs w:val="22"/>
        </w:rPr>
        <w:t xml:space="preserve"> Notificar el presente acuerdo a la Entidad Pública Empresarial “Gestión de Empresas y Servicios Municipales del Ayuntamient</w:t>
      </w:r>
      <w:r>
        <w:rPr>
          <w:rFonts w:ascii="Arial" w:hAnsi="Arial" w:cs="Arial"/>
          <w:sz w:val="22"/>
          <w:szCs w:val="22"/>
        </w:rPr>
        <w:t>o de la villa de Candelaria,, la Sociedad Mercantil ”Empresa de Inserción de Viviendas y Servicios Municipales de Candelaria, SL y la Fundación “Candelaria Solidaria”.</w:t>
      </w:r>
    </w:p>
    <w:p w:rsidR="009B4233" w:rsidRDefault="009B4233">
      <w:pPr>
        <w:jc w:val="both"/>
        <w:rPr>
          <w:rFonts w:ascii="Arial" w:hAnsi="Arial" w:cs="Arial"/>
          <w:b/>
          <w:sz w:val="22"/>
          <w:szCs w:val="22"/>
        </w:rPr>
      </w:pPr>
    </w:p>
    <w:p w:rsidR="009B4233" w:rsidRDefault="009B4233">
      <w:pPr>
        <w:rPr>
          <w:rFonts w:ascii="Arial" w:hAnsi="Arial" w:cs="Arial"/>
          <w:b/>
          <w:sz w:val="22"/>
          <w:szCs w:val="22"/>
        </w:rPr>
      </w:pPr>
    </w:p>
    <w:p w:rsidR="009B4233" w:rsidRDefault="009B4233">
      <w:pPr>
        <w:rPr>
          <w:rFonts w:ascii="Arial" w:hAnsi="Arial" w:cs="Arial"/>
          <w:b/>
          <w:sz w:val="22"/>
          <w:szCs w:val="22"/>
        </w:rPr>
      </w:pPr>
    </w:p>
    <w:p w:rsidR="009B4233" w:rsidRDefault="006B08B9">
      <w:pPr>
        <w:jc w:val="both"/>
        <w:rPr>
          <w:rFonts w:ascii="Arial" w:hAnsi="Arial" w:cs="Arial"/>
          <w:b/>
          <w:sz w:val="22"/>
          <w:szCs w:val="22"/>
        </w:rPr>
      </w:pPr>
      <w:r>
        <w:rPr>
          <w:rFonts w:ascii="Arial" w:hAnsi="Arial" w:cs="Arial"/>
          <w:b/>
          <w:sz w:val="22"/>
          <w:szCs w:val="22"/>
        </w:rPr>
        <w:t>DICTAMEN FAVORABLE DE LA COMISIÓN INFORMATIVA DE HACIENDA, RECURSOS HUMANOS Y SERVICI</w:t>
      </w:r>
      <w:r>
        <w:rPr>
          <w:rFonts w:ascii="Arial" w:hAnsi="Arial" w:cs="Arial"/>
          <w:b/>
          <w:sz w:val="22"/>
          <w:szCs w:val="22"/>
        </w:rPr>
        <w:t xml:space="preserve">OS GENERALES DE 22 DE SEPTIEMBRE DE 2025. </w:t>
      </w:r>
    </w:p>
    <w:p w:rsidR="009B4233" w:rsidRDefault="009B4233">
      <w:pPr>
        <w:jc w:val="both"/>
        <w:rPr>
          <w:rFonts w:ascii="Arial" w:hAnsi="Arial" w:cs="Arial"/>
          <w:b/>
          <w:sz w:val="22"/>
          <w:szCs w:val="22"/>
        </w:rPr>
      </w:pPr>
    </w:p>
    <w:p w:rsidR="009B4233" w:rsidRDefault="006B08B9">
      <w:pPr>
        <w:rPr>
          <w:rFonts w:ascii="Arial" w:hAnsi="Arial" w:cs="Arial"/>
          <w:sz w:val="22"/>
          <w:szCs w:val="22"/>
        </w:rPr>
      </w:pPr>
      <w:r>
        <w:rPr>
          <w:rFonts w:ascii="Arial" w:hAnsi="Arial" w:cs="Arial"/>
          <w:sz w:val="22"/>
          <w:szCs w:val="22"/>
        </w:rPr>
        <w:t>Votos a favor: 4.</w:t>
      </w:r>
    </w:p>
    <w:p w:rsidR="009B4233" w:rsidRDefault="006B08B9">
      <w:pPr>
        <w:jc w:val="both"/>
        <w:rPr>
          <w:rFonts w:ascii="Arial" w:hAnsi="Arial" w:cs="Arial"/>
          <w:sz w:val="22"/>
          <w:szCs w:val="22"/>
        </w:rPr>
      </w:pPr>
      <w:r>
        <w:rPr>
          <w:rFonts w:ascii="Arial" w:hAnsi="Arial" w:cs="Arial"/>
          <w:sz w:val="22"/>
          <w:szCs w:val="22"/>
        </w:rPr>
        <w:t xml:space="preserve">Los 4 concejales del Grupo Socialista: D. Airam Pérez Chinea, D. José Francisco Pinto Ramos, Doña Margarita Eva Tendero Barroso y Doña Mónica Montserrat Yanes Delgado. </w:t>
      </w:r>
    </w:p>
    <w:p w:rsidR="009B4233" w:rsidRDefault="009B4233">
      <w:pPr>
        <w:jc w:val="both"/>
        <w:rPr>
          <w:rFonts w:ascii="Arial" w:hAnsi="Arial" w:cs="Arial"/>
          <w:sz w:val="22"/>
          <w:szCs w:val="22"/>
        </w:rPr>
      </w:pPr>
    </w:p>
    <w:p w:rsidR="009B4233" w:rsidRDefault="006B08B9">
      <w:pPr>
        <w:jc w:val="both"/>
        <w:rPr>
          <w:rFonts w:ascii="Arial" w:hAnsi="Arial" w:cs="Arial"/>
          <w:sz w:val="22"/>
          <w:szCs w:val="22"/>
        </w:rPr>
      </w:pPr>
      <w:r>
        <w:rPr>
          <w:rFonts w:ascii="Arial" w:hAnsi="Arial" w:cs="Arial"/>
          <w:sz w:val="22"/>
          <w:szCs w:val="22"/>
        </w:rPr>
        <w:t>Votos en contra: 0.</w:t>
      </w:r>
    </w:p>
    <w:p w:rsidR="009B4233" w:rsidRDefault="009B4233">
      <w:pPr>
        <w:jc w:val="both"/>
        <w:rPr>
          <w:rFonts w:ascii="Arial" w:hAnsi="Arial" w:cs="Arial"/>
          <w:sz w:val="22"/>
          <w:szCs w:val="22"/>
        </w:rPr>
      </w:pPr>
    </w:p>
    <w:p w:rsidR="009B4233" w:rsidRDefault="006B08B9">
      <w:pPr>
        <w:jc w:val="both"/>
        <w:rPr>
          <w:rFonts w:ascii="Arial" w:hAnsi="Arial" w:cs="Arial"/>
          <w:sz w:val="22"/>
          <w:szCs w:val="22"/>
        </w:rPr>
      </w:pPr>
      <w:r>
        <w:rPr>
          <w:rFonts w:ascii="Arial" w:hAnsi="Arial" w:cs="Arial"/>
          <w:sz w:val="22"/>
          <w:szCs w:val="22"/>
        </w:rPr>
        <w:t>Abs</w:t>
      </w:r>
      <w:r>
        <w:rPr>
          <w:rFonts w:ascii="Arial" w:hAnsi="Arial" w:cs="Arial"/>
          <w:sz w:val="22"/>
          <w:szCs w:val="22"/>
        </w:rPr>
        <w:t>tenciones: 2.</w:t>
      </w:r>
    </w:p>
    <w:p w:rsidR="009B4233" w:rsidRDefault="009B4233">
      <w:pPr>
        <w:jc w:val="both"/>
        <w:rPr>
          <w:rFonts w:ascii="Arial" w:hAnsi="Arial" w:cs="Arial"/>
          <w:sz w:val="22"/>
          <w:szCs w:val="22"/>
        </w:rPr>
      </w:pPr>
    </w:p>
    <w:p w:rsidR="009B4233" w:rsidRDefault="006B08B9">
      <w:pPr>
        <w:jc w:val="both"/>
        <w:rPr>
          <w:rFonts w:ascii="Arial" w:hAnsi="Arial" w:cs="Arial"/>
          <w:sz w:val="22"/>
          <w:szCs w:val="22"/>
        </w:rPr>
      </w:pPr>
      <w:r>
        <w:rPr>
          <w:rFonts w:ascii="Arial" w:hAnsi="Arial" w:cs="Arial"/>
          <w:sz w:val="22"/>
          <w:szCs w:val="22"/>
        </w:rPr>
        <w:t>1 del concejal del Grupo Popular, D. Jacobo López Fariña.</w:t>
      </w:r>
    </w:p>
    <w:p w:rsidR="009B4233" w:rsidRDefault="009B4233">
      <w:pPr>
        <w:jc w:val="both"/>
        <w:rPr>
          <w:rFonts w:ascii="Arial" w:hAnsi="Arial" w:cs="Arial"/>
          <w:sz w:val="22"/>
          <w:szCs w:val="22"/>
        </w:rPr>
      </w:pPr>
    </w:p>
    <w:p w:rsidR="009B4233" w:rsidRDefault="006B08B9">
      <w:pPr>
        <w:jc w:val="both"/>
        <w:rPr>
          <w:rFonts w:ascii="Arial" w:hAnsi="Arial" w:cs="Arial"/>
          <w:sz w:val="22"/>
          <w:szCs w:val="22"/>
        </w:rPr>
      </w:pPr>
      <w:r>
        <w:rPr>
          <w:rFonts w:ascii="Arial" w:hAnsi="Arial" w:cs="Arial"/>
          <w:sz w:val="22"/>
          <w:szCs w:val="22"/>
        </w:rPr>
        <w:t>1 del concejal del Grupo Mixto (CC), D. José Yeray Padilla Cruz.</w:t>
      </w:r>
    </w:p>
    <w:p w:rsidR="009B4233" w:rsidRDefault="009B4233">
      <w:pPr>
        <w:jc w:val="both"/>
        <w:rPr>
          <w:rFonts w:ascii="Arial" w:hAnsi="Arial" w:cs="Arial"/>
          <w:sz w:val="22"/>
          <w:szCs w:val="22"/>
        </w:rPr>
      </w:pPr>
    </w:p>
    <w:p w:rsidR="009B4233" w:rsidRDefault="009B4233">
      <w:pPr>
        <w:rPr>
          <w:rFonts w:ascii="Arial" w:hAnsi="Arial" w:cs="Arial"/>
          <w:sz w:val="22"/>
          <w:szCs w:val="22"/>
        </w:rPr>
      </w:pPr>
    </w:p>
    <w:p w:rsidR="009B4233" w:rsidRDefault="009B4233">
      <w:pPr>
        <w:rPr>
          <w:rFonts w:ascii="Arial" w:hAnsi="Arial" w:cs="Arial"/>
          <w:b/>
          <w:sz w:val="22"/>
          <w:szCs w:val="22"/>
        </w:rPr>
      </w:pPr>
    </w:p>
    <w:p w:rsidR="009B4233" w:rsidRDefault="009B4233">
      <w:pPr>
        <w:rPr>
          <w:rFonts w:ascii="Arial" w:hAnsi="Arial" w:cs="Arial"/>
          <w:b/>
          <w:sz w:val="22"/>
          <w:szCs w:val="22"/>
        </w:rPr>
      </w:pPr>
    </w:p>
    <w:p w:rsidR="009B4233" w:rsidRDefault="006B08B9">
      <w:pPr>
        <w:rPr>
          <w:rFonts w:ascii="Arial" w:hAnsi="Arial" w:cs="Arial"/>
          <w:b/>
          <w:sz w:val="22"/>
          <w:szCs w:val="22"/>
        </w:rPr>
      </w:pPr>
      <w:r>
        <w:rPr>
          <w:rFonts w:ascii="Arial" w:hAnsi="Arial" w:cs="Arial"/>
          <w:b/>
          <w:sz w:val="22"/>
          <w:szCs w:val="22"/>
        </w:rPr>
        <w:t>JUNTA DE PORTAVOCES DE 22 DE SEPTIEMBRE DE 2025.</w:t>
      </w:r>
    </w:p>
    <w:p w:rsidR="009B4233" w:rsidRDefault="006B08B9">
      <w:pPr>
        <w:rPr>
          <w:rFonts w:ascii="Arial" w:hAnsi="Arial" w:cs="Arial"/>
          <w:sz w:val="22"/>
          <w:szCs w:val="22"/>
        </w:rPr>
      </w:pPr>
      <w:r>
        <w:rPr>
          <w:rFonts w:ascii="Arial" w:hAnsi="Arial" w:cs="Arial"/>
          <w:sz w:val="22"/>
          <w:szCs w:val="22"/>
        </w:rPr>
        <w:t xml:space="preserve">Quedó oída. </w:t>
      </w:r>
    </w:p>
    <w:p w:rsidR="009B4233" w:rsidRDefault="009B4233">
      <w:pPr>
        <w:rPr>
          <w:rFonts w:ascii="Arial" w:hAnsi="Arial" w:cs="Arial"/>
          <w:b/>
          <w:sz w:val="22"/>
          <w:szCs w:val="22"/>
        </w:rPr>
      </w:pPr>
    </w:p>
    <w:p w:rsidR="009B4233" w:rsidRDefault="009B4233">
      <w:pPr>
        <w:rPr>
          <w:rFonts w:ascii="Arial" w:hAnsi="Arial" w:cs="Arial"/>
          <w:b/>
          <w:sz w:val="22"/>
          <w:szCs w:val="22"/>
        </w:rPr>
      </w:pPr>
    </w:p>
    <w:p w:rsidR="009B4233" w:rsidRDefault="009B4233">
      <w:pPr>
        <w:jc w:val="both"/>
        <w:rPr>
          <w:rFonts w:ascii="Arial" w:hAnsi="Arial" w:cs="Arial"/>
          <w:b/>
          <w:sz w:val="22"/>
          <w:szCs w:val="22"/>
        </w:rPr>
      </w:pPr>
    </w:p>
    <w:p w:rsidR="009B4233" w:rsidRDefault="006B08B9">
      <w:pPr>
        <w:jc w:val="center"/>
        <w:rPr>
          <w:rFonts w:ascii="Arial" w:hAnsi="Arial" w:cs="Arial"/>
          <w:b/>
          <w:sz w:val="22"/>
          <w:szCs w:val="22"/>
        </w:rPr>
      </w:pPr>
      <w:r>
        <w:rPr>
          <w:rFonts w:ascii="Arial" w:hAnsi="Arial" w:cs="Arial"/>
          <w:b/>
          <w:sz w:val="22"/>
          <w:szCs w:val="22"/>
        </w:rPr>
        <w:t xml:space="preserve">VOTACIÓN EN EL PLENO DE 25 DE SEPTIEMBRE DE </w:t>
      </w:r>
      <w:r>
        <w:rPr>
          <w:rFonts w:ascii="Arial" w:hAnsi="Arial" w:cs="Arial"/>
          <w:b/>
          <w:sz w:val="22"/>
          <w:szCs w:val="22"/>
        </w:rPr>
        <w:t>2025.</w:t>
      </w:r>
    </w:p>
    <w:p w:rsidR="009B4233" w:rsidRDefault="009B4233">
      <w:pPr>
        <w:rPr>
          <w:rFonts w:ascii="Arial" w:hAnsi="Arial" w:cs="Arial"/>
          <w:b/>
          <w:sz w:val="22"/>
          <w:szCs w:val="22"/>
        </w:rPr>
      </w:pPr>
    </w:p>
    <w:p w:rsidR="009B4233" w:rsidRDefault="009B4233">
      <w:pPr>
        <w:rPr>
          <w:rFonts w:ascii="Arial" w:hAnsi="Arial" w:cs="Arial"/>
          <w:b/>
          <w:sz w:val="22"/>
          <w:szCs w:val="22"/>
        </w:rPr>
      </w:pPr>
    </w:p>
    <w:p w:rsidR="009B4233" w:rsidRDefault="006B08B9">
      <w:pPr>
        <w:jc w:val="both"/>
        <w:rPr>
          <w:rFonts w:ascii="Arial" w:hAnsi="Arial" w:cs="Arial"/>
          <w:sz w:val="22"/>
          <w:szCs w:val="22"/>
        </w:rPr>
      </w:pPr>
      <w:r>
        <w:rPr>
          <w:rFonts w:ascii="Arial" w:hAnsi="Arial" w:cs="Arial"/>
          <w:sz w:val="22"/>
          <w:szCs w:val="22"/>
        </w:rPr>
        <w:t>Votos a favor: 20: La unanimidad de los 20 concejales presentes.</w:t>
      </w:r>
    </w:p>
    <w:p w:rsidR="009B4233" w:rsidRDefault="009B4233">
      <w:pPr>
        <w:jc w:val="both"/>
        <w:rPr>
          <w:rFonts w:ascii="Arial" w:hAnsi="Arial" w:cs="Arial"/>
          <w:sz w:val="22"/>
          <w:szCs w:val="22"/>
        </w:rPr>
      </w:pPr>
    </w:p>
    <w:p w:rsidR="009B4233" w:rsidRDefault="006B08B9">
      <w:pPr>
        <w:jc w:val="both"/>
        <w:rPr>
          <w:rFonts w:ascii="Arial" w:hAnsi="Arial" w:cs="Arial"/>
          <w:sz w:val="22"/>
          <w:szCs w:val="22"/>
        </w:rPr>
      </w:pPr>
      <w:r>
        <w:rPr>
          <w:rFonts w:ascii="Arial" w:hAnsi="Arial" w:cs="Arial"/>
          <w:sz w:val="22"/>
          <w:szCs w:val="22"/>
        </w:rPr>
        <w:t>11 concejales del Grupo Socialista: Doña María Concepción Brito Núñez, Don Jorge Baute Delgado, Don José Francisco Pinto Ramos, Doña Olivia Concepción Pérez Díaz, Don Reinaldo José T</w:t>
      </w:r>
      <w:r>
        <w:rPr>
          <w:rFonts w:ascii="Arial" w:hAnsi="Arial" w:cs="Arial"/>
          <w:sz w:val="22"/>
          <w:szCs w:val="22"/>
        </w:rPr>
        <w:t xml:space="preserve">riviño Blanco, Don Manuel Alberto González Pestano, Doña Margarita Eva Tendero Barroso, Don Airam Pérez Chinea, Doña María del Carmen Clemente Díaz, Don Olegario Francisco Alonso Bello, Doña Mónica Monserrat Yanes Delgado. </w:t>
      </w:r>
    </w:p>
    <w:p w:rsidR="009B4233" w:rsidRDefault="009B4233">
      <w:pPr>
        <w:jc w:val="both"/>
        <w:rPr>
          <w:rFonts w:ascii="Arial" w:hAnsi="Arial" w:cs="Arial"/>
          <w:sz w:val="22"/>
          <w:szCs w:val="22"/>
        </w:rPr>
      </w:pPr>
    </w:p>
    <w:p w:rsidR="009B4233" w:rsidRDefault="006B08B9">
      <w:pPr>
        <w:jc w:val="both"/>
        <w:rPr>
          <w:rFonts w:ascii="Arial" w:hAnsi="Arial" w:cs="Arial"/>
          <w:sz w:val="22"/>
          <w:szCs w:val="22"/>
        </w:rPr>
      </w:pPr>
      <w:r>
        <w:rPr>
          <w:rFonts w:ascii="Arial" w:hAnsi="Arial" w:cs="Arial"/>
          <w:sz w:val="22"/>
          <w:szCs w:val="22"/>
        </w:rPr>
        <w:t>5 concejales del Grupo Popular:</w:t>
      </w:r>
      <w:r>
        <w:rPr>
          <w:rFonts w:ascii="Arial" w:hAnsi="Arial" w:cs="Arial"/>
          <w:sz w:val="22"/>
          <w:szCs w:val="22"/>
        </w:rPr>
        <w:t xml:space="preserve"> Don Jacobo López Fariña, Don Miguel Eduardo Hernández Chitty, Doña María Carlota Díaz González, Don José Daniel Sosa González, y Doña Shaila Castellano Batista. </w:t>
      </w:r>
    </w:p>
    <w:p w:rsidR="009B4233" w:rsidRDefault="009B4233">
      <w:pPr>
        <w:jc w:val="both"/>
        <w:rPr>
          <w:rFonts w:ascii="Arial" w:hAnsi="Arial" w:cs="Arial"/>
          <w:sz w:val="22"/>
          <w:szCs w:val="22"/>
        </w:rPr>
      </w:pPr>
    </w:p>
    <w:p w:rsidR="009B4233" w:rsidRDefault="006B08B9">
      <w:pPr>
        <w:jc w:val="both"/>
      </w:pPr>
      <w:r>
        <w:rPr>
          <w:rFonts w:ascii="Arial" w:hAnsi="Arial" w:cs="Arial"/>
          <w:sz w:val="22"/>
          <w:szCs w:val="22"/>
        </w:rPr>
        <w:t>4 concejales del Grupo Mixto: Doña Ángela Cruz Perera y Don José Yeray Padilla Cruz (CC), Do</w:t>
      </w:r>
      <w:r>
        <w:rPr>
          <w:rFonts w:ascii="Arial" w:hAnsi="Arial" w:cs="Arial"/>
          <w:sz w:val="22"/>
          <w:szCs w:val="22"/>
        </w:rPr>
        <w:t>n José Tortosa Pallarés (VOX) y Doña Violeta López Jiménez (USP).</w:t>
      </w:r>
    </w:p>
    <w:p w:rsidR="009B4233" w:rsidRDefault="006B08B9">
      <w:pPr>
        <w:jc w:val="both"/>
        <w:rPr>
          <w:rFonts w:ascii="Arial" w:hAnsi="Arial" w:cs="Arial"/>
          <w:b/>
          <w:sz w:val="22"/>
          <w:szCs w:val="22"/>
        </w:rPr>
      </w:pPr>
      <w:r>
        <w:rPr>
          <w:rFonts w:ascii="Arial" w:hAnsi="Arial" w:cs="Arial"/>
          <w:b/>
          <w:sz w:val="22"/>
          <w:szCs w:val="22"/>
        </w:rPr>
        <w:t xml:space="preserve">                          </w:t>
      </w:r>
    </w:p>
    <w:p w:rsidR="009B4233" w:rsidRDefault="009B4233">
      <w:pPr>
        <w:rPr>
          <w:rFonts w:ascii="Arial" w:hAnsi="Arial" w:cs="Arial"/>
          <w:b/>
          <w:sz w:val="22"/>
          <w:szCs w:val="22"/>
        </w:rPr>
      </w:pPr>
    </w:p>
    <w:p w:rsidR="009B4233" w:rsidRDefault="006B08B9">
      <w:pPr>
        <w:pStyle w:val="Textoindependiente"/>
        <w:ind w:left="708" w:firstLine="708"/>
        <w:rPr>
          <w:rFonts w:cs="Arial"/>
          <w:b/>
          <w:szCs w:val="22"/>
        </w:rPr>
      </w:pPr>
      <w:r>
        <w:rPr>
          <w:rFonts w:cs="Arial"/>
          <w:b/>
          <w:szCs w:val="22"/>
        </w:rPr>
        <w:t>ACUERDO DEL PLENO DE 25 DE SEPTIEMBRE DE 2025.</w:t>
      </w:r>
    </w:p>
    <w:p w:rsidR="009B4233" w:rsidRDefault="009B4233">
      <w:pPr>
        <w:rPr>
          <w:rFonts w:ascii="Arial" w:hAnsi="Arial" w:cs="Arial"/>
          <w:b/>
          <w:sz w:val="22"/>
          <w:szCs w:val="22"/>
        </w:rPr>
      </w:pPr>
    </w:p>
    <w:p w:rsidR="009B4233" w:rsidRDefault="006B08B9">
      <w:pPr>
        <w:spacing w:after="10"/>
        <w:ind w:left="9" w:right="8" w:firstLine="700"/>
        <w:jc w:val="both"/>
      </w:pPr>
      <w:r>
        <w:rPr>
          <w:rFonts w:ascii="Arial" w:eastAsia="Arial" w:hAnsi="Arial" w:cs="Arial"/>
          <w:b/>
          <w:sz w:val="22"/>
          <w:szCs w:val="22"/>
        </w:rPr>
        <w:t>Primero:</w:t>
      </w:r>
      <w:r>
        <w:rPr>
          <w:rFonts w:ascii="Arial" w:hAnsi="Arial" w:cs="Arial"/>
          <w:b/>
          <w:sz w:val="22"/>
          <w:szCs w:val="22"/>
        </w:rPr>
        <w:t xml:space="preserve"> Aprobar el Contrato Programa sobre el marco de relaciones entre el Ayuntamiento de Candelaria, la Entidad</w:t>
      </w:r>
      <w:r>
        <w:rPr>
          <w:rFonts w:ascii="Arial" w:hAnsi="Arial" w:cs="Arial"/>
          <w:b/>
          <w:sz w:val="22"/>
          <w:szCs w:val="22"/>
        </w:rPr>
        <w:t xml:space="preserve"> Pública Empresarial “Gestión de Empresas y Servicios Municipales del Ayuntamiento de la villa de Candelaria, la Sociedad Mercantil” Empresa de Inserción de Viviendas y Servicios Municipales de Candelaria, SL y la Fundación “Candelaria Solidaria”, para el </w:t>
      </w:r>
      <w:r>
        <w:rPr>
          <w:rFonts w:ascii="Arial" w:hAnsi="Arial" w:cs="Arial"/>
          <w:b/>
          <w:sz w:val="22"/>
          <w:szCs w:val="22"/>
        </w:rPr>
        <w:t>ejercicio 2025</w:t>
      </w:r>
      <w:r>
        <w:rPr>
          <w:rFonts w:ascii="Arial" w:eastAsia="Arial" w:hAnsi="Arial" w:cs="Arial"/>
          <w:b/>
          <w:sz w:val="22"/>
          <w:szCs w:val="22"/>
        </w:rPr>
        <w:t>.</w:t>
      </w:r>
    </w:p>
    <w:p w:rsidR="009B4233" w:rsidRDefault="009B4233">
      <w:pPr>
        <w:spacing w:after="10"/>
        <w:ind w:left="9" w:right="8"/>
        <w:jc w:val="both"/>
        <w:rPr>
          <w:rFonts w:ascii="Arial" w:hAnsi="Arial" w:cs="Arial"/>
          <w:b/>
          <w:sz w:val="22"/>
          <w:szCs w:val="22"/>
        </w:rPr>
      </w:pPr>
    </w:p>
    <w:p w:rsidR="009B4233" w:rsidRDefault="006B08B9">
      <w:pPr>
        <w:pStyle w:val="Textoindependiente"/>
        <w:ind w:firstLine="709"/>
        <w:jc w:val="both"/>
      </w:pPr>
      <w:r>
        <w:rPr>
          <w:rFonts w:eastAsia="Arial" w:cs="Arial"/>
          <w:b/>
          <w:szCs w:val="22"/>
        </w:rPr>
        <w:t>Segundo:</w:t>
      </w:r>
      <w:r>
        <w:rPr>
          <w:rFonts w:cs="Arial"/>
          <w:b/>
          <w:szCs w:val="22"/>
        </w:rPr>
        <w:t xml:space="preserve"> Notificar el presente acuerdo a la Entidad Pública Empresarial “Gestión de Empresas y Servicios Municipales del Ayuntamiento de la villa de Candelaria, la Sociedad Mercantil” Empresa de Inserción de Viviendas y Servicios Municipal</w:t>
      </w:r>
      <w:r>
        <w:rPr>
          <w:rFonts w:cs="Arial"/>
          <w:b/>
          <w:szCs w:val="22"/>
        </w:rPr>
        <w:t>es de Candelaria, SL y la Fundación “Candelaria Solidaria”.</w:t>
      </w:r>
    </w:p>
    <w:p w:rsidR="009B4233" w:rsidRDefault="009B4233">
      <w:pPr>
        <w:widowControl/>
        <w:suppressAutoHyphens w:val="0"/>
        <w:autoSpaceDE w:val="0"/>
        <w:jc w:val="both"/>
        <w:textAlignment w:val="auto"/>
        <w:rPr>
          <w:rFonts w:ascii="Arial" w:hAnsi="Arial" w:cs="Arial"/>
          <w:b/>
          <w:sz w:val="22"/>
          <w:szCs w:val="22"/>
        </w:rPr>
      </w:pPr>
    </w:p>
    <w:p w:rsidR="009B4233" w:rsidRDefault="009B4233">
      <w:pPr>
        <w:widowControl/>
        <w:suppressAutoHyphens w:val="0"/>
        <w:autoSpaceDE w:val="0"/>
        <w:jc w:val="both"/>
        <w:textAlignment w:val="auto"/>
        <w:rPr>
          <w:rFonts w:ascii="Arial" w:hAnsi="Arial" w:cs="Arial"/>
          <w:b/>
          <w:sz w:val="22"/>
          <w:szCs w:val="22"/>
        </w:rPr>
      </w:pPr>
    </w:p>
    <w:p w:rsidR="009B4233" w:rsidRDefault="009B4233">
      <w:pPr>
        <w:widowControl/>
        <w:suppressAutoHyphens w:val="0"/>
        <w:autoSpaceDE w:val="0"/>
        <w:jc w:val="both"/>
        <w:textAlignment w:val="auto"/>
        <w:rPr>
          <w:rFonts w:ascii="Arial" w:hAnsi="Arial" w:cs="Arial"/>
          <w:b/>
          <w:sz w:val="22"/>
          <w:szCs w:val="22"/>
        </w:rPr>
      </w:pPr>
    </w:p>
    <w:p w:rsidR="009B4233" w:rsidRDefault="009B4233">
      <w:pPr>
        <w:widowControl/>
        <w:suppressAutoHyphens w:val="0"/>
        <w:autoSpaceDE w:val="0"/>
        <w:jc w:val="both"/>
        <w:textAlignment w:val="auto"/>
        <w:rPr>
          <w:rFonts w:ascii="Arial" w:hAnsi="Arial" w:cs="Arial"/>
          <w:b/>
          <w:sz w:val="22"/>
          <w:szCs w:val="22"/>
        </w:rPr>
      </w:pPr>
    </w:p>
    <w:p w:rsidR="009B4233" w:rsidRDefault="009B4233">
      <w:pPr>
        <w:widowControl/>
        <w:suppressAutoHyphens w:val="0"/>
        <w:autoSpaceDE w:val="0"/>
        <w:jc w:val="both"/>
        <w:textAlignment w:val="auto"/>
        <w:rPr>
          <w:rFonts w:ascii="Arial" w:hAnsi="Arial" w:cs="Arial"/>
          <w:b/>
          <w:sz w:val="22"/>
          <w:szCs w:val="22"/>
        </w:rPr>
      </w:pPr>
    </w:p>
    <w:p w:rsidR="009B4233" w:rsidRDefault="009B4233">
      <w:pPr>
        <w:widowControl/>
        <w:suppressAutoHyphens w:val="0"/>
        <w:autoSpaceDE w:val="0"/>
        <w:jc w:val="both"/>
        <w:textAlignment w:val="auto"/>
        <w:rPr>
          <w:rFonts w:ascii="Arial" w:hAnsi="Arial" w:cs="Arial"/>
          <w:b/>
          <w:sz w:val="22"/>
          <w:szCs w:val="22"/>
        </w:rPr>
      </w:pPr>
    </w:p>
    <w:p w:rsidR="009B4233" w:rsidRDefault="009B4233">
      <w:pPr>
        <w:widowControl/>
        <w:suppressAutoHyphens w:val="0"/>
        <w:autoSpaceDE w:val="0"/>
        <w:jc w:val="both"/>
        <w:textAlignment w:val="auto"/>
        <w:rPr>
          <w:rFonts w:ascii="Arial" w:hAnsi="Arial" w:cs="Arial"/>
          <w:b/>
          <w:sz w:val="22"/>
          <w:szCs w:val="22"/>
        </w:rPr>
      </w:pPr>
    </w:p>
    <w:p w:rsidR="009B4233" w:rsidRDefault="009B4233">
      <w:pPr>
        <w:widowControl/>
        <w:suppressAutoHyphens w:val="0"/>
        <w:autoSpaceDE w:val="0"/>
        <w:jc w:val="both"/>
        <w:textAlignment w:val="auto"/>
        <w:rPr>
          <w:rFonts w:ascii="Arial" w:hAnsi="Arial" w:cs="Arial"/>
          <w:b/>
          <w:sz w:val="22"/>
          <w:szCs w:val="22"/>
        </w:rPr>
      </w:pPr>
    </w:p>
    <w:p w:rsidR="009B4233" w:rsidRDefault="009B4233">
      <w:pPr>
        <w:widowControl/>
        <w:suppressAutoHyphens w:val="0"/>
        <w:autoSpaceDE w:val="0"/>
        <w:jc w:val="both"/>
        <w:textAlignment w:val="auto"/>
        <w:rPr>
          <w:rFonts w:ascii="Arial" w:hAnsi="Arial" w:cs="Arial"/>
          <w:b/>
          <w:sz w:val="22"/>
          <w:szCs w:val="22"/>
        </w:rPr>
      </w:pPr>
    </w:p>
    <w:p w:rsidR="009B4233" w:rsidRDefault="009B4233">
      <w:pPr>
        <w:widowControl/>
        <w:suppressAutoHyphens w:val="0"/>
        <w:autoSpaceDE w:val="0"/>
        <w:jc w:val="both"/>
        <w:textAlignment w:val="auto"/>
        <w:rPr>
          <w:rFonts w:ascii="Arial" w:hAnsi="Arial" w:cs="Arial"/>
          <w:b/>
          <w:sz w:val="22"/>
          <w:szCs w:val="22"/>
        </w:rPr>
      </w:pPr>
    </w:p>
    <w:p w:rsidR="009B4233" w:rsidRDefault="009B4233">
      <w:pPr>
        <w:widowControl/>
        <w:suppressAutoHyphens w:val="0"/>
        <w:autoSpaceDE w:val="0"/>
        <w:jc w:val="both"/>
        <w:textAlignment w:val="auto"/>
        <w:rPr>
          <w:rFonts w:ascii="Arial" w:hAnsi="Arial" w:cs="Arial"/>
          <w:b/>
          <w:sz w:val="22"/>
          <w:szCs w:val="22"/>
        </w:rPr>
      </w:pPr>
    </w:p>
    <w:p w:rsidR="009B4233" w:rsidRDefault="009B4233">
      <w:pPr>
        <w:widowControl/>
        <w:suppressAutoHyphens w:val="0"/>
        <w:autoSpaceDE w:val="0"/>
        <w:jc w:val="both"/>
        <w:textAlignment w:val="auto"/>
        <w:rPr>
          <w:rFonts w:ascii="Arial" w:hAnsi="Arial" w:cs="Arial"/>
          <w:b/>
          <w:sz w:val="22"/>
          <w:szCs w:val="22"/>
        </w:rPr>
      </w:pPr>
    </w:p>
    <w:p w:rsidR="009B4233" w:rsidRDefault="009B4233">
      <w:pPr>
        <w:widowControl/>
        <w:suppressAutoHyphens w:val="0"/>
        <w:autoSpaceDE w:val="0"/>
        <w:jc w:val="both"/>
        <w:textAlignment w:val="auto"/>
        <w:rPr>
          <w:rFonts w:ascii="Arial" w:hAnsi="Arial" w:cs="Arial"/>
          <w:b/>
          <w:sz w:val="22"/>
          <w:szCs w:val="22"/>
        </w:rPr>
      </w:pPr>
    </w:p>
    <w:p w:rsidR="009B4233" w:rsidRDefault="009B4233">
      <w:pPr>
        <w:widowControl/>
        <w:suppressAutoHyphens w:val="0"/>
        <w:autoSpaceDE w:val="0"/>
        <w:jc w:val="both"/>
        <w:textAlignment w:val="auto"/>
        <w:rPr>
          <w:rFonts w:ascii="Arial" w:hAnsi="Arial" w:cs="Arial"/>
          <w:b/>
          <w:sz w:val="22"/>
          <w:szCs w:val="22"/>
        </w:rPr>
      </w:pPr>
    </w:p>
    <w:p w:rsidR="009B4233" w:rsidRDefault="009B4233">
      <w:pPr>
        <w:widowControl/>
        <w:suppressAutoHyphens w:val="0"/>
        <w:autoSpaceDE w:val="0"/>
        <w:jc w:val="both"/>
        <w:textAlignment w:val="auto"/>
        <w:rPr>
          <w:rFonts w:ascii="Arial" w:hAnsi="Arial" w:cs="Arial"/>
          <w:b/>
          <w:sz w:val="22"/>
          <w:szCs w:val="22"/>
        </w:rPr>
      </w:pPr>
    </w:p>
    <w:p w:rsidR="009B4233" w:rsidRDefault="009B4233">
      <w:pPr>
        <w:widowControl/>
        <w:suppressAutoHyphens w:val="0"/>
        <w:autoSpaceDE w:val="0"/>
        <w:jc w:val="both"/>
        <w:textAlignment w:val="auto"/>
        <w:rPr>
          <w:rFonts w:ascii="Arial" w:hAnsi="Arial" w:cs="Arial"/>
          <w:b/>
          <w:sz w:val="22"/>
          <w:szCs w:val="22"/>
        </w:rPr>
      </w:pPr>
    </w:p>
    <w:p w:rsidR="009B4233" w:rsidRDefault="009B4233">
      <w:pPr>
        <w:widowControl/>
        <w:suppressAutoHyphens w:val="0"/>
        <w:autoSpaceDE w:val="0"/>
        <w:jc w:val="both"/>
        <w:textAlignment w:val="auto"/>
        <w:rPr>
          <w:rFonts w:ascii="Arial" w:hAnsi="Arial" w:cs="Arial"/>
          <w:b/>
          <w:sz w:val="22"/>
          <w:szCs w:val="22"/>
        </w:rPr>
      </w:pPr>
    </w:p>
    <w:p w:rsidR="009B4233" w:rsidRDefault="009B4233">
      <w:pPr>
        <w:widowControl/>
        <w:suppressAutoHyphens w:val="0"/>
        <w:autoSpaceDE w:val="0"/>
        <w:jc w:val="both"/>
        <w:textAlignment w:val="auto"/>
        <w:rPr>
          <w:rFonts w:ascii="Arial" w:hAnsi="Arial" w:cs="Arial"/>
          <w:b/>
          <w:sz w:val="22"/>
          <w:szCs w:val="22"/>
        </w:rPr>
      </w:pPr>
    </w:p>
    <w:p w:rsidR="009B4233" w:rsidRDefault="009B4233">
      <w:pPr>
        <w:widowControl/>
        <w:suppressAutoHyphens w:val="0"/>
        <w:autoSpaceDE w:val="0"/>
        <w:jc w:val="both"/>
        <w:textAlignment w:val="auto"/>
        <w:rPr>
          <w:rFonts w:ascii="Arial" w:hAnsi="Arial" w:cs="Arial"/>
          <w:b/>
          <w:sz w:val="22"/>
          <w:szCs w:val="22"/>
        </w:rPr>
      </w:pPr>
    </w:p>
    <w:p w:rsidR="009B4233" w:rsidRDefault="009B4233">
      <w:pPr>
        <w:widowControl/>
        <w:suppressAutoHyphens w:val="0"/>
        <w:autoSpaceDE w:val="0"/>
        <w:jc w:val="both"/>
        <w:textAlignment w:val="auto"/>
        <w:rPr>
          <w:rFonts w:ascii="Arial" w:hAnsi="Arial" w:cs="Arial"/>
          <w:b/>
          <w:sz w:val="22"/>
          <w:szCs w:val="22"/>
        </w:rPr>
      </w:pPr>
    </w:p>
    <w:p w:rsidR="009B4233" w:rsidRDefault="009B4233">
      <w:pPr>
        <w:widowControl/>
        <w:suppressAutoHyphens w:val="0"/>
        <w:autoSpaceDE w:val="0"/>
        <w:jc w:val="both"/>
        <w:textAlignment w:val="auto"/>
        <w:rPr>
          <w:rFonts w:ascii="Arial" w:hAnsi="Arial" w:cs="Arial"/>
          <w:b/>
          <w:sz w:val="22"/>
          <w:szCs w:val="22"/>
        </w:rPr>
      </w:pPr>
    </w:p>
    <w:p w:rsidR="009B4233" w:rsidRDefault="009B4233">
      <w:pPr>
        <w:widowControl/>
        <w:suppressAutoHyphens w:val="0"/>
        <w:autoSpaceDE w:val="0"/>
        <w:jc w:val="both"/>
        <w:textAlignment w:val="auto"/>
        <w:rPr>
          <w:rFonts w:ascii="Arial" w:hAnsi="Arial" w:cs="Arial"/>
          <w:b/>
          <w:sz w:val="22"/>
          <w:szCs w:val="22"/>
        </w:rPr>
      </w:pPr>
    </w:p>
    <w:p w:rsidR="009B4233" w:rsidRDefault="009B4233">
      <w:pPr>
        <w:widowControl/>
        <w:suppressAutoHyphens w:val="0"/>
        <w:autoSpaceDE w:val="0"/>
        <w:jc w:val="both"/>
        <w:textAlignment w:val="auto"/>
        <w:rPr>
          <w:rFonts w:ascii="Arial" w:hAnsi="Arial" w:cs="Arial"/>
          <w:b/>
        </w:rPr>
      </w:pPr>
    </w:p>
    <w:p w:rsidR="009B4233" w:rsidRDefault="009B4233">
      <w:pPr>
        <w:jc w:val="both"/>
        <w:rPr>
          <w:rFonts w:ascii="Arial" w:hAnsi="Arial" w:cs="Arial"/>
          <w:b/>
        </w:rPr>
      </w:pPr>
    </w:p>
    <w:p w:rsidR="009B4233" w:rsidRDefault="009B4233">
      <w:pPr>
        <w:jc w:val="both"/>
        <w:rPr>
          <w:rFonts w:ascii="Arial" w:hAnsi="Arial" w:cs="Arial"/>
          <w:b/>
        </w:rPr>
      </w:pPr>
    </w:p>
    <w:p w:rsidR="009B4233" w:rsidRDefault="009B4233">
      <w:pPr>
        <w:jc w:val="both"/>
        <w:rPr>
          <w:rFonts w:ascii="Arial" w:hAnsi="Arial" w:cs="Arial"/>
          <w:b/>
        </w:rPr>
      </w:pPr>
    </w:p>
    <w:p w:rsidR="009B4233" w:rsidRDefault="009B4233">
      <w:pPr>
        <w:jc w:val="both"/>
        <w:rPr>
          <w:rFonts w:ascii="Arial" w:hAnsi="Arial" w:cs="Arial"/>
          <w:b/>
        </w:rPr>
      </w:pPr>
    </w:p>
    <w:p w:rsidR="009B4233" w:rsidRDefault="009B4233">
      <w:pPr>
        <w:jc w:val="both"/>
        <w:rPr>
          <w:rFonts w:ascii="Arial" w:hAnsi="Arial" w:cs="Arial"/>
          <w:b/>
        </w:rPr>
      </w:pPr>
    </w:p>
    <w:p w:rsidR="009B4233" w:rsidRDefault="009B4233">
      <w:pPr>
        <w:jc w:val="both"/>
        <w:rPr>
          <w:rFonts w:ascii="Arial" w:hAnsi="Arial" w:cs="Arial"/>
          <w:b/>
        </w:rPr>
      </w:pPr>
    </w:p>
    <w:p w:rsidR="009B4233" w:rsidRDefault="009B4233">
      <w:pPr>
        <w:jc w:val="both"/>
        <w:rPr>
          <w:rFonts w:ascii="Arial" w:hAnsi="Arial" w:cs="Arial"/>
          <w:b/>
        </w:rPr>
      </w:pPr>
    </w:p>
    <w:p w:rsidR="009B4233" w:rsidRDefault="009B4233">
      <w:pPr>
        <w:jc w:val="both"/>
        <w:rPr>
          <w:rFonts w:ascii="Arial" w:hAnsi="Arial" w:cs="Arial"/>
          <w:b/>
        </w:rPr>
      </w:pPr>
    </w:p>
    <w:p w:rsidR="009B4233" w:rsidRDefault="009B4233">
      <w:pPr>
        <w:jc w:val="both"/>
        <w:rPr>
          <w:rFonts w:ascii="Arial" w:hAnsi="Arial" w:cs="Arial"/>
          <w:b/>
        </w:rPr>
      </w:pPr>
    </w:p>
    <w:p w:rsidR="009B4233" w:rsidRDefault="009B4233">
      <w:pPr>
        <w:jc w:val="both"/>
        <w:rPr>
          <w:rFonts w:ascii="Arial" w:hAnsi="Arial" w:cs="Arial"/>
          <w:b/>
        </w:rPr>
      </w:pPr>
    </w:p>
    <w:p w:rsidR="009B4233" w:rsidRDefault="009B4233">
      <w:pPr>
        <w:jc w:val="both"/>
        <w:rPr>
          <w:rFonts w:ascii="Arial" w:hAnsi="Arial" w:cs="Arial"/>
          <w:b/>
        </w:rPr>
      </w:pPr>
    </w:p>
    <w:p w:rsidR="009B4233" w:rsidRDefault="009B4233">
      <w:pPr>
        <w:jc w:val="both"/>
        <w:rPr>
          <w:rFonts w:ascii="Arial" w:hAnsi="Arial" w:cs="Arial"/>
          <w:b/>
        </w:rPr>
      </w:pPr>
    </w:p>
    <w:p w:rsidR="009B4233" w:rsidRDefault="009B4233">
      <w:pPr>
        <w:jc w:val="both"/>
        <w:rPr>
          <w:rFonts w:ascii="Arial" w:hAnsi="Arial" w:cs="Arial"/>
          <w:b/>
        </w:rPr>
      </w:pPr>
    </w:p>
    <w:p w:rsidR="009B4233" w:rsidRDefault="009B4233">
      <w:pPr>
        <w:jc w:val="both"/>
        <w:rPr>
          <w:rFonts w:ascii="Arial" w:hAnsi="Arial" w:cs="Arial"/>
          <w:b/>
        </w:rPr>
      </w:pPr>
    </w:p>
    <w:p w:rsidR="009B4233" w:rsidRDefault="006B08B9">
      <w:pPr>
        <w:jc w:val="both"/>
        <w:rPr>
          <w:rFonts w:ascii="Arial" w:hAnsi="Arial" w:cs="Arial"/>
          <w:b/>
        </w:rPr>
      </w:pPr>
      <w:r>
        <w:rPr>
          <w:rFonts w:ascii="Arial" w:hAnsi="Arial" w:cs="Arial"/>
          <w:b/>
        </w:rPr>
        <w:t>4.- Expediente 8908/2025. Propuesta del Concejal delegado de Hacienda al Pleno de fecha 17 de septiembre de 2025 de aprobación inicial de la modificación de la</w:t>
      </w:r>
      <w:r>
        <w:rPr>
          <w:rFonts w:ascii="Arial" w:hAnsi="Arial" w:cs="Arial"/>
          <w:b/>
        </w:rPr>
        <w:t xml:space="preserve"> Ordenanza reguladora de la prestación patrimonial de carácter público no tributario de los servicios municipales de gestión del ciclo integral del agua del Ayuntamiento de la Villa de Candelaria.</w:t>
      </w: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6B08B9">
      <w:pPr>
        <w:jc w:val="both"/>
      </w:pPr>
      <w:r>
        <w:rPr>
          <w:rFonts w:ascii="Arial" w:hAnsi="Arial" w:cs="Arial"/>
          <w:bCs/>
          <w:sz w:val="22"/>
          <w:szCs w:val="22"/>
        </w:rPr>
        <w:t>MODIFICACIÓN DE ORDENANZA REGULADORA DE LA PRESTACIÓN PAT</w:t>
      </w:r>
      <w:r>
        <w:rPr>
          <w:rFonts w:ascii="Arial" w:hAnsi="Arial" w:cs="Arial"/>
          <w:bCs/>
          <w:sz w:val="22"/>
          <w:szCs w:val="22"/>
        </w:rPr>
        <w:t>RIMONIAL DE CARÁCTER PÚBLICO NO TRIBUTARIO DE LOS SERVICIOS MUNICIPALES DE GESTIÓN DEL CICLO INTEGRAL DEL AGUA DEL AYUNTAMIENTO DE LA VILLA DE CANDELARIA</w:t>
      </w:r>
    </w:p>
    <w:p w:rsidR="009B4233" w:rsidRDefault="006B08B9">
      <w:r>
        <w:rPr>
          <w:rFonts w:ascii="Arial" w:hAnsi="Arial" w:cs="Arial"/>
          <w:noProof/>
          <w:sz w:val="22"/>
          <w:szCs w:val="22"/>
          <w:lang w:eastAsia="es-ES" w:bidi="ar-SA"/>
        </w:rPr>
        <mc:AlternateContent>
          <mc:Choice Requires="wps">
            <w:drawing>
              <wp:anchor distT="0" distB="0" distL="114300" distR="114300" simplePos="0" relativeHeight="251657728" behindDoc="0" locked="0" layoutInCell="1" allowOverlap="1">
                <wp:simplePos x="0" y="0"/>
                <wp:positionH relativeFrom="column">
                  <wp:posOffset>4443</wp:posOffset>
                </wp:positionH>
                <wp:positionV relativeFrom="paragraph">
                  <wp:posOffset>118113</wp:posOffset>
                </wp:positionV>
                <wp:extent cx="6059172" cy="0"/>
                <wp:effectExtent l="19050" t="19050" r="36828" b="38100"/>
                <wp:wrapNone/>
                <wp:docPr id="22" name="Conector recto 142"/>
                <wp:cNvGraphicFramePr/>
                <a:graphic xmlns:a="http://schemas.openxmlformats.org/drawingml/2006/main">
                  <a:graphicData uri="http://schemas.microsoft.com/office/word/2010/wordprocessingShape">
                    <wps:wsp>
                      <wps:cNvCnPr/>
                      <wps:spPr>
                        <a:xfrm>
                          <a:off x="0" y="0"/>
                          <a:ext cx="6059172" cy="0"/>
                        </a:xfrm>
                        <a:prstGeom prst="straightConnector1">
                          <a:avLst/>
                        </a:prstGeom>
                        <a:noFill/>
                        <a:ln w="25557" cap="sq">
                          <a:solidFill>
                            <a:srgbClr val="993366"/>
                          </a:solidFill>
                          <a:prstDash val="solid"/>
                          <a:miter/>
                        </a:ln>
                      </wps:spPr>
                      <wps:bodyPr/>
                    </wps:wsp>
                  </a:graphicData>
                </a:graphic>
              </wp:anchor>
            </w:drawing>
          </mc:Choice>
          <mc:Fallback>
            <w:pict>
              <v:shape w14:anchorId="475B9C38" id="Conector recto 142" o:spid="_x0000_s1026" type="#_x0000_t32" style="position:absolute;margin-left:.35pt;margin-top:9.3pt;width:477.1pt;height:0;z-index:2516577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" strokecolor="#936" strokeweight=".70992mm">
                <v:stroke joinstyle="miter" endcap="square"/>
              </v:shape>
            </w:pict>
          </mc:Fallback>
        </mc:AlternateContent>
      </w:r>
    </w:p>
    <w:p w:rsidR="009B4233" w:rsidRDefault="009B4233">
      <w:pPr>
        <w:ind w:firstLine="708"/>
        <w:jc w:val="both"/>
        <w:rPr>
          <w:rFonts w:ascii="Arial" w:hAnsi="Arial" w:cs="Arial"/>
          <w:b/>
          <w:sz w:val="22"/>
          <w:szCs w:val="22"/>
          <w:u w:val="single"/>
        </w:rPr>
      </w:pPr>
    </w:p>
    <w:p w:rsidR="009B4233" w:rsidRDefault="009B4233">
      <w:pPr>
        <w:ind w:firstLine="708"/>
        <w:jc w:val="both"/>
        <w:rPr>
          <w:rFonts w:ascii="Arial" w:hAnsi="Arial" w:cs="Arial"/>
          <w:b/>
          <w:sz w:val="22"/>
          <w:szCs w:val="22"/>
          <w:u w:val="single"/>
        </w:rPr>
      </w:pPr>
    </w:p>
    <w:p w:rsidR="009B4233" w:rsidRDefault="006B08B9">
      <w:pPr>
        <w:pStyle w:val="Prrafodelista"/>
        <w:widowControl/>
        <w:numPr>
          <w:ilvl w:val="0"/>
          <w:numId w:val="31"/>
        </w:numPr>
        <w:suppressAutoHyphens w:val="0"/>
        <w:autoSpaceDE w:val="0"/>
        <w:spacing w:line="276" w:lineRule="auto"/>
        <w:ind w:left="284" w:hanging="284"/>
        <w:jc w:val="both"/>
        <w:textAlignment w:val="auto"/>
        <w:rPr>
          <w:rFonts w:ascii="Arial" w:hAnsi="Arial" w:cs="Arial"/>
          <w:b/>
          <w:bCs/>
          <w:sz w:val="22"/>
          <w:szCs w:val="22"/>
        </w:rPr>
      </w:pPr>
      <w:r>
        <w:rPr>
          <w:rFonts w:ascii="Arial" w:hAnsi="Arial" w:cs="Arial"/>
          <w:b/>
          <w:bCs/>
          <w:sz w:val="22"/>
          <w:szCs w:val="22"/>
        </w:rPr>
        <w:t>Naturaleza, Objeto y Fundamento.</w:t>
      </w:r>
    </w:p>
    <w:p w:rsidR="009B4233" w:rsidRDefault="006B08B9">
      <w:pPr>
        <w:pStyle w:val="Prrafodelista"/>
        <w:widowControl/>
        <w:numPr>
          <w:ilvl w:val="0"/>
          <w:numId w:val="32"/>
        </w:numPr>
        <w:suppressAutoHyphens w:val="0"/>
        <w:autoSpaceDE w:val="0"/>
        <w:spacing w:line="276" w:lineRule="auto"/>
        <w:jc w:val="both"/>
        <w:textAlignment w:val="auto"/>
        <w:rPr>
          <w:rFonts w:ascii="Arial" w:hAnsi="Arial" w:cs="Arial"/>
          <w:sz w:val="22"/>
          <w:szCs w:val="22"/>
        </w:rPr>
      </w:pPr>
      <w:r>
        <w:rPr>
          <w:rFonts w:ascii="Arial" w:hAnsi="Arial" w:cs="Arial"/>
          <w:sz w:val="22"/>
          <w:szCs w:val="22"/>
        </w:rPr>
        <w:t>En uso de las facultades concedidas por los artículos 133.2 y 142</w:t>
      </w:r>
      <w:r>
        <w:rPr>
          <w:rFonts w:ascii="Arial" w:hAnsi="Arial" w:cs="Arial"/>
          <w:sz w:val="22"/>
          <w:szCs w:val="22"/>
        </w:rPr>
        <w:t xml:space="preserve"> de la Constitución y por el artículo 106 de la Ley 7/1985, de 2 de abril, Reguladora de las Bases de Régimen Local, y de conformidad con lo dispuesto en los artículos 15 a 27 del Real Decreto Legislativo 2/2004, de 5 de marzo, por el que aprueba el Texto </w:t>
      </w:r>
      <w:r>
        <w:rPr>
          <w:rFonts w:ascii="Arial" w:hAnsi="Arial" w:cs="Arial"/>
          <w:sz w:val="22"/>
          <w:szCs w:val="22"/>
        </w:rPr>
        <w:t>Refundido de la Ley Reguladora de las Haciendas Locales, este Ayuntamiento establece la prestación patrimonial de carácter no tributario de los servicios municipales de gestión del ciclo integral del agua y las actividades conexas a los mismos el término m</w:t>
      </w:r>
      <w:r>
        <w:rPr>
          <w:rFonts w:ascii="Arial" w:hAnsi="Arial" w:cs="Arial"/>
          <w:sz w:val="22"/>
          <w:szCs w:val="22"/>
        </w:rPr>
        <w:t>unicipal de Candelaria, que se regulará por la presente Ordenanza, redactada conforme a lo dispuesto en el artículo 57 del Real Decreto Legislativo 2/2004, de 5 de marzo que aprueba el Texto Refundido de la Ley Reguladora de las Haciendas Locales.</w:t>
      </w:r>
    </w:p>
    <w:p w:rsidR="009B4233" w:rsidRDefault="009B4233">
      <w:pPr>
        <w:autoSpaceDE w:val="0"/>
        <w:spacing w:line="276" w:lineRule="auto"/>
        <w:jc w:val="both"/>
        <w:rPr>
          <w:rFonts w:ascii="Arial" w:hAnsi="Arial" w:cs="Arial"/>
          <w:sz w:val="22"/>
          <w:szCs w:val="22"/>
        </w:rPr>
      </w:pPr>
    </w:p>
    <w:p w:rsidR="009B4233" w:rsidRDefault="006B08B9">
      <w:pPr>
        <w:pStyle w:val="Prrafodelista"/>
        <w:widowControl/>
        <w:numPr>
          <w:ilvl w:val="0"/>
          <w:numId w:val="31"/>
        </w:numPr>
        <w:suppressAutoHyphens w:val="0"/>
        <w:autoSpaceDE w:val="0"/>
        <w:spacing w:line="276" w:lineRule="auto"/>
        <w:ind w:left="284" w:hanging="284"/>
        <w:jc w:val="both"/>
        <w:textAlignment w:val="auto"/>
        <w:rPr>
          <w:rFonts w:ascii="Arial" w:hAnsi="Arial" w:cs="Arial"/>
          <w:b/>
          <w:bCs/>
          <w:sz w:val="22"/>
          <w:szCs w:val="22"/>
        </w:rPr>
      </w:pPr>
      <w:r>
        <w:rPr>
          <w:rFonts w:ascii="Arial" w:hAnsi="Arial" w:cs="Arial"/>
          <w:b/>
          <w:bCs/>
          <w:sz w:val="22"/>
          <w:szCs w:val="22"/>
        </w:rPr>
        <w:t>Obligac</w:t>
      </w:r>
      <w:r>
        <w:rPr>
          <w:rFonts w:ascii="Arial" w:hAnsi="Arial" w:cs="Arial"/>
          <w:b/>
          <w:bCs/>
          <w:sz w:val="22"/>
          <w:szCs w:val="22"/>
        </w:rPr>
        <w:t xml:space="preserve">ión de contribuir. </w:t>
      </w:r>
    </w:p>
    <w:p w:rsidR="009B4233" w:rsidRDefault="006B08B9">
      <w:pPr>
        <w:pStyle w:val="Prrafodelista"/>
        <w:widowControl/>
        <w:numPr>
          <w:ilvl w:val="0"/>
          <w:numId w:val="33"/>
        </w:numPr>
        <w:suppressAutoHyphens w:val="0"/>
        <w:autoSpaceDE w:val="0"/>
        <w:spacing w:line="276" w:lineRule="auto"/>
        <w:ind w:left="851"/>
        <w:jc w:val="both"/>
        <w:textAlignment w:val="auto"/>
        <w:rPr>
          <w:rFonts w:ascii="Arial" w:hAnsi="Arial" w:cs="Arial"/>
          <w:sz w:val="22"/>
          <w:szCs w:val="22"/>
        </w:rPr>
      </w:pPr>
      <w:r>
        <w:rPr>
          <w:rFonts w:ascii="Arial" w:hAnsi="Arial" w:cs="Arial"/>
          <w:sz w:val="22"/>
          <w:szCs w:val="22"/>
        </w:rPr>
        <w:t xml:space="preserve">Constituye el presupuesto de hecho de la prestación patrimonial de carácter no tributario de los servicios municipales de gestión del ciclo integral del agua y las actividades conexas a los mismos el término municipal de Candelaria, ya </w:t>
      </w:r>
      <w:r>
        <w:rPr>
          <w:rFonts w:ascii="Arial" w:hAnsi="Arial" w:cs="Arial"/>
          <w:sz w:val="22"/>
          <w:szCs w:val="22"/>
        </w:rPr>
        <w:t>sea manera directa por el Ayuntamiento o de forma indirecta por una empresa concesionaria del servicio:</w:t>
      </w:r>
    </w:p>
    <w:p w:rsidR="009B4233" w:rsidRDefault="006B08B9">
      <w:pPr>
        <w:pStyle w:val="Prrafodelista"/>
        <w:widowControl/>
        <w:numPr>
          <w:ilvl w:val="1"/>
          <w:numId w:val="33"/>
        </w:numPr>
        <w:suppressAutoHyphens w:val="0"/>
        <w:autoSpaceDE w:val="0"/>
        <w:spacing w:line="276" w:lineRule="auto"/>
        <w:ind w:left="1276"/>
        <w:jc w:val="both"/>
        <w:textAlignment w:val="auto"/>
        <w:rPr>
          <w:rFonts w:ascii="Arial" w:hAnsi="Arial" w:cs="Arial"/>
          <w:sz w:val="22"/>
          <w:szCs w:val="22"/>
        </w:rPr>
      </w:pPr>
      <w:r>
        <w:rPr>
          <w:rFonts w:ascii="Arial" w:hAnsi="Arial" w:cs="Arial"/>
          <w:sz w:val="22"/>
          <w:szCs w:val="22"/>
        </w:rPr>
        <w:t xml:space="preserve">La actividad municipal, técnica y administrativa, tendente a verificar si se dan las condiciones necesarias para autorizar la acometida a las redes </w:t>
      </w:r>
      <w:r>
        <w:rPr>
          <w:rFonts w:ascii="Arial" w:hAnsi="Arial" w:cs="Arial"/>
          <w:sz w:val="22"/>
          <w:szCs w:val="22"/>
        </w:rPr>
        <w:t>municipales de abastecimiento de agua potable y de alcantarillado.</w:t>
      </w:r>
    </w:p>
    <w:p w:rsidR="009B4233" w:rsidRDefault="006B08B9">
      <w:pPr>
        <w:pStyle w:val="Prrafodelista"/>
        <w:widowControl/>
        <w:numPr>
          <w:ilvl w:val="1"/>
          <w:numId w:val="33"/>
        </w:numPr>
        <w:suppressAutoHyphens w:val="0"/>
        <w:autoSpaceDE w:val="0"/>
        <w:spacing w:line="276" w:lineRule="auto"/>
        <w:ind w:left="1276"/>
        <w:jc w:val="both"/>
        <w:textAlignment w:val="auto"/>
        <w:rPr>
          <w:rFonts w:ascii="Arial" w:hAnsi="Arial" w:cs="Arial"/>
          <w:sz w:val="22"/>
          <w:szCs w:val="22"/>
        </w:rPr>
      </w:pPr>
      <w:r>
        <w:rPr>
          <w:rFonts w:ascii="Arial" w:hAnsi="Arial" w:cs="Arial"/>
          <w:sz w:val="22"/>
          <w:szCs w:val="22"/>
        </w:rPr>
        <w:t>La prestación de los servicios de abastecimiento de agua potable, de evacuación de excretas, aguas pluviales, negras y residuales, a través de la red de alcantarillado municipal, y su trata</w:t>
      </w:r>
      <w:r>
        <w:rPr>
          <w:rFonts w:ascii="Arial" w:hAnsi="Arial" w:cs="Arial"/>
          <w:sz w:val="22"/>
          <w:szCs w:val="22"/>
        </w:rPr>
        <w:t>miento para depurarlas.</w:t>
      </w:r>
    </w:p>
    <w:p w:rsidR="009B4233" w:rsidRDefault="006B08B9">
      <w:pPr>
        <w:pStyle w:val="Prrafodelista"/>
        <w:widowControl/>
        <w:numPr>
          <w:ilvl w:val="2"/>
          <w:numId w:val="33"/>
        </w:numPr>
        <w:suppressAutoHyphens w:val="0"/>
        <w:autoSpaceDE w:val="0"/>
        <w:spacing w:line="276" w:lineRule="auto"/>
        <w:ind w:left="1843" w:hanging="567"/>
        <w:jc w:val="both"/>
        <w:textAlignment w:val="auto"/>
        <w:rPr>
          <w:rFonts w:ascii="Arial" w:hAnsi="Arial" w:cs="Arial"/>
          <w:sz w:val="22"/>
          <w:szCs w:val="22"/>
        </w:rPr>
      </w:pPr>
      <w:r>
        <w:rPr>
          <w:rFonts w:ascii="Arial" w:hAnsi="Arial" w:cs="Arial"/>
          <w:sz w:val="22"/>
          <w:szCs w:val="22"/>
        </w:rPr>
        <w:t xml:space="preserve">En la prestación de los servicios de abastecimiento de agua potable, al tratarse de un servicio de recepción obligatoria, la obligación de satisfacer la prestación patrimonial de carácter no tributario nace desde el momento en que, </w:t>
      </w:r>
      <w:r>
        <w:rPr>
          <w:rFonts w:ascii="Arial" w:hAnsi="Arial" w:cs="Arial"/>
          <w:sz w:val="22"/>
          <w:szCs w:val="22"/>
        </w:rPr>
        <w:t>a solicitud de parte y previo el cumplimiento de los requisitos necesarios para formalizar el contrato de abono al servicio, se ejecute el acople de la instalación del usuario a la red general de suministro de agua. La base de percepción de esta prestación</w:t>
      </w:r>
      <w:r>
        <w:rPr>
          <w:rFonts w:ascii="Arial" w:hAnsi="Arial" w:cs="Arial"/>
          <w:sz w:val="22"/>
          <w:szCs w:val="22"/>
        </w:rPr>
        <w:t xml:space="preserve"> patrimonial de carácter no tributario será la cantidad de metros cúbicos de agua suministrada en períodos bimestrales, de acuerdo con la lectura que arroja el contador de medida.</w:t>
      </w:r>
    </w:p>
    <w:p w:rsidR="009B4233" w:rsidRDefault="009B4233">
      <w:pPr>
        <w:autoSpaceDE w:val="0"/>
        <w:spacing w:line="276" w:lineRule="auto"/>
        <w:jc w:val="both"/>
        <w:rPr>
          <w:rFonts w:ascii="Arial" w:hAnsi="Arial" w:cs="Arial"/>
          <w:sz w:val="22"/>
          <w:szCs w:val="22"/>
        </w:rPr>
      </w:pPr>
    </w:p>
    <w:p w:rsidR="009B4233" w:rsidRDefault="006B08B9">
      <w:pPr>
        <w:pStyle w:val="Prrafodelista"/>
        <w:widowControl/>
        <w:numPr>
          <w:ilvl w:val="0"/>
          <w:numId w:val="31"/>
        </w:numPr>
        <w:suppressAutoHyphens w:val="0"/>
        <w:autoSpaceDE w:val="0"/>
        <w:spacing w:line="276" w:lineRule="auto"/>
        <w:jc w:val="both"/>
        <w:textAlignment w:val="auto"/>
        <w:rPr>
          <w:rFonts w:ascii="Arial" w:hAnsi="Arial" w:cs="Arial"/>
          <w:b/>
          <w:bCs/>
          <w:sz w:val="22"/>
          <w:szCs w:val="22"/>
        </w:rPr>
      </w:pPr>
      <w:r>
        <w:rPr>
          <w:rFonts w:ascii="Arial" w:hAnsi="Arial" w:cs="Arial"/>
          <w:b/>
          <w:bCs/>
          <w:sz w:val="22"/>
          <w:szCs w:val="22"/>
        </w:rPr>
        <w:t>Obligados al Pago.</w:t>
      </w:r>
    </w:p>
    <w:p w:rsidR="009B4233" w:rsidRDefault="006B08B9">
      <w:pPr>
        <w:pStyle w:val="Prrafodelista"/>
        <w:widowControl/>
        <w:numPr>
          <w:ilvl w:val="0"/>
          <w:numId w:val="34"/>
        </w:numPr>
        <w:suppressAutoHyphens w:val="0"/>
        <w:autoSpaceDE w:val="0"/>
        <w:spacing w:line="276" w:lineRule="auto"/>
        <w:jc w:val="both"/>
        <w:textAlignment w:val="auto"/>
        <w:rPr>
          <w:rFonts w:ascii="Arial" w:hAnsi="Arial" w:cs="Arial"/>
          <w:sz w:val="22"/>
          <w:szCs w:val="22"/>
        </w:rPr>
      </w:pPr>
      <w:r>
        <w:rPr>
          <w:rFonts w:ascii="Arial" w:hAnsi="Arial" w:cs="Arial"/>
          <w:sz w:val="22"/>
          <w:szCs w:val="22"/>
        </w:rPr>
        <w:t>Son obligados al pago las personas físicas y jurídicas y</w:t>
      </w:r>
      <w:r>
        <w:rPr>
          <w:rFonts w:ascii="Arial" w:hAnsi="Arial" w:cs="Arial"/>
          <w:sz w:val="22"/>
          <w:szCs w:val="22"/>
        </w:rPr>
        <w:t xml:space="preserve"> también las herencias yacentes, comunidad de bienes y otras entidades que, sin personalidad jurídica, constituyan una unidad económica separada o patrimonio separado, susceptible de imposición, que ocupen o utilicen las viviendas y locales ubicados en las</w:t>
      </w:r>
      <w:r>
        <w:rPr>
          <w:rFonts w:ascii="Arial" w:hAnsi="Arial" w:cs="Arial"/>
          <w:sz w:val="22"/>
          <w:szCs w:val="22"/>
        </w:rPr>
        <w:t xml:space="preserve"> vías públicas en el que se preste el servicio, ya sea a título de propietario, usufructuario o habitacionista, arrendatario o incluso de precario.</w:t>
      </w:r>
    </w:p>
    <w:p w:rsidR="009B4233" w:rsidRDefault="006B08B9">
      <w:pPr>
        <w:pStyle w:val="Prrafodelista"/>
        <w:widowControl/>
        <w:numPr>
          <w:ilvl w:val="0"/>
          <w:numId w:val="34"/>
        </w:numPr>
        <w:suppressAutoHyphens w:val="0"/>
        <w:autoSpaceDE w:val="0"/>
        <w:spacing w:line="276" w:lineRule="auto"/>
        <w:jc w:val="both"/>
        <w:textAlignment w:val="auto"/>
        <w:rPr>
          <w:rFonts w:ascii="Arial" w:hAnsi="Arial" w:cs="Arial"/>
          <w:sz w:val="22"/>
          <w:szCs w:val="22"/>
        </w:rPr>
      </w:pPr>
      <w:r>
        <w:rPr>
          <w:rFonts w:ascii="Arial" w:hAnsi="Arial" w:cs="Arial"/>
          <w:sz w:val="22"/>
          <w:szCs w:val="22"/>
        </w:rPr>
        <w:t>Tendrán la consideración de sustituto del obligado al pago, el propietario de las viviendas o locales, que p</w:t>
      </w:r>
      <w:r>
        <w:rPr>
          <w:rFonts w:ascii="Arial" w:hAnsi="Arial" w:cs="Arial"/>
          <w:sz w:val="22"/>
          <w:szCs w:val="22"/>
        </w:rPr>
        <w:t>odrá repercutir, en su caso, las cuotas satisfechas sobre los usuarios de aquéllas, beneficiarios del servicio.</w:t>
      </w:r>
    </w:p>
    <w:p w:rsidR="009B4233" w:rsidRDefault="006B08B9">
      <w:pPr>
        <w:pStyle w:val="Prrafodelista"/>
        <w:widowControl/>
        <w:numPr>
          <w:ilvl w:val="0"/>
          <w:numId w:val="34"/>
        </w:numPr>
        <w:suppressAutoHyphens w:val="0"/>
        <w:autoSpaceDE w:val="0"/>
        <w:spacing w:line="276" w:lineRule="auto"/>
        <w:jc w:val="both"/>
        <w:textAlignment w:val="auto"/>
        <w:rPr>
          <w:rFonts w:ascii="Arial" w:hAnsi="Arial" w:cs="Arial"/>
          <w:sz w:val="22"/>
          <w:szCs w:val="22"/>
        </w:rPr>
      </w:pPr>
      <w:r>
        <w:rPr>
          <w:rFonts w:ascii="Arial" w:hAnsi="Arial" w:cs="Arial"/>
          <w:sz w:val="22"/>
          <w:szCs w:val="22"/>
        </w:rPr>
        <w:t xml:space="preserve">En el supuesto de alquiler, traspaso o cesión gratuita de las viviendas o locales a persona distinta de la que figure como abonado, sin haberse </w:t>
      </w:r>
      <w:r>
        <w:rPr>
          <w:rFonts w:ascii="Arial" w:hAnsi="Arial" w:cs="Arial"/>
          <w:sz w:val="22"/>
          <w:szCs w:val="22"/>
        </w:rPr>
        <w:t>procedido al cambio de titularidad en el disfrute del servicio, el obligado al pago será siempre el abonado, sin perjuicio de la facultad de éste de repercutir el pago de la deuda tributaria en quien resulte beneficiario “de hecho” del servicio.</w:t>
      </w:r>
    </w:p>
    <w:p w:rsidR="009B4233" w:rsidRDefault="009B4233">
      <w:pPr>
        <w:pStyle w:val="Prrafodelista"/>
        <w:autoSpaceDE w:val="0"/>
        <w:spacing w:line="276" w:lineRule="auto"/>
        <w:jc w:val="both"/>
        <w:rPr>
          <w:rFonts w:ascii="Arial" w:hAnsi="Arial" w:cs="Arial"/>
          <w:sz w:val="22"/>
          <w:szCs w:val="22"/>
        </w:rPr>
      </w:pPr>
    </w:p>
    <w:p w:rsidR="009B4233" w:rsidRDefault="006B08B9">
      <w:pPr>
        <w:pStyle w:val="Prrafodelista"/>
        <w:widowControl/>
        <w:numPr>
          <w:ilvl w:val="0"/>
          <w:numId w:val="31"/>
        </w:numPr>
        <w:suppressAutoHyphens w:val="0"/>
        <w:autoSpaceDE w:val="0"/>
        <w:spacing w:line="276" w:lineRule="auto"/>
        <w:ind w:left="284" w:hanging="284"/>
        <w:jc w:val="both"/>
        <w:textAlignment w:val="auto"/>
        <w:rPr>
          <w:rFonts w:ascii="Arial" w:hAnsi="Arial" w:cs="Arial"/>
          <w:b/>
          <w:bCs/>
          <w:sz w:val="22"/>
          <w:szCs w:val="22"/>
        </w:rPr>
      </w:pPr>
      <w:r>
        <w:rPr>
          <w:rFonts w:ascii="Arial" w:hAnsi="Arial" w:cs="Arial"/>
          <w:b/>
          <w:bCs/>
          <w:sz w:val="22"/>
          <w:szCs w:val="22"/>
        </w:rPr>
        <w:t>Responsab</w:t>
      </w:r>
      <w:r>
        <w:rPr>
          <w:rFonts w:ascii="Arial" w:hAnsi="Arial" w:cs="Arial"/>
          <w:b/>
          <w:bCs/>
          <w:sz w:val="22"/>
          <w:szCs w:val="22"/>
        </w:rPr>
        <w:t>les.</w:t>
      </w:r>
    </w:p>
    <w:p w:rsidR="009B4233" w:rsidRDefault="006B08B9">
      <w:pPr>
        <w:pStyle w:val="Prrafodelista"/>
        <w:widowControl/>
        <w:numPr>
          <w:ilvl w:val="0"/>
          <w:numId w:val="35"/>
        </w:numPr>
        <w:suppressAutoHyphens w:val="0"/>
        <w:autoSpaceDE w:val="0"/>
        <w:spacing w:line="276" w:lineRule="auto"/>
        <w:jc w:val="both"/>
        <w:textAlignment w:val="auto"/>
        <w:rPr>
          <w:rFonts w:ascii="Arial" w:hAnsi="Arial" w:cs="Arial"/>
          <w:sz w:val="22"/>
          <w:szCs w:val="22"/>
        </w:rPr>
      </w:pPr>
      <w:r>
        <w:rPr>
          <w:rFonts w:ascii="Arial" w:hAnsi="Arial" w:cs="Arial"/>
          <w:sz w:val="22"/>
          <w:szCs w:val="22"/>
        </w:rPr>
        <w:t>Responderán solidariamente de las obligaciones no tributarias del obligado al pago, las personas físicas y jurídicas a que se refieren los artículos 41 y 42 de la Ley General Tributaria.</w:t>
      </w:r>
    </w:p>
    <w:p w:rsidR="009B4233" w:rsidRDefault="006B08B9">
      <w:pPr>
        <w:pStyle w:val="Prrafodelista"/>
        <w:widowControl/>
        <w:numPr>
          <w:ilvl w:val="0"/>
          <w:numId w:val="35"/>
        </w:numPr>
        <w:suppressAutoHyphens w:val="0"/>
        <w:autoSpaceDE w:val="0"/>
        <w:spacing w:line="276" w:lineRule="auto"/>
        <w:jc w:val="both"/>
        <w:textAlignment w:val="auto"/>
        <w:rPr>
          <w:rFonts w:ascii="Arial" w:hAnsi="Arial" w:cs="Arial"/>
          <w:sz w:val="22"/>
          <w:szCs w:val="22"/>
        </w:rPr>
      </w:pPr>
      <w:r>
        <w:rPr>
          <w:rFonts w:ascii="Arial" w:hAnsi="Arial" w:cs="Arial"/>
          <w:sz w:val="22"/>
          <w:szCs w:val="22"/>
        </w:rPr>
        <w:t>Serán responsables subsidiarios los administradores de las socie</w:t>
      </w:r>
      <w:r>
        <w:rPr>
          <w:rFonts w:ascii="Arial" w:hAnsi="Arial" w:cs="Arial"/>
          <w:sz w:val="22"/>
          <w:szCs w:val="22"/>
        </w:rPr>
        <w:t>dades y los síndicos, interventores o liquidadores de quiebras, concursos, sociedades y entidades en general, en los supuestos y con el alcance que se señala en el artículo 43 de la Ley General Tributaria.</w:t>
      </w:r>
    </w:p>
    <w:p w:rsidR="009B4233" w:rsidRDefault="006B08B9">
      <w:pPr>
        <w:pStyle w:val="Prrafodelista"/>
        <w:widowControl/>
        <w:numPr>
          <w:ilvl w:val="0"/>
          <w:numId w:val="35"/>
        </w:numPr>
        <w:suppressAutoHyphens w:val="0"/>
        <w:autoSpaceDE w:val="0"/>
        <w:spacing w:line="276" w:lineRule="auto"/>
        <w:jc w:val="both"/>
        <w:textAlignment w:val="auto"/>
        <w:rPr>
          <w:rFonts w:ascii="Arial" w:hAnsi="Arial" w:cs="Arial"/>
          <w:sz w:val="22"/>
          <w:szCs w:val="22"/>
        </w:rPr>
      </w:pPr>
      <w:r>
        <w:rPr>
          <w:rFonts w:ascii="Arial" w:hAnsi="Arial" w:cs="Arial"/>
          <w:sz w:val="22"/>
          <w:szCs w:val="22"/>
        </w:rPr>
        <w:t xml:space="preserve">En lo no previsto en este artículo relativo a la </w:t>
      </w:r>
      <w:r>
        <w:rPr>
          <w:rFonts w:ascii="Arial" w:hAnsi="Arial" w:cs="Arial"/>
          <w:sz w:val="22"/>
          <w:szCs w:val="22"/>
        </w:rPr>
        <w:t>responsabilidad y responsables solidarios y subsidiarios se estará a lo establecido en los artículos 41 a 43 de la Ley 58/2003, de 17 de diciembre, General Tributaria.</w:t>
      </w:r>
    </w:p>
    <w:p w:rsidR="009B4233" w:rsidRDefault="009B4233">
      <w:pPr>
        <w:pStyle w:val="Prrafodelista"/>
        <w:autoSpaceDE w:val="0"/>
        <w:spacing w:line="276" w:lineRule="auto"/>
        <w:jc w:val="both"/>
        <w:rPr>
          <w:rFonts w:ascii="Arial" w:hAnsi="Arial" w:cs="Arial"/>
          <w:sz w:val="22"/>
          <w:szCs w:val="22"/>
        </w:rPr>
      </w:pPr>
    </w:p>
    <w:p w:rsidR="009B4233" w:rsidRDefault="006B08B9">
      <w:pPr>
        <w:pStyle w:val="Prrafodelista"/>
        <w:widowControl/>
        <w:numPr>
          <w:ilvl w:val="0"/>
          <w:numId w:val="31"/>
        </w:numPr>
        <w:suppressAutoHyphens w:val="0"/>
        <w:autoSpaceDE w:val="0"/>
        <w:spacing w:line="276" w:lineRule="auto"/>
        <w:ind w:left="284" w:hanging="284"/>
        <w:jc w:val="both"/>
        <w:textAlignment w:val="auto"/>
        <w:rPr>
          <w:rFonts w:ascii="Arial" w:hAnsi="Arial" w:cs="Arial"/>
          <w:b/>
          <w:bCs/>
          <w:sz w:val="22"/>
          <w:szCs w:val="22"/>
        </w:rPr>
      </w:pPr>
      <w:r>
        <w:rPr>
          <w:rFonts w:ascii="Arial" w:hAnsi="Arial" w:cs="Arial"/>
          <w:b/>
          <w:bCs/>
          <w:sz w:val="22"/>
          <w:szCs w:val="22"/>
        </w:rPr>
        <w:t>Periodicidad de la Facturación y Nacimiento de la obligación al Pago.</w:t>
      </w:r>
    </w:p>
    <w:p w:rsidR="009B4233" w:rsidRDefault="006B08B9">
      <w:pPr>
        <w:pStyle w:val="Prrafodelista"/>
        <w:widowControl/>
        <w:numPr>
          <w:ilvl w:val="0"/>
          <w:numId w:val="36"/>
        </w:numPr>
        <w:suppressAutoHyphens w:val="0"/>
        <w:autoSpaceDE w:val="0"/>
        <w:spacing w:line="276" w:lineRule="auto"/>
        <w:ind w:left="709"/>
        <w:jc w:val="both"/>
        <w:textAlignment w:val="auto"/>
        <w:rPr>
          <w:rFonts w:ascii="Arial" w:hAnsi="Arial" w:cs="Arial"/>
          <w:sz w:val="22"/>
          <w:szCs w:val="22"/>
        </w:rPr>
      </w:pPr>
      <w:r>
        <w:rPr>
          <w:rFonts w:ascii="Arial" w:hAnsi="Arial" w:cs="Arial"/>
          <w:sz w:val="22"/>
          <w:szCs w:val="22"/>
        </w:rPr>
        <w:t>Nace la obligació</w:t>
      </w:r>
      <w:r>
        <w:rPr>
          <w:rFonts w:ascii="Arial" w:hAnsi="Arial" w:cs="Arial"/>
          <w:sz w:val="22"/>
          <w:szCs w:val="22"/>
        </w:rPr>
        <w:t>n de contribuir desde el momento en que se inicia la prestación del servicio, entendiéndose iniciada, dada la naturaleza de recepción obligatoria del mismo, cuando esté establecida y en funcionamiento el servicio municipal de conservación y mantenimiento d</w:t>
      </w:r>
      <w:r>
        <w:rPr>
          <w:rFonts w:ascii="Arial" w:hAnsi="Arial" w:cs="Arial"/>
          <w:sz w:val="22"/>
          <w:szCs w:val="22"/>
        </w:rPr>
        <w:t>e los sistemas municipales de gestión del ciclo integral del agua y las actividades conexas a los mismos el término municipal de Candelaria.</w:t>
      </w:r>
    </w:p>
    <w:p w:rsidR="009B4233" w:rsidRDefault="006B08B9">
      <w:pPr>
        <w:pStyle w:val="Prrafodelista"/>
        <w:widowControl/>
        <w:numPr>
          <w:ilvl w:val="0"/>
          <w:numId w:val="36"/>
        </w:numPr>
        <w:suppressAutoHyphens w:val="0"/>
        <w:autoSpaceDE w:val="0"/>
        <w:spacing w:line="276" w:lineRule="auto"/>
        <w:ind w:left="709"/>
        <w:jc w:val="both"/>
        <w:textAlignment w:val="auto"/>
        <w:rPr>
          <w:rFonts w:ascii="Arial" w:hAnsi="Arial" w:cs="Arial"/>
          <w:sz w:val="22"/>
          <w:szCs w:val="22"/>
        </w:rPr>
      </w:pPr>
      <w:r>
        <w:rPr>
          <w:rFonts w:ascii="Arial" w:hAnsi="Arial" w:cs="Arial"/>
          <w:sz w:val="22"/>
          <w:szCs w:val="22"/>
        </w:rPr>
        <w:t>Los servicios de evacuación de excretas, aguas pluviales, negras y residuales, tienen carácter obligatorio para tod</w:t>
      </w:r>
      <w:r>
        <w:rPr>
          <w:rFonts w:ascii="Arial" w:hAnsi="Arial" w:cs="Arial"/>
          <w:sz w:val="22"/>
          <w:szCs w:val="22"/>
        </w:rPr>
        <w:t xml:space="preserve">as las fincas del municipio que tengas fachada a calles, plazas o vías públicas en que exista alcantarillado, siempre que la distancia entre la red y la finca no exceda de cien metros, y se devengará la prestación patrimonial de carácter no tributario aún </w:t>
      </w:r>
      <w:r>
        <w:rPr>
          <w:rFonts w:ascii="Arial" w:hAnsi="Arial" w:cs="Arial"/>
          <w:sz w:val="22"/>
          <w:szCs w:val="22"/>
        </w:rPr>
        <w:t>cuando los interesados no procedan a efectuar la acometida a la red.</w:t>
      </w:r>
    </w:p>
    <w:p w:rsidR="009B4233" w:rsidRDefault="006B08B9">
      <w:pPr>
        <w:pStyle w:val="Prrafodelista"/>
        <w:widowControl/>
        <w:numPr>
          <w:ilvl w:val="1"/>
          <w:numId w:val="36"/>
        </w:numPr>
        <w:suppressAutoHyphens w:val="0"/>
        <w:autoSpaceDE w:val="0"/>
        <w:spacing w:line="276" w:lineRule="auto"/>
        <w:ind w:left="1134"/>
        <w:jc w:val="both"/>
        <w:textAlignment w:val="auto"/>
        <w:rPr>
          <w:rFonts w:ascii="Arial" w:hAnsi="Arial" w:cs="Arial"/>
          <w:sz w:val="22"/>
          <w:szCs w:val="22"/>
        </w:rPr>
      </w:pPr>
      <w:r>
        <w:rPr>
          <w:rFonts w:ascii="Arial" w:hAnsi="Arial" w:cs="Arial"/>
          <w:sz w:val="22"/>
          <w:szCs w:val="22"/>
        </w:rPr>
        <w:t>Salvo lo dispuesto en el apartado 2.3 de este artículo, el período de facturación coincide con el año natural.</w:t>
      </w:r>
    </w:p>
    <w:p w:rsidR="009B4233" w:rsidRDefault="006B08B9">
      <w:pPr>
        <w:pStyle w:val="Prrafodelista"/>
        <w:widowControl/>
        <w:numPr>
          <w:ilvl w:val="1"/>
          <w:numId w:val="36"/>
        </w:numPr>
        <w:suppressAutoHyphens w:val="0"/>
        <w:autoSpaceDE w:val="0"/>
        <w:spacing w:line="276" w:lineRule="auto"/>
        <w:ind w:left="1134"/>
        <w:jc w:val="both"/>
        <w:textAlignment w:val="auto"/>
        <w:rPr>
          <w:rFonts w:ascii="Arial" w:hAnsi="Arial" w:cs="Arial"/>
          <w:sz w:val="22"/>
          <w:szCs w:val="22"/>
        </w:rPr>
      </w:pPr>
      <w:r>
        <w:rPr>
          <w:rFonts w:ascii="Arial" w:hAnsi="Arial" w:cs="Arial"/>
          <w:sz w:val="22"/>
          <w:szCs w:val="22"/>
        </w:rPr>
        <w:t>La prestación patrimonial de carácter no tributario se devenga el primer día</w:t>
      </w:r>
      <w:r>
        <w:rPr>
          <w:rFonts w:ascii="Arial" w:hAnsi="Arial" w:cs="Arial"/>
          <w:sz w:val="22"/>
          <w:szCs w:val="22"/>
        </w:rPr>
        <w:t xml:space="preserve"> del año.</w:t>
      </w:r>
    </w:p>
    <w:p w:rsidR="009B4233" w:rsidRDefault="006B08B9">
      <w:pPr>
        <w:pStyle w:val="Prrafodelista"/>
        <w:widowControl/>
        <w:numPr>
          <w:ilvl w:val="1"/>
          <w:numId w:val="36"/>
        </w:numPr>
        <w:suppressAutoHyphens w:val="0"/>
        <w:autoSpaceDE w:val="0"/>
        <w:spacing w:line="276" w:lineRule="auto"/>
        <w:ind w:left="1134"/>
        <w:jc w:val="both"/>
        <w:textAlignment w:val="auto"/>
        <w:rPr>
          <w:rFonts w:ascii="Arial" w:hAnsi="Arial" w:cs="Arial"/>
          <w:sz w:val="22"/>
          <w:szCs w:val="22"/>
        </w:rPr>
      </w:pPr>
      <w:r>
        <w:rPr>
          <w:rFonts w:ascii="Arial" w:hAnsi="Arial" w:cs="Arial"/>
          <w:sz w:val="22"/>
          <w:szCs w:val="22"/>
        </w:rPr>
        <w:t>Para los supuestos de inicio o cese en el uso del servicio, el período de facturación se ajustará a esa circunstancia comprendiendo, respectivamente, desde la fecha de inicio hasta el último día del bimestre natural que le corresponda, o desde el</w:t>
      </w:r>
      <w:r>
        <w:rPr>
          <w:rFonts w:ascii="Arial" w:hAnsi="Arial" w:cs="Arial"/>
          <w:sz w:val="22"/>
          <w:szCs w:val="22"/>
        </w:rPr>
        <w:t xml:space="preserve"> primer día de éste hasta la fecha de cese; en estos casos, procederá el prorrateo de la cuota en función del tiempo de esta manera establecido.</w:t>
      </w:r>
    </w:p>
    <w:p w:rsidR="009B4233" w:rsidRDefault="009B4233">
      <w:pPr>
        <w:pStyle w:val="Prrafodelista"/>
        <w:autoSpaceDE w:val="0"/>
        <w:spacing w:line="276" w:lineRule="auto"/>
        <w:ind w:left="284"/>
        <w:jc w:val="both"/>
        <w:rPr>
          <w:rFonts w:ascii="Arial" w:hAnsi="Arial" w:cs="Arial"/>
          <w:b/>
          <w:bCs/>
          <w:sz w:val="22"/>
          <w:szCs w:val="22"/>
        </w:rPr>
      </w:pPr>
    </w:p>
    <w:p w:rsidR="009B4233" w:rsidRDefault="006B08B9">
      <w:pPr>
        <w:pStyle w:val="Prrafodelista"/>
        <w:widowControl/>
        <w:numPr>
          <w:ilvl w:val="0"/>
          <w:numId w:val="31"/>
        </w:numPr>
        <w:suppressAutoHyphens w:val="0"/>
        <w:autoSpaceDE w:val="0"/>
        <w:spacing w:line="276" w:lineRule="auto"/>
        <w:ind w:left="284" w:hanging="284"/>
        <w:jc w:val="both"/>
        <w:textAlignment w:val="auto"/>
        <w:rPr>
          <w:rFonts w:ascii="Arial" w:hAnsi="Arial" w:cs="Arial"/>
          <w:b/>
          <w:bCs/>
          <w:sz w:val="22"/>
          <w:szCs w:val="22"/>
        </w:rPr>
      </w:pPr>
      <w:r>
        <w:rPr>
          <w:rFonts w:ascii="Arial" w:hAnsi="Arial" w:cs="Arial"/>
          <w:b/>
          <w:bCs/>
          <w:sz w:val="22"/>
          <w:szCs w:val="22"/>
        </w:rPr>
        <w:t>Condiciones Generales de Prestación del Servicio</w:t>
      </w:r>
    </w:p>
    <w:p w:rsidR="009B4233" w:rsidRDefault="006B08B9">
      <w:pPr>
        <w:pStyle w:val="Prrafodelista"/>
        <w:widowControl/>
        <w:numPr>
          <w:ilvl w:val="0"/>
          <w:numId w:val="37"/>
        </w:numPr>
        <w:suppressAutoHyphens w:val="0"/>
        <w:autoSpaceDE w:val="0"/>
        <w:spacing w:line="276" w:lineRule="auto"/>
        <w:ind w:left="709"/>
        <w:jc w:val="both"/>
        <w:textAlignment w:val="auto"/>
        <w:rPr>
          <w:rFonts w:ascii="Arial" w:hAnsi="Arial" w:cs="Arial"/>
          <w:sz w:val="22"/>
          <w:szCs w:val="22"/>
        </w:rPr>
      </w:pPr>
      <w:r>
        <w:rPr>
          <w:rFonts w:ascii="Arial" w:hAnsi="Arial" w:cs="Arial"/>
          <w:sz w:val="22"/>
          <w:szCs w:val="22"/>
        </w:rPr>
        <w:t>Para poder figurar como abonado al servicio municipal de agua</w:t>
      </w:r>
      <w:r>
        <w:rPr>
          <w:rFonts w:ascii="Arial" w:hAnsi="Arial" w:cs="Arial"/>
          <w:sz w:val="22"/>
          <w:szCs w:val="22"/>
        </w:rPr>
        <w:t>s, el interesado deberá solicitar del Ayuntamiento la licencia de acople correspondiente. Obtenida la licencia y previo pago de los derechos establecidos, la condición de abonado se formalizará inexcusablemente en una póliza o contrato de adhesión suscrita</w:t>
      </w:r>
      <w:r>
        <w:rPr>
          <w:rFonts w:ascii="Arial" w:hAnsi="Arial" w:cs="Arial"/>
          <w:sz w:val="22"/>
          <w:szCs w:val="22"/>
        </w:rPr>
        <w:t>, por duplicado, entre el abonado y la Administración Municipal, que podrá estar representada por una empresa concesionaria del servicio si lo hubiera. La firma de la póliza obliga a ambas partes al cumplimiento de sus cláusulas, en las que deberán figurar</w:t>
      </w:r>
      <w:r>
        <w:rPr>
          <w:rFonts w:ascii="Arial" w:hAnsi="Arial" w:cs="Arial"/>
          <w:sz w:val="22"/>
          <w:szCs w:val="22"/>
        </w:rPr>
        <w:t xml:space="preserve"> las condiciones básicas por las que se rige el servicio.</w:t>
      </w:r>
    </w:p>
    <w:p w:rsidR="009B4233" w:rsidRDefault="006B08B9">
      <w:pPr>
        <w:pStyle w:val="Prrafodelista"/>
        <w:widowControl/>
        <w:numPr>
          <w:ilvl w:val="0"/>
          <w:numId w:val="37"/>
        </w:numPr>
        <w:suppressAutoHyphens w:val="0"/>
        <w:autoSpaceDE w:val="0"/>
        <w:spacing w:line="276" w:lineRule="auto"/>
        <w:ind w:left="709"/>
        <w:jc w:val="both"/>
        <w:textAlignment w:val="auto"/>
        <w:rPr>
          <w:rFonts w:ascii="Arial" w:hAnsi="Arial" w:cs="Arial"/>
          <w:sz w:val="22"/>
          <w:szCs w:val="22"/>
        </w:rPr>
      </w:pPr>
      <w:r>
        <w:rPr>
          <w:rFonts w:ascii="Arial" w:hAnsi="Arial" w:cs="Arial"/>
          <w:sz w:val="22"/>
          <w:szCs w:val="22"/>
        </w:rPr>
        <w:t>La prestación de los servicios de abastecimiento de agua potable, de evacuación de excretas, aguas pluviales, negras y residuales, a través de la red de alcantarillado municipal, y su tratamiento pa</w:t>
      </w:r>
      <w:r>
        <w:rPr>
          <w:rFonts w:ascii="Arial" w:hAnsi="Arial" w:cs="Arial"/>
          <w:sz w:val="22"/>
          <w:szCs w:val="22"/>
        </w:rPr>
        <w:t>ra depurarlas, estará sujeta al suministro de agua cuyo consumo se medirá por un aparato contador que deberá ser verificado oficialmente antes de su puesta en servicio. Cuando en un mismo edificio existe más de un abonado, cada uno precisará de contador in</w:t>
      </w:r>
      <w:r>
        <w:rPr>
          <w:rFonts w:ascii="Arial" w:hAnsi="Arial" w:cs="Arial"/>
          <w:sz w:val="22"/>
          <w:szCs w:val="22"/>
        </w:rPr>
        <w:t>dependiente, situados en planta baja, colocados en batería y de forma que el personal del servicio tenga acceso a los mismos. Asimismo, todos los contadores de viviendas unifamiliares y de edificios individuales deberán estar instalados en fachadas o arque</w:t>
      </w:r>
      <w:r>
        <w:rPr>
          <w:rFonts w:ascii="Arial" w:hAnsi="Arial" w:cs="Arial"/>
          <w:sz w:val="22"/>
          <w:szCs w:val="22"/>
        </w:rPr>
        <w:t>tas con acceso desde el exterior. En todo caso, antes del contador no podrá existir ningún tipo de instalación que permita consumo o pérdida de agua sin registrar.</w:t>
      </w:r>
    </w:p>
    <w:p w:rsidR="009B4233" w:rsidRDefault="006B08B9">
      <w:pPr>
        <w:pStyle w:val="Prrafodelista"/>
        <w:widowControl/>
        <w:numPr>
          <w:ilvl w:val="0"/>
          <w:numId w:val="37"/>
        </w:numPr>
        <w:suppressAutoHyphens w:val="0"/>
        <w:autoSpaceDE w:val="0"/>
        <w:spacing w:line="276" w:lineRule="auto"/>
        <w:ind w:left="709"/>
        <w:jc w:val="both"/>
        <w:textAlignment w:val="auto"/>
        <w:rPr>
          <w:rFonts w:ascii="Arial" w:hAnsi="Arial" w:cs="Arial"/>
          <w:sz w:val="22"/>
          <w:szCs w:val="22"/>
        </w:rPr>
      </w:pPr>
      <w:r>
        <w:rPr>
          <w:rFonts w:ascii="Arial" w:hAnsi="Arial" w:cs="Arial"/>
          <w:sz w:val="22"/>
          <w:szCs w:val="22"/>
        </w:rPr>
        <w:t>Con independencia de las condiciones generales que figuren en la póliza, la prestación del s</w:t>
      </w:r>
      <w:r>
        <w:rPr>
          <w:rFonts w:ascii="Arial" w:hAnsi="Arial" w:cs="Arial"/>
          <w:sz w:val="22"/>
          <w:szCs w:val="22"/>
        </w:rPr>
        <w:t>ervicio se realizará en la forma y condiciones establecidas en el Reglamento que lo regula, que será vigente en cada momento, en especial en lo referente a las características de las instalaciones.</w:t>
      </w:r>
    </w:p>
    <w:p w:rsidR="009B4233" w:rsidRDefault="009B4233">
      <w:pPr>
        <w:pStyle w:val="Prrafodelista"/>
        <w:autoSpaceDE w:val="0"/>
        <w:spacing w:line="276" w:lineRule="auto"/>
        <w:ind w:left="284"/>
        <w:jc w:val="both"/>
        <w:rPr>
          <w:rFonts w:ascii="Arial" w:hAnsi="Arial" w:cs="Arial"/>
          <w:sz w:val="22"/>
          <w:szCs w:val="22"/>
        </w:rPr>
      </w:pPr>
    </w:p>
    <w:p w:rsidR="009B4233" w:rsidRDefault="006B08B9">
      <w:pPr>
        <w:pStyle w:val="Prrafodelista"/>
        <w:widowControl/>
        <w:numPr>
          <w:ilvl w:val="0"/>
          <w:numId w:val="31"/>
        </w:numPr>
        <w:suppressAutoHyphens w:val="0"/>
        <w:autoSpaceDE w:val="0"/>
        <w:spacing w:line="276" w:lineRule="auto"/>
        <w:ind w:left="284" w:hanging="284"/>
        <w:jc w:val="both"/>
        <w:textAlignment w:val="auto"/>
        <w:rPr>
          <w:rFonts w:ascii="Arial" w:hAnsi="Arial" w:cs="Arial"/>
          <w:b/>
          <w:bCs/>
          <w:sz w:val="22"/>
          <w:szCs w:val="22"/>
        </w:rPr>
      </w:pPr>
      <w:r>
        <w:rPr>
          <w:rFonts w:ascii="Arial" w:hAnsi="Arial" w:cs="Arial"/>
          <w:b/>
          <w:bCs/>
          <w:sz w:val="22"/>
          <w:szCs w:val="22"/>
        </w:rPr>
        <w:t>Cuota y Tarifas.</w:t>
      </w:r>
    </w:p>
    <w:p w:rsidR="009B4233" w:rsidRDefault="006B08B9">
      <w:pPr>
        <w:pStyle w:val="Prrafodelista"/>
        <w:widowControl/>
        <w:numPr>
          <w:ilvl w:val="0"/>
          <w:numId w:val="38"/>
        </w:numPr>
        <w:suppressAutoHyphens w:val="0"/>
        <w:autoSpaceDE w:val="0"/>
        <w:spacing w:line="276" w:lineRule="auto"/>
        <w:ind w:left="709"/>
        <w:jc w:val="both"/>
        <w:textAlignment w:val="auto"/>
      </w:pPr>
      <w:r>
        <w:rPr>
          <w:rFonts w:ascii="Arial" w:hAnsi="Arial" w:cs="Arial"/>
          <w:sz w:val="22"/>
          <w:szCs w:val="22"/>
        </w:rPr>
        <w:t>La cuota a satisfacer por el obligado al</w:t>
      </w:r>
      <w:r>
        <w:rPr>
          <w:rFonts w:ascii="Arial" w:hAnsi="Arial" w:cs="Arial"/>
          <w:sz w:val="22"/>
          <w:szCs w:val="22"/>
        </w:rPr>
        <w:t xml:space="preserve"> pago correspondiente al suministro o distribución de agua</w:t>
      </w:r>
      <w:r>
        <w:rPr>
          <w:rFonts w:ascii="Arial" w:hAnsi="Arial" w:cs="Arial"/>
          <w:b/>
          <w:bCs/>
          <w:sz w:val="22"/>
          <w:szCs w:val="22"/>
        </w:rPr>
        <w:t xml:space="preserve"> </w:t>
      </w:r>
      <w:r>
        <w:rPr>
          <w:rFonts w:ascii="Arial" w:hAnsi="Arial" w:cs="Arial"/>
          <w:sz w:val="22"/>
          <w:szCs w:val="22"/>
        </w:rPr>
        <w:t>se determinará en función de:</w:t>
      </w:r>
    </w:p>
    <w:p w:rsidR="009B4233" w:rsidRDefault="006B08B9">
      <w:pPr>
        <w:pStyle w:val="Prrafodelista"/>
        <w:widowControl/>
        <w:numPr>
          <w:ilvl w:val="1"/>
          <w:numId w:val="39"/>
        </w:numPr>
        <w:suppressAutoHyphens w:val="0"/>
        <w:autoSpaceDE w:val="0"/>
        <w:spacing w:line="276" w:lineRule="auto"/>
        <w:ind w:left="1134"/>
        <w:jc w:val="both"/>
        <w:textAlignment w:val="auto"/>
        <w:rPr>
          <w:rFonts w:ascii="Arial" w:hAnsi="Arial" w:cs="Arial"/>
          <w:sz w:val="22"/>
          <w:szCs w:val="22"/>
        </w:rPr>
      </w:pPr>
      <w:r>
        <w:rPr>
          <w:rFonts w:ascii="Arial" w:hAnsi="Arial" w:cs="Arial"/>
          <w:sz w:val="22"/>
          <w:szCs w:val="22"/>
        </w:rPr>
        <w:t>Derecho de acometida a la red general de abastecimiento: el hecho de la conexión a la red por cada inmueble, vivienda individual, local comercial o suministro para obr</w:t>
      </w:r>
      <w:r>
        <w:rPr>
          <w:rFonts w:ascii="Arial" w:hAnsi="Arial" w:cs="Arial"/>
          <w:sz w:val="22"/>
          <w:szCs w:val="22"/>
        </w:rPr>
        <w:t>as.</w:t>
      </w:r>
    </w:p>
    <w:p w:rsidR="009B4233" w:rsidRDefault="006B08B9">
      <w:pPr>
        <w:pStyle w:val="Prrafodelista"/>
        <w:widowControl/>
        <w:numPr>
          <w:ilvl w:val="1"/>
          <w:numId w:val="39"/>
        </w:numPr>
        <w:suppressAutoHyphens w:val="0"/>
        <w:autoSpaceDE w:val="0"/>
        <w:spacing w:line="276" w:lineRule="auto"/>
        <w:ind w:left="1134"/>
        <w:jc w:val="both"/>
        <w:textAlignment w:val="auto"/>
        <w:rPr>
          <w:rFonts w:ascii="Arial" w:hAnsi="Arial" w:cs="Arial"/>
          <w:sz w:val="22"/>
          <w:szCs w:val="22"/>
        </w:rPr>
      </w:pPr>
      <w:r>
        <w:rPr>
          <w:rFonts w:ascii="Arial" w:hAnsi="Arial" w:cs="Arial"/>
          <w:sz w:val="22"/>
          <w:szCs w:val="22"/>
        </w:rPr>
        <w:t>Ejecución de acometida: ejecución, si procede, de nueva acometida desde la red municipal de abastecimiento hasta la llave de registro.</w:t>
      </w:r>
    </w:p>
    <w:p w:rsidR="009B4233" w:rsidRDefault="006B08B9">
      <w:pPr>
        <w:pStyle w:val="Prrafodelista"/>
        <w:widowControl/>
        <w:numPr>
          <w:ilvl w:val="1"/>
          <w:numId w:val="39"/>
        </w:numPr>
        <w:suppressAutoHyphens w:val="0"/>
        <w:autoSpaceDE w:val="0"/>
        <w:spacing w:line="276" w:lineRule="auto"/>
        <w:ind w:left="1134"/>
        <w:jc w:val="both"/>
        <w:textAlignment w:val="auto"/>
        <w:rPr>
          <w:rFonts w:ascii="Arial" w:hAnsi="Arial" w:cs="Arial"/>
          <w:sz w:val="22"/>
          <w:szCs w:val="22"/>
        </w:rPr>
      </w:pPr>
      <w:r>
        <w:rPr>
          <w:rFonts w:ascii="Arial" w:hAnsi="Arial" w:cs="Arial"/>
          <w:sz w:val="22"/>
          <w:szCs w:val="22"/>
        </w:rPr>
        <w:t>La colocación y utilización de contador: el calibre del contador a instalar.</w:t>
      </w:r>
    </w:p>
    <w:p w:rsidR="009B4233" w:rsidRDefault="006B08B9">
      <w:pPr>
        <w:pStyle w:val="Prrafodelista"/>
        <w:widowControl/>
        <w:numPr>
          <w:ilvl w:val="1"/>
          <w:numId w:val="39"/>
        </w:numPr>
        <w:suppressAutoHyphens w:val="0"/>
        <w:autoSpaceDE w:val="0"/>
        <w:spacing w:line="276" w:lineRule="auto"/>
        <w:ind w:left="1134"/>
        <w:jc w:val="both"/>
        <w:textAlignment w:val="auto"/>
        <w:rPr>
          <w:rFonts w:ascii="Arial" w:hAnsi="Arial" w:cs="Arial"/>
          <w:sz w:val="22"/>
          <w:szCs w:val="22"/>
        </w:rPr>
      </w:pPr>
      <w:r>
        <w:rPr>
          <w:rFonts w:ascii="Arial" w:hAnsi="Arial" w:cs="Arial"/>
          <w:sz w:val="22"/>
          <w:szCs w:val="22"/>
        </w:rPr>
        <w:t xml:space="preserve">Los metros cúbicos de agua consumida en </w:t>
      </w:r>
      <w:r>
        <w:rPr>
          <w:rFonts w:ascii="Arial" w:hAnsi="Arial" w:cs="Arial"/>
          <w:sz w:val="22"/>
          <w:szCs w:val="22"/>
        </w:rPr>
        <w:t>el inmueble donde esté instalado el servicio.</w:t>
      </w:r>
    </w:p>
    <w:p w:rsidR="009B4233" w:rsidRDefault="009B4233">
      <w:pPr>
        <w:autoSpaceDE w:val="0"/>
        <w:spacing w:line="276" w:lineRule="auto"/>
        <w:ind w:left="1058"/>
        <w:jc w:val="both"/>
        <w:rPr>
          <w:rFonts w:ascii="Arial" w:hAnsi="Arial" w:cs="Arial"/>
          <w:sz w:val="22"/>
          <w:szCs w:val="22"/>
        </w:rPr>
      </w:pPr>
    </w:p>
    <w:p w:rsidR="009B4233" w:rsidRDefault="006B08B9">
      <w:pPr>
        <w:autoSpaceDE w:val="0"/>
        <w:spacing w:line="276" w:lineRule="auto"/>
        <w:ind w:firstLine="708"/>
        <w:jc w:val="both"/>
        <w:rPr>
          <w:rFonts w:ascii="Arial" w:hAnsi="Arial" w:cs="Arial"/>
          <w:sz w:val="22"/>
          <w:szCs w:val="22"/>
        </w:rPr>
      </w:pPr>
      <w:r>
        <w:rPr>
          <w:rFonts w:ascii="Arial" w:hAnsi="Arial" w:cs="Arial"/>
          <w:sz w:val="22"/>
          <w:szCs w:val="22"/>
        </w:rPr>
        <w:t>Las tarifas a aplicar son las siguientes:</w:t>
      </w:r>
    </w:p>
    <w:p w:rsidR="009B4233" w:rsidRDefault="006B08B9">
      <w:pPr>
        <w:pStyle w:val="Prrafodelista"/>
        <w:widowControl/>
        <w:numPr>
          <w:ilvl w:val="1"/>
          <w:numId w:val="38"/>
        </w:numPr>
        <w:suppressAutoHyphens w:val="0"/>
        <w:autoSpaceDE w:val="0"/>
        <w:spacing w:line="276" w:lineRule="auto"/>
        <w:ind w:left="1418"/>
        <w:jc w:val="both"/>
        <w:textAlignment w:val="auto"/>
        <w:rPr>
          <w:rFonts w:ascii="Arial" w:hAnsi="Arial" w:cs="Arial"/>
          <w:sz w:val="22"/>
          <w:szCs w:val="22"/>
        </w:rPr>
      </w:pPr>
      <w:r>
        <w:rPr>
          <w:rFonts w:ascii="Arial" w:hAnsi="Arial" w:cs="Arial"/>
          <w:sz w:val="22"/>
          <w:szCs w:val="22"/>
        </w:rPr>
        <w:t xml:space="preserve">Acoples a la red. </w:t>
      </w:r>
    </w:p>
    <w:p w:rsidR="009B4233" w:rsidRDefault="006B08B9">
      <w:pPr>
        <w:pStyle w:val="Prrafodelista"/>
        <w:widowControl/>
        <w:numPr>
          <w:ilvl w:val="2"/>
          <w:numId w:val="38"/>
        </w:numPr>
        <w:suppressAutoHyphens w:val="0"/>
        <w:autoSpaceDE w:val="0"/>
        <w:spacing w:line="276" w:lineRule="auto"/>
        <w:ind w:left="1985" w:hanging="567"/>
        <w:jc w:val="both"/>
        <w:textAlignment w:val="auto"/>
        <w:rPr>
          <w:rFonts w:ascii="Arial" w:hAnsi="Arial" w:cs="Arial"/>
          <w:sz w:val="22"/>
          <w:szCs w:val="22"/>
        </w:rPr>
      </w:pPr>
      <w:r>
        <w:rPr>
          <w:rFonts w:ascii="Arial" w:hAnsi="Arial" w:cs="Arial"/>
          <w:sz w:val="22"/>
          <w:szCs w:val="22"/>
        </w:rPr>
        <w:t>Por concesión de la licencia de acometida a la red general de agua</w:t>
      </w:r>
    </w:p>
    <w:p w:rsidR="009B4233" w:rsidRDefault="006B08B9">
      <w:pPr>
        <w:pStyle w:val="Prrafodelista"/>
        <w:widowControl/>
        <w:numPr>
          <w:ilvl w:val="3"/>
          <w:numId w:val="38"/>
        </w:numPr>
        <w:suppressAutoHyphens w:val="0"/>
        <w:autoSpaceDE w:val="0"/>
        <w:spacing w:line="276" w:lineRule="auto"/>
        <w:ind w:left="2694"/>
        <w:jc w:val="both"/>
        <w:textAlignment w:val="auto"/>
        <w:rPr>
          <w:rFonts w:ascii="Arial" w:hAnsi="Arial" w:cs="Arial"/>
          <w:sz w:val="22"/>
          <w:szCs w:val="22"/>
        </w:rPr>
      </w:pPr>
      <w:r>
        <w:rPr>
          <w:rFonts w:ascii="Arial" w:hAnsi="Arial" w:cs="Arial"/>
          <w:sz w:val="22"/>
          <w:szCs w:val="22"/>
        </w:rPr>
        <w:t>Para abonados con uso doméstico 42,37 euros</w:t>
      </w:r>
    </w:p>
    <w:p w:rsidR="009B4233" w:rsidRDefault="006B08B9">
      <w:pPr>
        <w:pStyle w:val="Prrafodelista"/>
        <w:widowControl/>
        <w:numPr>
          <w:ilvl w:val="3"/>
          <w:numId w:val="38"/>
        </w:numPr>
        <w:suppressAutoHyphens w:val="0"/>
        <w:autoSpaceDE w:val="0"/>
        <w:spacing w:line="276" w:lineRule="auto"/>
        <w:ind w:left="2694"/>
        <w:jc w:val="both"/>
        <w:textAlignment w:val="auto"/>
        <w:rPr>
          <w:rFonts w:ascii="Arial" w:hAnsi="Arial" w:cs="Arial"/>
          <w:sz w:val="22"/>
          <w:szCs w:val="22"/>
        </w:rPr>
      </w:pPr>
      <w:r>
        <w:rPr>
          <w:rFonts w:ascii="Arial" w:hAnsi="Arial" w:cs="Arial"/>
          <w:sz w:val="22"/>
          <w:szCs w:val="22"/>
        </w:rPr>
        <w:t xml:space="preserve">Para abonados con uso industrial o </w:t>
      </w:r>
      <w:r>
        <w:rPr>
          <w:rFonts w:ascii="Arial" w:hAnsi="Arial" w:cs="Arial"/>
          <w:sz w:val="22"/>
          <w:szCs w:val="22"/>
        </w:rPr>
        <w:t>comercial 63,56 euros</w:t>
      </w:r>
    </w:p>
    <w:p w:rsidR="009B4233" w:rsidRDefault="006B08B9">
      <w:pPr>
        <w:pStyle w:val="Prrafodelista"/>
        <w:widowControl/>
        <w:numPr>
          <w:ilvl w:val="2"/>
          <w:numId w:val="38"/>
        </w:numPr>
        <w:suppressAutoHyphens w:val="0"/>
        <w:autoSpaceDE w:val="0"/>
        <w:spacing w:line="276" w:lineRule="auto"/>
        <w:ind w:left="1985" w:hanging="567"/>
        <w:jc w:val="both"/>
        <w:textAlignment w:val="auto"/>
        <w:rPr>
          <w:rFonts w:ascii="Arial" w:hAnsi="Arial" w:cs="Arial"/>
          <w:sz w:val="22"/>
          <w:szCs w:val="22"/>
        </w:rPr>
      </w:pPr>
      <w:r>
        <w:rPr>
          <w:rFonts w:ascii="Arial" w:hAnsi="Arial" w:cs="Arial"/>
          <w:sz w:val="22"/>
          <w:szCs w:val="22"/>
        </w:rPr>
        <w:t>Por unidad de ejecución de nueva acometida desde la red municipal de abastecimiento hasta la llave de registro, derivada de cualquier red y longitud hasta 20 metros lineales.</w:t>
      </w:r>
    </w:p>
    <w:p w:rsidR="009B4233" w:rsidRDefault="009B4233">
      <w:pPr>
        <w:autoSpaceDE w:val="0"/>
        <w:spacing w:line="276" w:lineRule="auto"/>
        <w:jc w:val="both"/>
        <w:rPr>
          <w:rFonts w:ascii="Arial" w:hAnsi="Arial" w:cs="Arial"/>
          <w:sz w:val="22"/>
          <w:szCs w:val="22"/>
        </w:rPr>
      </w:pPr>
    </w:p>
    <w:tbl>
      <w:tblPr>
        <w:tblW w:w="5592" w:type="dxa"/>
        <w:tblInd w:w="2972" w:type="dxa"/>
        <w:tblCellMar>
          <w:left w:w="10" w:type="dxa"/>
          <w:right w:w="10" w:type="dxa"/>
        </w:tblCellMar>
        <w:tblLook w:val="0000" w:firstRow="0" w:lastRow="0" w:firstColumn="0" w:lastColumn="0" w:noHBand="0" w:noVBand="0"/>
      </w:tblPr>
      <w:tblGrid>
        <w:gridCol w:w="3303"/>
        <w:gridCol w:w="2289"/>
      </w:tblGrid>
      <w:tr w:rsidR="009B4233">
        <w:tblPrEx>
          <w:tblCellMar>
            <w:top w:w="0" w:type="dxa"/>
            <w:bottom w:w="0" w:type="dxa"/>
          </w:tblCellMar>
        </w:tblPrEx>
        <w:tc>
          <w:tcPr>
            <w:tcW w:w="33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autoSpaceDE w:val="0"/>
              <w:spacing w:line="276" w:lineRule="auto"/>
              <w:jc w:val="both"/>
              <w:rPr>
                <w:rFonts w:ascii="Arial" w:hAnsi="Arial" w:cs="Arial"/>
                <w:b/>
                <w:bCs/>
                <w:sz w:val="22"/>
                <w:szCs w:val="22"/>
              </w:rPr>
            </w:pPr>
            <w:r>
              <w:rPr>
                <w:rFonts w:ascii="Arial" w:hAnsi="Arial" w:cs="Arial"/>
                <w:b/>
                <w:bCs/>
                <w:sz w:val="22"/>
                <w:szCs w:val="22"/>
              </w:rPr>
              <w:t>Acometidas para contadores de calibre:</w:t>
            </w:r>
          </w:p>
        </w:tc>
        <w:tc>
          <w:tcPr>
            <w:tcW w:w="22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autoSpaceDE w:val="0"/>
              <w:spacing w:line="276" w:lineRule="auto"/>
              <w:jc w:val="center"/>
              <w:rPr>
                <w:rFonts w:ascii="Arial" w:hAnsi="Arial" w:cs="Arial"/>
                <w:b/>
                <w:bCs/>
                <w:sz w:val="22"/>
                <w:szCs w:val="22"/>
              </w:rPr>
            </w:pPr>
            <w:r>
              <w:rPr>
                <w:rFonts w:ascii="Arial" w:hAnsi="Arial" w:cs="Arial"/>
                <w:b/>
                <w:bCs/>
                <w:sz w:val="22"/>
                <w:szCs w:val="22"/>
              </w:rPr>
              <w:t>Valoración económic</w:t>
            </w:r>
            <w:r>
              <w:rPr>
                <w:rFonts w:ascii="Arial" w:hAnsi="Arial" w:cs="Arial"/>
                <w:b/>
                <w:bCs/>
                <w:sz w:val="22"/>
                <w:szCs w:val="22"/>
              </w:rPr>
              <w:t>a</w:t>
            </w:r>
          </w:p>
        </w:tc>
      </w:tr>
      <w:tr w:rsidR="009B4233">
        <w:tblPrEx>
          <w:tblCellMar>
            <w:top w:w="0" w:type="dxa"/>
            <w:bottom w:w="0" w:type="dxa"/>
          </w:tblCellMar>
        </w:tblPrEx>
        <w:tc>
          <w:tcPr>
            <w:tcW w:w="33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autoSpaceDE w:val="0"/>
              <w:spacing w:line="276" w:lineRule="auto"/>
              <w:jc w:val="both"/>
              <w:rPr>
                <w:rFonts w:ascii="Arial" w:hAnsi="Arial" w:cs="Arial"/>
                <w:sz w:val="22"/>
                <w:szCs w:val="22"/>
              </w:rPr>
            </w:pPr>
            <w:r>
              <w:rPr>
                <w:rFonts w:ascii="Arial" w:hAnsi="Arial" w:cs="Arial"/>
                <w:sz w:val="22"/>
                <w:szCs w:val="22"/>
              </w:rPr>
              <w:t>DN 13-15mm</w:t>
            </w:r>
          </w:p>
        </w:tc>
        <w:tc>
          <w:tcPr>
            <w:tcW w:w="22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autoSpaceDE w:val="0"/>
              <w:spacing w:line="276" w:lineRule="auto"/>
              <w:jc w:val="right"/>
              <w:rPr>
                <w:rFonts w:ascii="Arial" w:hAnsi="Arial" w:cs="Arial"/>
                <w:sz w:val="22"/>
                <w:szCs w:val="22"/>
              </w:rPr>
            </w:pPr>
            <w:r>
              <w:rPr>
                <w:rFonts w:ascii="Arial" w:hAnsi="Arial" w:cs="Arial"/>
                <w:sz w:val="22"/>
                <w:szCs w:val="22"/>
              </w:rPr>
              <w:t xml:space="preserve">159,30 euros </w:t>
            </w:r>
          </w:p>
        </w:tc>
      </w:tr>
      <w:tr w:rsidR="009B4233">
        <w:tblPrEx>
          <w:tblCellMar>
            <w:top w:w="0" w:type="dxa"/>
            <w:bottom w:w="0" w:type="dxa"/>
          </w:tblCellMar>
        </w:tblPrEx>
        <w:tc>
          <w:tcPr>
            <w:tcW w:w="33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autoSpaceDE w:val="0"/>
              <w:spacing w:line="276" w:lineRule="auto"/>
              <w:jc w:val="both"/>
              <w:rPr>
                <w:rFonts w:ascii="Arial" w:hAnsi="Arial" w:cs="Arial"/>
                <w:sz w:val="22"/>
                <w:szCs w:val="22"/>
              </w:rPr>
            </w:pPr>
            <w:r>
              <w:rPr>
                <w:rFonts w:ascii="Arial" w:hAnsi="Arial" w:cs="Arial"/>
                <w:sz w:val="22"/>
                <w:szCs w:val="22"/>
              </w:rPr>
              <w:t>DN 20-25mm</w:t>
            </w:r>
          </w:p>
        </w:tc>
        <w:tc>
          <w:tcPr>
            <w:tcW w:w="22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autoSpaceDE w:val="0"/>
              <w:spacing w:line="276" w:lineRule="auto"/>
              <w:jc w:val="right"/>
              <w:rPr>
                <w:rFonts w:ascii="Arial" w:hAnsi="Arial" w:cs="Arial"/>
                <w:sz w:val="22"/>
                <w:szCs w:val="22"/>
              </w:rPr>
            </w:pPr>
            <w:r>
              <w:rPr>
                <w:rFonts w:ascii="Arial" w:hAnsi="Arial" w:cs="Arial"/>
                <w:sz w:val="22"/>
                <w:szCs w:val="22"/>
              </w:rPr>
              <w:t xml:space="preserve">189,16 euros </w:t>
            </w:r>
          </w:p>
        </w:tc>
      </w:tr>
      <w:tr w:rsidR="009B4233">
        <w:tblPrEx>
          <w:tblCellMar>
            <w:top w:w="0" w:type="dxa"/>
            <w:bottom w:w="0" w:type="dxa"/>
          </w:tblCellMar>
        </w:tblPrEx>
        <w:tc>
          <w:tcPr>
            <w:tcW w:w="33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autoSpaceDE w:val="0"/>
              <w:spacing w:line="276" w:lineRule="auto"/>
              <w:jc w:val="both"/>
              <w:rPr>
                <w:rFonts w:ascii="Arial" w:hAnsi="Arial" w:cs="Arial"/>
                <w:sz w:val="22"/>
                <w:szCs w:val="22"/>
              </w:rPr>
            </w:pPr>
            <w:r>
              <w:rPr>
                <w:rFonts w:ascii="Arial" w:hAnsi="Arial" w:cs="Arial"/>
                <w:sz w:val="22"/>
                <w:szCs w:val="22"/>
              </w:rPr>
              <w:t>DN 30-32mm</w:t>
            </w:r>
          </w:p>
        </w:tc>
        <w:tc>
          <w:tcPr>
            <w:tcW w:w="22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autoSpaceDE w:val="0"/>
              <w:spacing w:line="276" w:lineRule="auto"/>
              <w:jc w:val="right"/>
              <w:rPr>
                <w:rFonts w:ascii="Arial" w:hAnsi="Arial" w:cs="Arial"/>
                <w:sz w:val="22"/>
                <w:szCs w:val="22"/>
              </w:rPr>
            </w:pPr>
            <w:r>
              <w:rPr>
                <w:rFonts w:ascii="Arial" w:hAnsi="Arial" w:cs="Arial"/>
                <w:sz w:val="22"/>
                <w:szCs w:val="22"/>
              </w:rPr>
              <w:t xml:space="preserve">257,20 euros </w:t>
            </w:r>
          </w:p>
        </w:tc>
      </w:tr>
      <w:tr w:rsidR="009B4233">
        <w:tblPrEx>
          <w:tblCellMar>
            <w:top w:w="0" w:type="dxa"/>
            <w:bottom w:w="0" w:type="dxa"/>
          </w:tblCellMar>
        </w:tblPrEx>
        <w:tc>
          <w:tcPr>
            <w:tcW w:w="33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autoSpaceDE w:val="0"/>
              <w:spacing w:line="276" w:lineRule="auto"/>
              <w:jc w:val="both"/>
              <w:rPr>
                <w:rFonts w:ascii="Arial" w:hAnsi="Arial" w:cs="Arial"/>
                <w:sz w:val="22"/>
                <w:szCs w:val="22"/>
              </w:rPr>
            </w:pPr>
            <w:r>
              <w:rPr>
                <w:rFonts w:ascii="Arial" w:hAnsi="Arial" w:cs="Arial"/>
                <w:sz w:val="22"/>
                <w:szCs w:val="22"/>
              </w:rPr>
              <w:t>DN 40 mm:</w:t>
            </w:r>
          </w:p>
        </w:tc>
        <w:tc>
          <w:tcPr>
            <w:tcW w:w="22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autoSpaceDE w:val="0"/>
              <w:spacing w:line="276" w:lineRule="auto"/>
              <w:jc w:val="right"/>
              <w:rPr>
                <w:rFonts w:ascii="Arial" w:hAnsi="Arial" w:cs="Arial"/>
                <w:sz w:val="22"/>
                <w:szCs w:val="22"/>
              </w:rPr>
            </w:pPr>
            <w:r>
              <w:rPr>
                <w:rFonts w:ascii="Arial" w:hAnsi="Arial" w:cs="Arial"/>
                <w:sz w:val="22"/>
                <w:szCs w:val="22"/>
              </w:rPr>
              <w:t xml:space="preserve">359,18 euros </w:t>
            </w:r>
          </w:p>
        </w:tc>
      </w:tr>
      <w:tr w:rsidR="009B4233">
        <w:tblPrEx>
          <w:tblCellMar>
            <w:top w:w="0" w:type="dxa"/>
            <w:bottom w:w="0" w:type="dxa"/>
          </w:tblCellMar>
        </w:tblPrEx>
        <w:tc>
          <w:tcPr>
            <w:tcW w:w="33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autoSpaceDE w:val="0"/>
              <w:spacing w:line="276" w:lineRule="auto"/>
              <w:jc w:val="both"/>
              <w:rPr>
                <w:rFonts w:ascii="Arial" w:hAnsi="Arial" w:cs="Arial"/>
                <w:sz w:val="22"/>
                <w:szCs w:val="22"/>
              </w:rPr>
            </w:pPr>
            <w:r>
              <w:rPr>
                <w:rFonts w:ascii="Arial" w:hAnsi="Arial" w:cs="Arial"/>
                <w:sz w:val="22"/>
                <w:szCs w:val="22"/>
              </w:rPr>
              <w:t>DN 50 mm:</w:t>
            </w:r>
          </w:p>
        </w:tc>
        <w:tc>
          <w:tcPr>
            <w:tcW w:w="22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autoSpaceDE w:val="0"/>
              <w:spacing w:line="276" w:lineRule="auto"/>
              <w:jc w:val="right"/>
              <w:rPr>
                <w:rFonts w:ascii="Arial" w:hAnsi="Arial" w:cs="Arial"/>
                <w:sz w:val="22"/>
                <w:szCs w:val="22"/>
              </w:rPr>
            </w:pPr>
            <w:r>
              <w:rPr>
                <w:rFonts w:ascii="Arial" w:hAnsi="Arial" w:cs="Arial"/>
                <w:sz w:val="22"/>
                <w:szCs w:val="22"/>
              </w:rPr>
              <w:t xml:space="preserve">359,18 euros </w:t>
            </w:r>
          </w:p>
        </w:tc>
      </w:tr>
      <w:tr w:rsidR="009B4233">
        <w:tblPrEx>
          <w:tblCellMar>
            <w:top w:w="0" w:type="dxa"/>
            <w:bottom w:w="0" w:type="dxa"/>
          </w:tblCellMar>
        </w:tblPrEx>
        <w:tc>
          <w:tcPr>
            <w:tcW w:w="33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autoSpaceDE w:val="0"/>
              <w:spacing w:line="276" w:lineRule="auto"/>
              <w:jc w:val="both"/>
              <w:rPr>
                <w:rFonts w:ascii="Arial" w:hAnsi="Arial" w:cs="Arial"/>
                <w:sz w:val="22"/>
                <w:szCs w:val="22"/>
              </w:rPr>
            </w:pPr>
            <w:r>
              <w:rPr>
                <w:rFonts w:ascii="Arial" w:hAnsi="Arial" w:cs="Arial"/>
                <w:sz w:val="22"/>
                <w:szCs w:val="22"/>
              </w:rPr>
              <w:t>DN 65 mm:</w:t>
            </w:r>
          </w:p>
        </w:tc>
        <w:tc>
          <w:tcPr>
            <w:tcW w:w="22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autoSpaceDE w:val="0"/>
              <w:spacing w:line="276" w:lineRule="auto"/>
              <w:jc w:val="right"/>
              <w:rPr>
                <w:rFonts w:ascii="Arial" w:hAnsi="Arial" w:cs="Arial"/>
                <w:sz w:val="22"/>
                <w:szCs w:val="22"/>
              </w:rPr>
            </w:pPr>
            <w:r>
              <w:rPr>
                <w:rFonts w:ascii="Arial" w:hAnsi="Arial" w:cs="Arial"/>
                <w:sz w:val="22"/>
                <w:szCs w:val="22"/>
              </w:rPr>
              <w:t xml:space="preserve">533,85 euros </w:t>
            </w:r>
          </w:p>
        </w:tc>
      </w:tr>
      <w:tr w:rsidR="009B4233">
        <w:tblPrEx>
          <w:tblCellMar>
            <w:top w:w="0" w:type="dxa"/>
            <w:bottom w:w="0" w:type="dxa"/>
          </w:tblCellMar>
        </w:tblPrEx>
        <w:tc>
          <w:tcPr>
            <w:tcW w:w="33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autoSpaceDE w:val="0"/>
              <w:spacing w:line="276" w:lineRule="auto"/>
              <w:jc w:val="both"/>
              <w:rPr>
                <w:rFonts w:ascii="Arial" w:hAnsi="Arial" w:cs="Arial"/>
                <w:sz w:val="22"/>
                <w:szCs w:val="22"/>
              </w:rPr>
            </w:pPr>
            <w:r>
              <w:rPr>
                <w:rFonts w:ascii="Arial" w:hAnsi="Arial" w:cs="Arial"/>
                <w:sz w:val="22"/>
                <w:szCs w:val="22"/>
              </w:rPr>
              <w:t>DN 80 mm:</w:t>
            </w:r>
          </w:p>
        </w:tc>
        <w:tc>
          <w:tcPr>
            <w:tcW w:w="22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autoSpaceDE w:val="0"/>
              <w:spacing w:line="276" w:lineRule="auto"/>
              <w:jc w:val="right"/>
              <w:rPr>
                <w:rFonts w:ascii="Arial" w:hAnsi="Arial" w:cs="Arial"/>
                <w:sz w:val="22"/>
                <w:szCs w:val="22"/>
              </w:rPr>
            </w:pPr>
            <w:r>
              <w:rPr>
                <w:rFonts w:ascii="Arial" w:hAnsi="Arial" w:cs="Arial"/>
                <w:sz w:val="22"/>
                <w:szCs w:val="22"/>
              </w:rPr>
              <w:t xml:space="preserve">775,36 euros </w:t>
            </w:r>
          </w:p>
        </w:tc>
      </w:tr>
      <w:tr w:rsidR="009B4233">
        <w:tblPrEx>
          <w:tblCellMar>
            <w:top w:w="0" w:type="dxa"/>
            <w:bottom w:w="0" w:type="dxa"/>
          </w:tblCellMar>
        </w:tblPrEx>
        <w:tc>
          <w:tcPr>
            <w:tcW w:w="33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autoSpaceDE w:val="0"/>
              <w:spacing w:line="276" w:lineRule="auto"/>
              <w:jc w:val="both"/>
              <w:rPr>
                <w:rFonts w:ascii="Arial" w:hAnsi="Arial" w:cs="Arial"/>
                <w:sz w:val="22"/>
                <w:szCs w:val="22"/>
              </w:rPr>
            </w:pPr>
            <w:r>
              <w:rPr>
                <w:rFonts w:ascii="Arial" w:hAnsi="Arial" w:cs="Arial"/>
                <w:sz w:val="22"/>
                <w:szCs w:val="22"/>
              </w:rPr>
              <w:t>iguales o superiores a DN100mm</w:t>
            </w:r>
          </w:p>
        </w:tc>
        <w:tc>
          <w:tcPr>
            <w:tcW w:w="22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autoSpaceDE w:val="0"/>
              <w:spacing w:line="276" w:lineRule="auto"/>
              <w:jc w:val="right"/>
              <w:rPr>
                <w:rFonts w:ascii="Arial" w:hAnsi="Arial" w:cs="Arial"/>
                <w:sz w:val="22"/>
                <w:szCs w:val="22"/>
              </w:rPr>
            </w:pPr>
            <w:r>
              <w:rPr>
                <w:rFonts w:ascii="Arial" w:hAnsi="Arial" w:cs="Arial"/>
                <w:sz w:val="22"/>
                <w:szCs w:val="22"/>
              </w:rPr>
              <w:t>1.123,50 euros</w:t>
            </w:r>
          </w:p>
        </w:tc>
      </w:tr>
    </w:tbl>
    <w:p w:rsidR="009B4233" w:rsidRDefault="009B4233">
      <w:pPr>
        <w:pStyle w:val="Prrafodelista"/>
        <w:autoSpaceDE w:val="0"/>
        <w:spacing w:line="276" w:lineRule="auto"/>
        <w:ind w:left="1985"/>
        <w:jc w:val="both"/>
        <w:rPr>
          <w:rFonts w:ascii="Arial" w:hAnsi="Arial" w:cs="Arial"/>
          <w:sz w:val="22"/>
          <w:szCs w:val="22"/>
        </w:rPr>
      </w:pPr>
    </w:p>
    <w:p w:rsidR="009B4233" w:rsidRDefault="006B08B9">
      <w:pPr>
        <w:pStyle w:val="Prrafodelista"/>
        <w:widowControl/>
        <w:numPr>
          <w:ilvl w:val="2"/>
          <w:numId w:val="38"/>
        </w:numPr>
        <w:suppressAutoHyphens w:val="0"/>
        <w:autoSpaceDE w:val="0"/>
        <w:spacing w:line="276" w:lineRule="auto"/>
        <w:ind w:left="1985" w:hanging="567"/>
        <w:jc w:val="both"/>
        <w:textAlignment w:val="auto"/>
        <w:rPr>
          <w:rFonts w:ascii="Arial" w:hAnsi="Arial" w:cs="Arial"/>
          <w:sz w:val="22"/>
          <w:szCs w:val="22"/>
        </w:rPr>
      </w:pPr>
      <w:r>
        <w:rPr>
          <w:rFonts w:ascii="Arial" w:hAnsi="Arial" w:cs="Arial"/>
          <w:sz w:val="22"/>
          <w:szCs w:val="22"/>
        </w:rPr>
        <w:t xml:space="preserve">Por la colocación y </w:t>
      </w:r>
      <w:r>
        <w:rPr>
          <w:rFonts w:ascii="Arial" w:hAnsi="Arial" w:cs="Arial"/>
          <w:sz w:val="22"/>
          <w:szCs w:val="22"/>
        </w:rPr>
        <w:t xml:space="preserve">utilización de contador: el calibre del contador a instalar. </w:t>
      </w:r>
    </w:p>
    <w:p w:rsidR="009B4233" w:rsidRDefault="006B08B9">
      <w:pPr>
        <w:pStyle w:val="Prrafodelista"/>
        <w:widowControl/>
        <w:numPr>
          <w:ilvl w:val="3"/>
          <w:numId w:val="38"/>
        </w:numPr>
        <w:suppressAutoHyphens w:val="0"/>
        <w:autoSpaceDE w:val="0"/>
        <w:spacing w:line="276" w:lineRule="auto"/>
        <w:ind w:left="2694" w:hanging="709"/>
        <w:jc w:val="both"/>
        <w:textAlignment w:val="auto"/>
        <w:rPr>
          <w:rFonts w:ascii="Arial" w:hAnsi="Arial" w:cs="Arial"/>
          <w:sz w:val="22"/>
          <w:szCs w:val="22"/>
        </w:rPr>
      </w:pPr>
      <w:r>
        <w:rPr>
          <w:rFonts w:ascii="Arial" w:hAnsi="Arial" w:cs="Arial"/>
          <w:sz w:val="22"/>
          <w:szCs w:val="22"/>
        </w:rPr>
        <w:t>Instalación en batería de contadores de equipo de medida, cuando se trate de un edificio de varias viviendas:</w:t>
      </w:r>
    </w:p>
    <w:p w:rsidR="009B4233" w:rsidRDefault="009B4233">
      <w:pPr>
        <w:pStyle w:val="Prrafodelista"/>
        <w:autoSpaceDE w:val="0"/>
        <w:spacing w:line="276" w:lineRule="auto"/>
        <w:ind w:left="2694"/>
        <w:jc w:val="both"/>
        <w:rPr>
          <w:rFonts w:ascii="Arial" w:hAnsi="Arial" w:cs="Arial"/>
          <w:sz w:val="22"/>
          <w:szCs w:val="22"/>
        </w:rPr>
      </w:pPr>
    </w:p>
    <w:tbl>
      <w:tblPr>
        <w:tblW w:w="5592" w:type="dxa"/>
        <w:tblInd w:w="2972" w:type="dxa"/>
        <w:tblCellMar>
          <w:left w:w="10" w:type="dxa"/>
          <w:right w:w="10" w:type="dxa"/>
        </w:tblCellMar>
        <w:tblLook w:val="0000" w:firstRow="0" w:lastRow="0" w:firstColumn="0" w:lastColumn="0" w:noHBand="0" w:noVBand="0"/>
      </w:tblPr>
      <w:tblGrid>
        <w:gridCol w:w="3296"/>
        <w:gridCol w:w="2296"/>
      </w:tblGrid>
      <w:tr w:rsidR="009B4233">
        <w:tblPrEx>
          <w:tblCellMar>
            <w:top w:w="0" w:type="dxa"/>
            <w:bottom w:w="0" w:type="dxa"/>
          </w:tblCellMar>
        </w:tblPrEx>
        <w:tc>
          <w:tcPr>
            <w:tcW w:w="32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autoSpaceDE w:val="0"/>
              <w:spacing w:line="276" w:lineRule="auto"/>
              <w:jc w:val="both"/>
              <w:rPr>
                <w:rFonts w:ascii="Arial" w:hAnsi="Arial" w:cs="Arial"/>
                <w:b/>
                <w:bCs/>
                <w:sz w:val="22"/>
                <w:szCs w:val="22"/>
              </w:rPr>
            </w:pPr>
            <w:r>
              <w:rPr>
                <w:rFonts w:ascii="Arial" w:hAnsi="Arial" w:cs="Arial"/>
                <w:b/>
                <w:bCs/>
                <w:sz w:val="22"/>
                <w:szCs w:val="22"/>
              </w:rPr>
              <w:t>Instalación de contador de calibre:</w:t>
            </w:r>
          </w:p>
        </w:tc>
        <w:tc>
          <w:tcPr>
            <w:tcW w:w="22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autoSpaceDE w:val="0"/>
              <w:spacing w:line="276" w:lineRule="auto"/>
              <w:jc w:val="center"/>
              <w:rPr>
                <w:rFonts w:ascii="Arial" w:hAnsi="Arial" w:cs="Arial"/>
                <w:b/>
                <w:bCs/>
                <w:sz w:val="22"/>
                <w:szCs w:val="22"/>
              </w:rPr>
            </w:pPr>
            <w:r>
              <w:rPr>
                <w:rFonts w:ascii="Arial" w:hAnsi="Arial" w:cs="Arial"/>
                <w:b/>
                <w:bCs/>
                <w:sz w:val="22"/>
                <w:szCs w:val="22"/>
              </w:rPr>
              <w:t>Valoración económica</w:t>
            </w:r>
          </w:p>
        </w:tc>
      </w:tr>
      <w:tr w:rsidR="009B4233">
        <w:tblPrEx>
          <w:tblCellMar>
            <w:top w:w="0" w:type="dxa"/>
            <w:bottom w:w="0" w:type="dxa"/>
          </w:tblCellMar>
        </w:tblPrEx>
        <w:tc>
          <w:tcPr>
            <w:tcW w:w="32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autoSpaceDE w:val="0"/>
              <w:spacing w:line="276" w:lineRule="auto"/>
              <w:jc w:val="both"/>
              <w:rPr>
                <w:rFonts w:ascii="Arial" w:hAnsi="Arial" w:cs="Arial"/>
                <w:sz w:val="22"/>
                <w:szCs w:val="22"/>
              </w:rPr>
            </w:pPr>
            <w:r>
              <w:rPr>
                <w:rFonts w:ascii="Arial" w:hAnsi="Arial" w:cs="Arial"/>
                <w:sz w:val="22"/>
                <w:szCs w:val="22"/>
              </w:rPr>
              <w:t>DN 13-15mm</w:t>
            </w:r>
          </w:p>
        </w:tc>
        <w:tc>
          <w:tcPr>
            <w:tcW w:w="22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autoSpaceDE w:val="0"/>
              <w:spacing w:line="276" w:lineRule="auto"/>
              <w:jc w:val="right"/>
              <w:rPr>
                <w:rFonts w:ascii="Arial" w:hAnsi="Arial" w:cs="Arial"/>
                <w:sz w:val="22"/>
                <w:szCs w:val="22"/>
              </w:rPr>
            </w:pPr>
            <w:r>
              <w:rPr>
                <w:rFonts w:ascii="Arial" w:hAnsi="Arial" w:cs="Arial"/>
                <w:sz w:val="22"/>
                <w:szCs w:val="22"/>
              </w:rPr>
              <w:t xml:space="preserve">72,84 euros </w:t>
            </w:r>
          </w:p>
        </w:tc>
      </w:tr>
      <w:tr w:rsidR="009B4233">
        <w:tblPrEx>
          <w:tblCellMar>
            <w:top w:w="0" w:type="dxa"/>
            <w:bottom w:w="0" w:type="dxa"/>
          </w:tblCellMar>
        </w:tblPrEx>
        <w:tc>
          <w:tcPr>
            <w:tcW w:w="32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autoSpaceDE w:val="0"/>
              <w:spacing w:line="276" w:lineRule="auto"/>
              <w:jc w:val="both"/>
              <w:rPr>
                <w:rFonts w:ascii="Arial" w:hAnsi="Arial" w:cs="Arial"/>
                <w:sz w:val="22"/>
                <w:szCs w:val="22"/>
              </w:rPr>
            </w:pPr>
            <w:r>
              <w:rPr>
                <w:rFonts w:ascii="Arial" w:hAnsi="Arial" w:cs="Arial"/>
                <w:sz w:val="22"/>
                <w:szCs w:val="22"/>
              </w:rPr>
              <w:t>DN 20-25mm</w:t>
            </w:r>
          </w:p>
        </w:tc>
        <w:tc>
          <w:tcPr>
            <w:tcW w:w="22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autoSpaceDE w:val="0"/>
              <w:spacing w:line="276" w:lineRule="auto"/>
              <w:jc w:val="right"/>
              <w:rPr>
                <w:rFonts w:ascii="Arial" w:hAnsi="Arial" w:cs="Arial"/>
                <w:sz w:val="22"/>
                <w:szCs w:val="22"/>
              </w:rPr>
            </w:pPr>
            <w:r>
              <w:rPr>
                <w:rFonts w:ascii="Arial" w:hAnsi="Arial" w:cs="Arial"/>
                <w:sz w:val="22"/>
                <w:szCs w:val="22"/>
              </w:rPr>
              <w:t xml:space="preserve">102,25 euros </w:t>
            </w:r>
          </w:p>
        </w:tc>
      </w:tr>
    </w:tbl>
    <w:p w:rsidR="009B4233" w:rsidRDefault="009B4233">
      <w:pPr>
        <w:autoSpaceDE w:val="0"/>
        <w:spacing w:line="276" w:lineRule="auto"/>
        <w:jc w:val="both"/>
        <w:rPr>
          <w:rFonts w:ascii="Arial" w:hAnsi="Arial" w:cs="Arial"/>
          <w:sz w:val="22"/>
          <w:szCs w:val="22"/>
        </w:rPr>
      </w:pPr>
    </w:p>
    <w:p w:rsidR="009B4233" w:rsidRDefault="006B08B9">
      <w:pPr>
        <w:pStyle w:val="Prrafodelista"/>
        <w:widowControl/>
        <w:numPr>
          <w:ilvl w:val="3"/>
          <w:numId w:val="38"/>
        </w:numPr>
        <w:suppressAutoHyphens w:val="0"/>
        <w:autoSpaceDE w:val="0"/>
        <w:spacing w:line="276" w:lineRule="auto"/>
        <w:ind w:left="2835" w:hanging="850"/>
        <w:jc w:val="both"/>
        <w:textAlignment w:val="auto"/>
        <w:rPr>
          <w:rFonts w:ascii="Arial" w:hAnsi="Arial" w:cs="Arial"/>
          <w:sz w:val="22"/>
          <w:szCs w:val="22"/>
        </w:rPr>
      </w:pPr>
      <w:r>
        <w:rPr>
          <w:rFonts w:ascii="Arial" w:hAnsi="Arial" w:cs="Arial"/>
          <w:sz w:val="22"/>
          <w:szCs w:val="22"/>
        </w:rPr>
        <w:t xml:space="preserve">Instalación en la caja de armario, cuando se trate de una vivienda individual, local comercial o suministro para obras. </w:t>
      </w:r>
    </w:p>
    <w:p w:rsidR="009B4233" w:rsidRDefault="009B4233">
      <w:pPr>
        <w:pStyle w:val="Prrafodelista"/>
        <w:autoSpaceDE w:val="0"/>
        <w:spacing w:line="276" w:lineRule="auto"/>
        <w:ind w:left="2835"/>
        <w:jc w:val="both"/>
        <w:rPr>
          <w:rFonts w:ascii="Arial" w:hAnsi="Arial" w:cs="Arial"/>
          <w:sz w:val="22"/>
          <w:szCs w:val="22"/>
        </w:rPr>
      </w:pPr>
    </w:p>
    <w:tbl>
      <w:tblPr>
        <w:tblW w:w="5592" w:type="dxa"/>
        <w:tblInd w:w="2972" w:type="dxa"/>
        <w:tblCellMar>
          <w:left w:w="10" w:type="dxa"/>
          <w:right w:w="10" w:type="dxa"/>
        </w:tblCellMar>
        <w:tblLook w:val="0000" w:firstRow="0" w:lastRow="0" w:firstColumn="0" w:lastColumn="0" w:noHBand="0" w:noVBand="0"/>
      </w:tblPr>
      <w:tblGrid>
        <w:gridCol w:w="3296"/>
        <w:gridCol w:w="2296"/>
      </w:tblGrid>
      <w:tr w:rsidR="009B4233">
        <w:tblPrEx>
          <w:tblCellMar>
            <w:top w:w="0" w:type="dxa"/>
            <w:bottom w:w="0" w:type="dxa"/>
          </w:tblCellMar>
        </w:tblPrEx>
        <w:tc>
          <w:tcPr>
            <w:tcW w:w="32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autoSpaceDE w:val="0"/>
              <w:spacing w:line="276" w:lineRule="auto"/>
              <w:jc w:val="both"/>
              <w:rPr>
                <w:rFonts w:ascii="Arial" w:hAnsi="Arial" w:cs="Arial"/>
                <w:b/>
                <w:bCs/>
                <w:sz w:val="22"/>
                <w:szCs w:val="22"/>
              </w:rPr>
            </w:pPr>
            <w:r>
              <w:rPr>
                <w:rFonts w:ascii="Arial" w:hAnsi="Arial" w:cs="Arial"/>
                <w:b/>
                <w:bCs/>
                <w:sz w:val="22"/>
                <w:szCs w:val="22"/>
              </w:rPr>
              <w:t>Instalación de contador de calibre:</w:t>
            </w:r>
          </w:p>
        </w:tc>
        <w:tc>
          <w:tcPr>
            <w:tcW w:w="22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autoSpaceDE w:val="0"/>
              <w:spacing w:line="276" w:lineRule="auto"/>
              <w:jc w:val="center"/>
              <w:rPr>
                <w:rFonts w:ascii="Arial" w:hAnsi="Arial" w:cs="Arial"/>
                <w:b/>
                <w:bCs/>
                <w:sz w:val="22"/>
                <w:szCs w:val="22"/>
              </w:rPr>
            </w:pPr>
            <w:r>
              <w:rPr>
                <w:rFonts w:ascii="Arial" w:hAnsi="Arial" w:cs="Arial"/>
                <w:b/>
                <w:bCs/>
                <w:sz w:val="22"/>
                <w:szCs w:val="22"/>
              </w:rPr>
              <w:t>Valoración económica</w:t>
            </w:r>
          </w:p>
        </w:tc>
      </w:tr>
      <w:tr w:rsidR="009B4233">
        <w:tblPrEx>
          <w:tblCellMar>
            <w:top w:w="0" w:type="dxa"/>
            <w:bottom w:w="0" w:type="dxa"/>
          </w:tblCellMar>
        </w:tblPrEx>
        <w:tc>
          <w:tcPr>
            <w:tcW w:w="32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autoSpaceDE w:val="0"/>
              <w:spacing w:line="276" w:lineRule="auto"/>
              <w:jc w:val="both"/>
              <w:rPr>
                <w:rFonts w:ascii="Arial" w:hAnsi="Arial" w:cs="Arial"/>
                <w:sz w:val="22"/>
                <w:szCs w:val="22"/>
              </w:rPr>
            </w:pPr>
            <w:r>
              <w:rPr>
                <w:rFonts w:ascii="Arial" w:hAnsi="Arial" w:cs="Arial"/>
                <w:sz w:val="22"/>
                <w:szCs w:val="22"/>
              </w:rPr>
              <w:t>DN 13-15mm</w:t>
            </w:r>
          </w:p>
        </w:tc>
        <w:tc>
          <w:tcPr>
            <w:tcW w:w="22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autoSpaceDE w:val="0"/>
              <w:spacing w:line="276" w:lineRule="auto"/>
              <w:jc w:val="right"/>
              <w:rPr>
                <w:rFonts w:ascii="Arial" w:hAnsi="Arial" w:cs="Arial"/>
                <w:sz w:val="22"/>
                <w:szCs w:val="22"/>
              </w:rPr>
            </w:pPr>
            <w:r>
              <w:rPr>
                <w:rFonts w:ascii="Arial" w:hAnsi="Arial" w:cs="Arial"/>
                <w:sz w:val="22"/>
                <w:szCs w:val="22"/>
              </w:rPr>
              <w:t xml:space="preserve">169,56 euros </w:t>
            </w:r>
          </w:p>
        </w:tc>
      </w:tr>
      <w:tr w:rsidR="009B4233">
        <w:tblPrEx>
          <w:tblCellMar>
            <w:top w:w="0" w:type="dxa"/>
            <w:bottom w:w="0" w:type="dxa"/>
          </w:tblCellMar>
        </w:tblPrEx>
        <w:tc>
          <w:tcPr>
            <w:tcW w:w="32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autoSpaceDE w:val="0"/>
              <w:spacing w:line="276" w:lineRule="auto"/>
              <w:jc w:val="both"/>
              <w:rPr>
                <w:rFonts w:ascii="Arial" w:hAnsi="Arial" w:cs="Arial"/>
                <w:sz w:val="22"/>
                <w:szCs w:val="22"/>
              </w:rPr>
            </w:pPr>
            <w:r>
              <w:rPr>
                <w:rFonts w:ascii="Arial" w:hAnsi="Arial" w:cs="Arial"/>
                <w:sz w:val="22"/>
                <w:szCs w:val="22"/>
              </w:rPr>
              <w:t>DN 20-25mm</w:t>
            </w:r>
          </w:p>
        </w:tc>
        <w:tc>
          <w:tcPr>
            <w:tcW w:w="22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autoSpaceDE w:val="0"/>
              <w:spacing w:line="276" w:lineRule="auto"/>
              <w:jc w:val="right"/>
              <w:rPr>
                <w:rFonts w:ascii="Arial" w:hAnsi="Arial" w:cs="Arial"/>
                <w:sz w:val="22"/>
                <w:szCs w:val="22"/>
              </w:rPr>
            </w:pPr>
            <w:r>
              <w:rPr>
                <w:rFonts w:ascii="Arial" w:hAnsi="Arial" w:cs="Arial"/>
                <w:sz w:val="22"/>
                <w:szCs w:val="22"/>
              </w:rPr>
              <w:t>221,84 euros</w:t>
            </w:r>
            <w:r>
              <w:rPr>
                <w:rFonts w:ascii="Arial" w:hAnsi="Arial" w:cs="Arial"/>
                <w:sz w:val="22"/>
                <w:szCs w:val="22"/>
              </w:rPr>
              <w:t xml:space="preserve"> </w:t>
            </w:r>
          </w:p>
        </w:tc>
      </w:tr>
      <w:tr w:rsidR="009B4233">
        <w:tblPrEx>
          <w:tblCellMar>
            <w:top w:w="0" w:type="dxa"/>
            <w:bottom w:w="0" w:type="dxa"/>
          </w:tblCellMar>
        </w:tblPrEx>
        <w:tc>
          <w:tcPr>
            <w:tcW w:w="32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autoSpaceDE w:val="0"/>
              <w:spacing w:line="276" w:lineRule="auto"/>
              <w:jc w:val="both"/>
              <w:rPr>
                <w:rFonts w:ascii="Arial" w:hAnsi="Arial" w:cs="Arial"/>
                <w:sz w:val="22"/>
                <w:szCs w:val="22"/>
              </w:rPr>
            </w:pPr>
            <w:r>
              <w:rPr>
                <w:rFonts w:ascii="Arial" w:hAnsi="Arial" w:cs="Arial"/>
                <w:sz w:val="22"/>
                <w:szCs w:val="22"/>
              </w:rPr>
              <w:t>DN 30-32mm</w:t>
            </w:r>
          </w:p>
        </w:tc>
        <w:tc>
          <w:tcPr>
            <w:tcW w:w="22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autoSpaceDE w:val="0"/>
              <w:spacing w:line="276" w:lineRule="auto"/>
              <w:jc w:val="right"/>
              <w:rPr>
                <w:rFonts w:ascii="Arial" w:hAnsi="Arial" w:cs="Arial"/>
                <w:sz w:val="22"/>
                <w:szCs w:val="22"/>
              </w:rPr>
            </w:pPr>
            <w:r>
              <w:rPr>
                <w:rFonts w:ascii="Arial" w:hAnsi="Arial" w:cs="Arial"/>
                <w:sz w:val="22"/>
                <w:szCs w:val="22"/>
              </w:rPr>
              <w:t xml:space="preserve">416,02 euros </w:t>
            </w:r>
          </w:p>
        </w:tc>
      </w:tr>
      <w:tr w:rsidR="009B4233">
        <w:tblPrEx>
          <w:tblCellMar>
            <w:top w:w="0" w:type="dxa"/>
            <w:bottom w:w="0" w:type="dxa"/>
          </w:tblCellMar>
        </w:tblPrEx>
        <w:tc>
          <w:tcPr>
            <w:tcW w:w="32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autoSpaceDE w:val="0"/>
              <w:spacing w:line="276" w:lineRule="auto"/>
              <w:jc w:val="both"/>
              <w:rPr>
                <w:rFonts w:ascii="Arial" w:hAnsi="Arial" w:cs="Arial"/>
                <w:sz w:val="22"/>
                <w:szCs w:val="22"/>
              </w:rPr>
            </w:pPr>
            <w:r>
              <w:rPr>
                <w:rFonts w:ascii="Arial" w:hAnsi="Arial" w:cs="Arial"/>
                <w:sz w:val="22"/>
                <w:szCs w:val="22"/>
              </w:rPr>
              <w:t>DN 40 mm:</w:t>
            </w:r>
          </w:p>
        </w:tc>
        <w:tc>
          <w:tcPr>
            <w:tcW w:w="22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autoSpaceDE w:val="0"/>
              <w:spacing w:line="276" w:lineRule="auto"/>
              <w:jc w:val="right"/>
              <w:rPr>
                <w:rFonts w:ascii="Arial" w:hAnsi="Arial" w:cs="Arial"/>
                <w:sz w:val="22"/>
                <w:szCs w:val="22"/>
              </w:rPr>
            </w:pPr>
            <w:r>
              <w:rPr>
                <w:rFonts w:ascii="Arial" w:hAnsi="Arial" w:cs="Arial"/>
                <w:sz w:val="22"/>
                <w:szCs w:val="22"/>
              </w:rPr>
              <w:t xml:space="preserve">626,64 euros </w:t>
            </w:r>
          </w:p>
        </w:tc>
      </w:tr>
      <w:tr w:rsidR="009B4233">
        <w:tblPrEx>
          <w:tblCellMar>
            <w:top w:w="0" w:type="dxa"/>
            <w:bottom w:w="0" w:type="dxa"/>
          </w:tblCellMar>
        </w:tblPrEx>
        <w:tc>
          <w:tcPr>
            <w:tcW w:w="32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autoSpaceDE w:val="0"/>
              <w:spacing w:line="276" w:lineRule="auto"/>
              <w:jc w:val="both"/>
              <w:rPr>
                <w:rFonts w:ascii="Arial" w:hAnsi="Arial" w:cs="Arial"/>
                <w:sz w:val="22"/>
                <w:szCs w:val="22"/>
              </w:rPr>
            </w:pPr>
            <w:r>
              <w:rPr>
                <w:rFonts w:ascii="Arial" w:hAnsi="Arial" w:cs="Arial"/>
                <w:sz w:val="22"/>
                <w:szCs w:val="22"/>
              </w:rPr>
              <w:t>DN 50 mm:</w:t>
            </w:r>
          </w:p>
        </w:tc>
        <w:tc>
          <w:tcPr>
            <w:tcW w:w="22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autoSpaceDE w:val="0"/>
              <w:spacing w:line="276" w:lineRule="auto"/>
              <w:jc w:val="right"/>
              <w:rPr>
                <w:rFonts w:ascii="Arial" w:hAnsi="Arial" w:cs="Arial"/>
                <w:sz w:val="22"/>
                <w:szCs w:val="22"/>
              </w:rPr>
            </w:pPr>
            <w:r>
              <w:rPr>
                <w:rFonts w:ascii="Arial" w:hAnsi="Arial" w:cs="Arial"/>
                <w:sz w:val="22"/>
                <w:szCs w:val="22"/>
              </w:rPr>
              <w:t xml:space="preserve">1.265,42 euros </w:t>
            </w:r>
          </w:p>
        </w:tc>
      </w:tr>
      <w:tr w:rsidR="009B4233">
        <w:tblPrEx>
          <w:tblCellMar>
            <w:top w:w="0" w:type="dxa"/>
            <w:bottom w:w="0" w:type="dxa"/>
          </w:tblCellMar>
        </w:tblPrEx>
        <w:tc>
          <w:tcPr>
            <w:tcW w:w="32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autoSpaceDE w:val="0"/>
              <w:spacing w:line="276" w:lineRule="auto"/>
              <w:jc w:val="both"/>
              <w:rPr>
                <w:rFonts w:ascii="Arial" w:hAnsi="Arial" w:cs="Arial"/>
                <w:sz w:val="22"/>
                <w:szCs w:val="22"/>
              </w:rPr>
            </w:pPr>
            <w:r>
              <w:rPr>
                <w:rFonts w:ascii="Arial" w:hAnsi="Arial" w:cs="Arial"/>
                <w:sz w:val="22"/>
                <w:szCs w:val="22"/>
              </w:rPr>
              <w:t>DN 65 mm:</w:t>
            </w:r>
          </w:p>
        </w:tc>
        <w:tc>
          <w:tcPr>
            <w:tcW w:w="22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autoSpaceDE w:val="0"/>
              <w:spacing w:line="276" w:lineRule="auto"/>
              <w:jc w:val="right"/>
              <w:rPr>
                <w:rFonts w:ascii="Arial" w:hAnsi="Arial" w:cs="Arial"/>
                <w:sz w:val="22"/>
                <w:szCs w:val="22"/>
              </w:rPr>
            </w:pPr>
            <w:r>
              <w:rPr>
                <w:rFonts w:ascii="Arial" w:hAnsi="Arial" w:cs="Arial"/>
                <w:sz w:val="22"/>
                <w:szCs w:val="22"/>
              </w:rPr>
              <w:t xml:space="preserve">1.569,92 euros </w:t>
            </w:r>
          </w:p>
        </w:tc>
      </w:tr>
      <w:tr w:rsidR="009B4233">
        <w:tblPrEx>
          <w:tblCellMar>
            <w:top w:w="0" w:type="dxa"/>
            <w:bottom w:w="0" w:type="dxa"/>
          </w:tblCellMar>
        </w:tblPrEx>
        <w:tc>
          <w:tcPr>
            <w:tcW w:w="32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autoSpaceDE w:val="0"/>
              <w:spacing w:line="276" w:lineRule="auto"/>
              <w:jc w:val="both"/>
              <w:rPr>
                <w:rFonts w:ascii="Arial" w:hAnsi="Arial" w:cs="Arial"/>
                <w:sz w:val="22"/>
                <w:szCs w:val="22"/>
              </w:rPr>
            </w:pPr>
            <w:r>
              <w:rPr>
                <w:rFonts w:ascii="Arial" w:hAnsi="Arial" w:cs="Arial"/>
                <w:sz w:val="22"/>
                <w:szCs w:val="22"/>
              </w:rPr>
              <w:t>DN 80 mm:</w:t>
            </w:r>
          </w:p>
        </w:tc>
        <w:tc>
          <w:tcPr>
            <w:tcW w:w="22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autoSpaceDE w:val="0"/>
              <w:spacing w:line="276" w:lineRule="auto"/>
              <w:jc w:val="right"/>
              <w:rPr>
                <w:rFonts w:ascii="Arial" w:hAnsi="Arial" w:cs="Arial"/>
                <w:sz w:val="22"/>
                <w:szCs w:val="22"/>
              </w:rPr>
            </w:pPr>
            <w:r>
              <w:rPr>
                <w:rFonts w:ascii="Arial" w:hAnsi="Arial" w:cs="Arial"/>
                <w:sz w:val="22"/>
                <w:szCs w:val="22"/>
              </w:rPr>
              <w:t xml:space="preserve">2.032,29 euros </w:t>
            </w:r>
          </w:p>
        </w:tc>
      </w:tr>
      <w:tr w:rsidR="009B4233">
        <w:tblPrEx>
          <w:tblCellMar>
            <w:top w:w="0" w:type="dxa"/>
            <w:bottom w:w="0" w:type="dxa"/>
          </w:tblCellMar>
        </w:tblPrEx>
        <w:tc>
          <w:tcPr>
            <w:tcW w:w="32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autoSpaceDE w:val="0"/>
              <w:spacing w:line="276" w:lineRule="auto"/>
              <w:jc w:val="both"/>
              <w:rPr>
                <w:rFonts w:ascii="Arial" w:hAnsi="Arial" w:cs="Arial"/>
                <w:sz w:val="22"/>
                <w:szCs w:val="22"/>
              </w:rPr>
            </w:pPr>
            <w:r>
              <w:rPr>
                <w:rFonts w:ascii="Arial" w:hAnsi="Arial" w:cs="Arial"/>
                <w:sz w:val="22"/>
                <w:szCs w:val="22"/>
              </w:rPr>
              <w:t>iguales o superiores a DN100mm</w:t>
            </w:r>
          </w:p>
        </w:tc>
        <w:tc>
          <w:tcPr>
            <w:tcW w:w="22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autoSpaceDE w:val="0"/>
              <w:spacing w:line="276" w:lineRule="auto"/>
              <w:jc w:val="right"/>
              <w:rPr>
                <w:rFonts w:ascii="Arial" w:hAnsi="Arial" w:cs="Arial"/>
                <w:sz w:val="22"/>
                <w:szCs w:val="22"/>
              </w:rPr>
            </w:pPr>
            <w:r>
              <w:rPr>
                <w:rFonts w:ascii="Arial" w:hAnsi="Arial" w:cs="Arial"/>
                <w:sz w:val="22"/>
                <w:szCs w:val="22"/>
              </w:rPr>
              <w:t>2.525,80 euros</w:t>
            </w:r>
          </w:p>
        </w:tc>
      </w:tr>
    </w:tbl>
    <w:p w:rsidR="009B4233" w:rsidRDefault="009B4233">
      <w:pPr>
        <w:pStyle w:val="Prrafodelista"/>
        <w:autoSpaceDE w:val="0"/>
        <w:spacing w:line="276" w:lineRule="auto"/>
        <w:ind w:left="1985"/>
        <w:jc w:val="both"/>
        <w:rPr>
          <w:rFonts w:ascii="Arial" w:hAnsi="Arial" w:cs="Arial"/>
          <w:sz w:val="22"/>
          <w:szCs w:val="22"/>
        </w:rPr>
      </w:pPr>
    </w:p>
    <w:p w:rsidR="009B4233" w:rsidRDefault="006B08B9">
      <w:pPr>
        <w:autoSpaceDE w:val="0"/>
        <w:spacing w:line="276" w:lineRule="auto"/>
        <w:ind w:left="2832"/>
        <w:jc w:val="both"/>
        <w:rPr>
          <w:rFonts w:ascii="Arial" w:hAnsi="Arial" w:cs="Arial"/>
          <w:sz w:val="22"/>
          <w:szCs w:val="22"/>
        </w:rPr>
      </w:pPr>
      <w:r>
        <w:rPr>
          <w:rFonts w:ascii="Arial" w:hAnsi="Arial" w:cs="Arial"/>
          <w:sz w:val="22"/>
          <w:szCs w:val="22"/>
        </w:rPr>
        <w:t xml:space="preserve">En todos los casos en que para la realización de acometidas o colocación </w:t>
      </w:r>
      <w:r>
        <w:rPr>
          <w:rFonts w:ascii="Arial" w:hAnsi="Arial" w:cs="Arial"/>
          <w:sz w:val="22"/>
          <w:szCs w:val="22"/>
        </w:rPr>
        <w:t xml:space="preserve">de contadores sea necesario realizar obra civil, ésta será siempre a cargo del abonado, previa licencia municipal emitida desde la oficina técnica del Ayuntamiento. </w:t>
      </w:r>
    </w:p>
    <w:p w:rsidR="009B4233" w:rsidRDefault="009B4233">
      <w:pPr>
        <w:autoSpaceDE w:val="0"/>
        <w:spacing w:line="276" w:lineRule="auto"/>
        <w:ind w:left="2832"/>
        <w:jc w:val="both"/>
        <w:rPr>
          <w:rFonts w:ascii="Arial" w:hAnsi="Arial" w:cs="Arial"/>
          <w:sz w:val="22"/>
          <w:szCs w:val="22"/>
        </w:rPr>
      </w:pPr>
    </w:p>
    <w:p w:rsidR="009B4233" w:rsidRDefault="006B08B9">
      <w:pPr>
        <w:pStyle w:val="Prrafodelista"/>
        <w:widowControl/>
        <w:numPr>
          <w:ilvl w:val="2"/>
          <w:numId w:val="38"/>
        </w:numPr>
        <w:suppressAutoHyphens w:val="0"/>
        <w:autoSpaceDE w:val="0"/>
        <w:spacing w:line="276" w:lineRule="auto"/>
        <w:ind w:left="1985" w:hanging="567"/>
        <w:jc w:val="both"/>
        <w:textAlignment w:val="auto"/>
        <w:rPr>
          <w:rFonts w:ascii="Arial" w:hAnsi="Arial" w:cs="Arial"/>
          <w:sz w:val="22"/>
          <w:szCs w:val="22"/>
        </w:rPr>
      </w:pPr>
      <w:r>
        <w:rPr>
          <w:rFonts w:ascii="Arial" w:hAnsi="Arial" w:cs="Arial"/>
          <w:sz w:val="22"/>
          <w:szCs w:val="22"/>
        </w:rPr>
        <w:t>Consumos de agua al bimestre.</w:t>
      </w:r>
    </w:p>
    <w:p w:rsidR="009B4233" w:rsidRDefault="006B08B9">
      <w:pPr>
        <w:pStyle w:val="Prrafodelista"/>
        <w:widowControl/>
        <w:numPr>
          <w:ilvl w:val="3"/>
          <w:numId w:val="38"/>
        </w:numPr>
        <w:suppressAutoHyphens w:val="0"/>
        <w:autoSpaceDE w:val="0"/>
        <w:spacing w:line="276" w:lineRule="auto"/>
        <w:ind w:left="2694" w:hanging="709"/>
        <w:jc w:val="both"/>
        <w:textAlignment w:val="auto"/>
        <w:rPr>
          <w:rFonts w:ascii="Arial" w:hAnsi="Arial" w:cs="Arial"/>
          <w:sz w:val="22"/>
          <w:szCs w:val="22"/>
        </w:rPr>
      </w:pPr>
      <w:r>
        <w:rPr>
          <w:rFonts w:ascii="Arial" w:hAnsi="Arial" w:cs="Arial"/>
          <w:sz w:val="22"/>
          <w:szCs w:val="22"/>
        </w:rPr>
        <w:t>Para uso doméstico. El suministro para usos domésticos será</w:t>
      </w:r>
      <w:r>
        <w:rPr>
          <w:rFonts w:ascii="Arial" w:hAnsi="Arial" w:cs="Arial"/>
          <w:sz w:val="22"/>
          <w:szCs w:val="22"/>
        </w:rPr>
        <w:t xml:space="preserve"> aquellos en los que el agua potable se utiliza exclusivamente para atender las necesidades del consumo humano según RD 3/2033. Se aplicará esta modalidad, exclusivamente a inmuebles destinados a viviendas, siempre que en ellos no se realice actividad indu</w:t>
      </w:r>
      <w:r>
        <w:rPr>
          <w:rFonts w:ascii="Arial" w:hAnsi="Arial" w:cs="Arial"/>
          <w:sz w:val="22"/>
          <w:szCs w:val="22"/>
        </w:rPr>
        <w:t>strial, comercial o profesional de ningún tipo.</w:t>
      </w:r>
    </w:p>
    <w:p w:rsidR="009B4233" w:rsidRDefault="009B4233">
      <w:pPr>
        <w:pStyle w:val="Prrafodelista"/>
        <w:autoSpaceDE w:val="0"/>
        <w:spacing w:line="276" w:lineRule="auto"/>
        <w:jc w:val="both"/>
        <w:rPr>
          <w:rFonts w:ascii="Arial" w:hAnsi="Arial" w:cs="Arial"/>
          <w:sz w:val="22"/>
          <w:szCs w:val="22"/>
        </w:rPr>
      </w:pPr>
    </w:p>
    <w:p w:rsidR="009B4233" w:rsidRDefault="009B4233">
      <w:pPr>
        <w:pStyle w:val="Prrafodelista"/>
        <w:autoSpaceDE w:val="0"/>
        <w:spacing w:line="276" w:lineRule="auto"/>
        <w:ind w:left="2694"/>
        <w:jc w:val="both"/>
        <w:rPr>
          <w:rFonts w:ascii="Arial" w:hAnsi="Arial" w:cs="Arial"/>
          <w:sz w:val="22"/>
          <w:szCs w:val="22"/>
        </w:rPr>
      </w:pPr>
    </w:p>
    <w:p w:rsidR="009B4233" w:rsidRDefault="009B4233">
      <w:pPr>
        <w:pStyle w:val="Prrafodelista"/>
        <w:autoSpaceDE w:val="0"/>
        <w:spacing w:line="276" w:lineRule="auto"/>
        <w:ind w:left="2694"/>
        <w:jc w:val="both"/>
        <w:rPr>
          <w:rFonts w:ascii="Arial" w:hAnsi="Arial" w:cs="Arial"/>
          <w:sz w:val="22"/>
          <w:szCs w:val="22"/>
        </w:rPr>
      </w:pPr>
    </w:p>
    <w:tbl>
      <w:tblPr>
        <w:tblW w:w="6095" w:type="dxa"/>
        <w:tblInd w:w="1526" w:type="dxa"/>
        <w:tblCellMar>
          <w:left w:w="10" w:type="dxa"/>
          <w:right w:w="10" w:type="dxa"/>
        </w:tblCellMar>
        <w:tblLook w:val="0000" w:firstRow="0" w:lastRow="0" w:firstColumn="0" w:lastColumn="0" w:noHBand="0" w:noVBand="0"/>
      </w:tblPr>
      <w:tblGrid>
        <w:gridCol w:w="2835"/>
        <w:gridCol w:w="3260"/>
      </w:tblGrid>
      <w:tr w:rsidR="009B4233">
        <w:tblPrEx>
          <w:tblCellMar>
            <w:top w:w="0" w:type="dxa"/>
            <w:bottom w:w="0" w:type="dxa"/>
          </w:tblCellMar>
        </w:tblPrEx>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widowControl/>
              <w:suppressAutoHyphens w:val="0"/>
              <w:spacing w:after="120"/>
              <w:jc w:val="center"/>
            </w:pPr>
            <w:r>
              <w:rPr>
                <w:rFonts w:ascii="Arial" w:eastAsia="Times New Roman" w:hAnsi="Arial" w:cs="Arial"/>
                <w:b/>
                <w:bCs/>
                <w:color w:val="000000"/>
                <w:sz w:val="22"/>
                <w:szCs w:val="22"/>
                <w:lang w:eastAsia="es-ES"/>
              </w:rPr>
              <w:t>CONSUMO DOMÉSTICO</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9B4233">
            <w:pPr>
              <w:pStyle w:val="Textoindependiente"/>
              <w:jc w:val="center"/>
              <w:rPr>
                <w:rFonts w:cs="Arial"/>
                <w:szCs w:val="22"/>
              </w:rPr>
            </w:pPr>
          </w:p>
        </w:tc>
      </w:tr>
      <w:tr w:rsidR="009B4233">
        <w:tblPrEx>
          <w:tblCellMar>
            <w:top w:w="0" w:type="dxa"/>
            <w:bottom w:w="0" w:type="dxa"/>
          </w:tblCellMar>
        </w:tblPrEx>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widowControl/>
              <w:suppressAutoHyphens w:val="0"/>
              <w:spacing w:after="120"/>
              <w:jc w:val="center"/>
            </w:pPr>
            <w:r>
              <w:rPr>
                <w:rFonts w:ascii="Arial" w:eastAsia="Times New Roman" w:hAnsi="Arial" w:cs="Arial"/>
                <w:color w:val="000000"/>
                <w:sz w:val="22"/>
                <w:szCs w:val="22"/>
                <w:lang w:eastAsia="es-ES"/>
              </w:rPr>
              <w:t>CUOTA FIJA</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widowControl/>
              <w:suppressAutoHyphens w:val="0"/>
              <w:spacing w:after="120"/>
              <w:jc w:val="center"/>
            </w:pPr>
            <w:r>
              <w:rPr>
                <w:rFonts w:ascii="Arial" w:eastAsia="Times New Roman" w:hAnsi="Arial" w:cs="Arial"/>
                <w:color w:val="000000"/>
                <w:sz w:val="22"/>
                <w:szCs w:val="22"/>
                <w:lang w:eastAsia="es-ES"/>
              </w:rPr>
              <w:t>15,41 €</w:t>
            </w:r>
          </w:p>
        </w:tc>
      </w:tr>
      <w:tr w:rsidR="009B4233">
        <w:tblPrEx>
          <w:tblCellMar>
            <w:top w:w="0" w:type="dxa"/>
            <w:bottom w:w="0" w:type="dxa"/>
          </w:tblCellMar>
        </w:tblPrEx>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widowControl/>
              <w:suppressAutoHyphens w:val="0"/>
              <w:spacing w:after="120"/>
              <w:jc w:val="center"/>
            </w:pPr>
            <w:r>
              <w:rPr>
                <w:rFonts w:ascii="Arial" w:eastAsia="Times New Roman" w:hAnsi="Arial" w:cs="Arial"/>
                <w:color w:val="000000"/>
                <w:sz w:val="22"/>
                <w:szCs w:val="22"/>
                <w:lang w:eastAsia="es-ES"/>
              </w:rPr>
              <w:t>De 1 a 10 m3</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widowControl/>
              <w:suppressAutoHyphens w:val="0"/>
              <w:spacing w:after="120"/>
              <w:jc w:val="center"/>
            </w:pPr>
            <w:r>
              <w:rPr>
                <w:rFonts w:ascii="Arial" w:eastAsia="Times New Roman" w:hAnsi="Arial" w:cs="Arial"/>
                <w:color w:val="000000"/>
                <w:sz w:val="22"/>
                <w:szCs w:val="22"/>
                <w:lang w:eastAsia="es-ES"/>
              </w:rPr>
              <w:t>0,64 €/m3</w:t>
            </w:r>
          </w:p>
        </w:tc>
      </w:tr>
      <w:tr w:rsidR="009B4233">
        <w:tblPrEx>
          <w:tblCellMar>
            <w:top w:w="0" w:type="dxa"/>
            <w:bottom w:w="0" w:type="dxa"/>
          </w:tblCellMar>
        </w:tblPrEx>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widowControl/>
              <w:suppressAutoHyphens w:val="0"/>
              <w:spacing w:after="120"/>
              <w:jc w:val="center"/>
            </w:pPr>
            <w:r>
              <w:rPr>
                <w:rFonts w:ascii="Arial" w:eastAsia="Times New Roman" w:hAnsi="Arial" w:cs="Arial"/>
                <w:i/>
                <w:iCs/>
                <w:color w:val="000000"/>
                <w:sz w:val="22"/>
                <w:szCs w:val="22"/>
                <w:lang w:eastAsia="es-ES"/>
              </w:rPr>
              <w:t xml:space="preserve">De </w:t>
            </w:r>
            <w:r>
              <w:rPr>
                <w:rFonts w:ascii="Arial" w:eastAsia="Times New Roman" w:hAnsi="Arial" w:cs="Arial"/>
                <w:color w:val="000000"/>
                <w:sz w:val="22"/>
                <w:szCs w:val="22"/>
                <w:lang w:eastAsia="es-ES"/>
              </w:rPr>
              <w:t>11 a 30 m3</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widowControl/>
              <w:suppressAutoHyphens w:val="0"/>
              <w:spacing w:after="120"/>
              <w:jc w:val="center"/>
            </w:pPr>
            <w:r>
              <w:rPr>
                <w:rFonts w:ascii="Arial" w:eastAsia="Times New Roman" w:hAnsi="Arial" w:cs="Arial"/>
                <w:color w:val="000000"/>
                <w:sz w:val="22"/>
                <w:szCs w:val="22"/>
                <w:lang w:eastAsia="es-ES"/>
              </w:rPr>
              <w:t>1,30 €/m3</w:t>
            </w:r>
          </w:p>
        </w:tc>
      </w:tr>
      <w:tr w:rsidR="009B4233">
        <w:tblPrEx>
          <w:tblCellMar>
            <w:top w:w="0" w:type="dxa"/>
            <w:bottom w:w="0" w:type="dxa"/>
          </w:tblCellMar>
        </w:tblPrEx>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widowControl/>
              <w:suppressAutoHyphens w:val="0"/>
              <w:spacing w:after="120"/>
              <w:jc w:val="center"/>
            </w:pPr>
            <w:r>
              <w:rPr>
                <w:rFonts w:ascii="Arial" w:eastAsia="Times New Roman" w:hAnsi="Arial" w:cs="Arial"/>
                <w:i/>
                <w:iCs/>
                <w:color w:val="000000"/>
                <w:sz w:val="22"/>
                <w:szCs w:val="22"/>
                <w:lang w:eastAsia="es-ES"/>
              </w:rPr>
              <w:t xml:space="preserve">De 31 a 60 </w:t>
            </w:r>
            <w:r>
              <w:rPr>
                <w:rFonts w:ascii="Arial" w:eastAsia="Times New Roman" w:hAnsi="Arial" w:cs="Arial"/>
                <w:color w:val="000000"/>
                <w:sz w:val="22"/>
                <w:szCs w:val="22"/>
                <w:lang w:eastAsia="es-ES"/>
              </w:rPr>
              <w:t>m3</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widowControl/>
              <w:suppressAutoHyphens w:val="0"/>
              <w:spacing w:after="120"/>
              <w:jc w:val="center"/>
            </w:pPr>
            <w:r>
              <w:rPr>
                <w:rFonts w:ascii="Arial" w:eastAsia="Times New Roman" w:hAnsi="Arial" w:cs="Arial"/>
                <w:color w:val="000000"/>
                <w:sz w:val="22"/>
                <w:szCs w:val="22"/>
                <w:lang w:eastAsia="es-ES"/>
              </w:rPr>
              <w:t>2,38 €/m3</w:t>
            </w:r>
          </w:p>
        </w:tc>
      </w:tr>
      <w:tr w:rsidR="009B4233">
        <w:tblPrEx>
          <w:tblCellMar>
            <w:top w:w="0" w:type="dxa"/>
            <w:bottom w:w="0" w:type="dxa"/>
          </w:tblCellMar>
        </w:tblPrEx>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widowControl/>
              <w:suppressAutoHyphens w:val="0"/>
              <w:spacing w:after="120"/>
              <w:jc w:val="center"/>
            </w:pPr>
            <w:r>
              <w:rPr>
                <w:rFonts w:ascii="Arial" w:eastAsia="Times New Roman" w:hAnsi="Arial" w:cs="Arial"/>
                <w:i/>
                <w:iCs/>
                <w:color w:val="000000"/>
                <w:sz w:val="22"/>
                <w:szCs w:val="22"/>
                <w:lang w:eastAsia="es-ES"/>
              </w:rPr>
              <w:t xml:space="preserve">Más de 60 </w:t>
            </w:r>
            <w:r>
              <w:rPr>
                <w:rFonts w:ascii="Arial" w:eastAsia="Times New Roman" w:hAnsi="Arial" w:cs="Arial"/>
                <w:color w:val="000000"/>
                <w:sz w:val="22"/>
                <w:szCs w:val="22"/>
                <w:lang w:eastAsia="es-ES"/>
              </w:rPr>
              <w:t>m3</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widowControl/>
              <w:suppressAutoHyphens w:val="0"/>
              <w:spacing w:after="120"/>
              <w:jc w:val="center"/>
            </w:pPr>
            <w:r>
              <w:rPr>
                <w:rFonts w:ascii="Arial" w:eastAsia="Times New Roman" w:hAnsi="Arial" w:cs="Arial"/>
                <w:color w:val="000000"/>
                <w:sz w:val="22"/>
                <w:szCs w:val="22"/>
                <w:lang w:eastAsia="es-ES"/>
              </w:rPr>
              <w:t>3,78 €/m3</w:t>
            </w:r>
          </w:p>
        </w:tc>
      </w:tr>
    </w:tbl>
    <w:p w:rsidR="009B4233" w:rsidRDefault="009B4233">
      <w:pPr>
        <w:pStyle w:val="Prrafodelista"/>
        <w:autoSpaceDE w:val="0"/>
        <w:spacing w:line="276" w:lineRule="auto"/>
        <w:ind w:left="2694"/>
        <w:jc w:val="both"/>
        <w:rPr>
          <w:rFonts w:ascii="Arial" w:hAnsi="Arial" w:cs="Arial"/>
          <w:sz w:val="22"/>
          <w:szCs w:val="22"/>
        </w:rPr>
      </w:pPr>
    </w:p>
    <w:p w:rsidR="009B4233" w:rsidRDefault="009B4233">
      <w:pPr>
        <w:pStyle w:val="Prrafodelista"/>
        <w:autoSpaceDE w:val="0"/>
        <w:spacing w:line="276" w:lineRule="auto"/>
        <w:ind w:left="2694"/>
        <w:jc w:val="both"/>
        <w:rPr>
          <w:rFonts w:ascii="Arial" w:hAnsi="Arial" w:cs="Arial"/>
          <w:sz w:val="22"/>
          <w:szCs w:val="22"/>
        </w:rPr>
      </w:pPr>
    </w:p>
    <w:p w:rsidR="009B4233" w:rsidRDefault="006B08B9">
      <w:pPr>
        <w:pStyle w:val="Prrafodelista"/>
        <w:widowControl/>
        <w:numPr>
          <w:ilvl w:val="3"/>
          <w:numId w:val="38"/>
        </w:numPr>
        <w:suppressAutoHyphens w:val="0"/>
        <w:autoSpaceDE w:val="0"/>
        <w:spacing w:line="276" w:lineRule="auto"/>
        <w:ind w:left="2835" w:hanging="850"/>
        <w:jc w:val="both"/>
        <w:textAlignment w:val="auto"/>
        <w:rPr>
          <w:rFonts w:ascii="Arial" w:hAnsi="Arial" w:cs="Arial"/>
          <w:sz w:val="22"/>
          <w:szCs w:val="22"/>
        </w:rPr>
      </w:pPr>
      <w:r>
        <w:rPr>
          <w:rFonts w:ascii="Arial" w:hAnsi="Arial" w:cs="Arial"/>
          <w:sz w:val="22"/>
          <w:szCs w:val="22"/>
        </w:rPr>
        <w:t xml:space="preserve">Para uso industrial o comercial o de obras. El suministro para </w:t>
      </w:r>
      <w:r>
        <w:rPr>
          <w:rFonts w:ascii="Arial" w:hAnsi="Arial" w:cs="Arial"/>
          <w:sz w:val="22"/>
          <w:szCs w:val="22"/>
        </w:rPr>
        <w:t>usos industriales o comerciales serán todos aquellos suministros de agua potable destinados a locales donde se desarrollen actividades comerciales, profesionales o industriales, y además, aquellos suministros que aun precisando el agua como elemento de ate</w:t>
      </w:r>
      <w:r>
        <w:rPr>
          <w:rFonts w:ascii="Arial" w:hAnsi="Arial" w:cs="Arial"/>
          <w:sz w:val="22"/>
          <w:szCs w:val="22"/>
        </w:rPr>
        <w:t>nción directa a las necesidades primarias de la vida sean objeto de una actividad económica lucrativa, y en general todos aquellos en los que el agua no se utilice para los fines expuestos en el apartado anterior.</w:t>
      </w:r>
    </w:p>
    <w:p w:rsidR="009B4233" w:rsidRDefault="006B08B9">
      <w:pPr>
        <w:pStyle w:val="Prrafodelista"/>
        <w:autoSpaceDE w:val="0"/>
        <w:spacing w:line="276" w:lineRule="auto"/>
        <w:ind w:left="2835"/>
        <w:jc w:val="both"/>
        <w:rPr>
          <w:rFonts w:ascii="Arial" w:hAnsi="Arial" w:cs="Arial"/>
          <w:sz w:val="22"/>
          <w:szCs w:val="22"/>
        </w:rPr>
      </w:pPr>
      <w:r>
        <w:rPr>
          <w:rFonts w:ascii="Arial" w:hAnsi="Arial" w:cs="Arial"/>
          <w:sz w:val="22"/>
          <w:szCs w:val="22"/>
        </w:rPr>
        <w:t>Podrá suministrarse agua de obra en la eje</w:t>
      </w:r>
      <w:r>
        <w:rPr>
          <w:rFonts w:ascii="Arial" w:hAnsi="Arial" w:cs="Arial"/>
          <w:sz w:val="22"/>
          <w:szCs w:val="22"/>
        </w:rPr>
        <w:t>cución de obras de edificación o urbanización, siendo necesario para su contratación la presentación de la correspondiente licencia o autorización municipal.</w:t>
      </w:r>
    </w:p>
    <w:p w:rsidR="009B4233" w:rsidRDefault="009B4233">
      <w:pPr>
        <w:pStyle w:val="Prrafodelista"/>
        <w:autoSpaceDE w:val="0"/>
        <w:spacing w:line="276" w:lineRule="auto"/>
        <w:ind w:left="360"/>
        <w:jc w:val="both"/>
        <w:rPr>
          <w:rFonts w:ascii="Arial" w:hAnsi="Arial" w:cs="Arial"/>
          <w:sz w:val="22"/>
          <w:szCs w:val="22"/>
        </w:rPr>
      </w:pPr>
    </w:p>
    <w:tbl>
      <w:tblPr>
        <w:tblW w:w="6095" w:type="dxa"/>
        <w:tblInd w:w="1526" w:type="dxa"/>
        <w:tblCellMar>
          <w:left w:w="10" w:type="dxa"/>
          <w:right w:w="10" w:type="dxa"/>
        </w:tblCellMar>
        <w:tblLook w:val="0000" w:firstRow="0" w:lastRow="0" w:firstColumn="0" w:lastColumn="0" w:noHBand="0" w:noVBand="0"/>
      </w:tblPr>
      <w:tblGrid>
        <w:gridCol w:w="2835"/>
        <w:gridCol w:w="3260"/>
      </w:tblGrid>
      <w:tr w:rsidR="009B4233">
        <w:tblPrEx>
          <w:tblCellMar>
            <w:top w:w="0" w:type="dxa"/>
            <w:bottom w:w="0" w:type="dxa"/>
          </w:tblCellMar>
        </w:tblPrEx>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widowControl/>
              <w:suppressAutoHyphens w:val="0"/>
              <w:spacing w:after="120"/>
              <w:jc w:val="center"/>
            </w:pPr>
            <w:r>
              <w:rPr>
                <w:rFonts w:ascii="Arial" w:eastAsia="Times New Roman" w:hAnsi="Arial" w:cs="Arial"/>
                <w:b/>
                <w:bCs/>
                <w:color w:val="000000"/>
                <w:sz w:val="22"/>
                <w:szCs w:val="22"/>
                <w:lang w:eastAsia="es-ES"/>
              </w:rPr>
              <w:t>CONSUMO INDUSTRIAL</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9B4233">
            <w:pPr>
              <w:pStyle w:val="Textoindependiente"/>
              <w:jc w:val="center"/>
              <w:rPr>
                <w:rFonts w:cs="Arial"/>
                <w:szCs w:val="22"/>
              </w:rPr>
            </w:pPr>
          </w:p>
        </w:tc>
      </w:tr>
      <w:tr w:rsidR="009B4233">
        <w:tblPrEx>
          <w:tblCellMar>
            <w:top w:w="0" w:type="dxa"/>
            <w:bottom w:w="0" w:type="dxa"/>
          </w:tblCellMar>
        </w:tblPrEx>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widowControl/>
              <w:suppressAutoHyphens w:val="0"/>
              <w:spacing w:after="120"/>
              <w:jc w:val="center"/>
            </w:pPr>
            <w:r>
              <w:rPr>
                <w:rFonts w:ascii="Arial" w:eastAsia="Times New Roman" w:hAnsi="Arial" w:cs="Arial"/>
                <w:color w:val="000000"/>
                <w:sz w:val="22"/>
                <w:szCs w:val="22"/>
                <w:lang w:eastAsia="es-ES"/>
              </w:rPr>
              <w:t>CUOTA FIJA</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widowControl/>
              <w:suppressAutoHyphens w:val="0"/>
              <w:spacing w:after="120"/>
              <w:jc w:val="center"/>
            </w:pPr>
            <w:r>
              <w:rPr>
                <w:rFonts w:ascii="Arial" w:eastAsia="Times New Roman" w:hAnsi="Arial" w:cs="Arial"/>
                <w:color w:val="000000"/>
                <w:sz w:val="22"/>
                <w:szCs w:val="22"/>
                <w:lang w:eastAsia="es-ES"/>
              </w:rPr>
              <w:t>22,99 €</w:t>
            </w:r>
          </w:p>
        </w:tc>
      </w:tr>
      <w:tr w:rsidR="009B4233">
        <w:tblPrEx>
          <w:tblCellMar>
            <w:top w:w="0" w:type="dxa"/>
            <w:bottom w:w="0" w:type="dxa"/>
          </w:tblCellMar>
        </w:tblPrEx>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widowControl/>
              <w:suppressAutoHyphens w:val="0"/>
              <w:spacing w:after="120"/>
              <w:jc w:val="center"/>
            </w:pPr>
            <w:r>
              <w:rPr>
                <w:rFonts w:ascii="Arial" w:eastAsia="Times New Roman" w:hAnsi="Arial" w:cs="Arial"/>
                <w:color w:val="000000"/>
                <w:sz w:val="22"/>
                <w:szCs w:val="22"/>
                <w:lang w:eastAsia="es-ES"/>
              </w:rPr>
              <w:t>De 1 a 10 m3</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widowControl/>
              <w:suppressAutoHyphens w:val="0"/>
              <w:spacing w:after="120"/>
              <w:jc w:val="center"/>
            </w:pPr>
            <w:r>
              <w:rPr>
                <w:rFonts w:ascii="Arial" w:eastAsia="Times New Roman" w:hAnsi="Arial" w:cs="Arial"/>
                <w:color w:val="000000"/>
                <w:sz w:val="22"/>
                <w:szCs w:val="22"/>
                <w:lang w:eastAsia="es-ES"/>
              </w:rPr>
              <w:t>0,97 €/m3</w:t>
            </w:r>
          </w:p>
        </w:tc>
      </w:tr>
      <w:tr w:rsidR="009B4233">
        <w:tblPrEx>
          <w:tblCellMar>
            <w:top w:w="0" w:type="dxa"/>
            <w:bottom w:w="0" w:type="dxa"/>
          </w:tblCellMar>
        </w:tblPrEx>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widowControl/>
              <w:suppressAutoHyphens w:val="0"/>
              <w:spacing w:after="120"/>
              <w:jc w:val="center"/>
            </w:pPr>
            <w:r>
              <w:rPr>
                <w:rFonts w:ascii="Arial" w:eastAsia="Times New Roman" w:hAnsi="Arial" w:cs="Arial"/>
                <w:i/>
                <w:iCs/>
                <w:color w:val="000000"/>
                <w:sz w:val="22"/>
                <w:szCs w:val="22"/>
                <w:lang w:eastAsia="es-ES"/>
              </w:rPr>
              <w:t xml:space="preserve">De </w:t>
            </w:r>
            <w:r>
              <w:rPr>
                <w:rFonts w:ascii="Arial" w:eastAsia="Times New Roman" w:hAnsi="Arial" w:cs="Arial"/>
                <w:color w:val="000000"/>
                <w:sz w:val="22"/>
                <w:szCs w:val="22"/>
                <w:lang w:eastAsia="es-ES"/>
              </w:rPr>
              <w:t>11 a 30 m3</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widowControl/>
              <w:suppressAutoHyphens w:val="0"/>
              <w:spacing w:after="120"/>
              <w:jc w:val="center"/>
            </w:pPr>
            <w:r>
              <w:rPr>
                <w:rFonts w:ascii="Arial" w:eastAsia="Times New Roman" w:hAnsi="Arial" w:cs="Arial"/>
                <w:color w:val="000000"/>
                <w:sz w:val="22"/>
                <w:szCs w:val="22"/>
                <w:lang w:eastAsia="es-ES"/>
              </w:rPr>
              <w:t>2,00 €/m3</w:t>
            </w:r>
          </w:p>
        </w:tc>
      </w:tr>
      <w:tr w:rsidR="009B4233">
        <w:tblPrEx>
          <w:tblCellMar>
            <w:top w:w="0" w:type="dxa"/>
            <w:bottom w:w="0" w:type="dxa"/>
          </w:tblCellMar>
        </w:tblPrEx>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widowControl/>
              <w:suppressAutoHyphens w:val="0"/>
              <w:spacing w:after="120"/>
              <w:jc w:val="center"/>
            </w:pPr>
            <w:r>
              <w:rPr>
                <w:rFonts w:ascii="Arial" w:eastAsia="Times New Roman" w:hAnsi="Arial" w:cs="Arial"/>
                <w:i/>
                <w:iCs/>
                <w:color w:val="000000"/>
                <w:sz w:val="22"/>
                <w:szCs w:val="22"/>
                <w:lang w:eastAsia="es-ES"/>
              </w:rPr>
              <w:t>De 31 a</w:t>
            </w:r>
            <w:r>
              <w:rPr>
                <w:rFonts w:ascii="Arial" w:eastAsia="Times New Roman" w:hAnsi="Arial" w:cs="Arial"/>
                <w:i/>
                <w:iCs/>
                <w:color w:val="000000"/>
                <w:sz w:val="22"/>
                <w:szCs w:val="22"/>
                <w:lang w:eastAsia="es-ES"/>
              </w:rPr>
              <w:t xml:space="preserve"> 60 </w:t>
            </w:r>
            <w:r>
              <w:rPr>
                <w:rFonts w:ascii="Arial" w:eastAsia="Times New Roman" w:hAnsi="Arial" w:cs="Arial"/>
                <w:color w:val="000000"/>
                <w:sz w:val="22"/>
                <w:szCs w:val="22"/>
                <w:lang w:eastAsia="es-ES"/>
              </w:rPr>
              <w:t>m3</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widowControl/>
              <w:suppressAutoHyphens w:val="0"/>
              <w:spacing w:after="120"/>
              <w:jc w:val="center"/>
            </w:pPr>
            <w:r>
              <w:rPr>
                <w:rFonts w:ascii="Arial" w:eastAsia="Times New Roman" w:hAnsi="Arial" w:cs="Arial"/>
                <w:color w:val="000000"/>
                <w:sz w:val="22"/>
                <w:szCs w:val="22"/>
                <w:lang w:eastAsia="es-ES"/>
              </w:rPr>
              <w:t>3,08 €/m3</w:t>
            </w:r>
          </w:p>
        </w:tc>
      </w:tr>
      <w:tr w:rsidR="009B4233">
        <w:tblPrEx>
          <w:tblCellMar>
            <w:top w:w="0" w:type="dxa"/>
            <w:bottom w:w="0" w:type="dxa"/>
          </w:tblCellMar>
        </w:tblPrEx>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widowControl/>
              <w:suppressAutoHyphens w:val="0"/>
              <w:spacing w:after="120"/>
              <w:jc w:val="center"/>
            </w:pPr>
            <w:r>
              <w:rPr>
                <w:rFonts w:ascii="Arial" w:eastAsia="Times New Roman" w:hAnsi="Arial" w:cs="Arial"/>
                <w:i/>
                <w:iCs/>
                <w:color w:val="000000"/>
                <w:sz w:val="22"/>
                <w:szCs w:val="22"/>
                <w:lang w:eastAsia="es-ES"/>
              </w:rPr>
              <w:t xml:space="preserve">Más de 60 </w:t>
            </w:r>
            <w:r>
              <w:rPr>
                <w:rFonts w:ascii="Arial" w:eastAsia="Times New Roman" w:hAnsi="Arial" w:cs="Arial"/>
                <w:color w:val="000000"/>
                <w:sz w:val="22"/>
                <w:szCs w:val="22"/>
                <w:lang w:eastAsia="es-ES"/>
              </w:rPr>
              <w:t>m3</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widowControl/>
              <w:suppressAutoHyphens w:val="0"/>
              <w:spacing w:after="120"/>
              <w:jc w:val="center"/>
            </w:pPr>
            <w:r>
              <w:rPr>
                <w:rFonts w:ascii="Arial" w:eastAsia="Times New Roman" w:hAnsi="Arial" w:cs="Arial"/>
                <w:color w:val="000000"/>
                <w:sz w:val="22"/>
                <w:szCs w:val="22"/>
                <w:lang w:eastAsia="es-ES"/>
              </w:rPr>
              <w:t>4,28 €/m3</w:t>
            </w:r>
          </w:p>
        </w:tc>
      </w:tr>
    </w:tbl>
    <w:p w:rsidR="009B4233" w:rsidRDefault="009B4233">
      <w:pPr>
        <w:pStyle w:val="Prrafodelista"/>
        <w:autoSpaceDE w:val="0"/>
        <w:spacing w:line="276" w:lineRule="auto"/>
        <w:ind w:left="360"/>
        <w:jc w:val="both"/>
        <w:rPr>
          <w:rFonts w:ascii="Arial" w:hAnsi="Arial" w:cs="Arial"/>
          <w:sz w:val="22"/>
          <w:szCs w:val="22"/>
        </w:rPr>
      </w:pPr>
    </w:p>
    <w:p w:rsidR="009B4233" w:rsidRDefault="009B4233">
      <w:pPr>
        <w:pStyle w:val="Prrafodelista"/>
        <w:autoSpaceDE w:val="0"/>
        <w:spacing w:line="276" w:lineRule="auto"/>
        <w:ind w:left="360"/>
        <w:jc w:val="both"/>
        <w:rPr>
          <w:rFonts w:ascii="Arial" w:hAnsi="Arial" w:cs="Arial"/>
          <w:sz w:val="22"/>
          <w:szCs w:val="22"/>
        </w:rPr>
      </w:pPr>
    </w:p>
    <w:p w:rsidR="009B4233" w:rsidRDefault="006B08B9">
      <w:pPr>
        <w:pStyle w:val="Prrafodelista"/>
        <w:autoSpaceDE w:val="0"/>
        <w:spacing w:line="276" w:lineRule="auto"/>
        <w:ind w:left="2832"/>
        <w:jc w:val="both"/>
        <w:rPr>
          <w:rFonts w:ascii="Arial" w:hAnsi="Arial" w:cs="Arial"/>
          <w:sz w:val="22"/>
          <w:szCs w:val="22"/>
        </w:rPr>
      </w:pPr>
      <w:r>
        <w:rPr>
          <w:rFonts w:ascii="Arial" w:hAnsi="Arial" w:cs="Arial"/>
          <w:sz w:val="22"/>
          <w:szCs w:val="22"/>
        </w:rPr>
        <w:t>A estos efectos, se entiende que el uso del servicio tiene carácter industrial o comercial, cuando la actividad que desarrolle el usuario esté contenida en el hecho imponible del Impuesto sobre Actividades Económ</w:t>
      </w:r>
      <w:r>
        <w:rPr>
          <w:rFonts w:ascii="Arial" w:hAnsi="Arial" w:cs="Arial"/>
          <w:sz w:val="22"/>
          <w:szCs w:val="22"/>
        </w:rPr>
        <w:t>icas y comprendida en la Sección Primera de las Tarifas del referido Impuesto, así como cualquier otro uso que no resulte ser estrictamente doméstico.</w:t>
      </w:r>
    </w:p>
    <w:p w:rsidR="009B4233" w:rsidRDefault="009B4233">
      <w:pPr>
        <w:autoSpaceDE w:val="0"/>
        <w:spacing w:line="276" w:lineRule="auto"/>
        <w:jc w:val="both"/>
        <w:rPr>
          <w:rFonts w:ascii="Arial" w:hAnsi="Arial" w:cs="Arial"/>
          <w:sz w:val="22"/>
          <w:szCs w:val="22"/>
        </w:rPr>
      </w:pPr>
    </w:p>
    <w:p w:rsidR="009B4233" w:rsidRDefault="006B08B9">
      <w:pPr>
        <w:pStyle w:val="Prrafodelista"/>
        <w:widowControl/>
        <w:numPr>
          <w:ilvl w:val="0"/>
          <w:numId w:val="38"/>
        </w:numPr>
        <w:suppressAutoHyphens w:val="0"/>
        <w:autoSpaceDE w:val="0"/>
        <w:spacing w:line="276" w:lineRule="auto"/>
        <w:ind w:left="709"/>
        <w:jc w:val="both"/>
        <w:textAlignment w:val="auto"/>
        <w:rPr>
          <w:rFonts w:ascii="Arial" w:hAnsi="Arial" w:cs="Arial"/>
          <w:sz w:val="22"/>
          <w:szCs w:val="22"/>
        </w:rPr>
      </w:pPr>
      <w:r>
        <w:rPr>
          <w:rFonts w:ascii="Arial" w:hAnsi="Arial" w:cs="Arial"/>
          <w:sz w:val="22"/>
          <w:szCs w:val="22"/>
        </w:rPr>
        <w:t xml:space="preserve">La cuota a pagar correspondiente al servicio de evacuación de excretas, aguas pluviales, negras y </w:t>
      </w:r>
      <w:r>
        <w:rPr>
          <w:rFonts w:ascii="Arial" w:hAnsi="Arial" w:cs="Arial"/>
          <w:sz w:val="22"/>
          <w:szCs w:val="22"/>
        </w:rPr>
        <w:t>residuales, a través de la red de alcantarillado municipal, y su tratamiento para depurarlas, se determinará en función de:</w:t>
      </w:r>
    </w:p>
    <w:p w:rsidR="009B4233" w:rsidRDefault="006B08B9">
      <w:pPr>
        <w:pStyle w:val="Prrafodelista"/>
        <w:widowControl/>
        <w:numPr>
          <w:ilvl w:val="3"/>
          <w:numId w:val="40"/>
        </w:numPr>
        <w:suppressAutoHyphens w:val="0"/>
        <w:autoSpaceDE w:val="0"/>
        <w:spacing w:line="276" w:lineRule="auto"/>
        <w:jc w:val="both"/>
        <w:textAlignment w:val="auto"/>
        <w:rPr>
          <w:rFonts w:ascii="Arial" w:hAnsi="Arial" w:cs="Arial"/>
          <w:sz w:val="22"/>
          <w:szCs w:val="22"/>
        </w:rPr>
      </w:pPr>
      <w:r>
        <w:rPr>
          <w:rFonts w:ascii="Arial" w:hAnsi="Arial" w:cs="Arial"/>
          <w:sz w:val="22"/>
          <w:szCs w:val="22"/>
        </w:rPr>
        <w:t>Derecho de acometida a la red general de alcantarillado: el hecho de la conexión a la red por cada inmueble, vivienda individual, lo</w:t>
      </w:r>
      <w:r>
        <w:rPr>
          <w:rFonts w:ascii="Arial" w:hAnsi="Arial" w:cs="Arial"/>
          <w:sz w:val="22"/>
          <w:szCs w:val="22"/>
        </w:rPr>
        <w:t>cal comercial o suministro para obras.</w:t>
      </w:r>
    </w:p>
    <w:p w:rsidR="009B4233" w:rsidRDefault="006B08B9">
      <w:pPr>
        <w:pStyle w:val="Prrafodelista"/>
        <w:widowControl/>
        <w:numPr>
          <w:ilvl w:val="3"/>
          <w:numId w:val="40"/>
        </w:numPr>
        <w:suppressAutoHyphens w:val="0"/>
        <w:autoSpaceDE w:val="0"/>
        <w:spacing w:line="276" w:lineRule="auto"/>
        <w:jc w:val="both"/>
        <w:textAlignment w:val="auto"/>
        <w:rPr>
          <w:rFonts w:ascii="Arial" w:hAnsi="Arial" w:cs="Arial"/>
          <w:sz w:val="22"/>
          <w:szCs w:val="22"/>
        </w:rPr>
      </w:pPr>
      <w:r>
        <w:rPr>
          <w:rFonts w:ascii="Arial" w:hAnsi="Arial" w:cs="Arial"/>
          <w:sz w:val="22"/>
          <w:szCs w:val="22"/>
        </w:rPr>
        <w:t xml:space="preserve">Los metros cúbicos de agua consumida en el inmueble donde esté instalado el servicio: se determinará en función del consumo bimestral de agua, medido en metros cúbicos, deducido de la lectura del contador de </w:t>
      </w:r>
      <w:r>
        <w:rPr>
          <w:rFonts w:ascii="Arial" w:hAnsi="Arial" w:cs="Arial"/>
          <w:sz w:val="22"/>
          <w:szCs w:val="22"/>
        </w:rPr>
        <w:t>abastecimiento de agua.</w:t>
      </w:r>
    </w:p>
    <w:p w:rsidR="009B4233" w:rsidRDefault="006B08B9">
      <w:pPr>
        <w:pStyle w:val="Prrafodelista"/>
        <w:autoSpaceDE w:val="0"/>
        <w:spacing w:line="276" w:lineRule="auto"/>
        <w:ind w:firstLine="266"/>
        <w:jc w:val="both"/>
        <w:rPr>
          <w:rFonts w:ascii="Arial" w:hAnsi="Arial" w:cs="Arial"/>
          <w:sz w:val="22"/>
          <w:szCs w:val="22"/>
        </w:rPr>
      </w:pPr>
      <w:r>
        <w:rPr>
          <w:rFonts w:ascii="Arial" w:hAnsi="Arial" w:cs="Arial"/>
          <w:sz w:val="22"/>
          <w:szCs w:val="22"/>
        </w:rPr>
        <w:t>Las tarifas a aplicar son las siguientes:</w:t>
      </w:r>
    </w:p>
    <w:p w:rsidR="009B4233" w:rsidRDefault="006B08B9">
      <w:pPr>
        <w:pStyle w:val="Prrafodelista"/>
        <w:widowControl/>
        <w:numPr>
          <w:ilvl w:val="1"/>
          <w:numId w:val="38"/>
        </w:numPr>
        <w:suppressAutoHyphens w:val="0"/>
        <w:autoSpaceDE w:val="0"/>
        <w:spacing w:line="276" w:lineRule="auto"/>
        <w:ind w:left="1418"/>
        <w:jc w:val="both"/>
        <w:textAlignment w:val="auto"/>
        <w:rPr>
          <w:rFonts w:ascii="Arial" w:hAnsi="Arial" w:cs="Arial"/>
          <w:sz w:val="22"/>
          <w:szCs w:val="22"/>
        </w:rPr>
      </w:pPr>
      <w:r>
        <w:rPr>
          <w:rFonts w:ascii="Arial" w:hAnsi="Arial" w:cs="Arial"/>
          <w:sz w:val="22"/>
          <w:szCs w:val="22"/>
        </w:rPr>
        <w:t>La concesión de la licencia o autorización de acometida a la red de alcantarillado se exigirá por una sola vez, con arreglo a las siguientes tarifas:</w:t>
      </w:r>
    </w:p>
    <w:p w:rsidR="009B4233" w:rsidRDefault="006B08B9">
      <w:pPr>
        <w:pStyle w:val="Prrafodelista"/>
        <w:widowControl/>
        <w:numPr>
          <w:ilvl w:val="2"/>
          <w:numId w:val="38"/>
        </w:numPr>
        <w:suppressAutoHyphens w:val="0"/>
        <w:autoSpaceDE w:val="0"/>
        <w:spacing w:line="276" w:lineRule="auto"/>
        <w:ind w:left="2127" w:hanging="709"/>
        <w:jc w:val="both"/>
        <w:textAlignment w:val="auto"/>
        <w:rPr>
          <w:rFonts w:ascii="Arial" w:hAnsi="Arial" w:cs="Arial"/>
          <w:sz w:val="22"/>
          <w:szCs w:val="22"/>
        </w:rPr>
      </w:pPr>
      <w:r>
        <w:rPr>
          <w:rFonts w:ascii="Arial" w:hAnsi="Arial" w:cs="Arial"/>
          <w:sz w:val="22"/>
          <w:szCs w:val="22"/>
        </w:rPr>
        <w:t>Cuando se trate de acometidas individual</w:t>
      </w:r>
      <w:r>
        <w:rPr>
          <w:rFonts w:ascii="Arial" w:hAnsi="Arial" w:cs="Arial"/>
          <w:sz w:val="22"/>
          <w:szCs w:val="22"/>
        </w:rPr>
        <w:t>es, para una sola vivienda o local, por cada licencia de acometida 66,10 euros.</w:t>
      </w:r>
    </w:p>
    <w:p w:rsidR="009B4233" w:rsidRDefault="006B08B9">
      <w:pPr>
        <w:pStyle w:val="Prrafodelista"/>
        <w:widowControl/>
        <w:numPr>
          <w:ilvl w:val="2"/>
          <w:numId w:val="38"/>
        </w:numPr>
        <w:suppressAutoHyphens w:val="0"/>
        <w:autoSpaceDE w:val="0"/>
        <w:spacing w:line="276" w:lineRule="auto"/>
        <w:ind w:left="2127" w:hanging="709"/>
        <w:jc w:val="both"/>
        <w:textAlignment w:val="auto"/>
        <w:rPr>
          <w:rFonts w:ascii="Arial" w:hAnsi="Arial" w:cs="Arial"/>
          <w:sz w:val="22"/>
          <w:szCs w:val="22"/>
        </w:rPr>
      </w:pPr>
      <w:r>
        <w:rPr>
          <w:rFonts w:ascii="Arial" w:hAnsi="Arial" w:cs="Arial"/>
          <w:sz w:val="22"/>
          <w:szCs w:val="22"/>
        </w:rPr>
        <w:t>Cuando se trate de licencias de acometidas colectivas, a solicitud del promotor o propietario de un edificio, por cada unidad de vivienda o local 42,60 euros. En este supuesto,</w:t>
      </w:r>
      <w:r>
        <w:rPr>
          <w:rFonts w:ascii="Arial" w:hAnsi="Arial" w:cs="Arial"/>
          <w:sz w:val="22"/>
          <w:szCs w:val="22"/>
        </w:rPr>
        <w:t xml:space="preserve"> el promotor o propietario del edificio podrá repercutir la unidad de cuota, en el adquirente de cada vivienda o local.</w:t>
      </w:r>
    </w:p>
    <w:p w:rsidR="009B4233" w:rsidRDefault="009B4233">
      <w:pPr>
        <w:pStyle w:val="Prrafodelista"/>
        <w:autoSpaceDE w:val="0"/>
        <w:spacing w:line="276" w:lineRule="auto"/>
        <w:ind w:left="1843"/>
        <w:jc w:val="both"/>
        <w:rPr>
          <w:rFonts w:ascii="Arial" w:hAnsi="Arial" w:cs="Arial"/>
          <w:sz w:val="22"/>
          <w:szCs w:val="22"/>
        </w:rPr>
      </w:pPr>
    </w:p>
    <w:p w:rsidR="009B4233" w:rsidRDefault="006B08B9">
      <w:pPr>
        <w:pStyle w:val="Prrafodelista"/>
        <w:widowControl/>
        <w:numPr>
          <w:ilvl w:val="1"/>
          <w:numId w:val="38"/>
        </w:numPr>
        <w:suppressAutoHyphens w:val="0"/>
        <w:autoSpaceDE w:val="0"/>
        <w:spacing w:line="276" w:lineRule="auto"/>
        <w:ind w:left="1418"/>
        <w:jc w:val="both"/>
        <w:textAlignment w:val="auto"/>
        <w:rPr>
          <w:rFonts w:ascii="Arial" w:hAnsi="Arial" w:cs="Arial"/>
          <w:sz w:val="22"/>
          <w:szCs w:val="22"/>
        </w:rPr>
      </w:pPr>
      <w:r>
        <w:rPr>
          <w:rFonts w:ascii="Arial" w:hAnsi="Arial" w:cs="Arial"/>
          <w:sz w:val="22"/>
          <w:szCs w:val="22"/>
        </w:rPr>
        <w:t>Consumos de agua al bimestre.</w:t>
      </w:r>
    </w:p>
    <w:p w:rsidR="009B4233" w:rsidRDefault="006B08B9">
      <w:pPr>
        <w:pStyle w:val="Prrafodelista"/>
        <w:widowControl/>
        <w:numPr>
          <w:ilvl w:val="2"/>
          <w:numId w:val="38"/>
        </w:numPr>
        <w:suppressAutoHyphens w:val="0"/>
        <w:autoSpaceDE w:val="0"/>
        <w:spacing w:line="276" w:lineRule="auto"/>
        <w:ind w:left="2127" w:hanging="709"/>
        <w:jc w:val="both"/>
        <w:textAlignment w:val="auto"/>
        <w:rPr>
          <w:rFonts w:ascii="Arial" w:hAnsi="Arial" w:cs="Arial"/>
          <w:sz w:val="22"/>
          <w:szCs w:val="22"/>
        </w:rPr>
      </w:pPr>
      <w:r>
        <w:rPr>
          <w:rFonts w:ascii="Arial" w:hAnsi="Arial" w:cs="Arial"/>
          <w:sz w:val="22"/>
          <w:szCs w:val="22"/>
        </w:rPr>
        <w:t>Para uso doméstico. Se aplicará esta modalidad, exclusivamente a inmuebles destinados a viviendas, siempr</w:t>
      </w:r>
      <w:r>
        <w:rPr>
          <w:rFonts w:ascii="Arial" w:hAnsi="Arial" w:cs="Arial"/>
          <w:sz w:val="22"/>
          <w:szCs w:val="22"/>
        </w:rPr>
        <w:t>e que en ellos no se realice actividad industrial, comercial o profesional de ningún tipo.</w:t>
      </w:r>
    </w:p>
    <w:p w:rsidR="009B4233" w:rsidRDefault="009B4233">
      <w:pPr>
        <w:pStyle w:val="Prrafodelista"/>
        <w:autoSpaceDE w:val="0"/>
        <w:spacing w:line="276" w:lineRule="auto"/>
        <w:ind w:left="2127"/>
        <w:jc w:val="both"/>
        <w:rPr>
          <w:rFonts w:ascii="Arial" w:hAnsi="Arial" w:cs="Arial"/>
          <w:sz w:val="22"/>
          <w:szCs w:val="22"/>
        </w:rPr>
      </w:pPr>
    </w:p>
    <w:tbl>
      <w:tblPr>
        <w:tblW w:w="5734" w:type="dxa"/>
        <w:tblInd w:w="2830" w:type="dxa"/>
        <w:tblCellMar>
          <w:left w:w="10" w:type="dxa"/>
          <w:right w:w="10" w:type="dxa"/>
        </w:tblCellMar>
        <w:tblLook w:val="0000" w:firstRow="0" w:lastRow="0" w:firstColumn="0" w:lastColumn="0" w:noHBand="0" w:noVBand="0"/>
      </w:tblPr>
      <w:tblGrid>
        <w:gridCol w:w="2875"/>
        <w:gridCol w:w="2859"/>
      </w:tblGrid>
      <w:tr w:rsidR="009B4233">
        <w:tblPrEx>
          <w:tblCellMar>
            <w:top w:w="0" w:type="dxa"/>
            <w:bottom w:w="0" w:type="dxa"/>
          </w:tblCellMar>
        </w:tblPrEx>
        <w:tc>
          <w:tcPr>
            <w:tcW w:w="28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autoSpaceDE w:val="0"/>
              <w:spacing w:line="276" w:lineRule="auto"/>
              <w:jc w:val="both"/>
              <w:rPr>
                <w:rFonts w:ascii="Arial" w:hAnsi="Arial" w:cs="Arial"/>
                <w:b/>
                <w:bCs/>
                <w:sz w:val="22"/>
                <w:szCs w:val="22"/>
              </w:rPr>
            </w:pPr>
            <w:r>
              <w:rPr>
                <w:rFonts w:ascii="Arial" w:hAnsi="Arial" w:cs="Arial"/>
                <w:b/>
                <w:bCs/>
                <w:sz w:val="22"/>
                <w:szCs w:val="22"/>
              </w:rPr>
              <w:t xml:space="preserve">Bloque de Consumo </w:t>
            </w:r>
          </w:p>
        </w:tc>
        <w:tc>
          <w:tcPr>
            <w:tcW w:w="28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autoSpaceDE w:val="0"/>
              <w:jc w:val="center"/>
              <w:rPr>
                <w:rFonts w:ascii="Arial" w:hAnsi="Arial" w:cs="Arial"/>
                <w:b/>
                <w:bCs/>
                <w:sz w:val="22"/>
                <w:szCs w:val="22"/>
              </w:rPr>
            </w:pPr>
            <w:r>
              <w:rPr>
                <w:rFonts w:ascii="Arial" w:hAnsi="Arial" w:cs="Arial"/>
                <w:b/>
                <w:bCs/>
                <w:sz w:val="22"/>
                <w:szCs w:val="22"/>
              </w:rPr>
              <w:t>Importe</w:t>
            </w:r>
          </w:p>
        </w:tc>
      </w:tr>
      <w:tr w:rsidR="009B4233">
        <w:tblPrEx>
          <w:tblCellMar>
            <w:top w:w="0" w:type="dxa"/>
            <w:bottom w:w="0" w:type="dxa"/>
          </w:tblCellMar>
        </w:tblPrEx>
        <w:tc>
          <w:tcPr>
            <w:tcW w:w="28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autoSpaceDE w:val="0"/>
            </w:pPr>
            <w:r>
              <w:rPr>
                <w:rFonts w:ascii="Arial" w:hAnsi="Arial" w:cs="Arial"/>
                <w:sz w:val="22"/>
                <w:szCs w:val="22"/>
              </w:rPr>
              <w:t>Mínimo de 10 m3</w:t>
            </w:r>
          </w:p>
        </w:tc>
        <w:tc>
          <w:tcPr>
            <w:tcW w:w="28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autoSpaceDE w:val="0"/>
              <w:jc w:val="right"/>
            </w:pPr>
            <w:r>
              <w:rPr>
                <w:rFonts w:ascii="Arial" w:hAnsi="Arial" w:cs="Arial"/>
                <w:sz w:val="22"/>
                <w:szCs w:val="22"/>
              </w:rPr>
              <w:t>1,89  euros</w:t>
            </w:r>
          </w:p>
        </w:tc>
      </w:tr>
      <w:tr w:rsidR="009B4233">
        <w:tblPrEx>
          <w:tblCellMar>
            <w:top w:w="0" w:type="dxa"/>
            <w:bottom w:w="0" w:type="dxa"/>
          </w:tblCellMar>
        </w:tblPrEx>
        <w:tc>
          <w:tcPr>
            <w:tcW w:w="28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autoSpaceDE w:val="0"/>
            </w:pPr>
            <w:r>
              <w:rPr>
                <w:rFonts w:ascii="Arial" w:hAnsi="Arial" w:cs="Arial"/>
                <w:sz w:val="22"/>
                <w:szCs w:val="22"/>
              </w:rPr>
              <w:t>Mas de 10 m3</w:t>
            </w:r>
          </w:p>
        </w:tc>
        <w:tc>
          <w:tcPr>
            <w:tcW w:w="28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autoSpaceDE w:val="0"/>
              <w:jc w:val="right"/>
            </w:pPr>
            <w:r>
              <w:rPr>
                <w:rFonts w:ascii="Arial" w:hAnsi="Arial" w:cs="Arial"/>
                <w:sz w:val="22"/>
                <w:szCs w:val="22"/>
              </w:rPr>
              <w:t>0,19 euros/m3</w:t>
            </w:r>
          </w:p>
        </w:tc>
      </w:tr>
    </w:tbl>
    <w:p w:rsidR="009B4233" w:rsidRDefault="009B4233">
      <w:pPr>
        <w:pStyle w:val="Prrafodelista"/>
        <w:autoSpaceDE w:val="0"/>
        <w:spacing w:line="276" w:lineRule="auto"/>
        <w:ind w:left="2127"/>
        <w:jc w:val="both"/>
        <w:rPr>
          <w:rFonts w:ascii="Arial" w:hAnsi="Arial" w:cs="Arial"/>
          <w:sz w:val="22"/>
          <w:szCs w:val="22"/>
        </w:rPr>
      </w:pPr>
    </w:p>
    <w:p w:rsidR="009B4233" w:rsidRDefault="006B08B9">
      <w:pPr>
        <w:pStyle w:val="Prrafodelista"/>
        <w:widowControl/>
        <w:numPr>
          <w:ilvl w:val="2"/>
          <w:numId w:val="38"/>
        </w:numPr>
        <w:suppressAutoHyphens w:val="0"/>
        <w:autoSpaceDE w:val="0"/>
        <w:spacing w:line="276" w:lineRule="auto"/>
        <w:ind w:left="2127" w:hanging="709"/>
        <w:jc w:val="both"/>
        <w:textAlignment w:val="auto"/>
        <w:rPr>
          <w:rFonts w:ascii="Arial" w:hAnsi="Arial" w:cs="Arial"/>
          <w:sz w:val="22"/>
          <w:szCs w:val="22"/>
        </w:rPr>
      </w:pPr>
      <w:r>
        <w:rPr>
          <w:rFonts w:ascii="Arial" w:hAnsi="Arial" w:cs="Arial"/>
          <w:sz w:val="22"/>
          <w:szCs w:val="22"/>
        </w:rPr>
        <w:t xml:space="preserve">Para uso industrial o comercial o de obras. El suministro para usos </w:t>
      </w:r>
      <w:r>
        <w:rPr>
          <w:rFonts w:ascii="Arial" w:hAnsi="Arial" w:cs="Arial"/>
          <w:sz w:val="22"/>
          <w:szCs w:val="22"/>
        </w:rPr>
        <w:t>industriales o comerciales serán todos aquellos suministros de agua potable destinados a locales donde se desarrollen actividades comerciales, profesionales o industriales, y además, aquellos suministros que aun precisando el agua como elemento de atención</w:t>
      </w:r>
      <w:r>
        <w:rPr>
          <w:rFonts w:ascii="Arial" w:hAnsi="Arial" w:cs="Arial"/>
          <w:sz w:val="22"/>
          <w:szCs w:val="22"/>
        </w:rPr>
        <w:t xml:space="preserve"> directa a las necesidades primarias de la vida sean objeto de una actividad económica lucrativa, y en general todos aquellos en los que el agua no se utilice para los fines expuestos en el apartado anterior.</w:t>
      </w:r>
    </w:p>
    <w:p w:rsidR="009B4233" w:rsidRDefault="009B4233">
      <w:pPr>
        <w:pStyle w:val="Prrafodelista"/>
        <w:autoSpaceDE w:val="0"/>
        <w:spacing w:line="276" w:lineRule="auto"/>
        <w:ind w:left="2127"/>
        <w:jc w:val="both"/>
        <w:rPr>
          <w:rFonts w:ascii="Arial" w:hAnsi="Arial" w:cs="Arial"/>
          <w:sz w:val="22"/>
          <w:szCs w:val="22"/>
        </w:rPr>
      </w:pPr>
    </w:p>
    <w:p w:rsidR="009B4233" w:rsidRDefault="009B4233">
      <w:pPr>
        <w:pStyle w:val="Prrafodelista"/>
        <w:autoSpaceDE w:val="0"/>
        <w:spacing w:line="276" w:lineRule="auto"/>
        <w:ind w:left="2127"/>
        <w:jc w:val="both"/>
        <w:rPr>
          <w:rFonts w:ascii="Arial" w:hAnsi="Arial" w:cs="Arial"/>
          <w:sz w:val="22"/>
          <w:szCs w:val="22"/>
        </w:rPr>
      </w:pPr>
    </w:p>
    <w:tbl>
      <w:tblPr>
        <w:tblW w:w="5734" w:type="dxa"/>
        <w:tblInd w:w="2830" w:type="dxa"/>
        <w:tblCellMar>
          <w:left w:w="10" w:type="dxa"/>
          <w:right w:w="10" w:type="dxa"/>
        </w:tblCellMar>
        <w:tblLook w:val="0000" w:firstRow="0" w:lastRow="0" w:firstColumn="0" w:lastColumn="0" w:noHBand="0" w:noVBand="0"/>
      </w:tblPr>
      <w:tblGrid>
        <w:gridCol w:w="2875"/>
        <w:gridCol w:w="2859"/>
      </w:tblGrid>
      <w:tr w:rsidR="009B4233">
        <w:tblPrEx>
          <w:tblCellMar>
            <w:top w:w="0" w:type="dxa"/>
            <w:bottom w:w="0" w:type="dxa"/>
          </w:tblCellMar>
        </w:tblPrEx>
        <w:tc>
          <w:tcPr>
            <w:tcW w:w="28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autoSpaceDE w:val="0"/>
              <w:spacing w:line="276" w:lineRule="auto"/>
              <w:jc w:val="both"/>
              <w:rPr>
                <w:rFonts w:ascii="Arial" w:hAnsi="Arial" w:cs="Arial"/>
                <w:b/>
                <w:bCs/>
                <w:sz w:val="22"/>
                <w:szCs w:val="22"/>
              </w:rPr>
            </w:pPr>
            <w:r>
              <w:rPr>
                <w:rFonts w:ascii="Arial" w:hAnsi="Arial" w:cs="Arial"/>
                <w:b/>
                <w:bCs/>
                <w:sz w:val="22"/>
                <w:szCs w:val="22"/>
              </w:rPr>
              <w:t xml:space="preserve">Bloque de Consumo </w:t>
            </w:r>
          </w:p>
        </w:tc>
        <w:tc>
          <w:tcPr>
            <w:tcW w:w="28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autoSpaceDE w:val="0"/>
              <w:jc w:val="center"/>
              <w:rPr>
                <w:rFonts w:ascii="Arial" w:hAnsi="Arial" w:cs="Arial"/>
                <w:b/>
                <w:bCs/>
                <w:sz w:val="22"/>
                <w:szCs w:val="22"/>
              </w:rPr>
            </w:pPr>
            <w:r>
              <w:rPr>
                <w:rFonts w:ascii="Arial" w:hAnsi="Arial" w:cs="Arial"/>
                <w:b/>
                <w:bCs/>
                <w:sz w:val="22"/>
                <w:szCs w:val="22"/>
              </w:rPr>
              <w:t>Importe</w:t>
            </w:r>
          </w:p>
        </w:tc>
      </w:tr>
      <w:tr w:rsidR="009B4233">
        <w:tblPrEx>
          <w:tblCellMar>
            <w:top w:w="0" w:type="dxa"/>
            <w:bottom w:w="0" w:type="dxa"/>
          </w:tblCellMar>
        </w:tblPrEx>
        <w:tc>
          <w:tcPr>
            <w:tcW w:w="28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autoSpaceDE w:val="0"/>
            </w:pPr>
            <w:r>
              <w:rPr>
                <w:rFonts w:ascii="Arial" w:hAnsi="Arial" w:cs="Arial"/>
                <w:sz w:val="22"/>
                <w:szCs w:val="22"/>
              </w:rPr>
              <w:t>Mínimo de 10 m3</w:t>
            </w:r>
          </w:p>
        </w:tc>
        <w:tc>
          <w:tcPr>
            <w:tcW w:w="28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autoSpaceDE w:val="0"/>
              <w:jc w:val="right"/>
            </w:pPr>
            <w:r>
              <w:rPr>
                <w:rFonts w:ascii="Arial" w:hAnsi="Arial" w:cs="Arial"/>
                <w:sz w:val="22"/>
                <w:szCs w:val="22"/>
              </w:rPr>
              <w:t>2</w:t>
            </w:r>
            <w:r>
              <w:rPr>
                <w:rFonts w:ascii="Arial" w:hAnsi="Arial" w:cs="Arial"/>
                <w:sz w:val="22"/>
                <w:szCs w:val="22"/>
              </w:rPr>
              <w:t>,17 euros</w:t>
            </w:r>
          </w:p>
        </w:tc>
      </w:tr>
      <w:tr w:rsidR="009B4233">
        <w:tblPrEx>
          <w:tblCellMar>
            <w:top w:w="0" w:type="dxa"/>
            <w:bottom w:w="0" w:type="dxa"/>
          </w:tblCellMar>
        </w:tblPrEx>
        <w:tc>
          <w:tcPr>
            <w:tcW w:w="28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autoSpaceDE w:val="0"/>
            </w:pPr>
            <w:r>
              <w:rPr>
                <w:rFonts w:ascii="Arial" w:hAnsi="Arial" w:cs="Arial"/>
                <w:sz w:val="22"/>
                <w:szCs w:val="22"/>
              </w:rPr>
              <w:t>Mas de 10 m3</w:t>
            </w:r>
          </w:p>
        </w:tc>
        <w:tc>
          <w:tcPr>
            <w:tcW w:w="28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autoSpaceDE w:val="0"/>
              <w:jc w:val="right"/>
            </w:pPr>
            <w:r>
              <w:rPr>
                <w:rFonts w:ascii="Arial" w:hAnsi="Arial" w:cs="Arial"/>
                <w:sz w:val="22"/>
                <w:szCs w:val="22"/>
              </w:rPr>
              <w:t>0,22 euros/m3</w:t>
            </w:r>
          </w:p>
        </w:tc>
      </w:tr>
    </w:tbl>
    <w:p w:rsidR="009B4233" w:rsidRDefault="009B4233">
      <w:pPr>
        <w:autoSpaceDE w:val="0"/>
        <w:spacing w:line="276" w:lineRule="auto"/>
        <w:jc w:val="both"/>
        <w:rPr>
          <w:rFonts w:ascii="Arial" w:hAnsi="Arial" w:cs="Arial"/>
          <w:b/>
          <w:bCs/>
          <w:sz w:val="22"/>
          <w:szCs w:val="22"/>
        </w:rPr>
      </w:pPr>
    </w:p>
    <w:p w:rsidR="009B4233" w:rsidRDefault="009B4233">
      <w:pPr>
        <w:autoSpaceDE w:val="0"/>
        <w:spacing w:line="276" w:lineRule="auto"/>
        <w:jc w:val="both"/>
        <w:rPr>
          <w:rFonts w:ascii="Arial" w:hAnsi="Arial" w:cs="Arial"/>
          <w:sz w:val="22"/>
          <w:szCs w:val="22"/>
        </w:rPr>
      </w:pPr>
    </w:p>
    <w:p w:rsidR="009B4233" w:rsidRDefault="006B08B9">
      <w:pPr>
        <w:pStyle w:val="Prrafodelista"/>
        <w:widowControl/>
        <w:numPr>
          <w:ilvl w:val="0"/>
          <w:numId w:val="31"/>
        </w:numPr>
        <w:suppressAutoHyphens w:val="0"/>
        <w:autoSpaceDE w:val="0"/>
        <w:spacing w:line="276" w:lineRule="auto"/>
        <w:ind w:left="284" w:hanging="284"/>
        <w:jc w:val="both"/>
        <w:textAlignment w:val="auto"/>
        <w:rPr>
          <w:rFonts w:ascii="Arial" w:hAnsi="Arial" w:cs="Arial"/>
          <w:b/>
          <w:bCs/>
          <w:sz w:val="22"/>
          <w:szCs w:val="22"/>
        </w:rPr>
      </w:pPr>
      <w:r>
        <w:rPr>
          <w:rFonts w:ascii="Arial" w:hAnsi="Arial" w:cs="Arial"/>
          <w:b/>
          <w:bCs/>
          <w:sz w:val="22"/>
          <w:szCs w:val="22"/>
        </w:rPr>
        <w:t>Depósito previo.</w:t>
      </w:r>
    </w:p>
    <w:p w:rsidR="009B4233" w:rsidRDefault="006B08B9">
      <w:pPr>
        <w:pStyle w:val="Prrafodelista"/>
        <w:widowControl/>
        <w:numPr>
          <w:ilvl w:val="0"/>
          <w:numId w:val="41"/>
        </w:numPr>
        <w:suppressAutoHyphens w:val="0"/>
        <w:autoSpaceDE w:val="0"/>
        <w:spacing w:line="276" w:lineRule="auto"/>
        <w:jc w:val="both"/>
        <w:textAlignment w:val="auto"/>
        <w:rPr>
          <w:rFonts w:ascii="Arial" w:hAnsi="Arial" w:cs="Arial"/>
          <w:sz w:val="22"/>
          <w:szCs w:val="22"/>
        </w:rPr>
      </w:pPr>
      <w:r>
        <w:rPr>
          <w:rFonts w:ascii="Arial" w:hAnsi="Arial" w:cs="Arial"/>
          <w:sz w:val="22"/>
          <w:szCs w:val="22"/>
        </w:rPr>
        <w:t xml:space="preserve">Con carácter previo a la formalización del contrato de suministro y como garantía del pago de este, el abonado viene obligado a constituir el depósito correspondiente, que le será devuelto al </w:t>
      </w:r>
      <w:r>
        <w:rPr>
          <w:rFonts w:ascii="Arial" w:hAnsi="Arial" w:cs="Arial"/>
          <w:sz w:val="22"/>
          <w:szCs w:val="22"/>
        </w:rPr>
        <w:t>producirse la baja del servicio, siempre que no exista a su cargo deuda alguna por el expresado concepto.</w:t>
      </w:r>
    </w:p>
    <w:p w:rsidR="009B4233" w:rsidRDefault="006B08B9">
      <w:pPr>
        <w:pStyle w:val="Prrafodelista"/>
        <w:widowControl/>
        <w:numPr>
          <w:ilvl w:val="0"/>
          <w:numId w:val="41"/>
        </w:numPr>
        <w:suppressAutoHyphens w:val="0"/>
        <w:autoSpaceDE w:val="0"/>
        <w:spacing w:line="276" w:lineRule="auto"/>
        <w:jc w:val="both"/>
        <w:textAlignment w:val="auto"/>
        <w:rPr>
          <w:rFonts w:ascii="Arial" w:hAnsi="Arial" w:cs="Arial"/>
          <w:sz w:val="22"/>
          <w:szCs w:val="22"/>
        </w:rPr>
      </w:pPr>
      <w:r>
        <w:rPr>
          <w:rFonts w:ascii="Arial" w:hAnsi="Arial" w:cs="Arial"/>
          <w:sz w:val="22"/>
          <w:szCs w:val="22"/>
        </w:rPr>
        <w:t xml:space="preserve">La cuantía del depósito correspondiente será la siguiente: </w:t>
      </w:r>
    </w:p>
    <w:p w:rsidR="009B4233" w:rsidRDefault="006B08B9">
      <w:pPr>
        <w:pStyle w:val="Prrafodelista"/>
        <w:widowControl/>
        <w:numPr>
          <w:ilvl w:val="1"/>
          <w:numId w:val="41"/>
        </w:numPr>
        <w:suppressAutoHyphens w:val="0"/>
        <w:autoSpaceDE w:val="0"/>
        <w:spacing w:line="276" w:lineRule="auto"/>
        <w:jc w:val="both"/>
        <w:textAlignment w:val="auto"/>
        <w:rPr>
          <w:rFonts w:ascii="Arial" w:hAnsi="Arial" w:cs="Arial"/>
          <w:sz w:val="22"/>
          <w:szCs w:val="22"/>
        </w:rPr>
      </w:pPr>
      <w:r>
        <w:rPr>
          <w:rFonts w:ascii="Arial" w:hAnsi="Arial" w:cs="Arial"/>
          <w:sz w:val="22"/>
          <w:szCs w:val="22"/>
        </w:rPr>
        <w:t>Si se trata de un contrato o póliza con uso doméstico:</w:t>
      </w:r>
    </w:p>
    <w:p w:rsidR="009B4233" w:rsidRDefault="009B4233">
      <w:pPr>
        <w:pStyle w:val="Prrafodelista"/>
        <w:autoSpaceDE w:val="0"/>
        <w:spacing w:line="276" w:lineRule="auto"/>
        <w:ind w:left="1098"/>
        <w:jc w:val="both"/>
        <w:rPr>
          <w:rFonts w:ascii="Arial" w:hAnsi="Arial" w:cs="Arial"/>
          <w:sz w:val="22"/>
          <w:szCs w:val="22"/>
        </w:rPr>
      </w:pPr>
    </w:p>
    <w:tbl>
      <w:tblPr>
        <w:tblW w:w="6379" w:type="dxa"/>
        <w:jc w:val="center"/>
        <w:tblCellMar>
          <w:left w:w="10" w:type="dxa"/>
          <w:right w:w="10" w:type="dxa"/>
        </w:tblCellMar>
        <w:tblLook w:val="0000" w:firstRow="0" w:lastRow="0" w:firstColumn="0" w:lastColumn="0" w:noHBand="0" w:noVBand="0"/>
      </w:tblPr>
      <w:tblGrid>
        <w:gridCol w:w="3827"/>
        <w:gridCol w:w="2552"/>
      </w:tblGrid>
      <w:tr w:rsidR="009B4233">
        <w:tblPrEx>
          <w:tblCellMar>
            <w:top w:w="0" w:type="dxa"/>
            <w:bottom w:w="0" w:type="dxa"/>
          </w:tblCellMar>
        </w:tblPrEx>
        <w:trPr>
          <w:jc w:val="center"/>
        </w:trPr>
        <w:tc>
          <w:tcPr>
            <w:tcW w:w="38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autoSpaceDE w:val="0"/>
              <w:spacing w:line="276" w:lineRule="auto"/>
              <w:jc w:val="both"/>
              <w:rPr>
                <w:rFonts w:ascii="Arial" w:hAnsi="Arial" w:cs="Arial"/>
                <w:b/>
                <w:bCs/>
                <w:sz w:val="22"/>
                <w:szCs w:val="22"/>
              </w:rPr>
            </w:pPr>
            <w:r>
              <w:rPr>
                <w:rFonts w:ascii="Arial" w:hAnsi="Arial" w:cs="Arial"/>
                <w:b/>
                <w:bCs/>
                <w:sz w:val="22"/>
                <w:szCs w:val="22"/>
              </w:rPr>
              <w:t>Abonado con contador de calibre:</w:t>
            </w:r>
          </w:p>
        </w:tc>
        <w:tc>
          <w:tcPr>
            <w:tcW w:w="25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autoSpaceDE w:val="0"/>
              <w:spacing w:line="276" w:lineRule="auto"/>
              <w:jc w:val="center"/>
              <w:rPr>
                <w:rFonts w:ascii="Arial" w:hAnsi="Arial" w:cs="Arial"/>
                <w:b/>
                <w:bCs/>
                <w:sz w:val="22"/>
                <w:szCs w:val="22"/>
              </w:rPr>
            </w:pPr>
            <w:r>
              <w:rPr>
                <w:rFonts w:ascii="Arial" w:hAnsi="Arial" w:cs="Arial"/>
                <w:b/>
                <w:bCs/>
                <w:sz w:val="22"/>
                <w:szCs w:val="22"/>
              </w:rPr>
              <w:t>Depósito</w:t>
            </w:r>
          </w:p>
        </w:tc>
      </w:tr>
      <w:tr w:rsidR="009B4233">
        <w:tblPrEx>
          <w:tblCellMar>
            <w:top w:w="0" w:type="dxa"/>
            <w:bottom w:w="0" w:type="dxa"/>
          </w:tblCellMar>
        </w:tblPrEx>
        <w:trPr>
          <w:jc w:val="center"/>
        </w:trPr>
        <w:tc>
          <w:tcPr>
            <w:tcW w:w="38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autoSpaceDE w:val="0"/>
              <w:spacing w:line="276" w:lineRule="auto"/>
              <w:jc w:val="both"/>
              <w:rPr>
                <w:rFonts w:ascii="Arial" w:hAnsi="Arial" w:cs="Arial"/>
                <w:sz w:val="22"/>
                <w:szCs w:val="22"/>
              </w:rPr>
            </w:pPr>
            <w:r>
              <w:rPr>
                <w:rFonts w:ascii="Arial" w:hAnsi="Arial" w:cs="Arial"/>
                <w:sz w:val="22"/>
                <w:szCs w:val="22"/>
              </w:rPr>
              <w:t>DN 13-15mm</w:t>
            </w:r>
          </w:p>
        </w:tc>
        <w:tc>
          <w:tcPr>
            <w:tcW w:w="25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autoSpaceDE w:val="0"/>
              <w:spacing w:line="276" w:lineRule="auto"/>
              <w:jc w:val="right"/>
              <w:rPr>
                <w:rFonts w:ascii="Arial" w:hAnsi="Arial" w:cs="Arial"/>
                <w:sz w:val="22"/>
                <w:szCs w:val="22"/>
              </w:rPr>
            </w:pPr>
            <w:r>
              <w:rPr>
                <w:rFonts w:ascii="Arial" w:hAnsi="Arial" w:cs="Arial"/>
                <w:sz w:val="22"/>
                <w:szCs w:val="22"/>
              </w:rPr>
              <w:t xml:space="preserve">25,57 euros </w:t>
            </w:r>
          </w:p>
        </w:tc>
      </w:tr>
      <w:tr w:rsidR="009B4233">
        <w:tblPrEx>
          <w:tblCellMar>
            <w:top w:w="0" w:type="dxa"/>
            <w:bottom w:w="0" w:type="dxa"/>
          </w:tblCellMar>
        </w:tblPrEx>
        <w:trPr>
          <w:jc w:val="center"/>
        </w:trPr>
        <w:tc>
          <w:tcPr>
            <w:tcW w:w="38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autoSpaceDE w:val="0"/>
              <w:spacing w:line="276" w:lineRule="auto"/>
              <w:jc w:val="both"/>
              <w:rPr>
                <w:rFonts w:ascii="Arial" w:hAnsi="Arial" w:cs="Arial"/>
                <w:sz w:val="22"/>
                <w:szCs w:val="22"/>
              </w:rPr>
            </w:pPr>
            <w:r>
              <w:rPr>
                <w:rFonts w:ascii="Arial" w:hAnsi="Arial" w:cs="Arial"/>
                <w:sz w:val="22"/>
                <w:szCs w:val="22"/>
              </w:rPr>
              <w:t>DN 20-25mm</w:t>
            </w:r>
          </w:p>
        </w:tc>
        <w:tc>
          <w:tcPr>
            <w:tcW w:w="25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autoSpaceDE w:val="0"/>
              <w:spacing w:line="276" w:lineRule="auto"/>
              <w:jc w:val="right"/>
              <w:rPr>
                <w:rFonts w:ascii="Arial" w:hAnsi="Arial" w:cs="Arial"/>
                <w:sz w:val="22"/>
                <w:szCs w:val="22"/>
              </w:rPr>
            </w:pPr>
            <w:r>
              <w:rPr>
                <w:rFonts w:ascii="Arial" w:hAnsi="Arial" w:cs="Arial"/>
                <w:sz w:val="22"/>
                <w:szCs w:val="22"/>
              </w:rPr>
              <w:t xml:space="preserve">54,80 euros </w:t>
            </w:r>
          </w:p>
        </w:tc>
      </w:tr>
      <w:tr w:rsidR="009B4233">
        <w:tblPrEx>
          <w:tblCellMar>
            <w:top w:w="0" w:type="dxa"/>
            <w:bottom w:w="0" w:type="dxa"/>
          </w:tblCellMar>
        </w:tblPrEx>
        <w:trPr>
          <w:jc w:val="center"/>
        </w:trPr>
        <w:tc>
          <w:tcPr>
            <w:tcW w:w="38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autoSpaceDE w:val="0"/>
              <w:spacing w:line="276" w:lineRule="auto"/>
              <w:jc w:val="both"/>
              <w:rPr>
                <w:rFonts w:ascii="Arial" w:hAnsi="Arial" w:cs="Arial"/>
                <w:sz w:val="22"/>
                <w:szCs w:val="22"/>
              </w:rPr>
            </w:pPr>
            <w:r>
              <w:rPr>
                <w:rFonts w:ascii="Arial" w:hAnsi="Arial" w:cs="Arial"/>
                <w:sz w:val="22"/>
                <w:szCs w:val="22"/>
              </w:rPr>
              <w:t>DN 30-32mm</w:t>
            </w:r>
          </w:p>
        </w:tc>
        <w:tc>
          <w:tcPr>
            <w:tcW w:w="25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autoSpaceDE w:val="0"/>
              <w:spacing w:line="276" w:lineRule="auto"/>
              <w:jc w:val="right"/>
              <w:rPr>
                <w:rFonts w:ascii="Arial" w:hAnsi="Arial" w:cs="Arial"/>
                <w:sz w:val="22"/>
                <w:szCs w:val="22"/>
              </w:rPr>
            </w:pPr>
            <w:r>
              <w:rPr>
                <w:rFonts w:ascii="Arial" w:hAnsi="Arial" w:cs="Arial"/>
                <w:sz w:val="22"/>
                <w:szCs w:val="22"/>
              </w:rPr>
              <w:t xml:space="preserve">116,42 euros </w:t>
            </w:r>
          </w:p>
        </w:tc>
      </w:tr>
      <w:tr w:rsidR="009B4233">
        <w:tblPrEx>
          <w:tblCellMar>
            <w:top w:w="0" w:type="dxa"/>
            <w:bottom w:w="0" w:type="dxa"/>
          </w:tblCellMar>
        </w:tblPrEx>
        <w:trPr>
          <w:jc w:val="center"/>
        </w:trPr>
        <w:tc>
          <w:tcPr>
            <w:tcW w:w="38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autoSpaceDE w:val="0"/>
              <w:spacing w:line="276" w:lineRule="auto"/>
              <w:jc w:val="both"/>
              <w:rPr>
                <w:rFonts w:ascii="Arial" w:hAnsi="Arial" w:cs="Arial"/>
                <w:sz w:val="22"/>
                <w:szCs w:val="22"/>
              </w:rPr>
            </w:pPr>
            <w:r>
              <w:rPr>
                <w:rFonts w:ascii="Arial" w:hAnsi="Arial" w:cs="Arial"/>
                <w:sz w:val="22"/>
                <w:szCs w:val="22"/>
              </w:rPr>
              <w:t>DN 40 mm:</w:t>
            </w:r>
          </w:p>
        </w:tc>
        <w:tc>
          <w:tcPr>
            <w:tcW w:w="25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autoSpaceDE w:val="0"/>
              <w:spacing w:line="276" w:lineRule="auto"/>
              <w:jc w:val="right"/>
              <w:rPr>
                <w:rFonts w:ascii="Arial" w:hAnsi="Arial" w:cs="Arial"/>
                <w:sz w:val="22"/>
                <w:szCs w:val="22"/>
              </w:rPr>
            </w:pPr>
            <w:r>
              <w:rPr>
                <w:rFonts w:ascii="Arial" w:hAnsi="Arial" w:cs="Arial"/>
                <w:sz w:val="22"/>
                <w:szCs w:val="22"/>
              </w:rPr>
              <w:t xml:space="preserve">215,60 euros </w:t>
            </w:r>
          </w:p>
        </w:tc>
      </w:tr>
      <w:tr w:rsidR="009B4233">
        <w:tblPrEx>
          <w:tblCellMar>
            <w:top w:w="0" w:type="dxa"/>
            <w:bottom w:w="0" w:type="dxa"/>
          </w:tblCellMar>
        </w:tblPrEx>
        <w:trPr>
          <w:jc w:val="center"/>
        </w:trPr>
        <w:tc>
          <w:tcPr>
            <w:tcW w:w="38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autoSpaceDE w:val="0"/>
              <w:spacing w:line="276" w:lineRule="auto"/>
              <w:jc w:val="both"/>
              <w:rPr>
                <w:rFonts w:ascii="Arial" w:hAnsi="Arial" w:cs="Arial"/>
                <w:sz w:val="22"/>
                <w:szCs w:val="22"/>
              </w:rPr>
            </w:pPr>
            <w:r>
              <w:rPr>
                <w:rFonts w:ascii="Arial" w:hAnsi="Arial" w:cs="Arial"/>
                <w:sz w:val="22"/>
                <w:szCs w:val="22"/>
              </w:rPr>
              <w:t>DN 50 mm:</w:t>
            </w:r>
          </w:p>
        </w:tc>
        <w:tc>
          <w:tcPr>
            <w:tcW w:w="25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autoSpaceDE w:val="0"/>
              <w:spacing w:line="276" w:lineRule="auto"/>
              <w:jc w:val="right"/>
              <w:rPr>
                <w:rFonts w:ascii="Arial" w:hAnsi="Arial" w:cs="Arial"/>
                <w:sz w:val="22"/>
                <w:szCs w:val="22"/>
              </w:rPr>
            </w:pPr>
            <w:r>
              <w:rPr>
                <w:rFonts w:ascii="Arial" w:hAnsi="Arial" w:cs="Arial"/>
                <w:sz w:val="22"/>
                <w:szCs w:val="22"/>
              </w:rPr>
              <w:t xml:space="preserve">339,56 euros </w:t>
            </w:r>
          </w:p>
        </w:tc>
      </w:tr>
      <w:tr w:rsidR="009B4233">
        <w:tblPrEx>
          <w:tblCellMar>
            <w:top w:w="0" w:type="dxa"/>
            <w:bottom w:w="0" w:type="dxa"/>
          </w:tblCellMar>
        </w:tblPrEx>
        <w:trPr>
          <w:jc w:val="center"/>
        </w:trPr>
        <w:tc>
          <w:tcPr>
            <w:tcW w:w="38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autoSpaceDE w:val="0"/>
              <w:spacing w:line="276" w:lineRule="auto"/>
              <w:jc w:val="both"/>
              <w:rPr>
                <w:rFonts w:ascii="Arial" w:hAnsi="Arial" w:cs="Arial"/>
                <w:sz w:val="22"/>
                <w:szCs w:val="22"/>
              </w:rPr>
            </w:pPr>
            <w:r>
              <w:rPr>
                <w:rFonts w:ascii="Arial" w:hAnsi="Arial" w:cs="Arial"/>
                <w:sz w:val="22"/>
                <w:szCs w:val="22"/>
              </w:rPr>
              <w:t>DN 65 mm:</w:t>
            </w:r>
          </w:p>
        </w:tc>
        <w:tc>
          <w:tcPr>
            <w:tcW w:w="25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autoSpaceDE w:val="0"/>
              <w:spacing w:line="276" w:lineRule="auto"/>
              <w:jc w:val="right"/>
              <w:rPr>
                <w:rFonts w:ascii="Arial" w:hAnsi="Arial" w:cs="Arial"/>
                <w:sz w:val="22"/>
                <w:szCs w:val="22"/>
              </w:rPr>
            </w:pPr>
            <w:r>
              <w:rPr>
                <w:rFonts w:ascii="Arial" w:hAnsi="Arial" w:cs="Arial"/>
                <w:sz w:val="22"/>
                <w:szCs w:val="22"/>
              </w:rPr>
              <w:t xml:space="preserve">463,52 euros </w:t>
            </w:r>
          </w:p>
        </w:tc>
      </w:tr>
      <w:tr w:rsidR="009B4233">
        <w:tblPrEx>
          <w:tblCellMar>
            <w:top w:w="0" w:type="dxa"/>
            <w:bottom w:w="0" w:type="dxa"/>
          </w:tblCellMar>
        </w:tblPrEx>
        <w:trPr>
          <w:jc w:val="center"/>
        </w:trPr>
        <w:tc>
          <w:tcPr>
            <w:tcW w:w="38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autoSpaceDE w:val="0"/>
              <w:spacing w:line="276" w:lineRule="auto"/>
              <w:jc w:val="both"/>
              <w:rPr>
                <w:rFonts w:ascii="Arial" w:hAnsi="Arial" w:cs="Arial"/>
                <w:sz w:val="22"/>
                <w:szCs w:val="22"/>
              </w:rPr>
            </w:pPr>
            <w:r>
              <w:rPr>
                <w:rFonts w:ascii="Arial" w:hAnsi="Arial" w:cs="Arial"/>
                <w:sz w:val="22"/>
                <w:szCs w:val="22"/>
              </w:rPr>
              <w:t>DN 80 mm:</w:t>
            </w:r>
          </w:p>
        </w:tc>
        <w:tc>
          <w:tcPr>
            <w:tcW w:w="25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autoSpaceDE w:val="0"/>
              <w:spacing w:line="276" w:lineRule="auto"/>
              <w:jc w:val="right"/>
              <w:rPr>
                <w:rFonts w:ascii="Arial" w:hAnsi="Arial" w:cs="Arial"/>
                <w:sz w:val="22"/>
                <w:szCs w:val="22"/>
              </w:rPr>
            </w:pPr>
            <w:r>
              <w:rPr>
                <w:rFonts w:ascii="Arial" w:hAnsi="Arial" w:cs="Arial"/>
                <w:sz w:val="22"/>
                <w:szCs w:val="22"/>
              </w:rPr>
              <w:t xml:space="preserve">744,44 euros </w:t>
            </w:r>
          </w:p>
        </w:tc>
      </w:tr>
      <w:tr w:rsidR="009B4233">
        <w:tblPrEx>
          <w:tblCellMar>
            <w:top w:w="0" w:type="dxa"/>
            <w:bottom w:w="0" w:type="dxa"/>
          </w:tblCellMar>
        </w:tblPrEx>
        <w:trPr>
          <w:jc w:val="center"/>
        </w:trPr>
        <w:tc>
          <w:tcPr>
            <w:tcW w:w="38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autoSpaceDE w:val="0"/>
              <w:spacing w:line="276" w:lineRule="auto"/>
              <w:jc w:val="both"/>
              <w:rPr>
                <w:rFonts w:ascii="Arial" w:hAnsi="Arial" w:cs="Arial"/>
                <w:sz w:val="22"/>
                <w:szCs w:val="22"/>
              </w:rPr>
            </w:pPr>
            <w:r>
              <w:rPr>
                <w:rFonts w:ascii="Arial" w:hAnsi="Arial" w:cs="Arial"/>
                <w:sz w:val="22"/>
                <w:szCs w:val="22"/>
              </w:rPr>
              <w:t>iguales o superiores a DN100mm</w:t>
            </w:r>
          </w:p>
        </w:tc>
        <w:tc>
          <w:tcPr>
            <w:tcW w:w="25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autoSpaceDE w:val="0"/>
              <w:spacing w:line="276" w:lineRule="auto"/>
              <w:jc w:val="right"/>
              <w:rPr>
                <w:rFonts w:ascii="Arial" w:hAnsi="Arial" w:cs="Arial"/>
                <w:sz w:val="22"/>
                <w:szCs w:val="22"/>
              </w:rPr>
            </w:pPr>
            <w:r>
              <w:rPr>
                <w:rFonts w:ascii="Arial" w:hAnsi="Arial" w:cs="Arial"/>
                <w:sz w:val="22"/>
                <w:szCs w:val="22"/>
              </w:rPr>
              <w:t>1.207,26 euros</w:t>
            </w:r>
          </w:p>
        </w:tc>
      </w:tr>
    </w:tbl>
    <w:p w:rsidR="009B4233" w:rsidRDefault="009B4233">
      <w:pPr>
        <w:pStyle w:val="Prrafodelista"/>
        <w:autoSpaceDE w:val="0"/>
        <w:spacing w:line="276" w:lineRule="auto"/>
        <w:ind w:left="1098"/>
        <w:jc w:val="both"/>
        <w:rPr>
          <w:rFonts w:ascii="Arial" w:hAnsi="Arial" w:cs="Arial"/>
          <w:sz w:val="22"/>
          <w:szCs w:val="22"/>
        </w:rPr>
      </w:pPr>
    </w:p>
    <w:p w:rsidR="009B4233" w:rsidRDefault="006B08B9">
      <w:pPr>
        <w:pStyle w:val="Prrafodelista"/>
        <w:widowControl/>
        <w:numPr>
          <w:ilvl w:val="1"/>
          <w:numId w:val="41"/>
        </w:numPr>
        <w:suppressAutoHyphens w:val="0"/>
        <w:autoSpaceDE w:val="0"/>
        <w:spacing w:line="276" w:lineRule="auto"/>
        <w:jc w:val="both"/>
        <w:textAlignment w:val="auto"/>
        <w:rPr>
          <w:rFonts w:ascii="Arial" w:hAnsi="Arial" w:cs="Arial"/>
          <w:sz w:val="22"/>
          <w:szCs w:val="22"/>
        </w:rPr>
      </w:pPr>
      <w:r>
        <w:rPr>
          <w:rFonts w:ascii="Arial" w:hAnsi="Arial" w:cs="Arial"/>
          <w:sz w:val="22"/>
          <w:szCs w:val="22"/>
        </w:rPr>
        <w:t xml:space="preserve">Si se trata de un </w:t>
      </w:r>
      <w:r>
        <w:rPr>
          <w:rFonts w:ascii="Arial" w:hAnsi="Arial" w:cs="Arial"/>
          <w:sz w:val="22"/>
          <w:szCs w:val="22"/>
        </w:rPr>
        <w:t>contrato o póliza con uso industrial o comercial o suministro para obras:</w:t>
      </w:r>
    </w:p>
    <w:tbl>
      <w:tblPr>
        <w:tblW w:w="6379" w:type="dxa"/>
        <w:jc w:val="center"/>
        <w:tblCellMar>
          <w:left w:w="10" w:type="dxa"/>
          <w:right w:w="10" w:type="dxa"/>
        </w:tblCellMar>
        <w:tblLook w:val="0000" w:firstRow="0" w:lastRow="0" w:firstColumn="0" w:lastColumn="0" w:noHBand="0" w:noVBand="0"/>
      </w:tblPr>
      <w:tblGrid>
        <w:gridCol w:w="3827"/>
        <w:gridCol w:w="2552"/>
      </w:tblGrid>
      <w:tr w:rsidR="009B4233">
        <w:tblPrEx>
          <w:tblCellMar>
            <w:top w:w="0" w:type="dxa"/>
            <w:bottom w:w="0" w:type="dxa"/>
          </w:tblCellMar>
        </w:tblPrEx>
        <w:trPr>
          <w:jc w:val="center"/>
        </w:trPr>
        <w:tc>
          <w:tcPr>
            <w:tcW w:w="38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autoSpaceDE w:val="0"/>
              <w:spacing w:line="276" w:lineRule="auto"/>
              <w:jc w:val="both"/>
              <w:rPr>
                <w:rFonts w:ascii="Arial" w:hAnsi="Arial" w:cs="Arial"/>
                <w:b/>
                <w:bCs/>
                <w:sz w:val="22"/>
                <w:szCs w:val="22"/>
              </w:rPr>
            </w:pPr>
            <w:r>
              <w:rPr>
                <w:rFonts w:ascii="Arial" w:hAnsi="Arial" w:cs="Arial"/>
                <w:b/>
                <w:bCs/>
                <w:sz w:val="22"/>
                <w:szCs w:val="22"/>
              </w:rPr>
              <w:t>Abonado con contador de calibre:</w:t>
            </w:r>
          </w:p>
        </w:tc>
        <w:tc>
          <w:tcPr>
            <w:tcW w:w="25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autoSpaceDE w:val="0"/>
              <w:spacing w:line="276" w:lineRule="auto"/>
              <w:jc w:val="center"/>
              <w:rPr>
                <w:rFonts w:ascii="Arial" w:hAnsi="Arial" w:cs="Arial"/>
                <w:b/>
                <w:bCs/>
                <w:sz w:val="22"/>
                <w:szCs w:val="22"/>
              </w:rPr>
            </w:pPr>
            <w:r>
              <w:rPr>
                <w:rFonts w:ascii="Arial" w:hAnsi="Arial" w:cs="Arial"/>
                <w:b/>
                <w:bCs/>
                <w:sz w:val="22"/>
                <w:szCs w:val="22"/>
              </w:rPr>
              <w:t>Depósito</w:t>
            </w:r>
          </w:p>
        </w:tc>
      </w:tr>
      <w:tr w:rsidR="009B4233">
        <w:tblPrEx>
          <w:tblCellMar>
            <w:top w:w="0" w:type="dxa"/>
            <w:bottom w:w="0" w:type="dxa"/>
          </w:tblCellMar>
        </w:tblPrEx>
        <w:trPr>
          <w:jc w:val="center"/>
        </w:trPr>
        <w:tc>
          <w:tcPr>
            <w:tcW w:w="38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autoSpaceDE w:val="0"/>
              <w:spacing w:line="276" w:lineRule="auto"/>
              <w:jc w:val="both"/>
              <w:rPr>
                <w:rFonts w:ascii="Arial" w:hAnsi="Arial" w:cs="Arial"/>
                <w:sz w:val="22"/>
                <w:szCs w:val="22"/>
              </w:rPr>
            </w:pPr>
            <w:r>
              <w:rPr>
                <w:rFonts w:ascii="Arial" w:hAnsi="Arial" w:cs="Arial"/>
                <w:sz w:val="22"/>
                <w:szCs w:val="22"/>
              </w:rPr>
              <w:t>DN 13-15mm</w:t>
            </w:r>
          </w:p>
        </w:tc>
        <w:tc>
          <w:tcPr>
            <w:tcW w:w="25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autoSpaceDE w:val="0"/>
              <w:spacing w:line="276" w:lineRule="auto"/>
              <w:jc w:val="right"/>
              <w:rPr>
                <w:rFonts w:ascii="Arial" w:hAnsi="Arial" w:cs="Arial"/>
                <w:sz w:val="22"/>
                <w:szCs w:val="22"/>
              </w:rPr>
            </w:pPr>
            <w:r>
              <w:rPr>
                <w:rFonts w:ascii="Arial" w:hAnsi="Arial" w:cs="Arial"/>
                <w:sz w:val="22"/>
                <w:szCs w:val="22"/>
              </w:rPr>
              <w:t xml:space="preserve">93,15 euros </w:t>
            </w:r>
          </w:p>
        </w:tc>
      </w:tr>
      <w:tr w:rsidR="009B4233">
        <w:tblPrEx>
          <w:tblCellMar>
            <w:top w:w="0" w:type="dxa"/>
            <w:bottom w:w="0" w:type="dxa"/>
          </w:tblCellMar>
        </w:tblPrEx>
        <w:trPr>
          <w:jc w:val="center"/>
        </w:trPr>
        <w:tc>
          <w:tcPr>
            <w:tcW w:w="38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autoSpaceDE w:val="0"/>
              <w:spacing w:line="276" w:lineRule="auto"/>
              <w:jc w:val="both"/>
              <w:rPr>
                <w:rFonts w:ascii="Arial" w:hAnsi="Arial" w:cs="Arial"/>
                <w:sz w:val="22"/>
                <w:szCs w:val="22"/>
              </w:rPr>
            </w:pPr>
            <w:r>
              <w:rPr>
                <w:rFonts w:ascii="Arial" w:hAnsi="Arial" w:cs="Arial"/>
                <w:sz w:val="22"/>
                <w:szCs w:val="22"/>
              </w:rPr>
              <w:t>DN 20-25mm</w:t>
            </w:r>
          </w:p>
        </w:tc>
        <w:tc>
          <w:tcPr>
            <w:tcW w:w="25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autoSpaceDE w:val="0"/>
              <w:spacing w:line="276" w:lineRule="auto"/>
              <w:jc w:val="right"/>
              <w:rPr>
                <w:rFonts w:ascii="Arial" w:hAnsi="Arial" w:cs="Arial"/>
                <w:sz w:val="22"/>
                <w:szCs w:val="22"/>
              </w:rPr>
            </w:pPr>
            <w:r>
              <w:rPr>
                <w:rFonts w:ascii="Arial" w:hAnsi="Arial" w:cs="Arial"/>
                <w:sz w:val="22"/>
                <w:szCs w:val="22"/>
              </w:rPr>
              <w:t xml:space="preserve">156,91 euros </w:t>
            </w:r>
          </w:p>
        </w:tc>
      </w:tr>
      <w:tr w:rsidR="009B4233">
        <w:tblPrEx>
          <w:tblCellMar>
            <w:top w:w="0" w:type="dxa"/>
            <w:bottom w:w="0" w:type="dxa"/>
          </w:tblCellMar>
        </w:tblPrEx>
        <w:trPr>
          <w:jc w:val="center"/>
        </w:trPr>
        <w:tc>
          <w:tcPr>
            <w:tcW w:w="38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autoSpaceDE w:val="0"/>
              <w:spacing w:line="276" w:lineRule="auto"/>
              <w:jc w:val="both"/>
              <w:rPr>
                <w:rFonts w:ascii="Arial" w:hAnsi="Arial" w:cs="Arial"/>
                <w:sz w:val="22"/>
                <w:szCs w:val="22"/>
              </w:rPr>
            </w:pPr>
            <w:r>
              <w:rPr>
                <w:rFonts w:ascii="Arial" w:hAnsi="Arial" w:cs="Arial"/>
                <w:sz w:val="22"/>
                <w:szCs w:val="22"/>
              </w:rPr>
              <w:t>DN 30-32mm</w:t>
            </w:r>
          </w:p>
        </w:tc>
        <w:tc>
          <w:tcPr>
            <w:tcW w:w="25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autoSpaceDE w:val="0"/>
              <w:spacing w:line="276" w:lineRule="auto"/>
              <w:jc w:val="right"/>
              <w:rPr>
                <w:rFonts w:ascii="Arial" w:hAnsi="Arial" w:cs="Arial"/>
                <w:sz w:val="22"/>
                <w:szCs w:val="22"/>
              </w:rPr>
            </w:pPr>
            <w:r>
              <w:rPr>
                <w:rFonts w:ascii="Arial" w:hAnsi="Arial" w:cs="Arial"/>
                <w:sz w:val="22"/>
                <w:szCs w:val="22"/>
              </w:rPr>
              <w:t xml:space="preserve">380,20 euros </w:t>
            </w:r>
          </w:p>
        </w:tc>
      </w:tr>
      <w:tr w:rsidR="009B4233">
        <w:tblPrEx>
          <w:tblCellMar>
            <w:top w:w="0" w:type="dxa"/>
            <w:bottom w:w="0" w:type="dxa"/>
          </w:tblCellMar>
        </w:tblPrEx>
        <w:trPr>
          <w:jc w:val="center"/>
        </w:trPr>
        <w:tc>
          <w:tcPr>
            <w:tcW w:w="38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autoSpaceDE w:val="0"/>
              <w:spacing w:line="276" w:lineRule="auto"/>
              <w:jc w:val="both"/>
              <w:rPr>
                <w:rFonts w:ascii="Arial" w:hAnsi="Arial" w:cs="Arial"/>
                <w:sz w:val="22"/>
                <w:szCs w:val="22"/>
              </w:rPr>
            </w:pPr>
            <w:r>
              <w:rPr>
                <w:rFonts w:ascii="Arial" w:hAnsi="Arial" w:cs="Arial"/>
                <w:sz w:val="22"/>
                <w:szCs w:val="22"/>
              </w:rPr>
              <w:t>DN 40 mm:</w:t>
            </w:r>
          </w:p>
        </w:tc>
        <w:tc>
          <w:tcPr>
            <w:tcW w:w="25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autoSpaceDE w:val="0"/>
              <w:spacing w:line="276" w:lineRule="auto"/>
              <w:jc w:val="right"/>
              <w:rPr>
                <w:rFonts w:ascii="Arial" w:hAnsi="Arial" w:cs="Arial"/>
                <w:sz w:val="22"/>
                <w:szCs w:val="22"/>
              </w:rPr>
            </w:pPr>
            <w:r>
              <w:rPr>
                <w:rFonts w:ascii="Arial" w:hAnsi="Arial" w:cs="Arial"/>
                <w:sz w:val="22"/>
                <w:szCs w:val="22"/>
              </w:rPr>
              <w:t xml:space="preserve">635,39 euros </w:t>
            </w:r>
          </w:p>
        </w:tc>
      </w:tr>
      <w:tr w:rsidR="009B4233">
        <w:tblPrEx>
          <w:tblCellMar>
            <w:top w:w="0" w:type="dxa"/>
            <w:bottom w:w="0" w:type="dxa"/>
          </w:tblCellMar>
        </w:tblPrEx>
        <w:trPr>
          <w:jc w:val="center"/>
        </w:trPr>
        <w:tc>
          <w:tcPr>
            <w:tcW w:w="38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autoSpaceDE w:val="0"/>
              <w:spacing w:line="276" w:lineRule="auto"/>
              <w:jc w:val="both"/>
              <w:rPr>
                <w:rFonts w:ascii="Arial" w:hAnsi="Arial" w:cs="Arial"/>
                <w:sz w:val="22"/>
                <w:szCs w:val="22"/>
              </w:rPr>
            </w:pPr>
            <w:r>
              <w:rPr>
                <w:rFonts w:ascii="Arial" w:hAnsi="Arial" w:cs="Arial"/>
                <w:sz w:val="22"/>
                <w:szCs w:val="22"/>
              </w:rPr>
              <w:t>DN 50 mm:</w:t>
            </w:r>
          </w:p>
        </w:tc>
        <w:tc>
          <w:tcPr>
            <w:tcW w:w="25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autoSpaceDE w:val="0"/>
              <w:spacing w:line="276" w:lineRule="auto"/>
              <w:jc w:val="right"/>
              <w:rPr>
                <w:rFonts w:ascii="Arial" w:hAnsi="Arial" w:cs="Arial"/>
                <w:sz w:val="22"/>
                <w:szCs w:val="22"/>
              </w:rPr>
            </w:pPr>
            <w:r>
              <w:rPr>
                <w:rFonts w:ascii="Arial" w:hAnsi="Arial" w:cs="Arial"/>
                <w:sz w:val="22"/>
                <w:szCs w:val="22"/>
              </w:rPr>
              <w:t xml:space="preserve">954,38 euros </w:t>
            </w:r>
          </w:p>
        </w:tc>
      </w:tr>
      <w:tr w:rsidR="009B4233">
        <w:tblPrEx>
          <w:tblCellMar>
            <w:top w:w="0" w:type="dxa"/>
            <w:bottom w:w="0" w:type="dxa"/>
          </w:tblCellMar>
        </w:tblPrEx>
        <w:trPr>
          <w:jc w:val="center"/>
        </w:trPr>
        <w:tc>
          <w:tcPr>
            <w:tcW w:w="38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autoSpaceDE w:val="0"/>
              <w:spacing w:line="276" w:lineRule="auto"/>
              <w:jc w:val="both"/>
              <w:rPr>
                <w:rFonts w:ascii="Arial" w:hAnsi="Arial" w:cs="Arial"/>
                <w:sz w:val="22"/>
                <w:szCs w:val="22"/>
              </w:rPr>
            </w:pPr>
            <w:r>
              <w:rPr>
                <w:rFonts w:ascii="Arial" w:hAnsi="Arial" w:cs="Arial"/>
                <w:sz w:val="22"/>
                <w:szCs w:val="22"/>
              </w:rPr>
              <w:t>DN 65 mm:</w:t>
            </w:r>
          </w:p>
        </w:tc>
        <w:tc>
          <w:tcPr>
            <w:tcW w:w="25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autoSpaceDE w:val="0"/>
              <w:spacing w:line="276" w:lineRule="auto"/>
              <w:jc w:val="right"/>
              <w:rPr>
                <w:rFonts w:ascii="Arial" w:hAnsi="Arial" w:cs="Arial"/>
                <w:sz w:val="22"/>
                <w:szCs w:val="22"/>
              </w:rPr>
            </w:pPr>
            <w:r>
              <w:rPr>
                <w:rFonts w:ascii="Arial" w:hAnsi="Arial" w:cs="Arial"/>
                <w:sz w:val="22"/>
                <w:szCs w:val="22"/>
              </w:rPr>
              <w:t xml:space="preserve">1.273,37 euros </w:t>
            </w:r>
          </w:p>
        </w:tc>
      </w:tr>
      <w:tr w:rsidR="009B4233">
        <w:tblPrEx>
          <w:tblCellMar>
            <w:top w:w="0" w:type="dxa"/>
            <w:bottom w:w="0" w:type="dxa"/>
          </w:tblCellMar>
        </w:tblPrEx>
        <w:trPr>
          <w:jc w:val="center"/>
        </w:trPr>
        <w:tc>
          <w:tcPr>
            <w:tcW w:w="38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autoSpaceDE w:val="0"/>
              <w:spacing w:line="276" w:lineRule="auto"/>
              <w:jc w:val="both"/>
              <w:rPr>
                <w:rFonts w:ascii="Arial" w:hAnsi="Arial" w:cs="Arial"/>
                <w:sz w:val="22"/>
                <w:szCs w:val="22"/>
              </w:rPr>
            </w:pPr>
            <w:r>
              <w:rPr>
                <w:rFonts w:ascii="Arial" w:hAnsi="Arial" w:cs="Arial"/>
                <w:sz w:val="22"/>
                <w:szCs w:val="22"/>
              </w:rPr>
              <w:t>DN 80 mm:</w:t>
            </w:r>
          </w:p>
        </w:tc>
        <w:tc>
          <w:tcPr>
            <w:tcW w:w="25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autoSpaceDE w:val="0"/>
              <w:spacing w:line="276" w:lineRule="auto"/>
              <w:jc w:val="right"/>
              <w:rPr>
                <w:rFonts w:ascii="Arial" w:hAnsi="Arial" w:cs="Arial"/>
                <w:sz w:val="22"/>
                <w:szCs w:val="22"/>
              </w:rPr>
            </w:pPr>
            <w:r>
              <w:rPr>
                <w:rFonts w:ascii="Arial" w:hAnsi="Arial" w:cs="Arial"/>
                <w:sz w:val="22"/>
                <w:szCs w:val="22"/>
              </w:rPr>
              <w:t xml:space="preserve">1.911,35 euros </w:t>
            </w:r>
          </w:p>
        </w:tc>
      </w:tr>
      <w:tr w:rsidR="009B4233">
        <w:tblPrEx>
          <w:tblCellMar>
            <w:top w:w="0" w:type="dxa"/>
            <w:bottom w:w="0" w:type="dxa"/>
          </w:tblCellMar>
        </w:tblPrEx>
        <w:trPr>
          <w:jc w:val="center"/>
        </w:trPr>
        <w:tc>
          <w:tcPr>
            <w:tcW w:w="38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autoSpaceDE w:val="0"/>
              <w:spacing w:line="276" w:lineRule="auto"/>
              <w:jc w:val="both"/>
              <w:rPr>
                <w:rFonts w:ascii="Arial" w:hAnsi="Arial" w:cs="Arial"/>
                <w:sz w:val="22"/>
                <w:szCs w:val="22"/>
              </w:rPr>
            </w:pPr>
            <w:r>
              <w:rPr>
                <w:rFonts w:ascii="Arial" w:hAnsi="Arial" w:cs="Arial"/>
                <w:sz w:val="22"/>
                <w:szCs w:val="22"/>
              </w:rPr>
              <w:t>iguales o superiores a DN100mm</w:t>
            </w:r>
          </w:p>
        </w:tc>
        <w:tc>
          <w:tcPr>
            <w:tcW w:w="25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autoSpaceDE w:val="0"/>
              <w:spacing w:line="276" w:lineRule="auto"/>
              <w:jc w:val="right"/>
              <w:rPr>
                <w:rFonts w:ascii="Arial" w:hAnsi="Arial" w:cs="Arial"/>
                <w:sz w:val="22"/>
                <w:szCs w:val="22"/>
              </w:rPr>
            </w:pPr>
            <w:r>
              <w:rPr>
                <w:rFonts w:ascii="Arial" w:hAnsi="Arial" w:cs="Arial"/>
                <w:sz w:val="22"/>
                <w:szCs w:val="22"/>
              </w:rPr>
              <w:t>3.187,29 euros</w:t>
            </w:r>
          </w:p>
        </w:tc>
      </w:tr>
    </w:tbl>
    <w:p w:rsidR="009B4233" w:rsidRDefault="009B4233">
      <w:pPr>
        <w:autoSpaceDE w:val="0"/>
        <w:spacing w:line="276" w:lineRule="auto"/>
        <w:jc w:val="both"/>
        <w:rPr>
          <w:rFonts w:ascii="Arial" w:hAnsi="Arial" w:cs="Arial"/>
          <w:sz w:val="22"/>
          <w:szCs w:val="22"/>
        </w:rPr>
      </w:pPr>
    </w:p>
    <w:p w:rsidR="009B4233" w:rsidRDefault="006B08B9">
      <w:pPr>
        <w:pStyle w:val="Prrafodelista"/>
        <w:widowControl/>
        <w:numPr>
          <w:ilvl w:val="0"/>
          <w:numId w:val="31"/>
        </w:numPr>
        <w:suppressAutoHyphens w:val="0"/>
        <w:autoSpaceDE w:val="0"/>
        <w:spacing w:line="276" w:lineRule="auto"/>
        <w:ind w:left="284" w:hanging="284"/>
        <w:jc w:val="both"/>
        <w:textAlignment w:val="auto"/>
        <w:rPr>
          <w:rFonts w:ascii="Arial" w:hAnsi="Arial" w:cs="Arial"/>
          <w:b/>
          <w:bCs/>
          <w:sz w:val="22"/>
          <w:szCs w:val="22"/>
        </w:rPr>
      </w:pPr>
      <w:r>
        <w:rPr>
          <w:rFonts w:ascii="Arial" w:hAnsi="Arial" w:cs="Arial"/>
          <w:b/>
          <w:bCs/>
          <w:sz w:val="22"/>
          <w:szCs w:val="22"/>
        </w:rPr>
        <w:t>Cambio de titularidad</w:t>
      </w:r>
    </w:p>
    <w:p w:rsidR="009B4233" w:rsidRDefault="006B08B9">
      <w:pPr>
        <w:pStyle w:val="Prrafodelista"/>
        <w:widowControl/>
        <w:numPr>
          <w:ilvl w:val="0"/>
          <w:numId w:val="42"/>
        </w:numPr>
        <w:suppressAutoHyphens w:val="0"/>
        <w:autoSpaceDE w:val="0"/>
        <w:spacing w:line="276" w:lineRule="auto"/>
        <w:ind w:left="709"/>
        <w:jc w:val="both"/>
        <w:textAlignment w:val="auto"/>
        <w:rPr>
          <w:rFonts w:ascii="Arial" w:hAnsi="Arial" w:cs="Arial"/>
          <w:sz w:val="22"/>
          <w:szCs w:val="22"/>
        </w:rPr>
      </w:pPr>
      <w:r>
        <w:rPr>
          <w:rFonts w:ascii="Arial" w:hAnsi="Arial" w:cs="Arial"/>
          <w:sz w:val="22"/>
          <w:szCs w:val="22"/>
        </w:rPr>
        <w:t xml:space="preserve">En los casos en que la solicitud de cambio de titularidad conlleve un cambio en la calificación del uso o de la acometida, no podrá </w:t>
      </w:r>
      <w:r>
        <w:rPr>
          <w:rFonts w:ascii="Arial" w:hAnsi="Arial" w:cs="Arial"/>
          <w:sz w:val="22"/>
          <w:szCs w:val="22"/>
        </w:rPr>
        <w:t>autorizarse el mismo, siendo preceptiva la baja del abonado y el alta del nuevo titular. A estos importes habría que sumarles los derivados del presupuesto de adecuación de la instalación, si procede. Las tarifas a aplicar son las siguientes</w:t>
      </w:r>
    </w:p>
    <w:p w:rsidR="009B4233" w:rsidRDefault="006B08B9">
      <w:pPr>
        <w:pStyle w:val="Prrafodelista"/>
        <w:widowControl/>
        <w:numPr>
          <w:ilvl w:val="1"/>
          <w:numId w:val="42"/>
        </w:numPr>
        <w:suppressAutoHyphens w:val="0"/>
        <w:autoSpaceDE w:val="0"/>
        <w:spacing w:line="276" w:lineRule="auto"/>
        <w:ind w:left="1134"/>
        <w:jc w:val="both"/>
        <w:textAlignment w:val="auto"/>
        <w:rPr>
          <w:rFonts w:ascii="Arial" w:hAnsi="Arial" w:cs="Arial"/>
          <w:sz w:val="22"/>
          <w:szCs w:val="22"/>
        </w:rPr>
      </w:pPr>
      <w:r>
        <w:rPr>
          <w:rFonts w:ascii="Arial" w:hAnsi="Arial" w:cs="Arial"/>
          <w:sz w:val="22"/>
          <w:szCs w:val="22"/>
        </w:rPr>
        <w:t>Si se trata de</w:t>
      </w:r>
      <w:r>
        <w:rPr>
          <w:rFonts w:ascii="Arial" w:hAnsi="Arial" w:cs="Arial"/>
          <w:sz w:val="22"/>
          <w:szCs w:val="22"/>
        </w:rPr>
        <w:t xml:space="preserve"> un cambio en un contrato o póliza con uso doméstico 10,60 euros </w:t>
      </w:r>
    </w:p>
    <w:p w:rsidR="009B4233" w:rsidRDefault="006B08B9">
      <w:pPr>
        <w:pStyle w:val="Prrafodelista"/>
        <w:widowControl/>
        <w:numPr>
          <w:ilvl w:val="1"/>
          <w:numId w:val="42"/>
        </w:numPr>
        <w:suppressAutoHyphens w:val="0"/>
        <w:autoSpaceDE w:val="0"/>
        <w:spacing w:line="276" w:lineRule="auto"/>
        <w:ind w:left="1134"/>
        <w:jc w:val="both"/>
        <w:textAlignment w:val="auto"/>
        <w:rPr>
          <w:rFonts w:ascii="Arial" w:hAnsi="Arial" w:cs="Arial"/>
          <w:sz w:val="22"/>
          <w:szCs w:val="22"/>
        </w:rPr>
      </w:pPr>
      <w:r>
        <w:rPr>
          <w:rFonts w:ascii="Arial" w:hAnsi="Arial" w:cs="Arial"/>
          <w:sz w:val="22"/>
          <w:szCs w:val="22"/>
        </w:rPr>
        <w:t xml:space="preserve">Si se trata de un cambio en un contrato o póliza con uso industrial o comercial 14,45 euros </w:t>
      </w:r>
    </w:p>
    <w:p w:rsidR="009B4233" w:rsidRDefault="009B4233">
      <w:pPr>
        <w:pStyle w:val="Prrafodelista"/>
        <w:autoSpaceDE w:val="0"/>
        <w:spacing w:line="276" w:lineRule="auto"/>
        <w:jc w:val="both"/>
        <w:rPr>
          <w:rFonts w:ascii="Arial" w:hAnsi="Arial" w:cs="Arial"/>
          <w:sz w:val="22"/>
          <w:szCs w:val="22"/>
        </w:rPr>
      </w:pPr>
    </w:p>
    <w:p w:rsidR="009B4233" w:rsidRDefault="009B4233">
      <w:pPr>
        <w:pStyle w:val="Prrafodelista"/>
        <w:autoSpaceDE w:val="0"/>
        <w:spacing w:line="276" w:lineRule="auto"/>
        <w:jc w:val="both"/>
        <w:rPr>
          <w:rFonts w:ascii="Arial" w:hAnsi="Arial" w:cs="Arial"/>
          <w:sz w:val="22"/>
          <w:szCs w:val="22"/>
        </w:rPr>
      </w:pPr>
    </w:p>
    <w:p w:rsidR="009B4233" w:rsidRDefault="009B4233">
      <w:pPr>
        <w:pStyle w:val="Prrafodelista"/>
        <w:autoSpaceDE w:val="0"/>
        <w:spacing w:line="276" w:lineRule="auto"/>
        <w:jc w:val="both"/>
        <w:rPr>
          <w:rFonts w:ascii="Arial" w:hAnsi="Arial" w:cs="Arial"/>
          <w:sz w:val="22"/>
          <w:szCs w:val="22"/>
        </w:rPr>
      </w:pPr>
    </w:p>
    <w:p w:rsidR="009B4233" w:rsidRDefault="009B4233">
      <w:pPr>
        <w:pStyle w:val="Prrafodelista"/>
        <w:autoSpaceDE w:val="0"/>
        <w:spacing w:line="276" w:lineRule="auto"/>
        <w:ind w:left="284"/>
        <w:jc w:val="both"/>
        <w:rPr>
          <w:rFonts w:ascii="Arial" w:hAnsi="Arial" w:cs="Arial"/>
          <w:b/>
          <w:bCs/>
          <w:sz w:val="22"/>
          <w:szCs w:val="22"/>
        </w:rPr>
      </w:pPr>
    </w:p>
    <w:p w:rsidR="009B4233" w:rsidRDefault="006B08B9">
      <w:pPr>
        <w:pStyle w:val="Prrafodelista"/>
        <w:widowControl/>
        <w:numPr>
          <w:ilvl w:val="0"/>
          <w:numId w:val="31"/>
        </w:numPr>
        <w:suppressAutoHyphens w:val="0"/>
        <w:spacing w:after="160" w:line="249" w:lineRule="auto"/>
        <w:textAlignment w:val="auto"/>
        <w:rPr>
          <w:rFonts w:ascii="Arial" w:hAnsi="Arial" w:cs="Arial"/>
          <w:b/>
          <w:bCs/>
          <w:sz w:val="22"/>
          <w:szCs w:val="22"/>
        </w:rPr>
      </w:pPr>
      <w:r>
        <w:rPr>
          <w:rFonts w:ascii="Arial" w:hAnsi="Arial" w:cs="Arial"/>
          <w:b/>
          <w:bCs/>
          <w:sz w:val="22"/>
          <w:szCs w:val="22"/>
        </w:rPr>
        <w:t>Reenganche por impago.</w:t>
      </w:r>
    </w:p>
    <w:p w:rsidR="009B4233" w:rsidRDefault="006B08B9">
      <w:pPr>
        <w:pStyle w:val="Prrafodelista"/>
        <w:autoSpaceDE w:val="0"/>
        <w:spacing w:line="276" w:lineRule="auto"/>
        <w:ind w:left="360"/>
        <w:jc w:val="both"/>
        <w:rPr>
          <w:rFonts w:ascii="Arial" w:hAnsi="Arial" w:cs="Arial"/>
          <w:sz w:val="22"/>
          <w:szCs w:val="22"/>
        </w:rPr>
      </w:pPr>
      <w:r>
        <w:rPr>
          <w:rFonts w:ascii="Arial" w:hAnsi="Arial" w:cs="Arial"/>
          <w:sz w:val="22"/>
          <w:szCs w:val="22"/>
        </w:rPr>
        <w:t xml:space="preserve">1. En los casos de suspensión de suministro por el impago del cliente </w:t>
      </w:r>
      <w:r>
        <w:rPr>
          <w:rFonts w:ascii="Arial" w:hAnsi="Arial" w:cs="Arial"/>
          <w:sz w:val="22"/>
          <w:szCs w:val="22"/>
        </w:rPr>
        <w:t xml:space="preserve">cuando este no haya satisfecho el importe de los servicios conforme a lo estipulado en el contrato de suministro o póliza de abono, la cuantía a abonar para el restablecimiento del suministro será de 62,70€ </w:t>
      </w:r>
    </w:p>
    <w:p w:rsidR="009B4233" w:rsidRDefault="009B4233">
      <w:pPr>
        <w:pStyle w:val="Prrafodelista"/>
        <w:autoSpaceDE w:val="0"/>
        <w:spacing w:line="276" w:lineRule="auto"/>
        <w:ind w:left="284"/>
        <w:jc w:val="both"/>
        <w:rPr>
          <w:rFonts w:ascii="Arial" w:hAnsi="Arial" w:cs="Arial"/>
          <w:b/>
          <w:bCs/>
          <w:sz w:val="22"/>
          <w:szCs w:val="22"/>
        </w:rPr>
      </w:pPr>
    </w:p>
    <w:p w:rsidR="009B4233" w:rsidRDefault="006B08B9">
      <w:pPr>
        <w:pStyle w:val="Prrafodelista"/>
        <w:widowControl/>
        <w:numPr>
          <w:ilvl w:val="0"/>
          <w:numId w:val="31"/>
        </w:numPr>
        <w:suppressAutoHyphens w:val="0"/>
        <w:autoSpaceDE w:val="0"/>
        <w:spacing w:line="276" w:lineRule="auto"/>
        <w:ind w:left="284" w:hanging="284"/>
        <w:jc w:val="both"/>
        <w:textAlignment w:val="auto"/>
        <w:rPr>
          <w:rFonts w:ascii="Arial" w:hAnsi="Arial" w:cs="Arial"/>
          <w:b/>
          <w:bCs/>
          <w:sz w:val="22"/>
          <w:szCs w:val="22"/>
        </w:rPr>
      </w:pPr>
      <w:r>
        <w:rPr>
          <w:rFonts w:ascii="Arial" w:hAnsi="Arial" w:cs="Arial"/>
          <w:b/>
          <w:bCs/>
          <w:sz w:val="22"/>
          <w:szCs w:val="22"/>
        </w:rPr>
        <w:t>Gestión.</w:t>
      </w:r>
    </w:p>
    <w:p w:rsidR="009B4233" w:rsidRDefault="006B08B9">
      <w:pPr>
        <w:pStyle w:val="Prrafodelista"/>
        <w:widowControl/>
        <w:numPr>
          <w:ilvl w:val="0"/>
          <w:numId w:val="43"/>
        </w:numPr>
        <w:suppressAutoHyphens w:val="0"/>
        <w:autoSpaceDE w:val="0"/>
        <w:spacing w:line="276" w:lineRule="auto"/>
        <w:jc w:val="both"/>
        <w:textAlignment w:val="auto"/>
        <w:rPr>
          <w:rFonts w:ascii="Arial" w:hAnsi="Arial" w:cs="Arial"/>
          <w:sz w:val="22"/>
          <w:szCs w:val="22"/>
        </w:rPr>
      </w:pPr>
      <w:r>
        <w:rPr>
          <w:rFonts w:ascii="Arial" w:hAnsi="Arial" w:cs="Arial"/>
          <w:sz w:val="22"/>
          <w:szCs w:val="22"/>
        </w:rPr>
        <w:t xml:space="preserve">La prestación patrimonial de carácter </w:t>
      </w:r>
      <w:r>
        <w:rPr>
          <w:rFonts w:ascii="Arial" w:hAnsi="Arial" w:cs="Arial"/>
          <w:sz w:val="22"/>
          <w:szCs w:val="22"/>
        </w:rPr>
        <w:t>no tributario se exigirá, con carácter general, y una vez de alta en el registro de contribuyentes, por el sistema de padrón en el que figurarán todos aquellos sujetos a la misma.</w:t>
      </w:r>
    </w:p>
    <w:p w:rsidR="009B4233" w:rsidRDefault="006B08B9">
      <w:pPr>
        <w:pStyle w:val="Prrafodelista"/>
        <w:widowControl/>
        <w:numPr>
          <w:ilvl w:val="0"/>
          <w:numId w:val="43"/>
        </w:numPr>
        <w:suppressAutoHyphens w:val="0"/>
        <w:autoSpaceDE w:val="0"/>
        <w:spacing w:line="276" w:lineRule="auto"/>
        <w:jc w:val="both"/>
        <w:textAlignment w:val="auto"/>
        <w:rPr>
          <w:rFonts w:ascii="Arial" w:hAnsi="Arial" w:cs="Arial"/>
          <w:sz w:val="22"/>
          <w:szCs w:val="22"/>
        </w:rPr>
      </w:pPr>
      <w:r>
        <w:rPr>
          <w:rFonts w:ascii="Arial" w:hAnsi="Arial" w:cs="Arial"/>
          <w:sz w:val="22"/>
          <w:szCs w:val="22"/>
        </w:rPr>
        <w:t>El pago de la prestación patrimonial de carácter no tributario mediante padr</w:t>
      </w:r>
      <w:r>
        <w:rPr>
          <w:rFonts w:ascii="Arial" w:hAnsi="Arial" w:cs="Arial"/>
          <w:sz w:val="22"/>
          <w:szCs w:val="22"/>
        </w:rPr>
        <w:t>ón se realizará por bimestres, en el período de cobranza que el Ayuntamiento determine, por los medios previstos por la legislación y que se estimen más convenientes.</w:t>
      </w:r>
    </w:p>
    <w:p w:rsidR="009B4233" w:rsidRDefault="006B08B9">
      <w:pPr>
        <w:pStyle w:val="Prrafodelista"/>
        <w:widowControl/>
        <w:numPr>
          <w:ilvl w:val="0"/>
          <w:numId w:val="43"/>
        </w:numPr>
        <w:suppressAutoHyphens w:val="0"/>
        <w:autoSpaceDE w:val="0"/>
        <w:spacing w:line="276" w:lineRule="auto"/>
        <w:jc w:val="both"/>
        <w:textAlignment w:val="auto"/>
        <w:rPr>
          <w:rFonts w:ascii="Arial" w:hAnsi="Arial" w:cs="Arial"/>
          <w:sz w:val="22"/>
          <w:szCs w:val="22"/>
        </w:rPr>
      </w:pPr>
      <w:r>
        <w:rPr>
          <w:rFonts w:ascii="Arial" w:hAnsi="Arial" w:cs="Arial"/>
          <w:sz w:val="22"/>
          <w:szCs w:val="22"/>
        </w:rPr>
        <w:t>Una vez notificada la liquidación correspondiente al alta en el servicio, las notificacio</w:t>
      </w:r>
      <w:r>
        <w:rPr>
          <w:rFonts w:ascii="Arial" w:hAnsi="Arial" w:cs="Arial"/>
          <w:sz w:val="22"/>
          <w:szCs w:val="22"/>
        </w:rPr>
        <w:t>nes de los padrones se realizarán colectivamente, mediante anuncio en el Boletín Oficial de la Provincia y producirá los efectos de notificación de la liquidación a cada uno de los sujetos pasivos en él incluidos.</w:t>
      </w:r>
    </w:p>
    <w:p w:rsidR="009B4233" w:rsidRDefault="009B4233">
      <w:pPr>
        <w:autoSpaceDE w:val="0"/>
        <w:spacing w:line="276" w:lineRule="auto"/>
        <w:jc w:val="both"/>
        <w:rPr>
          <w:rFonts w:ascii="Arial" w:hAnsi="Arial" w:cs="Arial"/>
          <w:b/>
          <w:bCs/>
          <w:sz w:val="22"/>
          <w:szCs w:val="22"/>
        </w:rPr>
      </w:pPr>
    </w:p>
    <w:p w:rsidR="009B4233" w:rsidRDefault="006B08B9">
      <w:pPr>
        <w:pStyle w:val="Prrafodelista"/>
        <w:widowControl/>
        <w:numPr>
          <w:ilvl w:val="0"/>
          <w:numId w:val="31"/>
        </w:numPr>
        <w:suppressAutoHyphens w:val="0"/>
        <w:autoSpaceDE w:val="0"/>
        <w:spacing w:line="276" w:lineRule="auto"/>
        <w:ind w:left="284" w:hanging="284"/>
        <w:jc w:val="both"/>
        <w:textAlignment w:val="auto"/>
        <w:rPr>
          <w:rFonts w:ascii="Arial" w:hAnsi="Arial" w:cs="Arial"/>
          <w:b/>
          <w:bCs/>
          <w:sz w:val="22"/>
          <w:szCs w:val="22"/>
        </w:rPr>
      </w:pPr>
      <w:r>
        <w:rPr>
          <w:rFonts w:ascii="Arial" w:hAnsi="Arial" w:cs="Arial"/>
          <w:b/>
          <w:bCs/>
          <w:sz w:val="22"/>
          <w:szCs w:val="22"/>
        </w:rPr>
        <w:t>Reanudación o rehabilitación de la conexi</w:t>
      </w:r>
      <w:r>
        <w:rPr>
          <w:rFonts w:ascii="Arial" w:hAnsi="Arial" w:cs="Arial"/>
          <w:b/>
          <w:bCs/>
          <w:sz w:val="22"/>
          <w:szCs w:val="22"/>
        </w:rPr>
        <w:t>ón</w:t>
      </w:r>
    </w:p>
    <w:p w:rsidR="009B4233" w:rsidRDefault="006B08B9">
      <w:pPr>
        <w:pStyle w:val="Prrafodelista"/>
        <w:widowControl/>
        <w:numPr>
          <w:ilvl w:val="0"/>
          <w:numId w:val="44"/>
        </w:numPr>
        <w:suppressAutoHyphens w:val="0"/>
        <w:autoSpaceDE w:val="0"/>
        <w:spacing w:line="276" w:lineRule="auto"/>
        <w:jc w:val="both"/>
        <w:textAlignment w:val="auto"/>
        <w:rPr>
          <w:rFonts w:ascii="Arial" w:hAnsi="Arial" w:cs="Arial"/>
          <w:sz w:val="22"/>
          <w:szCs w:val="22"/>
        </w:rPr>
      </w:pPr>
      <w:r>
        <w:rPr>
          <w:rFonts w:ascii="Arial" w:hAnsi="Arial" w:cs="Arial"/>
          <w:sz w:val="22"/>
          <w:szCs w:val="22"/>
        </w:rPr>
        <w:t xml:space="preserve">Para llevar a efecto la reanudación o rehabilitación de una conexión dada la baja, será preciso que el anterior titular haya causado la misma voluntariamente. En el caso de inhabilitación de la conexión por corte del suministro, será requisito </w:t>
      </w:r>
      <w:r>
        <w:rPr>
          <w:rFonts w:ascii="Arial" w:hAnsi="Arial" w:cs="Arial"/>
          <w:sz w:val="22"/>
          <w:szCs w:val="22"/>
        </w:rPr>
        <w:t>indispensable para su rehabilitación o reanudación la liquidación de los recibos pendientes de pago, el abono de los trabajos de corte y reanudación del servicio según los precios unitarios aprobados por el Ayuntamiento y la constitución del depósito corre</w:t>
      </w:r>
      <w:r>
        <w:rPr>
          <w:rFonts w:ascii="Arial" w:hAnsi="Arial" w:cs="Arial"/>
          <w:sz w:val="22"/>
          <w:szCs w:val="22"/>
        </w:rPr>
        <w:t>spondiente, si no estuviese previamente constituido.</w:t>
      </w:r>
    </w:p>
    <w:p w:rsidR="009B4233" w:rsidRDefault="006B08B9">
      <w:pPr>
        <w:pStyle w:val="Prrafodelista"/>
        <w:widowControl/>
        <w:numPr>
          <w:ilvl w:val="0"/>
          <w:numId w:val="44"/>
        </w:numPr>
        <w:suppressAutoHyphens w:val="0"/>
        <w:autoSpaceDE w:val="0"/>
        <w:spacing w:line="276" w:lineRule="auto"/>
        <w:jc w:val="both"/>
        <w:textAlignment w:val="auto"/>
        <w:rPr>
          <w:rFonts w:ascii="Arial" w:hAnsi="Arial" w:cs="Arial"/>
          <w:sz w:val="22"/>
          <w:szCs w:val="22"/>
        </w:rPr>
      </w:pPr>
      <w:r>
        <w:rPr>
          <w:rFonts w:ascii="Arial" w:hAnsi="Arial" w:cs="Arial"/>
          <w:sz w:val="22"/>
          <w:szCs w:val="22"/>
        </w:rPr>
        <w:t xml:space="preserve">Si la reanudación de la conexión se efectúa a favor de un abonado distinto al anterior titular, aquél deberá suscribir la póliza correspondiente previo abono de los trabajos de reanudación del servicio, </w:t>
      </w:r>
      <w:r>
        <w:rPr>
          <w:rFonts w:ascii="Arial" w:hAnsi="Arial" w:cs="Arial"/>
          <w:sz w:val="22"/>
          <w:szCs w:val="22"/>
        </w:rPr>
        <w:t>del precio de la conexión, y de constitución del depósito correspondiente, no así de los trabajos y suministros que no sean necesarios por existir previamente la instalación requerida con arreglo a la normativa vigente en cada momento.</w:t>
      </w:r>
    </w:p>
    <w:p w:rsidR="009B4233" w:rsidRDefault="009B4233">
      <w:pPr>
        <w:autoSpaceDE w:val="0"/>
        <w:spacing w:line="276" w:lineRule="auto"/>
        <w:jc w:val="both"/>
        <w:rPr>
          <w:rFonts w:ascii="Arial" w:hAnsi="Arial" w:cs="Arial"/>
          <w:sz w:val="22"/>
          <w:szCs w:val="22"/>
        </w:rPr>
      </w:pPr>
    </w:p>
    <w:p w:rsidR="009B4233" w:rsidRDefault="006B08B9">
      <w:pPr>
        <w:pStyle w:val="Prrafodelista"/>
        <w:widowControl/>
        <w:numPr>
          <w:ilvl w:val="0"/>
          <w:numId w:val="31"/>
        </w:numPr>
        <w:suppressAutoHyphens w:val="0"/>
        <w:autoSpaceDE w:val="0"/>
        <w:spacing w:line="276" w:lineRule="auto"/>
        <w:ind w:left="284" w:hanging="284"/>
        <w:jc w:val="both"/>
        <w:textAlignment w:val="auto"/>
        <w:rPr>
          <w:rFonts w:ascii="Arial" w:hAnsi="Arial" w:cs="Arial"/>
          <w:b/>
          <w:bCs/>
          <w:sz w:val="22"/>
          <w:szCs w:val="22"/>
        </w:rPr>
      </w:pPr>
      <w:r>
        <w:rPr>
          <w:rFonts w:ascii="Arial" w:hAnsi="Arial" w:cs="Arial"/>
          <w:b/>
          <w:bCs/>
          <w:sz w:val="22"/>
          <w:szCs w:val="22"/>
        </w:rPr>
        <w:t xml:space="preserve"> Bajas por suspensi</w:t>
      </w:r>
      <w:r>
        <w:rPr>
          <w:rFonts w:ascii="Arial" w:hAnsi="Arial" w:cs="Arial"/>
          <w:b/>
          <w:bCs/>
          <w:sz w:val="22"/>
          <w:szCs w:val="22"/>
        </w:rPr>
        <w:t>ón prolongada.</w:t>
      </w:r>
    </w:p>
    <w:p w:rsidR="009B4233" w:rsidRDefault="006B08B9">
      <w:pPr>
        <w:pStyle w:val="Prrafodelista"/>
        <w:widowControl/>
        <w:numPr>
          <w:ilvl w:val="0"/>
          <w:numId w:val="45"/>
        </w:numPr>
        <w:suppressAutoHyphens w:val="0"/>
        <w:autoSpaceDE w:val="0"/>
        <w:spacing w:line="276" w:lineRule="auto"/>
        <w:ind w:left="709"/>
        <w:jc w:val="both"/>
        <w:textAlignment w:val="auto"/>
        <w:rPr>
          <w:rFonts w:ascii="Arial" w:hAnsi="Arial" w:cs="Arial"/>
          <w:sz w:val="22"/>
          <w:szCs w:val="22"/>
        </w:rPr>
      </w:pPr>
      <w:r>
        <w:rPr>
          <w:rFonts w:ascii="Arial" w:hAnsi="Arial" w:cs="Arial"/>
          <w:sz w:val="22"/>
          <w:szCs w:val="22"/>
        </w:rPr>
        <w:t>El contrato de suministro de agua quedará sin efecto por cualquiera de las causas siguientes:</w:t>
      </w:r>
    </w:p>
    <w:p w:rsidR="009B4233" w:rsidRDefault="006B08B9">
      <w:pPr>
        <w:pStyle w:val="Prrafodelista"/>
        <w:widowControl/>
        <w:numPr>
          <w:ilvl w:val="1"/>
          <w:numId w:val="45"/>
        </w:numPr>
        <w:suppressAutoHyphens w:val="0"/>
        <w:autoSpaceDE w:val="0"/>
        <w:spacing w:line="276" w:lineRule="auto"/>
        <w:ind w:left="1134"/>
        <w:jc w:val="both"/>
        <w:textAlignment w:val="auto"/>
        <w:rPr>
          <w:rFonts w:ascii="Arial" w:hAnsi="Arial" w:cs="Arial"/>
          <w:sz w:val="22"/>
          <w:szCs w:val="22"/>
        </w:rPr>
      </w:pPr>
      <w:r>
        <w:rPr>
          <w:rFonts w:ascii="Arial" w:hAnsi="Arial" w:cs="Arial"/>
          <w:sz w:val="22"/>
          <w:szCs w:val="22"/>
        </w:rPr>
        <w:t>A petición del abonado del servicio.</w:t>
      </w:r>
    </w:p>
    <w:p w:rsidR="009B4233" w:rsidRDefault="006B08B9">
      <w:pPr>
        <w:pStyle w:val="Prrafodelista"/>
        <w:widowControl/>
        <w:numPr>
          <w:ilvl w:val="1"/>
          <w:numId w:val="45"/>
        </w:numPr>
        <w:suppressAutoHyphens w:val="0"/>
        <w:autoSpaceDE w:val="0"/>
        <w:spacing w:line="276" w:lineRule="auto"/>
        <w:ind w:left="1134"/>
        <w:jc w:val="both"/>
        <w:textAlignment w:val="auto"/>
        <w:rPr>
          <w:rFonts w:ascii="Arial" w:hAnsi="Arial" w:cs="Arial"/>
          <w:sz w:val="22"/>
          <w:szCs w:val="22"/>
        </w:rPr>
      </w:pPr>
      <w:r>
        <w:rPr>
          <w:rFonts w:ascii="Arial" w:hAnsi="Arial" w:cs="Arial"/>
          <w:sz w:val="22"/>
          <w:szCs w:val="22"/>
        </w:rPr>
        <w:t>Por resolución del Servicio Municipal de Aguas, en los siguientes casos:</w:t>
      </w:r>
    </w:p>
    <w:p w:rsidR="009B4233" w:rsidRDefault="006B08B9">
      <w:pPr>
        <w:pStyle w:val="Prrafodelista"/>
        <w:widowControl/>
        <w:numPr>
          <w:ilvl w:val="2"/>
          <w:numId w:val="45"/>
        </w:numPr>
        <w:suppressAutoHyphens w:val="0"/>
        <w:autoSpaceDE w:val="0"/>
        <w:spacing w:line="276" w:lineRule="auto"/>
        <w:ind w:left="1701" w:hanging="567"/>
        <w:jc w:val="both"/>
        <w:textAlignment w:val="auto"/>
        <w:rPr>
          <w:rFonts w:ascii="Arial" w:hAnsi="Arial" w:cs="Arial"/>
          <w:sz w:val="22"/>
          <w:szCs w:val="22"/>
        </w:rPr>
      </w:pPr>
      <w:r>
        <w:rPr>
          <w:rFonts w:ascii="Arial" w:hAnsi="Arial" w:cs="Arial"/>
          <w:sz w:val="22"/>
          <w:szCs w:val="22"/>
        </w:rPr>
        <w:t>Por persistencia durante más de 6 mes</w:t>
      </w:r>
      <w:r>
        <w:rPr>
          <w:rFonts w:ascii="Arial" w:hAnsi="Arial" w:cs="Arial"/>
          <w:sz w:val="22"/>
          <w:szCs w:val="22"/>
        </w:rPr>
        <w:t>es tras la de suspensión de suministro.</w:t>
      </w:r>
    </w:p>
    <w:p w:rsidR="009B4233" w:rsidRDefault="006B08B9">
      <w:pPr>
        <w:pStyle w:val="Prrafodelista"/>
        <w:widowControl/>
        <w:numPr>
          <w:ilvl w:val="2"/>
          <w:numId w:val="45"/>
        </w:numPr>
        <w:suppressAutoHyphens w:val="0"/>
        <w:autoSpaceDE w:val="0"/>
        <w:spacing w:line="276" w:lineRule="auto"/>
        <w:ind w:left="1701" w:hanging="567"/>
        <w:jc w:val="both"/>
        <w:textAlignment w:val="auto"/>
        <w:rPr>
          <w:rFonts w:ascii="Arial" w:hAnsi="Arial" w:cs="Arial"/>
          <w:sz w:val="22"/>
          <w:szCs w:val="22"/>
        </w:rPr>
      </w:pPr>
      <w:r>
        <w:rPr>
          <w:rFonts w:ascii="Arial" w:hAnsi="Arial" w:cs="Arial"/>
          <w:sz w:val="22"/>
          <w:szCs w:val="22"/>
        </w:rPr>
        <w:t xml:space="preserve">Por incumplimiento de los términos o condiciones fijadas en el contrato del suministro. </w:t>
      </w:r>
    </w:p>
    <w:p w:rsidR="009B4233" w:rsidRDefault="006B08B9">
      <w:pPr>
        <w:pStyle w:val="Prrafodelista"/>
        <w:widowControl/>
        <w:numPr>
          <w:ilvl w:val="2"/>
          <w:numId w:val="45"/>
        </w:numPr>
        <w:suppressAutoHyphens w:val="0"/>
        <w:autoSpaceDE w:val="0"/>
        <w:spacing w:line="276" w:lineRule="auto"/>
        <w:ind w:left="1701" w:hanging="567"/>
        <w:jc w:val="both"/>
        <w:textAlignment w:val="auto"/>
        <w:rPr>
          <w:rFonts w:ascii="Arial" w:hAnsi="Arial" w:cs="Arial"/>
          <w:sz w:val="22"/>
          <w:szCs w:val="22"/>
        </w:rPr>
      </w:pPr>
      <w:r>
        <w:rPr>
          <w:rFonts w:ascii="Arial" w:hAnsi="Arial" w:cs="Arial"/>
          <w:sz w:val="22"/>
          <w:szCs w:val="22"/>
        </w:rPr>
        <w:t xml:space="preserve">Por utilización del suministro sin ser el titular contractual del mismo. </w:t>
      </w:r>
    </w:p>
    <w:p w:rsidR="009B4233" w:rsidRDefault="006B08B9">
      <w:pPr>
        <w:pStyle w:val="Prrafodelista"/>
        <w:widowControl/>
        <w:numPr>
          <w:ilvl w:val="2"/>
          <w:numId w:val="45"/>
        </w:numPr>
        <w:suppressAutoHyphens w:val="0"/>
        <w:autoSpaceDE w:val="0"/>
        <w:spacing w:line="276" w:lineRule="auto"/>
        <w:ind w:left="1701" w:hanging="567"/>
        <w:jc w:val="both"/>
        <w:textAlignment w:val="auto"/>
        <w:rPr>
          <w:rFonts w:ascii="Arial" w:hAnsi="Arial" w:cs="Arial"/>
          <w:sz w:val="22"/>
          <w:szCs w:val="22"/>
        </w:rPr>
      </w:pPr>
      <w:r>
        <w:rPr>
          <w:rFonts w:ascii="Arial" w:hAnsi="Arial" w:cs="Arial"/>
          <w:sz w:val="22"/>
          <w:szCs w:val="22"/>
        </w:rPr>
        <w:t>Por incumplimiento de las obligaciones relativas a la</w:t>
      </w:r>
      <w:r>
        <w:rPr>
          <w:rFonts w:ascii="Arial" w:hAnsi="Arial" w:cs="Arial"/>
          <w:sz w:val="22"/>
          <w:szCs w:val="22"/>
        </w:rPr>
        <w:t xml:space="preserve"> reserva de agua y su correcto funcionamiento.</w:t>
      </w:r>
    </w:p>
    <w:p w:rsidR="009B4233" w:rsidRDefault="006B08B9">
      <w:pPr>
        <w:pStyle w:val="Prrafodelista"/>
        <w:widowControl/>
        <w:numPr>
          <w:ilvl w:val="0"/>
          <w:numId w:val="45"/>
        </w:numPr>
        <w:suppressAutoHyphens w:val="0"/>
        <w:autoSpaceDE w:val="0"/>
        <w:spacing w:line="276" w:lineRule="auto"/>
        <w:ind w:left="709"/>
        <w:jc w:val="both"/>
        <w:textAlignment w:val="auto"/>
        <w:rPr>
          <w:rFonts w:ascii="Arial" w:hAnsi="Arial" w:cs="Arial"/>
          <w:sz w:val="22"/>
          <w:szCs w:val="22"/>
        </w:rPr>
      </w:pPr>
      <w:r>
        <w:rPr>
          <w:rFonts w:ascii="Arial" w:hAnsi="Arial" w:cs="Arial"/>
          <w:sz w:val="22"/>
          <w:szCs w:val="22"/>
        </w:rPr>
        <w:t>La reanudación del suministro después de haberse extinguido el contrato por cualquiera de las causas señaladas anteriormente, sólo podrá efectuarse mediante nueva solicitud, suscripción de nuevo contrato y pag</w:t>
      </w:r>
      <w:r>
        <w:rPr>
          <w:rFonts w:ascii="Arial" w:hAnsi="Arial" w:cs="Arial"/>
          <w:sz w:val="22"/>
          <w:szCs w:val="22"/>
        </w:rPr>
        <w:t>o de los derechos correspondientes.</w:t>
      </w:r>
    </w:p>
    <w:p w:rsidR="009B4233" w:rsidRDefault="009B4233">
      <w:pPr>
        <w:autoSpaceDE w:val="0"/>
        <w:spacing w:line="276" w:lineRule="auto"/>
        <w:jc w:val="both"/>
        <w:rPr>
          <w:rFonts w:ascii="Arial" w:hAnsi="Arial" w:cs="Arial"/>
          <w:sz w:val="22"/>
          <w:szCs w:val="22"/>
        </w:rPr>
      </w:pPr>
    </w:p>
    <w:p w:rsidR="009B4233" w:rsidRDefault="006B08B9">
      <w:pPr>
        <w:pStyle w:val="Prrafodelista"/>
        <w:widowControl/>
        <w:numPr>
          <w:ilvl w:val="0"/>
          <w:numId w:val="31"/>
        </w:numPr>
        <w:suppressAutoHyphens w:val="0"/>
        <w:autoSpaceDE w:val="0"/>
        <w:spacing w:line="276" w:lineRule="auto"/>
        <w:ind w:left="284" w:hanging="284"/>
        <w:jc w:val="both"/>
        <w:textAlignment w:val="auto"/>
        <w:rPr>
          <w:rFonts w:ascii="Arial" w:hAnsi="Arial" w:cs="Arial"/>
          <w:b/>
          <w:bCs/>
          <w:sz w:val="22"/>
          <w:szCs w:val="22"/>
        </w:rPr>
      </w:pPr>
      <w:r>
        <w:rPr>
          <w:rFonts w:ascii="Arial" w:hAnsi="Arial" w:cs="Arial"/>
          <w:b/>
          <w:bCs/>
          <w:sz w:val="22"/>
          <w:szCs w:val="22"/>
        </w:rPr>
        <w:t>Infracciones y sanciones.</w:t>
      </w:r>
    </w:p>
    <w:p w:rsidR="009B4233" w:rsidRDefault="006B08B9">
      <w:pPr>
        <w:pStyle w:val="Prrafodelista"/>
        <w:widowControl/>
        <w:numPr>
          <w:ilvl w:val="0"/>
          <w:numId w:val="46"/>
        </w:numPr>
        <w:suppressAutoHyphens w:val="0"/>
        <w:autoSpaceDE w:val="0"/>
        <w:spacing w:line="276" w:lineRule="auto"/>
        <w:ind w:left="567"/>
        <w:jc w:val="both"/>
        <w:textAlignment w:val="auto"/>
        <w:rPr>
          <w:rFonts w:ascii="Arial" w:hAnsi="Arial" w:cs="Arial"/>
          <w:sz w:val="22"/>
          <w:szCs w:val="22"/>
        </w:rPr>
      </w:pPr>
      <w:r>
        <w:rPr>
          <w:rFonts w:ascii="Arial" w:hAnsi="Arial" w:cs="Arial"/>
          <w:sz w:val="22"/>
          <w:szCs w:val="22"/>
        </w:rPr>
        <w:t xml:space="preserve">En todo lo referente a infracciones y sanciones, será de aplicación la Ley 58/2003, de 17 de diciembre, General Tributaria, en concreto los artículos 183 y siguientes, y las disposiciones que </w:t>
      </w:r>
      <w:r>
        <w:rPr>
          <w:rFonts w:ascii="Arial" w:hAnsi="Arial" w:cs="Arial"/>
          <w:sz w:val="22"/>
          <w:szCs w:val="22"/>
        </w:rPr>
        <w:t>la desarrollen.</w:t>
      </w:r>
    </w:p>
    <w:p w:rsidR="009B4233" w:rsidRDefault="009B4233">
      <w:pPr>
        <w:autoSpaceDE w:val="0"/>
        <w:spacing w:line="276" w:lineRule="auto"/>
        <w:jc w:val="both"/>
        <w:rPr>
          <w:rFonts w:ascii="Arial" w:hAnsi="Arial" w:cs="Arial"/>
          <w:b/>
          <w:bCs/>
          <w:sz w:val="22"/>
          <w:szCs w:val="22"/>
        </w:rPr>
      </w:pPr>
    </w:p>
    <w:p w:rsidR="009B4233" w:rsidRDefault="006B08B9">
      <w:pPr>
        <w:pStyle w:val="Prrafodelista"/>
        <w:widowControl/>
        <w:numPr>
          <w:ilvl w:val="0"/>
          <w:numId w:val="31"/>
        </w:numPr>
        <w:suppressAutoHyphens w:val="0"/>
        <w:autoSpaceDE w:val="0"/>
        <w:spacing w:line="276" w:lineRule="auto"/>
        <w:ind w:left="284" w:hanging="284"/>
        <w:jc w:val="both"/>
        <w:textAlignment w:val="auto"/>
        <w:rPr>
          <w:rFonts w:ascii="Arial" w:hAnsi="Arial" w:cs="Arial"/>
          <w:b/>
          <w:bCs/>
          <w:sz w:val="22"/>
          <w:szCs w:val="22"/>
        </w:rPr>
      </w:pPr>
      <w:r>
        <w:rPr>
          <w:rFonts w:ascii="Arial" w:hAnsi="Arial" w:cs="Arial"/>
          <w:b/>
          <w:bCs/>
          <w:sz w:val="22"/>
          <w:szCs w:val="22"/>
        </w:rPr>
        <w:t>Concesión del servicio.</w:t>
      </w:r>
    </w:p>
    <w:p w:rsidR="009B4233" w:rsidRDefault="006B08B9">
      <w:pPr>
        <w:pStyle w:val="Prrafodelista"/>
        <w:widowControl/>
        <w:numPr>
          <w:ilvl w:val="0"/>
          <w:numId w:val="47"/>
        </w:numPr>
        <w:suppressAutoHyphens w:val="0"/>
        <w:autoSpaceDE w:val="0"/>
        <w:spacing w:line="276" w:lineRule="auto"/>
        <w:ind w:left="709"/>
        <w:jc w:val="both"/>
        <w:textAlignment w:val="auto"/>
        <w:rPr>
          <w:rFonts w:ascii="Arial" w:hAnsi="Arial" w:cs="Arial"/>
          <w:sz w:val="22"/>
          <w:szCs w:val="22"/>
        </w:rPr>
      </w:pPr>
      <w:r>
        <w:rPr>
          <w:rFonts w:ascii="Arial" w:hAnsi="Arial" w:cs="Arial"/>
          <w:sz w:val="22"/>
          <w:szCs w:val="22"/>
        </w:rPr>
        <w:t xml:space="preserve">La concesión del servicio se otorgará mediante acto administrativo y quedará sujeto a las disposiciones de la presente Ordenanza y las que se fijasen en el oportuno contrato. Será por tiempo indefinido en tanto las </w:t>
      </w:r>
      <w:r>
        <w:rPr>
          <w:rFonts w:ascii="Arial" w:hAnsi="Arial" w:cs="Arial"/>
          <w:sz w:val="22"/>
          <w:szCs w:val="22"/>
        </w:rPr>
        <w:t>partes no manifiesten por escrito, su voluntad de rescindir el contrato y por parte del suministrador se cumplan las condiciones prescritas en esta Ordenanza y el contrato que queda dicho.</w:t>
      </w:r>
    </w:p>
    <w:p w:rsidR="009B4233" w:rsidRDefault="006B08B9">
      <w:pPr>
        <w:pStyle w:val="Prrafodelista"/>
        <w:widowControl/>
        <w:numPr>
          <w:ilvl w:val="0"/>
          <w:numId w:val="47"/>
        </w:numPr>
        <w:suppressAutoHyphens w:val="0"/>
        <w:autoSpaceDE w:val="0"/>
        <w:spacing w:line="276" w:lineRule="auto"/>
        <w:ind w:left="709"/>
        <w:jc w:val="both"/>
        <w:textAlignment w:val="auto"/>
        <w:rPr>
          <w:rFonts w:ascii="Arial" w:hAnsi="Arial" w:cs="Arial"/>
          <w:sz w:val="22"/>
          <w:szCs w:val="22"/>
        </w:rPr>
      </w:pPr>
      <w:r>
        <w:rPr>
          <w:rFonts w:ascii="Arial" w:hAnsi="Arial" w:cs="Arial"/>
          <w:sz w:val="22"/>
          <w:szCs w:val="22"/>
        </w:rPr>
        <w:t>Las concesiones se clasifican en:</w:t>
      </w:r>
    </w:p>
    <w:p w:rsidR="009B4233" w:rsidRDefault="006B08B9">
      <w:pPr>
        <w:pStyle w:val="Prrafodelista"/>
        <w:widowControl/>
        <w:numPr>
          <w:ilvl w:val="1"/>
          <w:numId w:val="47"/>
        </w:numPr>
        <w:suppressAutoHyphens w:val="0"/>
        <w:autoSpaceDE w:val="0"/>
        <w:spacing w:line="276" w:lineRule="auto"/>
        <w:ind w:left="1134"/>
        <w:jc w:val="both"/>
        <w:textAlignment w:val="auto"/>
        <w:rPr>
          <w:rFonts w:ascii="Arial" w:hAnsi="Arial" w:cs="Arial"/>
          <w:sz w:val="22"/>
          <w:szCs w:val="22"/>
        </w:rPr>
      </w:pPr>
      <w:r>
        <w:rPr>
          <w:rFonts w:ascii="Arial" w:hAnsi="Arial" w:cs="Arial"/>
          <w:sz w:val="22"/>
          <w:szCs w:val="22"/>
        </w:rPr>
        <w:t>Para usos domésticos, es decir, p</w:t>
      </w:r>
      <w:r>
        <w:rPr>
          <w:rFonts w:ascii="Arial" w:hAnsi="Arial" w:cs="Arial"/>
          <w:sz w:val="22"/>
          <w:szCs w:val="22"/>
        </w:rPr>
        <w:t>ara atender a las necesidades de la vida e higiene privada.</w:t>
      </w:r>
    </w:p>
    <w:p w:rsidR="009B4233" w:rsidRDefault="006B08B9">
      <w:pPr>
        <w:pStyle w:val="Prrafodelista"/>
        <w:widowControl/>
        <w:numPr>
          <w:ilvl w:val="1"/>
          <w:numId w:val="47"/>
        </w:numPr>
        <w:suppressAutoHyphens w:val="0"/>
        <w:autoSpaceDE w:val="0"/>
        <w:spacing w:line="276" w:lineRule="auto"/>
        <w:ind w:left="1134"/>
        <w:jc w:val="both"/>
        <w:textAlignment w:val="auto"/>
        <w:rPr>
          <w:rFonts w:ascii="Arial" w:hAnsi="Arial" w:cs="Arial"/>
          <w:sz w:val="22"/>
          <w:szCs w:val="22"/>
        </w:rPr>
      </w:pPr>
      <w:r>
        <w:rPr>
          <w:rFonts w:ascii="Arial" w:hAnsi="Arial" w:cs="Arial"/>
          <w:sz w:val="22"/>
          <w:szCs w:val="22"/>
        </w:rPr>
        <w:t>Para usos industriales o comerciales, considerándose dentro de éstos, los hoteles, bares, tabernas, garajes, establos, fábricas, colegios, etc.</w:t>
      </w:r>
    </w:p>
    <w:p w:rsidR="009B4233" w:rsidRDefault="006B08B9">
      <w:pPr>
        <w:pStyle w:val="Prrafodelista"/>
        <w:widowControl/>
        <w:numPr>
          <w:ilvl w:val="1"/>
          <w:numId w:val="47"/>
        </w:numPr>
        <w:suppressAutoHyphens w:val="0"/>
        <w:autoSpaceDE w:val="0"/>
        <w:spacing w:line="276" w:lineRule="auto"/>
        <w:ind w:left="1134"/>
        <w:jc w:val="both"/>
        <w:textAlignment w:val="auto"/>
        <w:rPr>
          <w:rFonts w:ascii="Arial" w:hAnsi="Arial" w:cs="Arial"/>
          <w:sz w:val="22"/>
          <w:szCs w:val="22"/>
        </w:rPr>
      </w:pPr>
      <w:r>
        <w:rPr>
          <w:rFonts w:ascii="Arial" w:hAnsi="Arial" w:cs="Arial"/>
          <w:sz w:val="22"/>
          <w:szCs w:val="22"/>
        </w:rPr>
        <w:t>Para usos oficiales.</w:t>
      </w:r>
    </w:p>
    <w:p w:rsidR="009B4233" w:rsidRDefault="009B4233">
      <w:pPr>
        <w:autoSpaceDE w:val="0"/>
        <w:spacing w:line="276" w:lineRule="auto"/>
        <w:jc w:val="both"/>
        <w:rPr>
          <w:rFonts w:ascii="Arial" w:hAnsi="Arial" w:cs="Arial"/>
          <w:sz w:val="22"/>
          <w:szCs w:val="22"/>
        </w:rPr>
      </w:pPr>
    </w:p>
    <w:p w:rsidR="009B4233" w:rsidRDefault="006B08B9">
      <w:pPr>
        <w:autoSpaceDE w:val="0"/>
        <w:spacing w:line="276" w:lineRule="auto"/>
        <w:jc w:val="both"/>
        <w:rPr>
          <w:rFonts w:ascii="Arial" w:hAnsi="Arial" w:cs="Arial"/>
          <w:b/>
          <w:bCs/>
          <w:sz w:val="22"/>
          <w:szCs w:val="22"/>
        </w:rPr>
      </w:pPr>
      <w:r>
        <w:rPr>
          <w:rFonts w:ascii="Arial" w:hAnsi="Arial" w:cs="Arial"/>
          <w:b/>
          <w:bCs/>
          <w:sz w:val="22"/>
          <w:szCs w:val="22"/>
        </w:rPr>
        <w:t>Disposición final única.</w:t>
      </w:r>
    </w:p>
    <w:p w:rsidR="009B4233" w:rsidRDefault="006B08B9">
      <w:pPr>
        <w:autoSpaceDE w:val="0"/>
        <w:spacing w:line="276" w:lineRule="auto"/>
        <w:jc w:val="both"/>
        <w:rPr>
          <w:rFonts w:ascii="Arial" w:hAnsi="Arial" w:cs="Arial"/>
          <w:sz w:val="22"/>
          <w:szCs w:val="22"/>
        </w:rPr>
      </w:pPr>
      <w:r>
        <w:rPr>
          <w:rFonts w:ascii="Arial" w:hAnsi="Arial" w:cs="Arial"/>
          <w:sz w:val="22"/>
          <w:szCs w:val="22"/>
        </w:rPr>
        <w:t>La pr</w:t>
      </w:r>
      <w:r>
        <w:rPr>
          <w:rFonts w:ascii="Arial" w:hAnsi="Arial" w:cs="Arial"/>
          <w:sz w:val="22"/>
          <w:szCs w:val="22"/>
        </w:rPr>
        <w:t>esente Ordenanza no fiscal, aprobada por el Pleno de la Corporación y una vez que ha quedado definitivamente aprobada, entrará en vigor al día siguiente al de publicación en el Boletín Oficial de la Provincia y regirá hasta su modificación o derogación exp</w:t>
      </w:r>
      <w:r>
        <w:rPr>
          <w:rFonts w:ascii="Arial" w:hAnsi="Arial" w:cs="Arial"/>
          <w:sz w:val="22"/>
          <w:szCs w:val="22"/>
        </w:rPr>
        <w:t>resa.</w:t>
      </w: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6B08B9">
      <w:pPr>
        <w:ind w:firstLine="709"/>
        <w:jc w:val="both"/>
        <w:rPr>
          <w:rFonts w:ascii="Arial" w:hAnsi="Arial" w:cs="Arial"/>
          <w:b/>
          <w:sz w:val="22"/>
          <w:szCs w:val="22"/>
        </w:rPr>
      </w:pPr>
      <w:r>
        <w:rPr>
          <w:rFonts w:ascii="Arial" w:hAnsi="Arial" w:cs="Arial"/>
          <w:b/>
          <w:sz w:val="22"/>
          <w:szCs w:val="22"/>
        </w:rPr>
        <w:t>Consta en el expediente Informe de Intervención emitido por Don Nicolás Rojo Garnica, que desempeña el puesto de trabajo de Interventor Municipal, de 17 de septiembre de 2025, del siguiente tenor literal:</w:t>
      </w: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6B08B9">
      <w:pPr>
        <w:pStyle w:val="Textoindependiente"/>
      </w:pPr>
      <w:r>
        <w:rPr>
          <w:rFonts w:cs="Arial"/>
          <w:szCs w:val="22"/>
        </w:rPr>
        <w:t xml:space="preserve">  </w:t>
      </w:r>
      <w:r>
        <w:rPr>
          <w:rFonts w:cs="Arial"/>
          <w:szCs w:val="22"/>
        </w:rPr>
        <w:t xml:space="preserve">                                       </w:t>
      </w:r>
      <w:r>
        <w:rPr>
          <w:rFonts w:cs="Arial"/>
          <w:b/>
          <w:szCs w:val="22"/>
        </w:rPr>
        <w:t>“INFORME DE INTERVENCIÓN</w:t>
      </w:r>
      <w:r>
        <w:rPr>
          <w:rFonts w:cs="Arial"/>
          <w:noProof/>
          <w:szCs w:val="22"/>
          <w:lang w:eastAsia="es-ES"/>
        </w:rPr>
        <mc:AlternateContent>
          <mc:Choice Requires="wps">
            <w:drawing>
              <wp:anchor distT="0" distB="0" distL="114300" distR="114300" simplePos="0" relativeHeight="251659776" behindDoc="0" locked="0" layoutInCell="1" allowOverlap="1">
                <wp:simplePos x="0" y="0"/>
                <wp:positionH relativeFrom="column">
                  <wp:posOffset>-1141728</wp:posOffset>
                </wp:positionH>
                <wp:positionV relativeFrom="paragraph">
                  <wp:posOffset>-15243</wp:posOffset>
                </wp:positionV>
                <wp:extent cx="7771768" cy="0"/>
                <wp:effectExtent l="0" t="0" r="0" b="0"/>
                <wp:wrapNone/>
                <wp:docPr id="23" name="Conector recto 141"/>
                <wp:cNvGraphicFramePr/>
                <a:graphic xmlns:a="http://schemas.openxmlformats.org/drawingml/2006/main">
                  <a:graphicData uri="http://schemas.microsoft.com/office/word/2010/wordprocessingShape">
                    <wps:wsp>
                      <wps:cNvCnPr/>
                      <wps:spPr>
                        <a:xfrm>
                          <a:off x="0" y="0"/>
                          <a:ext cx="7771768" cy="0"/>
                        </a:xfrm>
                        <a:prstGeom prst="straightConnector1">
                          <a:avLst/>
                        </a:prstGeom>
                        <a:noFill/>
                        <a:ln cap="flat">
                          <a:noFill/>
                          <a:prstDash val="solid"/>
                        </a:ln>
                      </wps:spPr>
                      <wps:bodyPr/>
                    </wps:wsp>
                  </a:graphicData>
                </a:graphic>
              </wp:anchor>
            </w:drawing>
          </mc:Choice>
          <mc:Fallback>
            <w:pict>
              <v:shape w14:anchorId="08E795AD" id="Conector recto 141" o:spid="_x0000_s1026" type="#_x0000_t32" style="position:absolute;margin-left:-89.9pt;margin-top:-1.2pt;width:611.95pt;height:0;z-index:2516597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" stroked="f"/>
            </w:pict>
          </mc:Fallback>
        </mc:AlternateContent>
      </w:r>
    </w:p>
    <w:p w:rsidR="009B4233" w:rsidRDefault="006B08B9">
      <w:pPr>
        <w:jc w:val="both"/>
      </w:pPr>
      <w:r>
        <w:rPr>
          <w:rFonts w:ascii="Arial" w:hAnsi="Arial" w:cs="Arial"/>
          <w:bCs/>
          <w:sz w:val="22"/>
          <w:szCs w:val="22"/>
        </w:rPr>
        <w:t xml:space="preserve">MODIFICACIÓN DE ORDENANZA REGULADORA DE LA PRESTACIÓN PATRIMONIAL DE CARÁCTER PÚBLICO NO TRIBUTARIO DE LOS SERVICIOS MUNICIPALES DE GESTIÓN DEL CICLO INTEGRAL DEL AGUA DEL AYUNTAMIENTO DE LA </w:t>
      </w:r>
      <w:r>
        <w:rPr>
          <w:rFonts w:ascii="Arial" w:hAnsi="Arial" w:cs="Arial"/>
          <w:bCs/>
          <w:sz w:val="22"/>
          <w:szCs w:val="22"/>
        </w:rPr>
        <w:t>VILLA DE CANDELARIA</w:t>
      </w:r>
    </w:p>
    <w:p w:rsidR="009B4233" w:rsidRDefault="006B08B9">
      <w:r>
        <w:rPr>
          <w:rFonts w:ascii="Arial" w:hAnsi="Arial" w:cs="Arial"/>
          <w:noProof/>
          <w:sz w:val="22"/>
          <w:szCs w:val="22"/>
          <w:lang w:eastAsia="es-ES" w:bidi="ar-SA"/>
        </w:rPr>
        <mc:AlternateContent>
          <mc:Choice Requires="wps">
            <w:drawing>
              <wp:anchor distT="0" distB="0" distL="114300" distR="114300" simplePos="0" relativeHeight="251658752" behindDoc="0" locked="0" layoutInCell="1" allowOverlap="1">
                <wp:simplePos x="0" y="0"/>
                <wp:positionH relativeFrom="column">
                  <wp:posOffset>4443</wp:posOffset>
                </wp:positionH>
                <wp:positionV relativeFrom="paragraph">
                  <wp:posOffset>118113</wp:posOffset>
                </wp:positionV>
                <wp:extent cx="6059172" cy="0"/>
                <wp:effectExtent l="19050" t="19050" r="36828" b="38100"/>
                <wp:wrapNone/>
                <wp:docPr id="24" name="Conector recto 140"/>
                <wp:cNvGraphicFramePr/>
                <a:graphic xmlns:a="http://schemas.openxmlformats.org/drawingml/2006/main">
                  <a:graphicData uri="http://schemas.microsoft.com/office/word/2010/wordprocessingShape">
                    <wps:wsp>
                      <wps:cNvCnPr/>
                      <wps:spPr>
                        <a:xfrm>
                          <a:off x="0" y="0"/>
                          <a:ext cx="6059172" cy="0"/>
                        </a:xfrm>
                        <a:prstGeom prst="straightConnector1">
                          <a:avLst/>
                        </a:prstGeom>
                        <a:noFill/>
                        <a:ln w="25557" cap="sq">
                          <a:solidFill>
                            <a:srgbClr val="993366"/>
                          </a:solidFill>
                          <a:prstDash val="solid"/>
                          <a:miter/>
                        </a:ln>
                      </wps:spPr>
                      <wps:bodyPr/>
                    </wps:wsp>
                  </a:graphicData>
                </a:graphic>
              </wp:anchor>
            </w:drawing>
          </mc:Choice>
          <mc:Fallback>
            <w:pict>
              <v:shape w14:anchorId="7E9F69BC" id="Conector recto 140" o:spid="_x0000_s1026" type="#_x0000_t32" style="position:absolute;margin-left:.35pt;margin-top:9.3pt;width:477.1pt;height:0;z-index:2516587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" strokecolor="#936" strokeweight=".70992mm">
                <v:stroke joinstyle="miter" endcap="square"/>
              </v:shape>
            </w:pict>
          </mc:Fallback>
        </mc:AlternateContent>
      </w:r>
    </w:p>
    <w:p w:rsidR="009B4233" w:rsidRDefault="009B4233">
      <w:pPr>
        <w:ind w:firstLine="708"/>
        <w:jc w:val="both"/>
        <w:rPr>
          <w:rFonts w:ascii="Arial" w:hAnsi="Arial" w:cs="Arial"/>
          <w:b/>
          <w:sz w:val="22"/>
          <w:szCs w:val="22"/>
          <w:u w:val="single"/>
        </w:rPr>
      </w:pPr>
    </w:p>
    <w:p w:rsidR="009B4233" w:rsidRDefault="006B08B9">
      <w:pPr>
        <w:pStyle w:val="Textoindependiente"/>
        <w:ind w:firstLine="708"/>
        <w:jc w:val="both"/>
      </w:pPr>
      <w:r>
        <w:rPr>
          <w:rFonts w:cs="Arial"/>
          <w:szCs w:val="22"/>
        </w:rPr>
        <w:tab/>
        <w:t>Visto el escrito, presentado por parte de la empresa AQUALIA SA, de solicitud de revisión de tarifas de agua potable de abastecimiento y saneamiento, para la anualidad de 2026, lo que obliga a modificar la correspondiente Ordenanza,</w:t>
      </w:r>
      <w:r>
        <w:rPr>
          <w:rFonts w:cs="Arial"/>
          <w:szCs w:val="22"/>
        </w:rPr>
        <w:t xml:space="preserve"> únicamente en lo que se refiere a las tarifas de abastecimiento y saneamiento, es decir, en los artículos 7.1.1.4.1., 7.1.1.4.2., 7.2.2.1. y 7.2.2.2., esta Intervención tiene a bien </w:t>
      </w:r>
      <w:r>
        <w:rPr>
          <w:rFonts w:cs="Arial"/>
          <w:b/>
          <w:szCs w:val="22"/>
        </w:rPr>
        <w:t>INFORMAR:</w:t>
      </w:r>
    </w:p>
    <w:p w:rsidR="009B4233" w:rsidRDefault="009B4233">
      <w:pPr>
        <w:pStyle w:val="Textoindependiente"/>
        <w:ind w:firstLine="708"/>
        <w:jc w:val="both"/>
        <w:rPr>
          <w:rFonts w:cs="Arial"/>
          <w:b/>
          <w:szCs w:val="22"/>
        </w:rPr>
      </w:pPr>
    </w:p>
    <w:p w:rsidR="009B4233" w:rsidRDefault="006B08B9">
      <w:pPr>
        <w:pStyle w:val="Textoindependiente"/>
        <w:ind w:firstLine="708"/>
        <w:jc w:val="both"/>
      </w:pPr>
      <w:r>
        <w:rPr>
          <w:rFonts w:cs="Arial"/>
          <w:b/>
          <w:szCs w:val="22"/>
        </w:rPr>
        <w:t>PRIMERO:</w:t>
      </w:r>
      <w:r>
        <w:rPr>
          <w:rFonts w:cs="Arial"/>
          <w:szCs w:val="22"/>
        </w:rPr>
        <w:t xml:space="preserve"> Con fecha 29 de mayo de 2025, se adoptó el acuerdo </w:t>
      </w:r>
      <w:r>
        <w:rPr>
          <w:rFonts w:cs="Arial"/>
          <w:szCs w:val="22"/>
        </w:rPr>
        <w:t xml:space="preserve">plenario de Aprobación definitiva de la </w:t>
      </w:r>
      <w:r>
        <w:rPr>
          <w:rFonts w:cs="Arial"/>
          <w:bCs/>
          <w:szCs w:val="22"/>
        </w:rPr>
        <w:t>ORDENANZA REGULADORA DE LA PRESTACIÓN PATRIMONIAL DE CARÁCTER PÚBLICO NO TRIBUTARIO DE LOS SERVICIOS MUNICIPALES DE GESTIÓN DEL CICLO INTEGRAL DEL AGUA DEL AYUNTAMIENTO DE LA VILLA DE CANDELARIA</w:t>
      </w:r>
      <w:r>
        <w:rPr>
          <w:rFonts w:cs="Arial"/>
          <w:szCs w:val="22"/>
        </w:rPr>
        <w:t>, adoptando la aplicac</w:t>
      </w:r>
      <w:r>
        <w:rPr>
          <w:rFonts w:cs="Arial"/>
          <w:szCs w:val="22"/>
        </w:rPr>
        <w:t>ión de las siguientes tarifas:</w:t>
      </w:r>
    </w:p>
    <w:p w:rsidR="009B4233" w:rsidRDefault="009B4233">
      <w:pPr>
        <w:pStyle w:val="Textoindependiente"/>
        <w:ind w:firstLine="708"/>
        <w:jc w:val="both"/>
        <w:rPr>
          <w:rFonts w:cs="Arial"/>
          <w:szCs w:val="22"/>
        </w:rPr>
      </w:pPr>
    </w:p>
    <w:p w:rsidR="009B4233" w:rsidRDefault="006B08B9">
      <w:pPr>
        <w:pStyle w:val="Textoindependiente"/>
        <w:numPr>
          <w:ilvl w:val="0"/>
          <w:numId w:val="48"/>
        </w:numPr>
        <w:jc w:val="both"/>
        <w:rPr>
          <w:rFonts w:cs="Arial"/>
          <w:b/>
          <w:szCs w:val="22"/>
        </w:rPr>
      </w:pPr>
      <w:r>
        <w:rPr>
          <w:rFonts w:cs="Arial"/>
          <w:b/>
          <w:szCs w:val="22"/>
        </w:rPr>
        <w:t>ABASTECIMIENTO:</w:t>
      </w:r>
    </w:p>
    <w:tbl>
      <w:tblPr>
        <w:tblW w:w="6095" w:type="dxa"/>
        <w:tblInd w:w="1526" w:type="dxa"/>
        <w:tblCellMar>
          <w:left w:w="10" w:type="dxa"/>
          <w:right w:w="10" w:type="dxa"/>
        </w:tblCellMar>
        <w:tblLook w:val="0000" w:firstRow="0" w:lastRow="0" w:firstColumn="0" w:lastColumn="0" w:noHBand="0" w:noVBand="0"/>
      </w:tblPr>
      <w:tblGrid>
        <w:gridCol w:w="2835"/>
        <w:gridCol w:w="3260"/>
      </w:tblGrid>
      <w:tr w:rsidR="009B4233">
        <w:tblPrEx>
          <w:tblCellMar>
            <w:top w:w="0" w:type="dxa"/>
            <w:bottom w:w="0" w:type="dxa"/>
          </w:tblCellMar>
        </w:tblPrEx>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pStyle w:val="Textoindependiente"/>
              <w:jc w:val="center"/>
              <w:rPr>
                <w:rFonts w:cs="Arial"/>
                <w:b/>
                <w:szCs w:val="22"/>
              </w:rPr>
            </w:pPr>
            <w:r>
              <w:rPr>
                <w:rFonts w:cs="Arial"/>
                <w:b/>
                <w:szCs w:val="22"/>
              </w:rPr>
              <w:t>TARIFAS</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pStyle w:val="Textoindependiente"/>
              <w:jc w:val="center"/>
              <w:rPr>
                <w:rFonts w:cs="Arial"/>
                <w:b/>
                <w:szCs w:val="22"/>
              </w:rPr>
            </w:pPr>
            <w:r>
              <w:rPr>
                <w:rFonts w:cs="Arial"/>
                <w:b/>
                <w:szCs w:val="22"/>
              </w:rPr>
              <w:t>APROBADAS POR ACUERDO PLENARIO</w:t>
            </w:r>
          </w:p>
        </w:tc>
      </w:tr>
      <w:tr w:rsidR="009B4233">
        <w:tblPrEx>
          <w:tblCellMar>
            <w:top w:w="0" w:type="dxa"/>
            <w:bottom w:w="0" w:type="dxa"/>
          </w:tblCellMar>
        </w:tblPrEx>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widowControl/>
              <w:suppressAutoHyphens w:val="0"/>
              <w:spacing w:after="120"/>
              <w:jc w:val="center"/>
            </w:pPr>
            <w:r>
              <w:rPr>
                <w:rFonts w:ascii="Arial" w:eastAsia="Times New Roman" w:hAnsi="Arial" w:cs="Arial"/>
                <w:b/>
                <w:bCs/>
                <w:color w:val="000000"/>
                <w:sz w:val="22"/>
                <w:szCs w:val="22"/>
                <w:lang w:eastAsia="es-ES"/>
              </w:rPr>
              <w:t>CONSUMO DOMÉSTICO</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9B4233">
            <w:pPr>
              <w:pStyle w:val="Textoindependiente"/>
              <w:jc w:val="center"/>
              <w:rPr>
                <w:rFonts w:cs="Arial"/>
                <w:szCs w:val="22"/>
              </w:rPr>
            </w:pPr>
          </w:p>
        </w:tc>
      </w:tr>
      <w:tr w:rsidR="009B4233">
        <w:tblPrEx>
          <w:tblCellMar>
            <w:top w:w="0" w:type="dxa"/>
            <w:bottom w:w="0" w:type="dxa"/>
          </w:tblCellMar>
        </w:tblPrEx>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widowControl/>
              <w:suppressAutoHyphens w:val="0"/>
              <w:spacing w:after="120"/>
              <w:jc w:val="center"/>
            </w:pPr>
            <w:r>
              <w:rPr>
                <w:rFonts w:ascii="Arial" w:eastAsia="Times New Roman" w:hAnsi="Arial" w:cs="Arial"/>
                <w:color w:val="000000"/>
                <w:sz w:val="22"/>
                <w:szCs w:val="22"/>
                <w:lang w:eastAsia="es-ES"/>
              </w:rPr>
              <w:t>CUOTA FIJA</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widowControl/>
              <w:suppressAutoHyphens w:val="0"/>
              <w:spacing w:after="120"/>
              <w:jc w:val="center"/>
            </w:pPr>
            <w:r>
              <w:rPr>
                <w:rFonts w:ascii="Arial" w:eastAsia="Times New Roman" w:hAnsi="Arial" w:cs="Arial"/>
                <w:color w:val="000000"/>
                <w:sz w:val="22"/>
                <w:szCs w:val="22"/>
                <w:lang w:eastAsia="es-ES"/>
              </w:rPr>
              <w:t>14,19 €</w:t>
            </w:r>
          </w:p>
        </w:tc>
      </w:tr>
      <w:tr w:rsidR="009B4233">
        <w:tblPrEx>
          <w:tblCellMar>
            <w:top w:w="0" w:type="dxa"/>
            <w:bottom w:w="0" w:type="dxa"/>
          </w:tblCellMar>
        </w:tblPrEx>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widowControl/>
              <w:suppressAutoHyphens w:val="0"/>
              <w:spacing w:after="120"/>
              <w:jc w:val="center"/>
            </w:pPr>
            <w:r>
              <w:rPr>
                <w:rFonts w:ascii="Arial" w:eastAsia="Times New Roman" w:hAnsi="Arial" w:cs="Arial"/>
                <w:color w:val="000000"/>
                <w:sz w:val="22"/>
                <w:szCs w:val="22"/>
                <w:lang w:eastAsia="es-ES"/>
              </w:rPr>
              <w:t>De 1 a 10 m3</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widowControl/>
              <w:suppressAutoHyphens w:val="0"/>
              <w:spacing w:after="120"/>
              <w:jc w:val="center"/>
            </w:pPr>
            <w:r>
              <w:rPr>
                <w:rFonts w:ascii="Arial" w:eastAsia="Times New Roman" w:hAnsi="Arial" w:cs="Arial"/>
                <w:color w:val="000000"/>
                <w:sz w:val="22"/>
                <w:szCs w:val="22"/>
                <w:lang w:eastAsia="es-ES"/>
              </w:rPr>
              <w:t>0,59 €/m3</w:t>
            </w:r>
          </w:p>
        </w:tc>
      </w:tr>
      <w:tr w:rsidR="009B4233">
        <w:tblPrEx>
          <w:tblCellMar>
            <w:top w:w="0" w:type="dxa"/>
            <w:bottom w:w="0" w:type="dxa"/>
          </w:tblCellMar>
        </w:tblPrEx>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widowControl/>
              <w:suppressAutoHyphens w:val="0"/>
              <w:spacing w:after="120"/>
              <w:jc w:val="center"/>
            </w:pPr>
            <w:r>
              <w:rPr>
                <w:rFonts w:ascii="Arial" w:eastAsia="Times New Roman" w:hAnsi="Arial" w:cs="Arial"/>
                <w:i/>
                <w:iCs/>
                <w:color w:val="000000"/>
                <w:sz w:val="22"/>
                <w:szCs w:val="22"/>
                <w:lang w:eastAsia="es-ES"/>
              </w:rPr>
              <w:t xml:space="preserve">De </w:t>
            </w:r>
            <w:r>
              <w:rPr>
                <w:rFonts w:ascii="Arial" w:eastAsia="Times New Roman" w:hAnsi="Arial" w:cs="Arial"/>
                <w:color w:val="000000"/>
                <w:sz w:val="22"/>
                <w:szCs w:val="22"/>
                <w:lang w:eastAsia="es-ES"/>
              </w:rPr>
              <w:t>11 a 30 m3</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widowControl/>
              <w:suppressAutoHyphens w:val="0"/>
              <w:spacing w:after="120"/>
              <w:jc w:val="center"/>
            </w:pPr>
            <w:r>
              <w:rPr>
                <w:rFonts w:ascii="Arial" w:eastAsia="Times New Roman" w:hAnsi="Arial" w:cs="Arial"/>
                <w:color w:val="000000"/>
                <w:sz w:val="22"/>
                <w:szCs w:val="22"/>
                <w:lang w:eastAsia="es-ES"/>
              </w:rPr>
              <w:t>1,20 €/m3</w:t>
            </w:r>
          </w:p>
        </w:tc>
      </w:tr>
      <w:tr w:rsidR="009B4233">
        <w:tblPrEx>
          <w:tblCellMar>
            <w:top w:w="0" w:type="dxa"/>
            <w:bottom w:w="0" w:type="dxa"/>
          </w:tblCellMar>
        </w:tblPrEx>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widowControl/>
              <w:suppressAutoHyphens w:val="0"/>
              <w:spacing w:after="120"/>
              <w:jc w:val="center"/>
            </w:pPr>
            <w:r>
              <w:rPr>
                <w:rFonts w:ascii="Arial" w:eastAsia="Times New Roman" w:hAnsi="Arial" w:cs="Arial"/>
                <w:i/>
                <w:iCs/>
                <w:color w:val="000000"/>
                <w:sz w:val="22"/>
                <w:szCs w:val="22"/>
                <w:lang w:eastAsia="es-ES"/>
              </w:rPr>
              <w:t xml:space="preserve">De 31 a 60 </w:t>
            </w:r>
            <w:r>
              <w:rPr>
                <w:rFonts w:ascii="Arial" w:eastAsia="Times New Roman" w:hAnsi="Arial" w:cs="Arial"/>
                <w:color w:val="000000"/>
                <w:sz w:val="22"/>
                <w:szCs w:val="22"/>
                <w:lang w:eastAsia="es-ES"/>
              </w:rPr>
              <w:t>m3</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widowControl/>
              <w:suppressAutoHyphens w:val="0"/>
              <w:spacing w:after="120"/>
              <w:jc w:val="center"/>
            </w:pPr>
            <w:r>
              <w:rPr>
                <w:rFonts w:ascii="Arial" w:eastAsia="Times New Roman" w:hAnsi="Arial" w:cs="Arial"/>
                <w:color w:val="000000"/>
                <w:sz w:val="22"/>
                <w:szCs w:val="22"/>
                <w:lang w:eastAsia="es-ES"/>
              </w:rPr>
              <w:t>2,19 €/m3</w:t>
            </w:r>
          </w:p>
        </w:tc>
      </w:tr>
      <w:tr w:rsidR="009B4233">
        <w:tblPrEx>
          <w:tblCellMar>
            <w:top w:w="0" w:type="dxa"/>
            <w:bottom w:w="0" w:type="dxa"/>
          </w:tblCellMar>
        </w:tblPrEx>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widowControl/>
              <w:suppressAutoHyphens w:val="0"/>
              <w:spacing w:after="120"/>
              <w:jc w:val="center"/>
            </w:pPr>
            <w:r>
              <w:rPr>
                <w:rFonts w:ascii="Arial" w:eastAsia="Times New Roman" w:hAnsi="Arial" w:cs="Arial"/>
                <w:i/>
                <w:iCs/>
                <w:color w:val="000000"/>
                <w:sz w:val="22"/>
                <w:szCs w:val="22"/>
                <w:lang w:eastAsia="es-ES"/>
              </w:rPr>
              <w:t xml:space="preserve">Más de 60 </w:t>
            </w:r>
            <w:r>
              <w:rPr>
                <w:rFonts w:ascii="Arial" w:eastAsia="Times New Roman" w:hAnsi="Arial" w:cs="Arial"/>
                <w:color w:val="000000"/>
                <w:sz w:val="22"/>
                <w:szCs w:val="22"/>
                <w:lang w:eastAsia="es-ES"/>
              </w:rPr>
              <w:t>m3</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widowControl/>
              <w:suppressAutoHyphens w:val="0"/>
              <w:spacing w:after="120"/>
              <w:jc w:val="center"/>
            </w:pPr>
            <w:r>
              <w:rPr>
                <w:rFonts w:ascii="Arial" w:eastAsia="Times New Roman" w:hAnsi="Arial" w:cs="Arial"/>
                <w:color w:val="000000"/>
                <w:sz w:val="22"/>
                <w:szCs w:val="22"/>
                <w:lang w:eastAsia="es-ES"/>
              </w:rPr>
              <w:t>3,48 €/m3</w:t>
            </w:r>
          </w:p>
        </w:tc>
      </w:tr>
      <w:tr w:rsidR="009B4233">
        <w:tblPrEx>
          <w:tblCellMar>
            <w:top w:w="0" w:type="dxa"/>
            <w:bottom w:w="0" w:type="dxa"/>
          </w:tblCellMar>
        </w:tblPrEx>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widowControl/>
              <w:suppressAutoHyphens w:val="0"/>
              <w:spacing w:after="120"/>
              <w:jc w:val="center"/>
            </w:pPr>
            <w:r>
              <w:rPr>
                <w:rFonts w:ascii="Arial" w:eastAsia="Times New Roman" w:hAnsi="Arial" w:cs="Arial"/>
                <w:b/>
                <w:bCs/>
                <w:color w:val="000000"/>
                <w:sz w:val="22"/>
                <w:szCs w:val="22"/>
                <w:lang w:eastAsia="es-ES"/>
              </w:rPr>
              <w:t>CONSUMO INDUSTRIAL</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9B4233">
            <w:pPr>
              <w:pStyle w:val="Textoindependiente"/>
              <w:jc w:val="center"/>
              <w:rPr>
                <w:rFonts w:cs="Arial"/>
                <w:szCs w:val="22"/>
              </w:rPr>
            </w:pPr>
          </w:p>
        </w:tc>
      </w:tr>
      <w:tr w:rsidR="009B4233">
        <w:tblPrEx>
          <w:tblCellMar>
            <w:top w:w="0" w:type="dxa"/>
            <w:bottom w:w="0" w:type="dxa"/>
          </w:tblCellMar>
        </w:tblPrEx>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widowControl/>
              <w:suppressAutoHyphens w:val="0"/>
              <w:spacing w:after="120"/>
              <w:jc w:val="center"/>
            </w:pPr>
            <w:r>
              <w:rPr>
                <w:rFonts w:ascii="Arial" w:eastAsia="Times New Roman" w:hAnsi="Arial" w:cs="Arial"/>
                <w:color w:val="000000"/>
                <w:sz w:val="22"/>
                <w:szCs w:val="22"/>
                <w:lang w:eastAsia="es-ES"/>
              </w:rPr>
              <w:t xml:space="preserve">CUOTA </w:t>
            </w:r>
            <w:r>
              <w:rPr>
                <w:rFonts w:ascii="Arial" w:eastAsia="Times New Roman" w:hAnsi="Arial" w:cs="Arial"/>
                <w:color w:val="000000"/>
                <w:sz w:val="22"/>
                <w:szCs w:val="22"/>
                <w:lang w:eastAsia="es-ES"/>
              </w:rPr>
              <w:t>FIJA</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widowControl/>
              <w:suppressAutoHyphens w:val="0"/>
              <w:spacing w:after="120"/>
              <w:jc w:val="center"/>
            </w:pPr>
            <w:r>
              <w:rPr>
                <w:rFonts w:ascii="Arial" w:eastAsia="Times New Roman" w:hAnsi="Arial" w:cs="Arial"/>
                <w:color w:val="000000"/>
                <w:sz w:val="22"/>
                <w:szCs w:val="22"/>
                <w:lang w:eastAsia="es-ES"/>
              </w:rPr>
              <w:t>21,17 €</w:t>
            </w:r>
          </w:p>
        </w:tc>
      </w:tr>
      <w:tr w:rsidR="009B4233">
        <w:tblPrEx>
          <w:tblCellMar>
            <w:top w:w="0" w:type="dxa"/>
            <w:bottom w:w="0" w:type="dxa"/>
          </w:tblCellMar>
        </w:tblPrEx>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widowControl/>
              <w:suppressAutoHyphens w:val="0"/>
              <w:spacing w:after="120"/>
              <w:jc w:val="center"/>
            </w:pPr>
            <w:r>
              <w:rPr>
                <w:rFonts w:ascii="Arial" w:eastAsia="Times New Roman" w:hAnsi="Arial" w:cs="Arial"/>
                <w:color w:val="000000"/>
                <w:sz w:val="22"/>
                <w:szCs w:val="22"/>
                <w:lang w:eastAsia="es-ES"/>
              </w:rPr>
              <w:t>De 1 a 10 m3</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widowControl/>
              <w:suppressAutoHyphens w:val="0"/>
              <w:spacing w:after="120"/>
              <w:jc w:val="center"/>
            </w:pPr>
            <w:r>
              <w:rPr>
                <w:rFonts w:ascii="Arial" w:eastAsia="Times New Roman" w:hAnsi="Arial" w:cs="Arial"/>
                <w:color w:val="000000"/>
                <w:sz w:val="22"/>
                <w:szCs w:val="22"/>
                <w:lang w:eastAsia="es-ES"/>
              </w:rPr>
              <w:t>0,89 €/m3</w:t>
            </w:r>
          </w:p>
        </w:tc>
      </w:tr>
      <w:tr w:rsidR="009B4233">
        <w:tblPrEx>
          <w:tblCellMar>
            <w:top w:w="0" w:type="dxa"/>
            <w:bottom w:w="0" w:type="dxa"/>
          </w:tblCellMar>
        </w:tblPrEx>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widowControl/>
              <w:suppressAutoHyphens w:val="0"/>
              <w:spacing w:after="120"/>
              <w:jc w:val="center"/>
            </w:pPr>
            <w:r>
              <w:rPr>
                <w:rFonts w:ascii="Arial" w:eastAsia="Times New Roman" w:hAnsi="Arial" w:cs="Arial"/>
                <w:i/>
                <w:iCs/>
                <w:color w:val="000000"/>
                <w:sz w:val="22"/>
                <w:szCs w:val="22"/>
                <w:lang w:eastAsia="es-ES"/>
              </w:rPr>
              <w:t xml:space="preserve">De </w:t>
            </w:r>
            <w:r>
              <w:rPr>
                <w:rFonts w:ascii="Arial" w:eastAsia="Times New Roman" w:hAnsi="Arial" w:cs="Arial"/>
                <w:color w:val="000000"/>
                <w:sz w:val="22"/>
                <w:szCs w:val="22"/>
                <w:lang w:eastAsia="es-ES"/>
              </w:rPr>
              <w:t>11 a 30 m3</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widowControl/>
              <w:suppressAutoHyphens w:val="0"/>
              <w:spacing w:after="120"/>
              <w:jc w:val="center"/>
            </w:pPr>
            <w:r>
              <w:rPr>
                <w:rFonts w:ascii="Arial" w:eastAsia="Times New Roman" w:hAnsi="Arial" w:cs="Arial"/>
                <w:color w:val="000000"/>
                <w:sz w:val="22"/>
                <w:szCs w:val="22"/>
                <w:lang w:eastAsia="es-ES"/>
              </w:rPr>
              <w:t>1,84 €/m3</w:t>
            </w:r>
          </w:p>
        </w:tc>
      </w:tr>
      <w:tr w:rsidR="009B4233">
        <w:tblPrEx>
          <w:tblCellMar>
            <w:top w:w="0" w:type="dxa"/>
            <w:bottom w:w="0" w:type="dxa"/>
          </w:tblCellMar>
        </w:tblPrEx>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widowControl/>
              <w:suppressAutoHyphens w:val="0"/>
              <w:spacing w:after="120"/>
              <w:jc w:val="center"/>
            </w:pPr>
            <w:r>
              <w:rPr>
                <w:rFonts w:ascii="Arial" w:eastAsia="Times New Roman" w:hAnsi="Arial" w:cs="Arial"/>
                <w:i/>
                <w:iCs/>
                <w:color w:val="000000"/>
                <w:sz w:val="22"/>
                <w:szCs w:val="22"/>
                <w:lang w:eastAsia="es-ES"/>
              </w:rPr>
              <w:t xml:space="preserve">De 31 a 60 </w:t>
            </w:r>
            <w:r>
              <w:rPr>
                <w:rFonts w:ascii="Arial" w:eastAsia="Times New Roman" w:hAnsi="Arial" w:cs="Arial"/>
                <w:color w:val="000000"/>
                <w:sz w:val="22"/>
                <w:szCs w:val="22"/>
                <w:lang w:eastAsia="es-ES"/>
              </w:rPr>
              <w:t>m3</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widowControl/>
              <w:suppressAutoHyphens w:val="0"/>
              <w:spacing w:after="120"/>
              <w:jc w:val="center"/>
            </w:pPr>
            <w:r>
              <w:rPr>
                <w:rFonts w:ascii="Arial" w:eastAsia="Times New Roman" w:hAnsi="Arial" w:cs="Arial"/>
                <w:color w:val="000000"/>
                <w:sz w:val="22"/>
                <w:szCs w:val="22"/>
                <w:lang w:eastAsia="es-ES"/>
              </w:rPr>
              <w:t>2,84 €/m3</w:t>
            </w:r>
          </w:p>
        </w:tc>
      </w:tr>
      <w:tr w:rsidR="009B4233">
        <w:tblPrEx>
          <w:tblCellMar>
            <w:top w:w="0" w:type="dxa"/>
            <w:bottom w:w="0" w:type="dxa"/>
          </w:tblCellMar>
        </w:tblPrEx>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widowControl/>
              <w:suppressAutoHyphens w:val="0"/>
              <w:spacing w:after="120"/>
              <w:jc w:val="center"/>
            </w:pPr>
            <w:r>
              <w:rPr>
                <w:rFonts w:ascii="Arial" w:eastAsia="Times New Roman" w:hAnsi="Arial" w:cs="Arial"/>
                <w:i/>
                <w:iCs/>
                <w:color w:val="000000"/>
                <w:sz w:val="22"/>
                <w:szCs w:val="22"/>
                <w:lang w:eastAsia="es-ES"/>
              </w:rPr>
              <w:t xml:space="preserve">Más de 60 </w:t>
            </w:r>
            <w:r>
              <w:rPr>
                <w:rFonts w:ascii="Arial" w:eastAsia="Times New Roman" w:hAnsi="Arial" w:cs="Arial"/>
                <w:color w:val="000000"/>
                <w:sz w:val="22"/>
                <w:szCs w:val="22"/>
                <w:lang w:eastAsia="es-ES"/>
              </w:rPr>
              <w:t>m3</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widowControl/>
              <w:suppressAutoHyphens w:val="0"/>
              <w:spacing w:after="120"/>
              <w:jc w:val="center"/>
            </w:pPr>
            <w:r>
              <w:rPr>
                <w:rFonts w:ascii="Arial" w:eastAsia="Times New Roman" w:hAnsi="Arial" w:cs="Arial"/>
                <w:color w:val="000000"/>
                <w:sz w:val="22"/>
                <w:szCs w:val="22"/>
                <w:lang w:eastAsia="es-ES"/>
              </w:rPr>
              <w:t>3,94 €/m3</w:t>
            </w:r>
          </w:p>
        </w:tc>
      </w:tr>
    </w:tbl>
    <w:p w:rsidR="009B4233" w:rsidRDefault="009B4233">
      <w:pPr>
        <w:pStyle w:val="Textoindependiente"/>
        <w:ind w:firstLine="708"/>
        <w:jc w:val="both"/>
        <w:rPr>
          <w:rFonts w:cs="Arial"/>
          <w:szCs w:val="22"/>
        </w:rPr>
      </w:pPr>
    </w:p>
    <w:p w:rsidR="009B4233" w:rsidRDefault="009B4233">
      <w:pPr>
        <w:pStyle w:val="Textoindependiente"/>
        <w:ind w:firstLine="708"/>
        <w:jc w:val="both"/>
        <w:rPr>
          <w:rFonts w:cs="Arial"/>
          <w:szCs w:val="22"/>
        </w:rPr>
      </w:pPr>
    </w:p>
    <w:p w:rsidR="009B4233" w:rsidRDefault="006B08B9">
      <w:pPr>
        <w:pStyle w:val="Textoindependiente"/>
        <w:ind w:firstLine="708"/>
        <w:jc w:val="both"/>
        <w:rPr>
          <w:rFonts w:cs="Arial"/>
          <w:b/>
          <w:szCs w:val="22"/>
        </w:rPr>
      </w:pPr>
      <w:r>
        <w:rPr>
          <w:rFonts w:cs="Arial"/>
          <w:b/>
          <w:szCs w:val="22"/>
        </w:rPr>
        <w:t>B) SANEAMIENTO:</w:t>
      </w:r>
    </w:p>
    <w:p w:rsidR="009B4233" w:rsidRDefault="006B08B9">
      <w:pPr>
        <w:widowControl/>
        <w:suppressAutoHyphens w:val="0"/>
        <w:spacing w:after="120"/>
        <w:ind w:firstLine="1134"/>
        <w:jc w:val="both"/>
      </w:pPr>
      <w:r>
        <w:rPr>
          <w:rFonts w:ascii="Arial" w:eastAsia="Times New Roman" w:hAnsi="Arial" w:cs="Arial"/>
          <w:b/>
          <w:bCs/>
          <w:color w:val="000000"/>
          <w:sz w:val="22"/>
          <w:szCs w:val="22"/>
          <w:lang w:eastAsia="es-ES"/>
        </w:rPr>
        <w:t>1.- Consumo Doméstico</w:t>
      </w:r>
    </w:p>
    <w:p w:rsidR="009B4233" w:rsidRDefault="009B4233">
      <w:pPr>
        <w:pStyle w:val="Prrafodelista"/>
        <w:autoSpaceDE w:val="0"/>
        <w:spacing w:line="276" w:lineRule="auto"/>
        <w:ind w:left="2127"/>
        <w:jc w:val="both"/>
        <w:rPr>
          <w:rFonts w:ascii="Arial" w:hAnsi="Arial" w:cs="Arial"/>
          <w:sz w:val="22"/>
          <w:szCs w:val="22"/>
        </w:rPr>
      </w:pPr>
    </w:p>
    <w:tbl>
      <w:tblPr>
        <w:tblW w:w="5734" w:type="dxa"/>
        <w:tblInd w:w="2830" w:type="dxa"/>
        <w:tblCellMar>
          <w:left w:w="10" w:type="dxa"/>
          <w:right w:w="10" w:type="dxa"/>
        </w:tblCellMar>
        <w:tblLook w:val="0000" w:firstRow="0" w:lastRow="0" w:firstColumn="0" w:lastColumn="0" w:noHBand="0" w:noVBand="0"/>
      </w:tblPr>
      <w:tblGrid>
        <w:gridCol w:w="2875"/>
        <w:gridCol w:w="2859"/>
      </w:tblGrid>
      <w:tr w:rsidR="009B4233">
        <w:tblPrEx>
          <w:tblCellMar>
            <w:top w:w="0" w:type="dxa"/>
            <w:bottom w:w="0" w:type="dxa"/>
          </w:tblCellMar>
        </w:tblPrEx>
        <w:tc>
          <w:tcPr>
            <w:tcW w:w="28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autoSpaceDE w:val="0"/>
              <w:spacing w:line="276" w:lineRule="auto"/>
              <w:jc w:val="both"/>
              <w:rPr>
                <w:rFonts w:ascii="Arial" w:hAnsi="Arial" w:cs="Arial"/>
                <w:b/>
                <w:bCs/>
                <w:sz w:val="22"/>
                <w:szCs w:val="22"/>
              </w:rPr>
            </w:pPr>
            <w:r>
              <w:rPr>
                <w:rFonts w:ascii="Arial" w:hAnsi="Arial" w:cs="Arial"/>
                <w:b/>
                <w:bCs/>
                <w:sz w:val="22"/>
                <w:szCs w:val="22"/>
              </w:rPr>
              <w:t xml:space="preserve">Bloque de Consumo </w:t>
            </w:r>
          </w:p>
        </w:tc>
        <w:tc>
          <w:tcPr>
            <w:tcW w:w="28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autoSpaceDE w:val="0"/>
              <w:jc w:val="center"/>
              <w:rPr>
                <w:rFonts w:ascii="Arial" w:hAnsi="Arial" w:cs="Arial"/>
                <w:b/>
                <w:bCs/>
                <w:sz w:val="22"/>
                <w:szCs w:val="22"/>
              </w:rPr>
            </w:pPr>
            <w:r>
              <w:rPr>
                <w:rFonts w:ascii="Arial" w:hAnsi="Arial" w:cs="Arial"/>
                <w:b/>
                <w:bCs/>
                <w:sz w:val="22"/>
                <w:szCs w:val="22"/>
              </w:rPr>
              <w:t>Importe</w:t>
            </w:r>
          </w:p>
        </w:tc>
      </w:tr>
      <w:tr w:rsidR="009B4233">
        <w:tblPrEx>
          <w:tblCellMar>
            <w:top w:w="0" w:type="dxa"/>
            <w:bottom w:w="0" w:type="dxa"/>
          </w:tblCellMar>
        </w:tblPrEx>
        <w:tc>
          <w:tcPr>
            <w:tcW w:w="28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autoSpaceDE w:val="0"/>
            </w:pPr>
            <w:r>
              <w:rPr>
                <w:rFonts w:ascii="Arial" w:hAnsi="Arial" w:cs="Arial"/>
                <w:sz w:val="22"/>
                <w:szCs w:val="22"/>
              </w:rPr>
              <w:t>Mínimo de 10 m3</w:t>
            </w:r>
          </w:p>
        </w:tc>
        <w:tc>
          <w:tcPr>
            <w:tcW w:w="28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autoSpaceDE w:val="0"/>
              <w:jc w:val="right"/>
            </w:pPr>
            <w:r>
              <w:rPr>
                <w:rFonts w:ascii="Arial" w:hAnsi="Arial" w:cs="Arial"/>
                <w:sz w:val="22"/>
                <w:szCs w:val="22"/>
              </w:rPr>
              <w:t>1,76  euros</w:t>
            </w:r>
          </w:p>
        </w:tc>
      </w:tr>
      <w:tr w:rsidR="009B4233">
        <w:tblPrEx>
          <w:tblCellMar>
            <w:top w:w="0" w:type="dxa"/>
            <w:bottom w:w="0" w:type="dxa"/>
          </w:tblCellMar>
        </w:tblPrEx>
        <w:tc>
          <w:tcPr>
            <w:tcW w:w="28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autoSpaceDE w:val="0"/>
            </w:pPr>
            <w:r>
              <w:rPr>
                <w:rFonts w:ascii="Arial" w:hAnsi="Arial" w:cs="Arial"/>
                <w:sz w:val="22"/>
                <w:szCs w:val="22"/>
              </w:rPr>
              <w:t>Mas de 10 m3</w:t>
            </w:r>
          </w:p>
        </w:tc>
        <w:tc>
          <w:tcPr>
            <w:tcW w:w="28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autoSpaceDE w:val="0"/>
              <w:jc w:val="right"/>
            </w:pPr>
            <w:r>
              <w:rPr>
                <w:rFonts w:ascii="Arial" w:hAnsi="Arial" w:cs="Arial"/>
                <w:sz w:val="22"/>
                <w:szCs w:val="22"/>
              </w:rPr>
              <w:t>0,176 euros/m3</w:t>
            </w:r>
          </w:p>
        </w:tc>
      </w:tr>
    </w:tbl>
    <w:p w:rsidR="009B4233" w:rsidRDefault="009B4233">
      <w:pPr>
        <w:pStyle w:val="Prrafodelista"/>
        <w:autoSpaceDE w:val="0"/>
        <w:spacing w:line="276" w:lineRule="auto"/>
        <w:ind w:left="2127"/>
        <w:jc w:val="both"/>
        <w:rPr>
          <w:rFonts w:ascii="Arial" w:hAnsi="Arial" w:cs="Arial"/>
          <w:sz w:val="22"/>
          <w:szCs w:val="22"/>
        </w:rPr>
      </w:pPr>
    </w:p>
    <w:p w:rsidR="009B4233" w:rsidRDefault="006B08B9">
      <w:pPr>
        <w:widowControl/>
        <w:suppressAutoHyphens w:val="0"/>
        <w:spacing w:after="120"/>
        <w:ind w:firstLine="1134"/>
        <w:jc w:val="both"/>
      </w:pPr>
      <w:r>
        <w:rPr>
          <w:rFonts w:ascii="Arial" w:eastAsia="Times New Roman" w:hAnsi="Arial" w:cs="Arial"/>
          <w:b/>
          <w:bCs/>
          <w:color w:val="000000"/>
          <w:sz w:val="22"/>
          <w:szCs w:val="22"/>
          <w:lang w:eastAsia="es-ES"/>
        </w:rPr>
        <w:t xml:space="preserve">2.- Consumo </w:t>
      </w:r>
      <w:r>
        <w:rPr>
          <w:rFonts w:ascii="Arial" w:eastAsia="Times New Roman" w:hAnsi="Arial" w:cs="Arial"/>
          <w:b/>
          <w:bCs/>
          <w:color w:val="000000"/>
          <w:sz w:val="22"/>
          <w:szCs w:val="22"/>
          <w:lang w:eastAsia="es-ES"/>
        </w:rPr>
        <w:t>Industrial</w:t>
      </w:r>
    </w:p>
    <w:p w:rsidR="009B4233" w:rsidRDefault="009B4233">
      <w:pPr>
        <w:pStyle w:val="Prrafodelista"/>
        <w:autoSpaceDE w:val="0"/>
        <w:spacing w:line="276" w:lineRule="auto"/>
        <w:ind w:left="2127"/>
        <w:jc w:val="both"/>
        <w:rPr>
          <w:rFonts w:ascii="Arial" w:hAnsi="Arial" w:cs="Arial"/>
          <w:sz w:val="22"/>
          <w:szCs w:val="22"/>
        </w:rPr>
      </w:pPr>
    </w:p>
    <w:tbl>
      <w:tblPr>
        <w:tblW w:w="9339" w:type="dxa"/>
        <w:tblInd w:w="96" w:type="dxa"/>
        <w:tblCellMar>
          <w:left w:w="10" w:type="dxa"/>
          <w:right w:w="10" w:type="dxa"/>
        </w:tblCellMar>
        <w:tblLook w:val="0000" w:firstRow="0" w:lastRow="0" w:firstColumn="0" w:lastColumn="0" w:noHBand="0" w:noVBand="0"/>
      </w:tblPr>
      <w:tblGrid>
        <w:gridCol w:w="2734"/>
        <w:gridCol w:w="3209"/>
        <w:gridCol w:w="3210"/>
        <w:gridCol w:w="186"/>
      </w:tblGrid>
      <w:tr w:rsidR="009B4233">
        <w:tblPrEx>
          <w:tblCellMar>
            <w:top w:w="0" w:type="dxa"/>
            <w:bottom w:w="0" w:type="dxa"/>
          </w:tblCellMar>
        </w:tblPrEx>
        <w:tc>
          <w:tcPr>
            <w:tcW w:w="2734" w:type="dxa"/>
            <w:shd w:val="clear" w:color="auto" w:fill="auto"/>
            <w:tcMar>
              <w:top w:w="0" w:type="dxa"/>
              <w:left w:w="10" w:type="dxa"/>
              <w:bottom w:w="0" w:type="dxa"/>
              <w:right w:w="10" w:type="dxa"/>
            </w:tcMar>
          </w:tcPr>
          <w:p w:rsidR="009B4233" w:rsidRDefault="009B4233">
            <w:pPr>
              <w:autoSpaceDE w:val="0"/>
              <w:spacing w:line="276" w:lineRule="auto"/>
              <w:jc w:val="both"/>
              <w:rPr>
                <w:rFonts w:ascii="Arial" w:hAnsi="Arial" w:cs="Arial"/>
                <w:b/>
                <w:bCs/>
                <w:sz w:val="22"/>
                <w:szCs w:val="22"/>
              </w:rPr>
            </w:pPr>
          </w:p>
        </w:tc>
        <w:tc>
          <w:tcPr>
            <w:tcW w:w="32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autoSpaceDE w:val="0"/>
              <w:spacing w:line="276" w:lineRule="auto"/>
              <w:jc w:val="both"/>
              <w:rPr>
                <w:rFonts w:ascii="Arial" w:hAnsi="Arial" w:cs="Arial"/>
                <w:b/>
                <w:bCs/>
                <w:sz w:val="22"/>
                <w:szCs w:val="22"/>
              </w:rPr>
            </w:pPr>
            <w:r>
              <w:rPr>
                <w:rFonts w:ascii="Arial" w:hAnsi="Arial" w:cs="Arial"/>
                <w:b/>
                <w:bCs/>
                <w:sz w:val="22"/>
                <w:szCs w:val="22"/>
              </w:rPr>
              <w:t xml:space="preserve">Bloque de Consumo </w:t>
            </w:r>
          </w:p>
        </w:tc>
        <w:tc>
          <w:tcPr>
            <w:tcW w:w="32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autoSpaceDE w:val="0"/>
              <w:jc w:val="center"/>
              <w:rPr>
                <w:rFonts w:ascii="Arial" w:hAnsi="Arial" w:cs="Arial"/>
                <w:b/>
                <w:bCs/>
                <w:sz w:val="22"/>
                <w:szCs w:val="22"/>
              </w:rPr>
            </w:pPr>
            <w:r>
              <w:rPr>
                <w:rFonts w:ascii="Arial" w:hAnsi="Arial" w:cs="Arial"/>
                <w:b/>
                <w:bCs/>
                <w:sz w:val="22"/>
                <w:szCs w:val="22"/>
              </w:rPr>
              <w:t>Importe</w:t>
            </w:r>
          </w:p>
        </w:tc>
        <w:tc>
          <w:tcPr>
            <w:tcW w:w="186" w:type="dxa"/>
            <w:shd w:val="clear" w:color="auto" w:fill="auto"/>
            <w:tcMar>
              <w:top w:w="0" w:type="dxa"/>
              <w:left w:w="10" w:type="dxa"/>
              <w:bottom w:w="0" w:type="dxa"/>
              <w:right w:w="10" w:type="dxa"/>
            </w:tcMar>
          </w:tcPr>
          <w:p w:rsidR="009B4233" w:rsidRDefault="009B4233">
            <w:pPr>
              <w:autoSpaceDE w:val="0"/>
              <w:jc w:val="center"/>
              <w:rPr>
                <w:rFonts w:ascii="Arial" w:hAnsi="Arial" w:cs="Arial"/>
                <w:b/>
                <w:bCs/>
                <w:sz w:val="22"/>
                <w:szCs w:val="22"/>
              </w:rPr>
            </w:pPr>
          </w:p>
        </w:tc>
      </w:tr>
      <w:tr w:rsidR="009B4233">
        <w:tblPrEx>
          <w:tblCellMar>
            <w:top w:w="0" w:type="dxa"/>
            <w:bottom w:w="0" w:type="dxa"/>
          </w:tblCellMar>
        </w:tblPrEx>
        <w:tc>
          <w:tcPr>
            <w:tcW w:w="2734" w:type="dxa"/>
            <w:shd w:val="clear" w:color="auto" w:fill="auto"/>
            <w:tcMar>
              <w:top w:w="0" w:type="dxa"/>
              <w:left w:w="10" w:type="dxa"/>
              <w:bottom w:w="0" w:type="dxa"/>
              <w:right w:w="10" w:type="dxa"/>
            </w:tcMar>
          </w:tcPr>
          <w:p w:rsidR="009B4233" w:rsidRDefault="009B4233">
            <w:pPr>
              <w:autoSpaceDE w:val="0"/>
            </w:pPr>
          </w:p>
        </w:tc>
        <w:tc>
          <w:tcPr>
            <w:tcW w:w="32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autoSpaceDE w:val="0"/>
            </w:pPr>
            <w:r>
              <w:rPr>
                <w:rFonts w:ascii="Arial" w:hAnsi="Arial" w:cs="Arial"/>
                <w:sz w:val="22"/>
                <w:szCs w:val="22"/>
              </w:rPr>
              <w:t>Mínimo de 10 m3</w:t>
            </w:r>
          </w:p>
        </w:tc>
        <w:tc>
          <w:tcPr>
            <w:tcW w:w="32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autoSpaceDE w:val="0"/>
              <w:jc w:val="right"/>
            </w:pPr>
            <w:r>
              <w:rPr>
                <w:rFonts w:ascii="Arial" w:hAnsi="Arial" w:cs="Arial"/>
                <w:sz w:val="22"/>
                <w:szCs w:val="22"/>
              </w:rPr>
              <w:t>2,02 euros</w:t>
            </w:r>
          </w:p>
        </w:tc>
        <w:tc>
          <w:tcPr>
            <w:tcW w:w="186" w:type="dxa"/>
            <w:shd w:val="clear" w:color="auto" w:fill="auto"/>
            <w:tcMar>
              <w:top w:w="0" w:type="dxa"/>
              <w:left w:w="10" w:type="dxa"/>
              <w:bottom w:w="0" w:type="dxa"/>
              <w:right w:w="10" w:type="dxa"/>
            </w:tcMar>
          </w:tcPr>
          <w:p w:rsidR="009B4233" w:rsidRDefault="009B4233">
            <w:pPr>
              <w:autoSpaceDE w:val="0"/>
              <w:jc w:val="right"/>
            </w:pPr>
          </w:p>
        </w:tc>
      </w:tr>
      <w:tr w:rsidR="009B4233">
        <w:tblPrEx>
          <w:tblCellMar>
            <w:top w:w="0" w:type="dxa"/>
            <w:bottom w:w="0" w:type="dxa"/>
          </w:tblCellMar>
        </w:tblPrEx>
        <w:tc>
          <w:tcPr>
            <w:tcW w:w="2734" w:type="dxa"/>
            <w:shd w:val="clear" w:color="auto" w:fill="auto"/>
            <w:tcMar>
              <w:top w:w="0" w:type="dxa"/>
              <w:left w:w="10" w:type="dxa"/>
              <w:bottom w:w="0" w:type="dxa"/>
              <w:right w:w="10" w:type="dxa"/>
            </w:tcMar>
          </w:tcPr>
          <w:p w:rsidR="009B4233" w:rsidRDefault="009B4233">
            <w:pPr>
              <w:autoSpaceDE w:val="0"/>
            </w:pPr>
          </w:p>
        </w:tc>
        <w:tc>
          <w:tcPr>
            <w:tcW w:w="32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autoSpaceDE w:val="0"/>
            </w:pPr>
            <w:r>
              <w:rPr>
                <w:rFonts w:ascii="Arial" w:hAnsi="Arial" w:cs="Arial"/>
                <w:sz w:val="22"/>
                <w:szCs w:val="22"/>
              </w:rPr>
              <w:t>Mas de 10 m3</w:t>
            </w:r>
          </w:p>
        </w:tc>
        <w:tc>
          <w:tcPr>
            <w:tcW w:w="32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autoSpaceDE w:val="0"/>
              <w:jc w:val="right"/>
            </w:pPr>
            <w:r>
              <w:rPr>
                <w:rFonts w:ascii="Arial" w:hAnsi="Arial" w:cs="Arial"/>
                <w:sz w:val="22"/>
                <w:szCs w:val="22"/>
              </w:rPr>
              <w:t>0,201 euros/m3</w:t>
            </w:r>
          </w:p>
        </w:tc>
        <w:tc>
          <w:tcPr>
            <w:tcW w:w="186" w:type="dxa"/>
            <w:shd w:val="clear" w:color="auto" w:fill="auto"/>
            <w:tcMar>
              <w:top w:w="0" w:type="dxa"/>
              <w:left w:w="10" w:type="dxa"/>
              <w:bottom w:w="0" w:type="dxa"/>
              <w:right w:w="10" w:type="dxa"/>
            </w:tcMar>
          </w:tcPr>
          <w:p w:rsidR="009B4233" w:rsidRDefault="009B4233">
            <w:pPr>
              <w:autoSpaceDE w:val="0"/>
              <w:jc w:val="right"/>
            </w:pPr>
          </w:p>
        </w:tc>
      </w:tr>
      <w:tr w:rsidR="009B4233">
        <w:tblPrEx>
          <w:tblCellMar>
            <w:top w:w="0" w:type="dxa"/>
            <w:bottom w:w="0" w:type="dxa"/>
          </w:tblCellMar>
        </w:tblPrEx>
        <w:tc>
          <w:tcPr>
            <w:tcW w:w="9339" w:type="dxa"/>
            <w:gridSpan w:val="4"/>
            <w:shd w:val="clear" w:color="auto" w:fill="auto"/>
            <w:tcMar>
              <w:top w:w="28" w:type="dxa"/>
              <w:left w:w="28" w:type="dxa"/>
              <w:bottom w:w="28" w:type="dxa"/>
              <w:right w:w="28" w:type="dxa"/>
            </w:tcMar>
          </w:tcPr>
          <w:p w:rsidR="009B4233" w:rsidRDefault="009B4233">
            <w:pPr>
              <w:widowControl/>
              <w:suppressAutoHyphens w:val="0"/>
              <w:rPr>
                <w:rFonts w:ascii="Arial" w:hAnsi="Arial" w:cs="Arial"/>
                <w:sz w:val="22"/>
                <w:szCs w:val="22"/>
              </w:rPr>
            </w:pPr>
          </w:p>
        </w:tc>
      </w:tr>
    </w:tbl>
    <w:p w:rsidR="009B4233" w:rsidRDefault="006B08B9">
      <w:pPr>
        <w:jc w:val="both"/>
      </w:pPr>
      <w:r>
        <w:rPr>
          <w:rFonts w:ascii="Arial" w:hAnsi="Arial" w:cs="Arial"/>
          <w:b/>
          <w:sz w:val="22"/>
          <w:szCs w:val="22"/>
        </w:rPr>
        <w:t>SEGUNDO:</w:t>
      </w:r>
      <w:r>
        <w:rPr>
          <w:rFonts w:ascii="Arial" w:hAnsi="Arial" w:cs="Arial"/>
          <w:sz w:val="22"/>
          <w:szCs w:val="22"/>
        </w:rPr>
        <w:t xml:space="preserve"> En la solicitud de revisión de tarifas de abastecimiento, acompañan el estudio económico real del ejercicio 2024, una vez auditada, donde </w:t>
      </w:r>
      <w:r>
        <w:rPr>
          <w:rFonts w:ascii="Arial" w:hAnsi="Arial" w:cs="Arial"/>
          <w:sz w:val="22"/>
          <w:szCs w:val="22"/>
        </w:rPr>
        <w:t xml:space="preserve">reflejan un déficit de 1.083.232 Euros, esto es, un 33,48 %, con unos gastos de 4.318.360 Euros y unos ingresos de 3.235.128 Euros. </w:t>
      </w:r>
    </w:p>
    <w:p w:rsidR="009B4233" w:rsidRDefault="009B4233">
      <w:pPr>
        <w:jc w:val="both"/>
        <w:rPr>
          <w:rFonts w:ascii="Arial" w:hAnsi="Arial" w:cs="Arial"/>
          <w:sz w:val="22"/>
          <w:szCs w:val="22"/>
        </w:rPr>
      </w:pPr>
    </w:p>
    <w:p w:rsidR="009B4233" w:rsidRDefault="006B08B9">
      <w:pPr>
        <w:jc w:val="both"/>
        <w:rPr>
          <w:rFonts w:ascii="Arial" w:hAnsi="Arial" w:cs="Arial"/>
          <w:sz w:val="22"/>
          <w:szCs w:val="22"/>
        </w:rPr>
      </w:pPr>
      <w:r>
        <w:rPr>
          <w:rFonts w:ascii="Arial" w:hAnsi="Arial" w:cs="Arial"/>
          <w:sz w:val="22"/>
          <w:szCs w:val="22"/>
        </w:rPr>
        <w:tab/>
        <w:t>El agua comprada ascendió a 3.025.442 m3, lo que supone un coste de 2.654.792 Euros, para un precio de 0,87749 €/m3. El a</w:t>
      </w:r>
      <w:r>
        <w:rPr>
          <w:rFonts w:ascii="Arial" w:hAnsi="Arial" w:cs="Arial"/>
          <w:sz w:val="22"/>
          <w:szCs w:val="22"/>
        </w:rPr>
        <w:t>gua suministrada ascendió a 2.912.895 m3 y la facturada a 2.056.854 m3, lo que supone unas pérdidas de agua del 29,4 %, es decir, unos 856.041 m3, valorados en 751.167,42 Euros.</w:t>
      </w:r>
    </w:p>
    <w:p w:rsidR="009B4233" w:rsidRDefault="009B4233">
      <w:pPr>
        <w:jc w:val="both"/>
        <w:rPr>
          <w:rFonts w:ascii="Arial" w:hAnsi="Arial" w:cs="Arial"/>
          <w:sz w:val="22"/>
          <w:szCs w:val="22"/>
        </w:rPr>
      </w:pPr>
    </w:p>
    <w:p w:rsidR="009B4233" w:rsidRDefault="006B08B9">
      <w:pPr>
        <w:jc w:val="both"/>
        <w:rPr>
          <w:rFonts w:ascii="Arial" w:hAnsi="Arial" w:cs="Arial"/>
          <w:sz w:val="22"/>
          <w:szCs w:val="22"/>
        </w:rPr>
      </w:pPr>
      <w:r>
        <w:rPr>
          <w:rFonts w:ascii="Arial" w:hAnsi="Arial" w:cs="Arial"/>
          <w:sz w:val="22"/>
          <w:szCs w:val="22"/>
        </w:rPr>
        <w:tab/>
        <w:t>Comparando los costes del ejercicio 2024, en relación a los costes auditados</w:t>
      </w:r>
      <w:r>
        <w:rPr>
          <w:rFonts w:ascii="Arial" w:hAnsi="Arial" w:cs="Arial"/>
          <w:sz w:val="22"/>
          <w:szCs w:val="22"/>
        </w:rPr>
        <w:t xml:space="preserve"> en el año 2023, se observan los siguientes aspectos más destacados:</w:t>
      </w:r>
    </w:p>
    <w:p w:rsidR="009B4233" w:rsidRDefault="009B4233">
      <w:pPr>
        <w:jc w:val="both"/>
        <w:rPr>
          <w:rFonts w:ascii="Arial" w:hAnsi="Arial" w:cs="Arial"/>
          <w:sz w:val="22"/>
          <w:szCs w:val="22"/>
        </w:rPr>
      </w:pPr>
    </w:p>
    <w:p w:rsidR="009B4233" w:rsidRDefault="006B08B9">
      <w:pPr>
        <w:numPr>
          <w:ilvl w:val="0"/>
          <w:numId w:val="49"/>
        </w:numPr>
        <w:jc w:val="both"/>
        <w:textAlignment w:val="auto"/>
        <w:rPr>
          <w:rFonts w:ascii="Arial" w:hAnsi="Arial" w:cs="Arial"/>
          <w:sz w:val="22"/>
          <w:szCs w:val="22"/>
        </w:rPr>
      </w:pPr>
      <w:r>
        <w:rPr>
          <w:rFonts w:ascii="Arial" w:hAnsi="Arial" w:cs="Arial"/>
          <w:sz w:val="22"/>
          <w:szCs w:val="22"/>
        </w:rPr>
        <w:t>El coste del agua comprada es superior al correspondiente al del ejercicio 2023 en un 5,5 %, unos 138.202 Euros.</w:t>
      </w:r>
    </w:p>
    <w:p w:rsidR="009B4233" w:rsidRDefault="006B08B9">
      <w:pPr>
        <w:numPr>
          <w:ilvl w:val="0"/>
          <w:numId w:val="49"/>
        </w:numPr>
        <w:jc w:val="both"/>
        <w:textAlignment w:val="auto"/>
        <w:rPr>
          <w:rFonts w:ascii="Arial" w:hAnsi="Arial" w:cs="Arial"/>
          <w:sz w:val="22"/>
          <w:szCs w:val="22"/>
        </w:rPr>
      </w:pPr>
      <w:r>
        <w:rPr>
          <w:rFonts w:ascii="Arial" w:hAnsi="Arial" w:cs="Arial"/>
          <w:sz w:val="22"/>
          <w:szCs w:val="22"/>
        </w:rPr>
        <w:t>El coste de los Trabajos de terceros, incluido dentro del epígrafe de los</w:t>
      </w:r>
      <w:r>
        <w:rPr>
          <w:rFonts w:ascii="Arial" w:hAnsi="Arial" w:cs="Arial"/>
          <w:sz w:val="22"/>
          <w:szCs w:val="22"/>
        </w:rPr>
        <w:t xml:space="preserve"> Aprovisionamientos, crece en un 50,8 %, unos 68.799 Euros.</w:t>
      </w:r>
    </w:p>
    <w:p w:rsidR="009B4233" w:rsidRDefault="006B08B9">
      <w:pPr>
        <w:numPr>
          <w:ilvl w:val="0"/>
          <w:numId w:val="49"/>
        </w:numPr>
        <w:jc w:val="both"/>
        <w:textAlignment w:val="auto"/>
        <w:rPr>
          <w:rFonts w:ascii="Arial" w:hAnsi="Arial" w:cs="Arial"/>
          <w:sz w:val="22"/>
          <w:szCs w:val="22"/>
        </w:rPr>
      </w:pPr>
      <w:r>
        <w:rPr>
          <w:rFonts w:ascii="Arial" w:hAnsi="Arial" w:cs="Arial"/>
          <w:sz w:val="22"/>
          <w:szCs w:val="22"/>
        </w:rPr>
        <w:t>Cae un 8 % los gastos en Servicios Exteriores, que asciende a 19.404 Euros</w:t>
      </w:r>
    </w:p>
    <w:p w:rsidR="009B4233" w:rsidRDefault="006B08B9">
      <w:pPr>
        <w:numPr>
          <w:ilvl w:val="0"/>
          <w:numId w:val="49"/>
        </w:numPr>
        <w:jc w:val="both"/>
        <w:textAlignment w:val="auto"/>
        <w:rPr>
          <w:rFonts w:ascii="Arial" w:hAnsi="Arial" w:cs="Arial"/>
          <w:sz w:val="22"/>
          <w:szCs w:val="22"/>
        </w:rPr>
      </w:pPr>
      <w:r>
        <w:rPr>
          <w:rFonts w:ascii="Arial" w:hAnsi="Arial" w:cs="Arial"/>
          <w:sz w:val="22"/>
          <w:szCs w:val="22"/>
        </w:rPr>
        <w:t>Cae un 1 % los costes de personal.</w:t>
      </w:r>
    </w:p>
    <w:p w:rsidR="009B4233" w:rsidRDefault="006B08B9">
      <w:pPr>
        <w:numPr>
          <w:ilvl w:val="0"/>
          <w:numId w:val="49"/>
        </w:numPr>
        <w:jc w:val="both"/>
        <w:textAlignment w:val="auto"/>
        <w:rPr>
          <w:rFonts w:ascii="Arial" w:hAnsi="Arial" w:cs="Arial"/>
          <w:sz w:val="22"/>
          <w:szCs w:val="22"/>
        </w:rPr>
      </w:pPr>
      <w:r>
        <w:rPr>
          <w:rFonts w:ascii="Arial" w:hAnsi="Arial" w:cs="Arial"/>
          <w:sz w:val="22"/>
          <w:szCs w:val="22"/>
        </w:rPr>
        <w:t>Sube un 27,5 % los costes de Amortización, unos 54.344 Euros.</w:t>
      </w:r>
    </w:p>
    <w:p w:rsidR="009B4233" w:rsidRDefault="006B08B9">
      <w:pPr>
        <w:numPr>
          <w:ilvl w:val="0"/>
          <w:numId w:val="49"/>
        </w:numPr>
        <w:jc w:val="both"/>
        <w:textAlignment w:val="auto"/>
        <w:rPr>
          <w:rFonts w:ascii="Arial" w:hAnsi="Arial" w:cs="Arial"/>
          <w:sz w:val="22"/>
          <w:szCs w:val="22"/>
        </w:rPr>
      </w:pPr>
      <w:r>
        <w:rPr>
          <w:rFonts w:ascii="Arial" w:hAnsi="Arial" w:cs="Arial"/>
          <w:sz w:val="22"/>
          <w:szCs w:val="22"/>
        </w:rPr>
        <w:t>Todo ello ha supuesto un</w:t>
      </w:r>
      <w:r>
        <w:rPr>
          <w:rFonts w:ascii="Arial" w:hAnsi="Arial" w:cs="Arial"/>
          <w:sz w:val="22"/>
          <w:szCs w:val="22"/>
        </w:rPr>
        <w:t>os gastos totales superiores a los correspondientes al del ejercicio 2023 en un 7 %, un total de 285.546 Euros.</w:t>
      </w:r>
    </w:p>
    <w:p w:rsidR="009B4233" w:rsidRDefault="009B4233">
      <w:pPr>
        <w:ind w:left="720"/>
        <w:jc w:val="both"/>
        <w:rPr>
          <w:rFonts w:ascii="Arial" w:hAnsi="Arial" w:cs="Arial"/>
          <w:sz w:val="22"/>
          <w:szCs w:val="22"/>
        </w:rPr>
      </w:pPr>
    </w:p>
    <w:p w:rsidR="009B4233" w:rsidRDefault="009B4233">
      <w:pPr>
        <w:jc w:val="both"/>
        <w:rPr>
          <w:rFonts w:ascii="Arial" w:hAnsi="Arial" w:cs="Arial"/>
          <w:sz w:val="22"/>
          <w:szCs w:val="22"/>
        </w:rPr>
      </w:pPr>
    </w:p>
    <w:p w:rsidR="009B4233" w:rsidRDefault="006B08B9">
      <w:pPr>
        <w:jc w:val="both"/>
        <w:rPr>
          <w:rFonts w:ascii="Arial" w:hAnsi="Arial" w:cs="Arial"/>
          <w:sz w:val="22"/>
          <w:szCs w:val="22"/>
        </w:rPr>
      </w:pPr>
      <w:r>
        <w:rPr>
          <w:rFonts w:ascii="Arial" w:hAnsi="Arial" w:cs="Arial"/>
          <w:sz w:val="22"/>
          <w:szCs w:val="22"/>
        </w:rPr>
        <w:tab/>
        <w:t xml:space="preserve">En cuanto a los ingresos, el volumen facturado asciende a 1.979.249 m3, sin contar el agua de consumo municipal, lo que supone unos ingresos </w:t>
      </w:r>
      <w:r>
        <w:rPr>
          <w:rFonts w:ascii="Arial" w:hAnsi="Arial" w:cs="Arial"/>
          <w:sz w:val="22"/>
          <w:szCs w:val="22"/>
        </w:rPr>
        <w:t>tarifarios de 3.202.795,03 Euros y no tarifarios, de 32.332,99 Euros. Lo ingresos tarifarios en el año 2023, fue de 3.215.806 Euros, un 0,5 % menos. No hubo ingresos no tarifarios en dicho ejercicio.</w:t>
      </w:r>
    </w:p>
    <w:p w:rsidR="009B4233" w:rsidRDefault="009B4233">
      <w:pPr>
        <w:jc w:val="both"/>
        <w:rPr>
          <w:rFonts w:ascii="Arial" w:hAnsi="Arial" w:cs="Arial"/>
          <w:sz w:val="22"/>
          <w:szCs w:val="22"/>
        </w:rPr>
      </w:pPr>
    </w:p>
    <w:p w:rsidR="009B4233" w:rsidRDefault="006B08B9">
      <w:pPr>
        <w:jc w:val="both"/>
      </w:pPr>
      <w:r>
        <w:rPr>
          <w:rFonts w:ascii="Arial" w:hAnsi="Arial" w:cs="Arial"/>
          <w:b/>
          <w:sz w:val="22"/>
          <w:szCs w:val="22"/>
        </w:rPr>
        <w:t>TERCERO:</w:t>
      </w:r>
      <w:r>
        <w:rPr>
          <w:rFonts w:ascii="Arial" w:hAnsi="Arial" w:cs="Arial"/>
          <w:sz w:val="22"/>
          <w:szCs w:val="22"/>
        </w:rPr>
        <w:t xml:space="preserve">  Presentan, para la revisión de las tarifas pa</w:t>
      </w:r>
      <w:r>
        <w:rPr>
          <w:rFonts w:ascii="Arial" w:hAnsi="Arial" w:cs="Arial"/>
          <w:sz w:val="22"/>
          <w:szCs w:val="22"/>
        </w:rPr>
        <w:t>ra el 2026, un estudio económico, donde reflejan, en relación a los costes reales auditados del ejercicio 2024:</w:t>
      </w:r>
    </w:p>
    <w:p w:rsidR="009B4233" w:rsidRDefault="009B4233">
      <w:pPr>
        <w:jc w:val="both"/>
        <w:rPr>
          <w:rFonts w:ascii="Arial" w:hAnsi="Arial" w:cs="Arial"/>
          <w:sz w:val="22"/>
          <w:szCs w:val="22"/>
        </w:rPr>
      </w:pPr>
    </w:p>
    <w:p w:rsidR="009B4233" w:rsidRDefault="006B08B9">
      <w:pPr>
        <w:numPr>
          <w:ilvl w:val="0"/>
          <w:numId w:val="50"/>
        </w:numPr>
        <w:jc w:val="both"/>
        <w:textAlignment w:val="auto"/>
      </w:pPr>
      <w:r>
        <w:rPr>
          <w:rFonts w:ascii="Arial" w:hAnsi="Arial" w:cs="Arial"/>
          <w:sz w:val="22"/>
          <w:szCs w:val="22"/>
        </w:rPr>
        <w:t xml:space="preserve">Una subida del 9,2 % por estimación de subida de salarios según nuevo Convenio Colectivo estatal del sector. </w:t>
      </w:r>
    </w:p>
    <w:p w:rsidR="009B4233" w:rsidRDefault="006B08B9">
      <w:pPr>
        <w:numPr>
          <w:ilvl w:val="0"/>
          <w:numId w:val="50"/>
        </w:numPr>
        <w:jc w:val="both"/>
        <w:textAlignment w:val="auto"/>
      </w:pPr>
      <w:r>
        <w:rPr>
          <w:rFonts w:ascii="Arial" w:hAnsi="Arial" w:cs="Arial"/>
          <w:sz w:val="22"/>
          <w:szCs w:val="22"/>
        </w:rPr>
        <w:t xml:space="preserve">Una subida del 5,4%, en el IPC </w:t>
      </w:r>
      <w:r>
        <w:rPr>
          <w:rFonts w:ascii="Arial" w:hAnsi="Arial" w:cs="Arial"/>
          <w:sz w:val="22"/>
          <w:szCs w:val="22"/>
        </w:rPr>
        <w:t>interanual de enero a de 2024 a enero de 2026, en varios conceptos tales como productos reactivos y químicos, trabajos a terceros, servicios bancarios, otros costes, primas de seguros, comunicaciones, arrendamientos. No obstante, este interventor, consider</w:t>
      </w:r>
      <w:r>
        <w:rPr>
          <w:rFonts w:ascii="Arial" w:hAnsi="Arial" w:cs="Arial"/>
          <w:sz w:val="22"/>
          <w:szCs w:val="22"/>
        </w:rPr>
        <w:t>a más adecuado, calcular la subida del IPC, una vez finalizado el ejercicio 2024, es decir, desde el 1 de enero de 2025 hasta una previsión hasta el 1 de enero de 2026 en Canarias, que asciende a un 2 % (actualmente está en el 1,6 %, calculado hasta julio)</w:t>
      </w:r>
    </w:p>
    <w:p w:rsidR="009B4233" w:rsidRDefault="006B08B9">
      <w:pPr>
        <w:numPr>
          <w:ilvl w:val="0"/>
          <w:numId w:val="50"/>
        </w:numPr>
        <w:jc w:val="both"/>
        <w:textAlignment w:val="auto"/>
      </w:pPr>
      <w:r>
        <w:rPr>
          <w:rFonts w:ascii="Arial" w:hAnsi="Arial" w:cs="Arial"/>
          <w:sz w:val="22"/>
          <w:szCs w:val="22"/>
        </w:rPr>
        <w:t xml:space="preserve">Una subida del 4,98 % en el precio medio del metro cúbico en compra de agua en alta soportada por el Servicio. </w:t>
      </w:r>
    </w:p>
    <w:p w:rsidR="009B4233" w:rsidRDefault="006B08B9">
      <w:pPr>
        <w:numPr>
          <w:ilvl w:val="0"/>
          <w:numId w:val="50"/>
        </w:numPr>
        <w:jc w:val="both"/>
        <w:textAlignment w:val="auto"/>
      </w:pPr>
      <w:r>
        <w:rPr>
          <w:rFonts w:ascii="Arial" w:hAnsi="Arial" w:cs="Arial"/>
          <w:sz w:val="22"/>
          <w:szCs w:val="22"/>
        </w:rPr>
        <w:t>Por el contrario, no experimentan subida alguna en energía, amortizaciones de explotación y gastos financieros, mientras que la subida más impo</w:t>
      </w:r>
      <w:r>
        <w:rPr>
          <w:rFonts w:ascii="Arial" w:hAnsi="Arial" w:cs="Arial"/>
          <w:sz w:val="22"/>
          <w:szCs w:val="22"/>
        </w:rPr>
        <w:t xml:space="preserve">rtante lo constituye, la dotación provisión para insolvencias, con un 25,6 %. </w:t>
      </w:r>
    </w:p>
    <w:p w:rsidR="009B4233" w:rsidRDefault="009B4233">
      <w:pPr>
        <w:jc w:val="both"/>
        <w:rPr>
          <w:rFonts w:ascii="Arial" w:hAnsi="Arial" w:cs="Arial"/>
          <w:b/>
          <w:bCs/>
          <w:sz w:val="22"/>
          <w:szCs w:val="22"/>
        </w:rPr>
      </w:pPr>
    </w:p>
    <w:p w:rsidR="009B4233" w:rsidRDefault="006B08B9">
      <w:pPr>
        <w:jc w:val="both"/>
      </w:pPr>
      <w:r>
        <w:rPr>
          <w:rFonts w:ascii="Arial" w:hAnsi="Arial" w:cs="Arial"/>
          <w:b/>
          <w:bCs/>
          <w:sz w:val="22"/>
          <w:szCs w:val="22"/>
        </w:rPr>
        <w:t>1.-</w:t>
      </w:r>
      <w:r>
        <w:rPr>
          <w:rFonts w:ascii="Arial" w:hAnsi="Arial" w:cs="Arial"/>
          <w:sz w:val="22"/>
          <w:szCs w:val="22"/>
        </w:rPr>
        <w:t xml:space="preserve"> Los Gastos de Aprovisionamiento, que representan el 73 por 100 del gasto total, son los gastos ordinarios incurridos durante la actividad cotidiana y habitual de la empresa</w:t>
      </w:r>
      <w:r>
        <w:rPr>
          <w:rFonts w:ascii="Arial" w:hAnsi="Arial" w:cs="Arial"/>
          <w:sz w:val="22"/>
          <w:szCs w:val="22"/>
        </w:rPr>
        <w:t>, consistente en el consumo regular en el tiempo de materias primas, adquisiciones de mercaderías, así como la contratación de los trabajos precisos para desarrollar el ciclo productivo, integra como componente más importante, la Compra Neta de Agua, que e</w:t>
      </w:r>
      <w:r>
        <w:rPr>
          <w:rFonts w:ascii="Arial" w:hAnsi="Arial" w:cs="Arial"/>
          <w:sz w:val="22"/>
          <w:szCs w:val="22"/>
        </w:rPr>
        <w:t>s el coste de adquisición del volumen de agua necesaria para el abastecimiento de la población del municipio, incluyendo los pases de tuberías y las reventas habituales por la operativa del servicio. No incluye el agua de propiedad municipal.</w:t>
      </w:r>
    </w:p>
    <w:p w:rsidR="009B4233" w:rsidRDefault="009B4233">
      <w:pPr>
        <w:jc w:val="both"/>
        <w:rPr>
          <w:rFonts w:ascii="Arial" w:hAnsi="Arial" w:cs="Arial"/>
          <w:sz w:val="22"/>
          <w:szCs w:val="22"/>
        </w:rPr>
      </w:pPr>
    </w:p>
    <w:p w:rsidR="009B4233" w:rsidRDefault="006B08B9">
      <w:pPr>
        <w:pStyle w:val="Textoindependiente"/>
        <w:ind w:firstLine="708"/>
        <w:jc w:val="both"/>
        <w:rPr>
          <w:rFonts w:cs="Arial"/>
          <w:szCs w:val="22"/>
        </w:rPr>
      </w:pPr>
      <w:r>
        <w:rPr>
          <w:rFonts w:cs="Arial"/>
          <w:szCs w:val="22"/>
        </w:rPr>
        <w:t>La partida d</w:t>
      </w:r>
      <w:r>
        <w:rPr>
          <w:rFonts w:cs="Arial"/>
          <w:szCs w:val="22"/>
        </w:rPr>
        <w:t>e compra de agua, que representa el 65 por 100 del coste total, asciende a un importe de 2.805.605,57 Euros (un 5,68 % más que en 2024), lo que supone un volumen de agua comprada que asciende a 2.912.642 m3, para un precio de 0,9633 €/m3, siendo el agua su</w:t>
      </w:r>
      <w:r>
        <w:rPr>
          <w:rFonts w:cs="Arial"/>
          <w:szCs w:val="22"/>
        </w:rPr>
        <w:t xml:space="preserve">ministrada 2.771.743 m3 y la facturada, 1.855.820 m3 (incluye 76.950 m3 de agua municipal). De estos datos extraemos los siguientes aspectos, en relación a los datos reales de 2024: </w:t>
      </w:r>
    </w:p>
    <w:p w:rsidR="009B4233" w:rsidRDefault="006B08B9">
      <w:pPr>
        <w:pStyle w:val="Textoindependiente"/>
        <w:numPr>
          <w:ilvl w:val="0"/>
          <w:numId w:val="50"/>
        </w:numPr>
        <w:jc w:val="both"/>
        <w:rPr>
          <w:rFonts w:cs="Arial"/>
          <w:szCs w:val="22"/>
        </w:rPr>
      </w:pPr>
      <w:r>
        <w:rPr>
          <w:rFonts w:cs="Arial"/>
          <w:szCs w:val="22"/>
        </w:rPr>
        <w:t>Un incremento en el precio del agua del 9,78 % y no del 4,98 % que reflej</w:t>
      </w:r>
      <w:r>
        <w:rPr>
          <w:rFonts w:cs="Arial"/>
          <w:szCs w:val="22"/>
        </w:rPr>
        <w:t>a la empresa.</w:t>
      </w:r>
    </w:p>
    <w:p w:rsidR="009B4233" w:rsidRDefault="006B08B9">
      <w:pPr>
        <w:pStyle w:val="Textoindependiente"/>
        <w:numPr>
          <w:ilvl w:val="0"/>
          <w:numId w:val="50"/>
        </w:numPr>
        <w:jc w:val="both"/>
        <w:rPr>
          <w:rFonts w:cs="Arial"/>
          <w:szCs w:val="22"/>
        </w:rPr>
      </w:pPr>
      <w:r>
        <w:rPr>
          <w:rFonts w:cs="Arial"/>
          <w:szCs w:val="22"/>
        </w:rPr>
        <w:t>Un exceso de agua comprada de 140.899 m3, valorados en 135.728,01 Euros.</w:t>
      </w:r>
    </w:p>
    <w:p w:rsidR="009B4233" w:rsidRDefault="006B08B9">
      <w:pPr>
        <w:pStyle w:val="Textoindependiente"/>
        <w:numPr>
          <w:ilvl w:val="0"/>
          <w:numId w:val="50"/>
        </w:numPr>
        <w:jc w:val="both"/>
        <w:rPr>
          <w:rFonts w:cs="Arial"/>
          <w:szCs w:val="22"/>
        </w:rPr>
      </w:pPr>
      <w:r>
        <w:rPr>
          <w:rFonts w:cs="Arial"/>
          <w:szCs w:val="22"/>
        </w:rPr>
        <w:t xml:space="preserve">Unas pérdidas de agua del 33 %, frente al 29,4 % del año 2024, que suponen un total de 915.923 m3, frente a los 856.041 m3 del año 2024, valorados en 882.308,63 Euros. </w:t>
      </w:r>
    </w:p>
    <w:p w:rsidR="009B4233" w:rsidRDefault="009B4233">
      <w:pPr>
        <w:pStyle w:val="Textoindependiente"/>
        <w:ind w:left="720"/>
        <w:jc w:val="both"/>
        <w:rPr>
          <w:rFonts w:cs="Arial"/>
          <w:szCs w:val="22"/>
        </w:rPr>
      </w:pPr>
    </w:p>
    <w:p w:rsidR="009B4233" w:rsidRDefault="006B08B9">
      <w:pPr>
        <w:pStyle w:val="Textoindependiente"/>
        <w:ind w:firstLine="708"/>
        <w:jc w:val="both"/>
        <w:rPr>
          <w:rFonts w:cs="Arial"/>
          <w:szCs w:val="22"/>
        </w:rPr>
      </w:pPr>
      <w:r>
        <w:rPr>
          <w:rFonts w:cs="Arial"/>
          <w:szCs w:val="22"/>
        </w:rPr>
        <w:t>Para obtener dicho importe, hay que tener en cuenta que el precio de la pipa de agua en el 2026, de acuerdo con los datos suministrados por la empresa, asciende a una media de 0,4624 €, y dado que la pipa tiene unos 0,48 m3, el precio del m3 asciende a 0,</w:t>
      </w:r>
      <w:r>
        <w:rPr>
          <w:rFonts w:cs="Arial"/>
          <w:szCs w:val="22"/>
        </w:rPr>
        <w:t>9633 €.</w:t>
      </w:r>
    </w:p>
    <w:p w:rsidR="009B4233" w:rsidRDefault="006B08B9">
      <w:pPr>
        <w:pStyle w:val="Textoindependiente"/>
        <w:jc w:val="both"/>
      </w:pPr>
      <w:r>
        <w:rPr>
          <w:rFonts w:cs="Arial"/>
          <w:b/>
          <w:szCs w:val="22"/>
        </w:rPr>
        <w:tab/>
      </w:r>
      <w:r>
        <w:rPr>
          <w:rFonts w:cs="Arial"/>
          <w:szCs w:val="22"/>
        </w:rPr>
        <w:t>La empresa Aqualia, para garantizar el suministro de agua durante todo el año, con independencia de la estacionalidad en la demanda, compra un volumen de agua mensual equivalente al punto máximo de demanda potencial, que se realiza mediante una re</w:t>
      </w:r>
      <w:r>
        <w:rPr>
          <w:rFonts w:cs="Arial"/>
          <w:szCs w:val="22"/>
        </w:rPr>
        <w:t>serva de un determinado volumen de agua en el Pozo de Chacorche, que se consume en los meses pico de demanda, no así en el resto del año, lo que supone una penalización de no usarse, por la parada que induce en el pozo, calculándose dicha penalización a un</w:t>
      </w:r>
      <w:r>
        <w:rPr>
          <w:rFonts w:cs="Arial"/>
          <w:szCs w:val="22"/>
        </w:rPr>
        <w:t xml:space="preserve"> coste menor que el de compra de agua, de haber sido incorporada al sistema de suministro. </w:t>
      </w:r>
    </w:p>
    <w:p w:rsidR="009B4233" w:rsidRDefault="006B08B9">
      <w:pPr>
        <w:jc w:val="both"/>
        <w:rPr>
          <w:rFonts w:ascii="Arial" w:hAnsi="Arial" w:cs="Arial"/>
          <w:sz w:val="22"/>
          <w:szCs w:val="22"/>
        </w:rPr>
      </w:pPr>
      <w:r>
        <w:rPr>
          <w:rFonts w:ascii="Arial" w:hAnsi="Arial" w:cs="Arial"/>
          <w:sz w:val="22"/>
          <w:szCs w:val="22"/>
        </w:rPr>
        <w:tab/>
        <w:t>No obstante, Aqualia realiza en ocasiones, operaciones que suponen menores costes económicos en la concesión, esto es, vender el excedente de agua, en los meses de</w:t>
      </w:r>
      <w:r>
        <w:rPr>
          <w:rFonts w:ascii="Arial" w:hAnsi="Arial" w:cs="Arial"/>
          <w:sz w:val="22"/>
          <w:szCs w:val="22"/>
        </w:rPr>
        <w:t xml:space="preserve"> baja demanda, a clientes privados, aunque su precio de venta está por debajo del precio de compra del agua del pozo y no imputar tales ingresos en el estudio económico al no estar vinculado a la prestación de servicios relacionados directa y necesariament</w:t>
      </w:r>
      <w:r>
        <w:rPr>
          <w:rFonts w:ascii="Arial" w:hAnsi="Arial" w:cs="Arial"/>
          <w:sz w:val="22"/>
          <w:szCs w:val="22"/>
        </w:rPr>
        <w:t>e con la concesión, por lo que no se utilizan para el cálculo del equilibrio tarifario de la concesión, ya que se trata de ingresos circunstanciales o puntuales, que no tienen que influir en la fijación de las tarifas para la autofinanciación del servicio,</w:t>
      </w:r>
      <w:r>
        <w:rPr>
          <w:rFonts w:ascii="Arial" w:hAnsi="Arial" w:cs="Arial"/>
          <w:sz w:val="22"/>
          <w:szCs w:val="22"/>
        </w:rPr>
        <w:t xml:space="preserve"> según criterio Comisión Territorial de Precios.</w:t>
      </w:r>
    </w:p>
    <w:p w:rsidR="009B4233" w:rsidRDefault="009B4233">
      <w:pPr>
        <w:ind w:firstLine="708"/>
        <w:jc w:val="both"/>
        <w:rPr>
          <w:rFonts w:ascii="Arial" w:hAnsi="Arial" w:cs="Arial"/>
          <w:bCs/>
          <w:sz w:val="22"/>
          <w:szCs w:val="22"/>
        </w:rPr>
      </w:pPr>
    </w:p>
    <w:p w:rsidR="009B4233" w:rsidRDefault="006B08B9">
      <w:pPr>
        <w:ind w:firstLine="708"/>
        <w:jc w:val="both"/>
      </w:pPr>
      <w:r>
        <w:rPr>
          <w:rFonts w:ascii="Arial" w:hAnsi="Arial" w:cs="Arial"/>
          <w:bCs/>
          <w:sz w:val="22"/>
          <w:szCs w:val="22"/>
        </w:rPr>
        <w:t>Asimismo, de acuerdo con el criterio de la Junta Provincial de Precios del Gobierno de Canarias, hay que eliminar la facturación del consumo municipal, dentro de la compra neta de agua, que asciende a 76.95</w:t>
      </w:r>
      <w:r>
        <w:rPr>
          <w:rFonts w:ascii="Arial" w:hAnsi="Arial" w:cs="Arial"/>
          <w:bCs/>
          <w:sz w:val="22"/>
          <w:szCs w:val="22"/>
        </w:rPr>
        <w:t xml:space="preserve">0 m3 y valorado en 70.886 Euros, ya que al reflejarse en el contrato de concesión, la gratuidad de este consumo, debería ser a costa del beneficio industrial del concesionario y no cargar su coste a los usuarios del servicio a través de las tarifas. </w:t>
      </w:r>
    </w:p>
    <w:p w:rsidR="009B4233" w:rsidRDefault="009B4233">
      <w:pPr>
        <w:pStyle w:val="Textoindependiente"/>
        <w:ind w:firstLine="708"/>
        <w:jc w:val="both"/>
        <w:rPr>
          <w:rFonts w:cs="Arial"/>
          <w:szCs w:val="22"/>
        </w:rPr>
      </w:pPr>
    </w:p>
    <w:p w:rsidR="009B4233" w:rsidRDefault="006B08B9">
      <w:pPr>
        <w:pStyle w:val="Textoindependiente"/>
        <w:jc w:val="both"/>
        <w:rPr>
          <w:rFonts w:cs="Arial"/>
          <w:szCs w:val="22"/>
        </w:rPr>
      </w:pPr>
      <w:r>
        <w:rPr>
          <w:rFonts w:cs="Arial"/>
          <w:szCs w:val="22"/>
        </w:rPr>
        <w:tab/>
        <w:t xml:space="preserve">En </w:t>
      </w:r>
      <w:r>
        <w:rPr>
          <w:rFonts w:cs="Arial"/>
          <w:szCs w:val="22"/>
        </w:rPr>
        <w:t>este sentido, a pesar que el Juzgado de lo Contencioso Administrativo, en sentencia dictada, que obliga al Ayuntamiento de Candelaria a abonar la cantidad de 294.546,00 Euros y 87.482 Euros, para compensar del desequilibrio económico de la concesión del se</w:t>
      </w:r>
      <w:r>
        <w:rPr>
          <w:rFonts w:cs="Arial"/>
          <w:szCs w:val="22"/>
        </w:rPr>
        <w:t>rvicio municipal de abastecimiento y saneamiento de agua, desde el periodo de 1 de mayo de 2007 a 30 de abril de 2008 y del 1 de mayo hasta el 31 de diciembre de 2008, respectivamente, señala que “la gratuidad del servicio fue una mejora que se incorporó a</w:t>
      </w:r>
      <w:r>
        <w:rPr>
          <w:rFonts w:cs="Arial"/>
          <w:szCs w:val="22"/>
        </w:rPr>
        <w:t>l contrato, pero no impide su consideración como un coste sin ingreso alguno que puede privar al concesionario del derecho a obtener beneficios por coherencia con sus propios actos, pero el mantenimiento del equilibrio entre ingresos y gastos ha de ser gar</w:t>
      </w:r>
      <w:r>
        <w:rPr>
          <w:rFonts w:cs="Arial"/>
          <w:szCs w:val="22"/>
        </w:rPr>
        <w:t>antizado por el Ayuntamiento teniendo en cuenta esta cláusula del contrato.</w:t>
      </w:r>
    </w:p>
    <w:p w:rsidR="009B4233" w:rsidRDefault="006B08B9">
      <w:pPr>
        <w:pStyle w:val="Textoindependiente"/>
        <w:jc w:val="both"/>
        <w:rPr>
          <w:rFonts w:cs="Arial"/>
          <w:szCs w:val="22"/>
        </w:rPr>
      </w:pPr>
      <w:r>
        <w:rPr>
          <w:rFonts w:cs="Arial"/>
          <w:szCs w:val="22"/>
        </w:rPr>
        <w:tab/>
        <w:t>Sin embargo, en sentencia posterior de fecha 6 de noviembre de 2012, por el cual declara que el déficit obtenido en el año 2009 asciende a 510.117 Euros, se aparta de las consider</w:t>
      </w:r>
      <w:r>
        <w:rPr>
          <w:rFonts w:cs="Arial"/>
          <w:szCs w:val="22"/>
        </w:rPr>
        <w:t>aciones realizadas anteriormente y se aclara que la mejora consistente en la no facturación del consumo municipal, está excluida de los costes del servicio, es decir, no se incluye como costes del servicio el precio de adquisición de agua por suministrarse</w:t>
      </w:r>
      <w:r>
        <w:rPr>
          <w:rFonts w:cs="Arial"/>
          <w:szCs w:val="22"/>
        </w:rPr>
        <w:t xml:space="preserve"> gratuitamente al Ayuntamiento.</w:t>
      </w:r>
    </w:p>
    <w:p w:rsidR="009B4233" w:rsidRDefault="006B08B9">
      <w:pPr>
        <w:pStyle w:val="Textoindependiente"/>
        <w:jc w:val="both"/>
        <w:rPr>
          <w:rFonts w:cs="Arial"/>
          <w:szCs w:val="22"/>
        </w:rPr>
      </w:pPr>
      <w:r>
        <w:rPr>
          <w:rFonts w:cs="Arial"/>
          <w:szCs w:val="22"/>
        </w:rPr>
        <w:tab/>
        <w:t>Ello es así, porque la determinación de la empresa Aqualia de la gratuidad de la totalidad del consumo municipal en su estructura de costes, además de otros conceptos, fue determinante para resultar ser adjudicataria del se</w:t>
      </w:r>
      <w:r>
        <w:rPr>
          <w:rFonts w:cs="Arial"/>
          <w:szCs w:val="22"/>
        </w:rPr>
        <w:t>rvicio, en perjuicio de otras empresas licitantes, por lo que no puede trasladarse a los clientes del servicio, el coste del consumo del agua municipal.</w:t>
      </w:r>
    </w:p>
    <w:p w:rsidR="009B4233" w:rsidRDefault="006B08B9">
      <w:pPr>
        <w:pStyle w:val="Textoindependiente"/>
        <w:jc w:val="both"/>
      </w:pPr>
      <w:r>
        <w:rPr>
          <w:rFonts w:cs="Arial"/>
          <w:szCs w:val="22"/>
        </w:rPr>
        <w:tab/>
        <w:t>En el beneficio industrial, al amparo de la última sentencia dictada, se ha tenido en cuenta el agua d</w:t>
      </w:r>
      <w:r>
        <w:rPr>
          <w:rFonts w:cs="Arial"/>
          <w:szCs w:val="22"/>
        </w:rPr>
        <w:t>e consumo municipal, después de señalar que “</w:t>
      </w:r>
      <w:r>
        <w:rPr>
          <w:rFonts w:cs="Arial"/>
          <w:i/>
          <w:szCs w:val="22"/>
        </w:rPr>
        <w:t>Expresamente se ha aclarado que la mejora consistente en la no facturación del consumo municipal (calculado según contadores y precios medios del agua de que dispone el concesionario) está excluida de los costes</w:t>
      </w:r>
      <w:r>
        <w:rPr>
          <w:rFonts w:cs="Arial"/>
          <w:i/>
          <w:szCs w:val="22"/>
        </w:rPr>
        <w:t xml:space="preserve"> del servicio, es decir, no se incluye como costes del servicio el precio de la adquisición del agua por suministrase gratuitamente al Ayuntamiento según lo pactado en el origen de la concesión. El agua suministrada a la Administración demandada está exclu</w:t>
      </w:r>
      <w:r>
        <w:rPr>
          <w:rFonts w:cs="Arial"/>
          <w:i/>
          <w:szCs w:val="22"/>
        </w:rPr>
        <w:t xml:space="preserve">ida del coste del servicio, según estimación clara y tajante del perito y sin calcular este coste se produce el desequilibrio litigioso”, </w:t>
      </w:r>
      <w:r>
        <w:rPr>
          <w:rFonts w:cs="Arial"/>
          <w:szCs w:val="22"/>
        </w:rPr>
        <w:t>introduce una novedad al indicar que “</w:t>
      </w:r>
      <w:r>
        <w:rPr>
          <w:rFonts w:cs="Arial"/>
          <w:i/>
          <w:szCs w:val="22"/>
        </w:rPr>
        <w:t>la mejora consiste en no tarifar y por tanto, en no obtener lucro del agua sumin</w:t>
      </w:r>
      <w:r>
        <w:rPr>
          <w:rFonts w:cs="Arial"/>
          <w:i/>
          <w:szCs w:val="22"/>
        </w:rPr>
        <w:t>istrada a la Administración demandada. Pero no se ha previsto excluirla de los costes sobre los que se calcula el beneficio industrial.”</w:t>
      </w:r>
    </w:p>
    <w:p w:rsidR="009B4233" w:rsidRDefault="006B08B9">
      <w:pPr>
        <w:pStyle w:val="Textoindependiente"/>
        <w:jc w:val="both"/>
      </w:pPr>
      <w:r>
        <w:rPr>
          <w:rFonts w:cs="Arial"/>
          <w:szCs w:val="22"/>
        </w:rPr>
        <w:tab/>
        <w:t>Por ello, teniendo en cuenta que la partida de compra neta de agua, que asciende a 2.805.605,57 Euros (2.654.792 Euros</w:t>
      </w:r>
      <w:r>
        <w:rPr>
          <w:rFonts w:cs="Arial"/>
          <w:szCs w:val="22"/>
        </w:rPr>
        <w:t>, en el año 2024, según informe de auditoría), hay que detraer,</w:t>
      </w:r>
      <w:r>
        <w:rPr>
          <w:rFonts w:cs="Arial"/>
          <w:bCs/>
          <w:szCs w:val="22"/>
        </w:rPr>
        <w:t xml:space="preserve"> 74.125,94 Euros, resultante de un volumen de 76.950 m3 consumido, según información facilitada por la empresa y multiplicado por el precio por m3, que asciende a </w:t>
      </w:r>
      <w:r>
        <w:rPr>
          <w:rFonts w:cs="Arial"/>
          <w:szCs w:val="22"/>
        </w:rPr>
        <w:t xml:space="preserve">0,9633 </w:t>
      </w:r>
      <w:r>
        <w:rPr>
          <w:rFonts w:cs="Arial"/>
          <w:bCs/>
          <w:szCs w:val="22"/>
        </w:rPr>
        <w:t xml:space="preserve">€/m3, tenemos un coste </w:t>
      </w:r>
      <w:r>
        <w:rPr>
          <w:rFonts w:cs="Arial"/>
          <w:bCs/>
          <w:szCs w:val="22"/>
        </w:rPr>
        <w:t>por este concepto de 2.731.479,64 Euros.</w:t>
      </w:r>
    </w:p>
    <w:p w:rsidR="009B4233" w:rsidRDefault="006B08B9">
      <w:pPr>
        <w:pStyle w:val="Textoindependiente"/>
        <w:ind w:firstLine="708"/>
        <w:jc w:val="both"/>
        <w:rPr>
          <w:rFonts w:cs="Arial"/>
          <w:szCs w:val="22"/>
        </w:rPr>
      </w:pPr>
      <w:r>
        <w:rPr>
          <w:rFonts w:cs="Arial"/>
          <w:szCs w:val="22"/>
        </w:rPr>
        <w:t>Por tanto, hemos pasado de un volumen facturado de 2.056.884 m3, un volumen suministrado de 2.912.895 m3 y comprado de 3.025.442 m3, en el año 2024, conforme datos que han sido auditados, a una estimación para el ej</w:t>
      </w:r>
      <w:r>
        <w:rPr>
          <w:rFonts w:cs="Arial"/>
          <w:szCs w:val="22"/>
        </w:rPr>
        <w:t>ercicio 2026, de un volumen a facturar de 1.855.820 m3, un volumen a suministrar de 2.771.743 m3 y una cantidad a comprar de 2.912.642 m3.</w:t>
      </w:r>
    </w:p>
    <w:p w:rsidR="009B4233" w:rsidRDefault="009B4233">
      <w:pPr>
        <w:pStyle w:val="Textoindependiente"/>
        <w:jc w:val="both"/>
        <w:rPr>
          <w:rFonts w:cs="Arial"/>
          <w:szCs w:val="22"/>
        </w:rPr>
      </w:pPr>
    </w:p>
    <w:p w:rsidR="009B4233" w:rsidRDefault="006B08B9">
      <w:pPr>
        <w:pStyle w:val="Textoindependiente"/>
        <w:jc w:val="both"/>
      </w:pPr>
      <w:r>
        <w:rPr>
          <w:rFonts w:cs="Arial"/>
          <w:b/>
          <w:bCs/>
          <w:szCs w:val="22"/>
        </w:rPr>
        <w:t xml:space="preserve">2.- </w:t>
      </w:r>
      <w:r>
        <w:rPr>
          <w:rFonts w:cs="Arial"/>
          <w:szCs w:val="22"/>
        </w:rPr>
        <w:t>El resto de previsiones de los Gastos de Aprovisionamiento, integra los siguientes elementos de coste, ascendien</w:t>
      </w:r>
      <w:r>
        <w:rPr>
          <w:rFonts w:cs="Arial"/>
          <w:szCs w:val="22"/>
        </w:rPr>
        <w:t>do a 342.804,27 Euros (336.034 Euros en año 2024, último ejercicio auditado), una vez practicada la subida del 2 %:</w:t>
      </w:r>
    </w:p>
    <w:p w:rsidR="009B4233" w:rsidRDefault="006B08B9">
      <w:pPr>
        <w:widowControl/>
        <w:numPr>
          <w:ilvl w:val="1"/>
          <w:numId w:val="51"/>
        </w:numPr>
        <w:jc w:val="both"/>
        <w:textAlignment w:val="auto"/>
        <w:rPr>
          <w:rFonts w:ascii="Arial" w:hAnsi="Arial" w:cs="Arial"/>
          <w:sz w:val="22"/>
          <w:szCs w:val="22"/>
        </w:rPr>
      </w:pPr>
      <w:r>
        <w:rPr>
          <w:rFonts w:ascii="Arial" w:hAnsi="Arial" w:cs="Arial"/>
          <w:sz w:val="22"/>
          <w:szCs w:val="22"/>
        </w:rPr>
        <w:t>Energía: gasto habitual de recursos energéticos para el funcionamiento ordinario de la empresa, asciende a 3.080,40 Euros.</w:t>
      </w:r>
    </w:p>
    <w:p w:rsidR="009B4233" w:rsidRDefault="006B08B9">
      <w:pPr>
        <w:widowControl/>
        <w:numPr>
          <w:ilvl w:val="1"/>
          <w:numId w:val="51"/>
        </w:numPr>
        <w:jc w:val="both"/>
        <w:textAlignment w:val="auto"/>
        <w:rPr>
          <w:rFonts w:ascii="Arial" w:hAnsi="Arial" w:cs="Arial"/>
          <w:sz w:val="22"/>
          <w:szCs w:val="22"/>
        </w:rPr>
      </w:pPr>
      <w:r>
        <w:rPr>
          <w:rFonts w:ascii="Arial" w:hAnsi="Arial" w:cs="Arial"/>
          <w:sz w:val="22"/>
          <w:szCs w:val="22"/>
        </w:rPr>
        <w:t>Productos Químico</w:t>
      </w:r>
      <w:r>
        <w:rPr>
          <w:rFonts w:ascii="Arial" w:hAnsi="Arial" w:cs="Arial"/>
          <w:sz w:val="22"/>
          <w:szCs w:val="22"/>
        </w:rPr>
        <w:t>s y Reactivos: gasto por adquisición de productos químicos y reactivos necesario para garantizar el tratamiento de aguas de conformidad con la normativa vigente, se eleva a 17.968,32 Euros.</w:t>
      </w:r>
    </w:p>
    <w:p w:rsidR="009B4233" w:rsidRDefault="006B08B9">
      <w:pPr>
        <w:widowControl/>
        <w:numPr>
          <w:ilvl w:val="1"/>
          <w:numId w:val="51"/>
        </w:numPr>
        <w:jc w:val="both"/>
        <w:textAlignment w:val="auto"/>
        <w:rPr>
          <w:rFonts w:ascii="Arial" w:hAnsi="Arial" w:cs="Arial"/>
          <w:sz w:val="22"/>
          <w:szCs w:val="22"/>
        </w:rPr>
      </w:pPr>
      <w:r>
        <w:rPr>
          <w:rFonts w:ascii="Arial" w:hAnsi="Arial" w:cs="Arial"/>
          <w:sz w:val="22"/>
          <w:szCs w:val="22"/>
        </w:rPr>
        <w:t>Materiales y Repuestos, gasto por aprovisionamiento de consumibles</w:t>
      </w:r>
      <w:r>
        <w:rPr>
          <w:rFonts w:ascii="Arial" w:hAnsi="Arial" w:cs="Arial"/>
          <w:sz w:val="22"/>
          <w:szCs w:val="22"/>
        </w:rPr>
        <w:t xml:space="preserve"> necesarios para desarrollar las operaciones corrientes de abastecimiento y saneamiento, tales como piezas de reparaciones de equipos o maquinaria o para el mantenimiento de la red de distribución y alcantarillado., eliminándose la compra de contadores, da</w:t>
      </w:r>
      <w:r>
        <w:rPr>
          <w:rFonts w:ascii="Arial" w:hAnsi="Arial" w:cs="Arial"/>
          <w:sz w:val="22"/>
          <w:szCs w:val="22"/>
        </w:rPr>
        <w:t>da su naturaleza circunstancial y demás costes de obra no concesional a clientes privados, importa 112.402,98 Euros.</w:t>
      </w:r>
    </w:p>
    <w:p w:rsidR="009B4233" w:rsidRDefault="006B08B9">
      <w:pPr>
        <w:widowControl/>
        <w:numPr>
          <w:ilvl w:val="1"/>
          <w:numId w:val="51"/>
        </w:numPr>
        <w:jc w:val="both"/>
        <w:textAlignment w:val="auto"/>
        <w:rPr>
          <w:rFonts w:ascii="Arial" w:hAnsi="Arial" w:cs="Arial"/>
          <w:sz w:val="22"/>
          <w:szCs w:val="22"/>
        </w:rPr>
      </w:pPr>
      <w:r>
        <w:rPr>
          <w:rFonts w:ascii="Arial" w:hAnsi="Arial" w:cs="Arial"/>
          <w:sz w:val="22"/>
          <w:szCs w:val="22"/>
        </w:rPr>
        <w:t>Trabajos de Terceros: gastos por la prestación de servicios que se contratan a otras empresas, correspondientes a la operativa principal de</w:t>
      </w:r>
      <w:r>
        <w:rPr>
          <w:rFonts w:ascii="Arial" w:hAnsi="Arial" w:cs="Arial"/>
          <w:sz w:val="22"/>
          <w:szCs w:val="22"/>
        </w:rPr>
        <w:t xml:space="preserve"> la empresa, se eleva a 208.360,50 Euros (215.242,62 previsto para 2026).</w:t>
      </w:r>
    </w:p>
    <w:p w:rsidR="009B4233" w:rsidRDefault="006B08B9">
      <w:pPr>
        <w:widowControl/>
        <w:numPr>
          <w:ilvl w:val="1"/>
          <w:numId w:val="51"/>
        </w:numPr>
        <w:jc w:val="both"/>
        <w:textAlignment w:val="auto"/>
        <w:rPr>
          <w:rFonts w:ascii="Arial" w:hAnsi="Arial" w:cs="Arial"/>
          <w:sz w:val="22"/>
          <w:szCs w:val="22"/>
        </w:rPr>
      </w:pPr>
      <w:r>
        <w:rPr>
          <w:rFonts w:ascii="Arial" w:hAnsi="Arial" w:cs="Arial"/>
          <w:sz w:val="22"/>
          <w:szCs w:val="22"/>
        </w:rPr>
        <w:t>Material de Oficina: gasto de material fungible necesario para desarrollar la operativa habitual del servicio, importa un coste de 992,07 Euros.</w:t>
      </w:r>
    </w:p>
    <w:p w:rsidR="009B4233" w:rsidRDefault="009B4233">
      <w:pPr>
        <w:pStyle w:val="Textoindependiente"/>
        <w:jc w:val="both"/>
        <w:rPr>
          <w:rFonts w:cs="Arial"/>
          <w:szCs w:val="22"/>
        </w:rPr>
      </w:pPr>
    </w:p>
    <w:p w:rsidR="009B4233" w:rsidRDefault="006B08B9">
      <w:pPr>
        <w:jc w:val="both"/>
      </w:pPr>
      <w:r>
        <w:rPr>
          <w:rFonts w:ascii="Arial" w:hAnsi="Arial" w:cs="Arial"/>
          <w:b/>
          <w:bCs/>
          <w:sz w:val="22"/>
          <w:szCs w:val="22"/>
        </w:rPr>
        <w:t xml:space="preserve">3.- </w:t>
      </w:r>
      <w:r>
        <w:rPr>
          <w:rFonts w:ascii="Arial" w:hAnsi="Arial" w:cs="Arial"/>
          <w:sz w:val="22"/>
          <w:szCs w:val="22"/>
        </w:rPr>
        <w:t>En cuanto a las previsiones de l</w:t>
      </w:r>
      <w:r>
        <w:rPr>
          <w:rFonts w:ascii="Arial" w:hAnsi="Arial" w:cs="Arial"/>
          <w:sz w:val="22"/>
          <w:szCs w:val="22"/>
        </w:rPr>
        <w:t>os Gastos por Servicios Exteriores, que son los que la empresa ha tenido que incurrir para contribuir en el funcionamiento habitual de la operativa central del negocio, integra las siguientes partidas, valoradas en 221.298,18 Euros (en el año 2024, importa</w:t>
      </w:r>
      <w:r>
        <w:rPr>
          <w:rFonts w:ascii="Arial" w:hAnsi="Arial" w:cs="Arial"/>
          <w:sz w:val="22"/>
          <w:szCs w:val="22"/>
        </w:rPr>
        <w:t>ron la cantidad de 216.959 Euros), frente a la subida solicitada de 228.607,73 Euros:</w:t>
      </w:r>
    </w:p>
    <w:p w:rsidR="009B4233" w:rsidRDefault="009B4233">
      <w:pPr>
        <w:jc w:val="both"/>
        <w:rPr>
          <w:rFonts w:ascii="Arial" w:hAnsi="Arial" w:cs="Arial"/>
          <w:sz w:val="22"/>
          <w:szCs w:val="22"/>
        </w:rPr>
      </w:pPr>
    </w:p>
    <w:p w:rsidR="009B4233" w:rsidRDefault="006B08B9">
      <w:pPr>
        <w:widowControl/>
        <w:numPr>
          <w:ilvl w:val="1"/>
          <w:numId w:val="51"/>
        </w:numPr>
        <w:jc w:val="both"/>
        <w:textAlignment w:val="auto"/>
        <w:rPr>
          <w:rFonts w:ascii="Arial" w:hAnsi="Arial" w:cs="Arial"/>
          <w:sz w:val="22"/>
          <w:szCs w:val="22"/>
        </w:rPr>
      </w:pPr>
      <w:r>
        <w:rPr>
          <w:rFonts w:ascii="Arial" w:hAnsi="Arial" w:cs="Arial"/>
          <w:sz w:val="22"/>
          <w:szCs w:val="22"/>
        </w:rPr>
        <w:t>Arrendamientos: Gastos de alquileres en las oficinas de la empresa y las operaciones de leasing/renting, que importa la cantidad de 53.132,82 Euros.</w:t>
      </w:r>
    </w:p>
    <w:p w:rsidR="009B4233" w:rsidRDefault="006B08B9">
      <w:pPr>
        <w:widowControl/>
        <w:numPr>
          <w:ilvl w:val="1"/>
          <w:numId w:val="51"/>
        </w:numPr>
        <w:jc w:val="both"/>
        <w:textAlignment w:val="auto"/>
        <w:rPr>
          <w:rFonts w:ascii="Arial" w:hAnsi="Arial" w:cs="Arial"/>
          <w:sz w:val="22"/>
          <w:szCs w:val="22"/>
        </w:rPr>
      </w:pPr>
      <w:r>
        <w:rPr>
          <w:rFonts w:ascii="Arial" w:hAnsi="Arial" w:cs="Arial"/>
          <w:sz w:val="22"/>
          <w:szCs w:val="22"/>
        </w:rPr>
        <w:t>Comunicaciones: Gast</w:t>
      </w:r>
      <w:r>
        <w:rPr>
          <w:rFonts w:ascii="Arial" w:hAnsi="Arial" w:cs="Arial"/>
          <w:sz w:val="22"/>
          <w:szCs w:val="22"/>
        </w:rPr>
        <w:t>os de comunicaciones de voz, datos o envíos postales, asciende a 46.338,60 Euros.</w:t>
      </w:r>
    </w:p>
    <w:p w:rsidR="009B4233" w:rsidRDefault="006B08B9">
      <w:pPr>
        <w:widowControl/>
        <w:numPr>
          <w:ilvl w:val="1"/>
          <w:numId w:val="51"/>
        </w:numPr>
        <w:jc w:val="both"/>
        <w:textAlignment w:val="auto"/>
        <w:rPr>
          <w:rFonts w:ascii="Arial" w:hAnsi="Arial" w:cs="Arial"/>
          <w:sz w:val="22"/>
          <w:szCs w:val="22"/>
        </w:rPr>
      </w:pPr>
      <w:r>
        <w:rPr>
          <w:rFonts w:ascii="Arial" w:hAnsi="Arial" w:cs="Arial"/>
          <w:sz w:val="22"/>
          <w:szCs w:val="22"/>
        </w:rPr>
        <w:t>Primas de Seguros: excluidas las relativas al personal, que incluye vehículos y un reparto del coste por unidades de negocios, se eleva a 14.066,82 Euros.</w:t>
      </w:r>
    </w:p>
    <w:p w:rsidR="009B4233" w:rsidRDefault="006B08B9">
      <w:pPr>
        <w:widowControl/>
        <w:numPr>
          <w:ilvl w:val="1"/>
          <w:numId w:val="51"/>
        </w:numPr>
        <w:jc w:val="both"/>
        <w:textAlignment w:val="auto"/>
        <w:rPr>
          <w:rFonts w:ascii="Arial" w:hAnsi="Arial" w:cs="Arial"/>
          <w:sz w:val="22"/>
          <w:szCs w:val="22"/>
        </w:rPr>
      </w:pPr>
      <w:r>
        <w:rPr>
          <w:rFonts w:ascii="Arial" w:hAnsi="Arial" w:cs="Arial"/>
          <w:sz w:val="22"/>
          <w:szCs w:val="22"/>
        </w:rPr>
        <w:t>Servicios Bancarios</w:t>
      </w:r>
      <w:r>
        <w:rPr>
          <w:rFonts w:ascii="Arial" w:hAnsi="Arial" w:cs="Arial"/>
          <w:sz w:val="22"/>
          <w:szCs w:val="22"/>
        </w:rPr>
        <w:t xml:space="preserve">: gastos de funcionamiento bancario y comisiones soportadas que se eleva a 7.388,88 Euros. </w:t>
      </w:r>
    </w:p>
    <w:p w:rsidR="009B4233" w:rsidRDefault="006B08B9">
      <w:pPr>
        <w:widowControl/>
        <w:numPr>
          <w:ilvl w:val="1"/>
          <w:numId w:val="51"/>
        </w:numPr>
        <w:jc w:val="both"/>
        <w:textAlignment w:val="auto"/>
        <w:rPr>
          <w:rFonts w:ascii="Arial" w:hAnsi="Arial" w:cs="Arial"/>
          <w:sz w:val="22"/>
          <w:szCs w:val="22"/>
        </w:rPr>
      </w:pPr>
      <w:r>
        <w:rPr>
          <w:rFonts w:ascii="Arial" w:hAnsi="Arial" w:cs="Arial"/>
          <w:sz w:val="22"/>
          <w:szCs w:val="22"/>
        </w:rPr>
        <w:t>Otros Costes: son gastos de diferente naturaleza, no comprendidos en las partidas anteriores, que fueron presupuestados al comienzo del ejercicio y finalmente incur</w:t>
      </w:r>
      <w:r>
        <w:rPr>
          <w:rFonts w:ascii="Arial" w:hAnsi="Arial" w:cs="Arial"/>
          <w:sz w:val="22"/>
          <w:szCs w:val="22"/>
        </w:rPr>
        <w:t xml:space="preserve">ridos. Se elevan a un importe de 100.371,06 Euros, frente a la estimación de Aqualia que asciende a 103.686,16 Euros, destacando el arrendamiento de Hardware y Software, por importe de 51.230,57 Euros, Call center, por 19.418,69 Euros, asesores generales, </w:t>
      </w:r>
      <w:r>
        <w:rPr>
          <w:rFonts w:ascii="Arial" w:hAnsi="Arial" w:cs="Arial"/>
          <w:sz w:val="22"/>
          <w:szCs w:val="22"/>
        </w:rPr>
        <w:t xml:space="preserve">por importe de 13.826,89 Euros e Impuestos y Tasas, por importe de 11.852,55 Euros. </w:t>
      </w:r>
    </w:p>
    <w:p w:rsidR="009B4233" w:rsidRDefault="009B4233">
      <w:pPr>
        <w:ind w:left="1440"/>
        <w:jc w:val="both"/>
        <w:rPr>
          <w:rFonts w:ascii="Arial" w:hAnsi="Arial" w:cs="Arial"/>
          <w:sz w:val="22"/>
          <w:szCs w:val="22"/>
        </w:rPr>
      </w:pPr>
    </w:p>
    <w:p w:rsidR="009B4233" w:rsidRDefault="006B08B9">
      <w:pPr>
        <w:jc w:val="both"/>
      </w:pPr>
      <w:r>
        <w:rPr>
          <w:rFonts w:ascii="Arial" w:hAnsi="Arial" w:cs="Arial"/>
          <w:sz w:val="22"/>
          <w:szCs w:val="22"/>
        </w:rPr>
        <w:tab/>
      </w:r>
      <w:r>
        <w:rPr>
          <w:rFonts w:ascii="Arial" w:hAnsi="Arial" w:cs="Arial"/>
          <w:bCs/>
          <w:sz w:val="22"/>
          <w:szCs w:val="22"/>
        </w:rPr>
        <w:t xml:space="preserve">Con respecto, al concepto de impuestos y tasas, señalar que por parte de la Junta Consultiva de Contratación administrativa del Ministerio de Hacienda, se ha emitido el </w:t>
      </w:r>
      <w:r>
        <w:rPr>
          <w:rFonts w:ascii="Arial" w:hAnsi="Arial" w:cs="Arial"/>
          <w:bCs/>
          <w:sz w:val="22"/>
          <w:szCs w:val="22"/>
        </w:rPr>
        <w:t>Informe 50/08, de 2 de diciembre de 2008, relativo a la «Determinación de cuáles son los conceptos particulares que deben considerarse incluidos en los genéricos “gastos generales” y “beneficio industrial”.</w:t>
      </w:r>
    </w:p>
    <w:p w:rsidR="009B4233" w:rsidRDefault="009B4233">
      <w:pPr>
        <w:pStyle w:val="Default"/>
        <w:jc w:val="both"/>
        <w:rPr>
          <w:bCs/>
          <w:sz w:val="22"/>
          <w:szCs w:val="22"/>
        </w:rPr>
      </w:pPr>
    </w:p>
    <w:p w:rsidR="009B4233" w:rsidRDefault="006B08B9">
      <w:pPr>
        <w:pStyle w:val="Default"/>
        <w:jc w:val="both"/>
      </w:pPr>
      <w:r>
        <w:rPr>
          <w:bCs/>
          <w:sz w:val="22"/>
          <w:szCs w:val="22"/>
        </w:rPr>
        <w:tab/>
        <w:t>En el citado Informe, se señala que con respect</w:t>
      </w:r>
      <w:r>
        <w:rPr>
          <w:bCs/>
          <w:sz w:val="22"/>
          <w:szCs w:val="22"/>
        </w:rPr>
        <w:t xml:space="preserve">o de los gastos generales de estructura, el </w:t>
      </w:r>
      <w:r>
        <w:rPr>
          <w:sz w:val="22"/>
          <w:szCs w:val="22"/>
        </w:rPr>
        <w:t>artículo 131 del Real Decreto 1098/2001, de 12 de octubre, por el que se aprueba el Reglamento general de la Ley de Contratos de las Administraciones Públicas Reglamento de Contratación de las Administraciones Pú</w:t>
      </w:r>
      <w:r>
        <w:rPr>
          <w:sz w:val="22"/>
          <w:szCs w:val="22"/>
        </w:rPr>
        <w:t>blicas,</w:t>
      </w:r>
      <w:r>
        <w:rPr>
          <w:bCs/>
          <w:sz w:val="22"/>
          <w:szCs w:val="22"/>
        </w:rPr>
        <w:t xml:space="preserve"> establece que lo compondrán: </w:t>
      </w:r>
    </w:p>
    <w:p w:rsidR="009B4233" w:rsidRDefault="009B4233">
      <w:pPr>
        <w:pStyle w:val="Default"/>
        <w:jc w:val="both"/>
        <w:rPr>
          <w:sz w:val="22"/>
          <w:szCs w:val="22"/>
        </w:rPr>
      </w:pPr>
    </w:p>
    <w:p w:rsidR="009B4233" w:rsidRDefault="006B08B9">
      <w:pPr>
        <w:pStyle w:val="Default"/>
        <w:numPr>
          <w:ilvl w:val="0"/>
          <w:numId w:val="52"/>
        </w:numPr>
        <w:tabs>
          <w:tab w:val="left" w:pos="720"/>
        </w:tabs>
        <w:suppressAutoHyphens/>
        <w:spacing w:after="120"/>
        <w:ind w:left="0" w:firstLine="440"/>
        <w:jc w:val="both"/>
        <w:rPr>
          <w:bCs/>
          <w:sz w:val="22"/>
          <w:szCs w:val="22"/>
        </w:rPr>
      </w:pPr>
      <w:r>
        <w:rPr>
          <w:bCs/>
          <w:sz w:val="22"/>
          <w:szCs w:val="22"/>
        </w:rPr>
        <w:t>Los gastos generales de empresa.</w:t>
      </w:r>
    </w:p>
    <w:p w:rsidR="009B4233" w:rsidRDefault="006B08B9">
      <w:pPr>
        <w:pStyle w:val="Default"/>
        <w:numPr>
          <w:ilvl w:val="0"/>
          <w:numId w:val="53"/>
        </w:numPr>
        <w:tabs>
          <w:tab w:val="left" w:pos="720"/>
        </w:tabs>
        <w:suppressAutoHyphens/>
        <w:spacing w:after="120"/>
        <w:ind w:left="0" w:firstLine="440"/>
        <w:jc w:val="both"/>
      </w:pPr>
      <w:r>
        <w:rPr>
          <w:bCs/>
          <w:sz w:val="22"/>
          <w:szCs w:val="22"/>
        </w:rPr>
        <w:t xml:space="preserve">Los gastos financieros, </w:t>
      </w:r>
      <w:r>
        <w:rPr>
          <w:b/>
          <w:bCs/>
          <w:sz w:val="22"/>
          <w:szCs w:val="22"/>
        </w:rPr>
        <w:t>las cargas fiscales</w:t>
      </w:r>
      <w:r>
        <w:rPr>
          <w:bCs/>
          <w:sz w:val="22"/>
          <w:szCs w:val="22"/>
        </w:rPr>
        <w:t xml:space="preserve"> (salvo el Impuesto sobre el Valor Añadido), las </w:t>
      </w:r>
      <w:r>
        <w:rPr>
          <w:b/>
          <w:bCs/>
          <w:sz w:val="22"/>
          <w:szCs w:val="22"/>
        </w:rPr>
        <w:t xml:space="preserve">tasas </w:t>
      </w:r>
      <w:r>
        <w:rPr>
          <w:bCs/>
          <w:sz w:val="22"/>
          <w:szCs w:val="22"/>
        </w:rPr>
        <w:t xml:space="preserve">de la Administración legalmente establecidas, que inciden sobre el costo de las obras </w:t>
      </w:r>
      <w:r>
        <w:rPr>
          <w:bCs/>
          <w:sz w:val="22"/>
          <w:szCs w:val="22"/>
        </w:rPr>
        <w:t>y demás derivados de las obligaciones del contrato.</w:t>
      </w:r>
    </w:p>
    <w:p w:rsidR="009B4233" w:rsidRDefault="006B08B9">
      <w:pPr>
        <w:jc w:val="both"/>
      </w:pPr>
      <w:r>
        <w:rPr>
          <w:rFonts w:ascii="Arial" w:hAnsi="Arial" w:cs="Arial"/>
          <w:bCs/>
          <w:sz w:val="22"/>
          <w:szCs w:val="22"/>
        </w:rPr>
        <w:tab/>
        <w:t>Por tanto, se incluye, en el concepto de Otros Costes, la cantidad de 88.897,48 Euros y en Servicios Exteriores, un total de 209.824,60 Euros, una vez eliminado el importe de impuestos y tasas, al inclui</w:t>
      </w:r>
      <w:r>
        <w:rPr>
          <w:rFonts w:ascii="Arial" w:hAnsi="Arial" w:cs="Arial"/>
          <w:bCs/>
          <w:sz w:val="22"/>
          <w:szCs w:val="22"/>
        </w:rPr>
        <w:t>rse ya en el concepto de gastos generales de la empresa.</w:t>
      </w:r>
    </w:p>
    <w:p w:rsidR="009B4233" w:rsidRDefault="009B4233">
      <w:pPr>
        <w:jc w:val="both"/>
        <w:rPr>
          <w:rFonts w:ascii="Arial" w:hAnsi="Arial" w:cs="Arial"/>
          <w:b/>
          <w:bCs/>
          <w:sz w:val="22"/>
          <w:szCs w:val="22"/>
        </w:rPr>
      </w:pPr>
    </w:p>
    <w:p w:rsidR="009B4233" w:rsidRDefault="006B08B9">
      <w:pPr>
        <w:jc w:val="both"/>
      </w:pPr>
      <w:r>
        <w:rPr>
          <w:rFonts w:ascii="Arial" w:hAnsi="Arial" w:cs="Arial"/>
          <w:b/>
          <w:bCs/>
          <w:sz w:val="22"/>
          <w:szCs w:val="22"/>
        </w:rPr>
        <w:t>4.-</w:t>
      </w:r>
      <w:r>
        <w:rPr>
          <w:rFonts w:ascii="Arial" w:hAnsi="Arial" w:cs="Arial"/>
          <w:sz w:val="22"/>
          <w:szCs w:val="22"/>
        </w:rPr>
        <w:t xml:space="preserve"> Los Gastos de Personal, que integra tanto los importes incurridos en remuneraciones íntegras, fijas o eventuales, al personal de explotación de Candelaria, pero también los relativos a la seguri</w:t>
      </w:r>
      <w:r>
        <w:rPr>
          <w:rFonts w:ascii="Arial" w:hAnsi="Arial" w:cs="Arial"/>
          <w:sz w:val="22"/>
          <w:szCs w:val="22"/>
        </w:rPr>
        <w:t>dad, señalización, prevención de riesgos y equipamientos necesarios para el correcto desarrollo de las labores del personal de los servicios de abastecimiento y saneamiento, ascienden a un importe de 557.262,03 Euros frente a los 510.366 Euros en el año 20</w:t>
      </w:r>
      <w:r>
        <w:rPr>
          <w:rFonts w:ascii="Arial" w:hAnsi="Arial" w:cs="Arial"/>
          <w:sz w:val="22"/>
          <w:szCs w:val="22"/>
        </w:rPr>
        <w:t>24, un 9,2 % más.</w:t>
      </w:r>
    </w:p>
    <w:p w:rsidR="009B4233" w:rsidRDefault="009B4233">
      <w:pPr>
        <w:jc w:val="both"/>
        <w:rPr>
          <w:rFonts w:ascii="Arial" w:hAnsi="Arial" w:cs="Arial"/>
          <w:sz w:val="22"/>
          <w:szCs w:val="22"/>
        </w:rPr>
      </w:pPr>
    </w:p>
    <w:p w:rsidR="009B4233" w:rsidRDefault="006B08B9">
      <w:pPr>
        <w:jc w:val="both"/>
      </w:pPr>
      <w:r>
        <w:rPr>
          <w:rFonts w:ascii="Arial" w:hAnsi="Arial" w:cs="Arial"/>
          <w:b/>
          <w:bCs/>
          <w:sz w:val="22"/>
          <w:szCs w:val="22"/>
        </w:rPr>
        <w:t>5.-</w:t>
      </w:r>
      <w:r>
        <w:rPr>
          <w:rFonts w:ascii="Arial" w:hAnsi="Arial" w:cs="Arial"/>
          <w:sz w:val="22"/>
          <w:szCs w:val="22"/>
        </w:rPr>
        <w:t xml:space="preserve"> Los Gastos Financieros, se eleva la previsión a 25.634,12 Euros, igual que lo auditado en el año 2024, en un 472 %. No obstante, se aplica un coste cero, de acuerdo </w:t>
      </w:r>
      <w:r>
        <w:rPr>
          <w:rFonts w:ascii="Arial" w:hAnsi="Arial" w:cs="Arial"/>
          <w:bCs/>
          <w:sz w:val="22"/>
          <w:szCs w:val="22"/>
        </w:rPr>
        <w:t xml:space="preserve">el </w:t>
      </w:r>
      <w:r>
        <w:rPr>
          <w:rFonts w:ascii="Arial" w:hAnsi="Arial" w:cs="Arial"/>
          <w:sz w:val="22"/>
          <w:szCs w:val="22"/>
        </w:rPr>
        <w:t xml:space="preserve">artículo 131 del Real Decreto 1098/2001, al integrarse dentro de </w:t>
      </w:r>
      <w:r>
        <w:rPr>
          <w:rFonts w:ascii="Arial" w:hAnsi="Arial" w:cs="Arial"/>
          <w:sz w:val="22"/>
          <w:szCs w:val="22"/>
        </w:rPr>
        <w:t>los gastos generales de empresa.</w:t>
      </w:r>
    </w:p>
    <w:p w:rsidR="009B4233" w:rsidRDefault="009B4233">
      <w:pPr>
        <w:jc w:val="both"/>
        <w:rPr>
          <w:rFonts w:ascii="Arial" w:hAnsi="Arial" w:cs="Arial"/>
          <w:sz w:val="22"/>
          <w:szCs w:val="22"/>
        </w:rPr>
      </w:pPr>
    </w:p>
    <w:p w:rsidR="009B4233" w:rsidRDefault="006B08B9">
      <w:pPr>
        <w:jc w:val="both"/>
      </w:pPr>
      <w:r>
        <w:rPr>
          <w:rFonts w:ascii="Arial" w:hAnsi="Arial" w:cs="Arial"/>
          <w:b/>
          <w:bCs/>
          <w:sz w:val="22"/>
          <w:szCs w:val="22"/>
        </w:rPr>
        <w:t xml:space="preserve">6.- </w:t>
      </w:r>
      <w:r>
        <w:rPr>
          <w:rFonts w:ascii="Arial" w:hAnsi="Arial" w:cs="Arial"/>
          <w:sz w:val="22"/>
          <w:szCs w:val="22"/>
        </w:rPr>
        <w:t>Las Amortizaciones de Explotación, que son dotaciones económicas que cuantifican la depreciación experimentada por los activos afectos a la explotación, ascienden a 251.812,43 Euros, igual que en el 2024.</w:t>
      </w:r>
    </w:p>
    <w:p w:rsidR="009B4233" w:rsidRDefault="009B4233">
      <w:pPr>
        <w:pStyle w:val="Textoindependiente"/>
        <w:jc w:val="both"/>
        <w:rPr>
          <w:rFonts w:cs="Arial"/>
          <w:b/>
          <w:bCs/>
          <w:szCs w:val="22"/>
        </w:rPr>
      </w:pPr>
    </w:p>
    <w:p w:rsidR="009B4233" w:rsidRDefault="006B08B9">
      <w:pPr>
        <w:pStyle w:val="Textoindependiente"/>
        <w:jc w:val="both"/>
      </w:pPr>
      <w:r>
        <w:rPr>
          <w:rFonts w:cs="Arial"/>
          <w:b/>
          <w:bCs/>
          <w:szCs w:val="22"/>
        </w:rPr>
        <w:t xml:space="preserve">7.- </w:t>
      </w:r>
      <w:r>
        <w:rPr>
          <w:rFonts w:cs="Arial"/>
          <w:szCs w:val="22"/>
        </w:rPr>
        <w:t>La Dotac</w:t>
      </w:r>
      <w:r>
        <w:rPr>
          <w:rFonts w:cs="Arial"/>
          <w:szCs w:val="22"/>
        </w:rPr>
        <w:t>ión a la provisión para insolvencias, que recoge las cantidades destinadas a cubrir pérdidas que se estima que van a producirse en los créditos con origen en operaciones de tráfico con un nivel de impago superior a 12 meses, cuantificada en un 1 % de los i</w:t>
      </w:r>
      <w:r>
        <w:rPr>
          <w:rFonts w:cs="Arial"/>
          <w:szCs w:val="22"/>
        </w:rPr>
        <w:t>ngresos, se eleva a 40.219,15 Euros, un 25,6 % más que en el año 2024.</w:t>
      </w:r>
    </w:p>
    <w:p w:rsidR="009B4233" w:rsidRDefault="006B08B9">
      <w:pPr>
        <w:jc w:val="both"/>
      </w:pPr>
      <w:r>
        <w:rPr>
          <w:rFonts w:ascii="Arial" w:hAnsi="Arial" w:cs="Arial"/>
          <w:b/>
          <w:bCs/>
          <w:sz w:val="22"/>
          <w:szCs w:val="22"/>
        </w:rPr>
        <w:t xml:space="preserve">8.- </w:t>
      </w:r>
      <w:r>
        <w:rPr>
          <w:rFonts w:ascii="Arial" w:hAnsi="Arial" w:cs="Arial"/>
          <w:bCs/>
          <w:sz w:val="22"/>
          <w:szCs w:val="22"/>
        </w:rPr>
        <w:t>L</w:t>
      </w:r>
      <w:r>
        <w:rPr>
          <w:rFonts w:ascii="Arial" w:hAnsi="Arial" w:cs="Arial"/>
          <w:sz w:val="22"/>
          <w:szCs w:val="22"/>
        </w:rPr>
        <w:t>a suma total de los costes importan un total 4.133.402,12 Euros, a los que hay que sumar los gastos generales y beneficio industrial, según oferta económica adjudicataria, que asci</w:t>
      </w:r>
      <w:r>
        <w:rPr>
          <w:rFonts w:ascii="Arial" w:hAnsi="Arial" w:cs="Arial"/>
          <w:sz w:val="22"/>
          <w:szCs w:val="22"/>
        </w:rPr>
        <w:t>enden a un total de 298.825,89 Euros, conforme el siguiente desglose:</w:t>
      </w:r>
      <w:r>
        <w:rPr>
          <w:rFonts w:ascii="Arial" w:hAnsi="Arial" w:cs="Arial"/>
          <w:sz w:val="22"/>
          <w:szCs w:val="22"/>
        </w:rPr>
        <w:br/>
      </w:r>
    </w:p>
    <w:p w:rsidR="009B4233" w:rsidRDefault="006B08B9">
      <w:pPr>
        <w:jc w:val="both"/>
      </w:pPr>
      <w:r>
        <w:rPr>
          <w:rFonts w:ascii="Arial" w:hAnsi="Arial" w:cs="Arial"/>
          <w:sz w:val="22"/>
          <w:szCs w:val="22"/>
        </w:rPr>
        <w:t xml:space="preserve">- Gastos Generales: 12%(4.133.402,12 € - </w:t>
      </w:r>
      <w:r>
        <w:rPr>
          <w:rFonts w:ascii="Arial" w:hAnsi="Arial" w:cs="Arial"/>
          <w:bCs/>
          <w:sz w:val="22"/>
          <w:szCs w:val="22"/>
        </w:rPr>
        <w:t xml:space="preserve">2.731.479,64 </w:t>
      </w:r>
      <w:r>
        <w:rPr>
          <w:rFonts w:ascii="Arial" w:hAnsi="Arial" w:cs="Arial"/>
          <w:sz w:val="22"/>
          <w:szCs w:val="22"/>
        </w:rPr>
        <w:t>€ - 25.634,12- 251.812,43 €)= 134.937,11 €.</w:t>
      </w:r>
    </w:p>
    <w:p w:rsidR="009B4233" w:rsidRDefault="009B4233">
      <w:pPr>
        <w:jc w:val="both"/>
        <w:rPr>
          <w:rFonts w:ascii="Arial" w:hAnsi="Arial" w:cs="Arial"/>
          <w:sz w:val="22"/>
          <w:szCs w:val="22"/>
        </w:rPr>
      </w:pPr>
    </w:p>
    <w:p w:rsidR="009B4233" w:rsidRDefault="006B08B9">
      <w:pPr>
        <w:jc w:val="both"/>
      </w:pPr>
      <w:r>
        <w:rPr>
          <w:rFonts w:ascii="Arial" w:hAnsi="Arial" w:cs="Arial"/>
          <w:sz w:val="22"/>
          <w:szCs w:val="22"/>
        </w:rPr>
        <w:t xml:space="preserve">- Beneficio Industrial: 6 %(2.805.605,57- </w:t>
      </w:r>
      <w:r>
        <w:rPr>
          <w:rFonts w:ascii="Arial" w:hAnsi="Arial" w:cs="Arial"/>
          <w:bCs/>
          <w:sz w:val="22"/>
          <w:szCs w:val="22"/>
        </w:rPr>
        <w:t xml:space="preserve">74.125,94 </w:t>
      </w:r>
      <w:r>
        <w:rPr>
          <w:rFonts w:ascii="Arial" w:hAnsi="Arial" w:cs="Arial"/>
          <w:sz w:val="22"/>
          <w:szCs w:val="22"/>
        </w:rPr>
        <w:t>€) = 163.888,78 €</w:t>
      </w:r>
    </w:p>
    <w:p w:rsidR="009B4233" w:rsidRDefault="009B4233">
      <w:pPr>
        <w:jc w:val="both"/>
        <w:rPr>
          <w:rFonts w:ascii="Arial" w:hAnsi="Arial" w:cs="Arial"/>
          <w:sz w:val="22"/>
          <w:szCs w:val="22"/>
        </w:rPr>
      </w:pPr>
    </w:p>
    <w:p w:rsidR="009B4233" w:rsidRDefault="006B08B9">
      <w:pPr>
        <w:jc w:val="both"/>
        <w:rPr>
          <w:rFonts w:ascii="Arial" w:hAnsi="Arial" w:cs="Arial"/>
          <w:sz w:val="22"/>
          <w:szCs w:val="22"/>
        </w:rPr>
      </w:pPr>
      <w:r>
        <w:rPr>
          <w:rFonts w:ascii="Arial" w:hAnsi="Arial" w:cs="Arial"/>
          <w:sz w:val="22"/>
          <w:szCs w:val="22"/>
        </w:rPr>
        <w:t xml:space="preserve"> </w:t>
      </w:r>
      <w:r>
        <w:rPr>
          <w:rFonts w:ascii="Arial" w:hAnsi="Arial" w:cs="Arial"/>
          <w:sz w:val="22"/>
          <w:szCs w:val="22"/>
        </w:rPr>
        <w:tab/>
        <w:t>En consecuenc</w:t>
      </w:r>
      <w:r>
        <w:rPr>
          <w:rFonts w:ascii="Arial" w:hAnsi="Arial" w:cs="Arial"/>
          <w:sz w:val="22"/>
          <w:szCs w:val="22"/>
        </w:rPr>
        <w:t>ia, los costes del servicio ascienden a 4.432.228,01 Euros, frente a los imputados por la empresa en su estudio económico, que asciende a 4.571.681.63 Euros.</w:t>
      </w:r>
    </w:p>
    <w:p w:rsidR="009B4233" w:rsidRDefault="006B08B9">
      <w:pPr>
        <w:pStyle w:val="Textoindependiente"/>
        <w:jc w:val="both"/>
        <w:rPr>
          <w:rFonts w:cs="Arial"/>
          <w:szCs w:val="22"/>
        </w:rPr>
      </w:pPr>
      <w:r>
        <w:rPr>
          <w:rFonts w:cs="Arial"/>
          <w:szCs w:val="22"/>
        </w:rPr>
        <w:tab/>
      </w:r>
    </w:p>
    <w:p w:rsidR="009B4233" w:rsidRDefault="006B08B9">
      <w:pPr>
        <w:pStyle w:val="Textoindependiente"/>
        <w:ind w:firstLine="708"/>
        <w:jc w:val="both"/>
      </w:pPr>
      <w:r>
        <w:rPr>
          <w:rFonts w:cs="Arial"/>
          <w:szCs w:val="22"/>
        </w:rPr>
        <w:t xml:space="preserve">Asimismo, conforme los datos aportados por la empresa Aqualia, los ingresos procedentes de la </w:t>
      </w:r>
      <w:r>
        <w:rPr>
          <w:rFonts w:cs="Arial"/>
          <w:szCs w:val="22"/>
        </w:rPr>
        <w:t>prestación del servicio, en el ejercicio 2026, que proceden de la venta de agua, esto es, el volumen de ingresos derivados de la comercialización de agua potable a través de la</w:t>
      </w:r>
      <w:r>
        <w:rPr>
          <w:rFonts w:cs="Arial"/>
          <w:i/>
          <w:szCs w:val="22"/>
        </w:rPr>
        <w:t xml:space="preserve"> </w:t>
      </w:r>
      <w:r>
        <w:rPr>
          <w:rFonts w:cs="Arial"/>
          <w:szCs w:val="22"/>
        </w:rPr>
        <w:t>red de abastecimiento municipal a los abonados de Candelaria, asciende a 4.021.</w:t>
      </w:r>
      <w:r>
        <w:rPr>
          <w:rFonts w:cs="Arial"/>
          <w:szCs w:val="22"/>
        </w:rPr>
        <w:t>914,58 Euros, lo que supone un 24,3 % más respecto al año 2024, motivado por la implantación de una cuota fija y pese a la estimación de la caída de la facturación en un 1,5 % por evolución de los tres primeros trimestres de 2025 y un crecimiento nulo en e</w:t>
      </w:r>
      <w:r>
        <w:rPr>
          <w:rFonts w:cs="Arial"/>
          <w:szCs w:val="22"/>
        </w:rPr>
        <w:t>l número de clientes. No obstante, este interventor, va a incrementar ligeramente estos datos, en base al incremento poblacional y a las altas temperaturas que van a dar lugar a un mayor consumo de agua, estimando unos ingresos cuantificados en 4.081.104,9</w:t>
      </w:r>
      <w:r>
        <w:rPr>
          <w:rFonts w:cs="Arial"/>
          <w:szCs w:val="22"/>
        </w:rPr>
        <w:t>2 €, conforme siguientes cuadros:</w:t>
      </w:r>
    </w:p>
    <w:p w:rsidR="009B4233" w:rsidRDefault="009B4233">
      <w:pPr>
        <w:pStyle w:val="Textoindependiente"/>
        <w:ind w:firstLine="708"/>
        <w:jc w:val="both"/>
        <w:rPr>
          <w:rFonts w:cs="Arial"/>
          <w:szCs w:val="22"/>
        </w:rPr>
      </w:pPr>
    </w:p>
    <w:p w:rsidR="009B4233" w:rsidRDefault="006B08B9">
      <w:pPr>
        <w:rPr>
          <w:rFonts w:ascii="Arial" w:hAnsi="Arial" w:cs="Arial"/>
          <w:sz w:val="22"/>
          <w:szCs w:val="22"/>
        </w:rPr>
      </w:pPr>
      <w:r>
        <w:rPr>
          <w:rFonts w:ascii="Arial" w:hAnsi="Arial" w:cs="Arial"/>
          <w:sz w:val="22"/>
          <w:szCs w:val="22"/>
        </w:rPr>
        <w:t>Estimación Ingresos por Suministro de carácter doméstico</w:t>
      </w:r>
    </w:p>
    <w:p w:rsidR="009B4233" w:rsidRDefault="009B4233">
      <w:pPr>
        <w:rPr>
          <w:rFonts w:ascii="Arial" w:hAnsi="Arial" w:cs="Arial"/>
          <w:sz w:val="22"/>
          <w:szCs w:val="22"/>
        </w:rPr>
      </w:pPr>
    </w:p>
    <w:tbl>
      <w:tblPr>
        <w:tblW w:w="8494" w:type="dxa"/>
        <w:tblCellMar>
          <w:left w:w="10" w:type="dxa"/>
          <w:right w:w="10" w:type="dxa"/>
        </w:tblCellMar>
        <w:tblLook w:val="0000" w:firstRow="0" w:lastRow="0" w:firstColumn="0" w:lastColumn="0" w:noHBand="0" w:noVBand="0"/>
      </w:tblPr>
      <w:tblGrid>
        <w:gridCol w:w="2123"/>
        <w:gridCol w:w="2123"/>
        <w:gridCol w:w="2124"/>
        <w:gridCol w:w="2124"/>
      </w:tblGrid>
      <w:tr w:rsidR="009B4233">
        <w:tblPrEx>
          <w:tblCellMar>
            <w:top w:w="0" w:type="dxa"/>
            <w:bottom w:w="0" w:type="dxa"/>
          </w:tblCellMar>
        </w:tblPrEx>
        <w:tc>
          <w:tcPr>
            <w:tcW w:w="21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rPr>
                <w:rFonts w:ascii="Arial" w:hAnsi="Arial" w:cs="Arial"/>
                <w:b/>
                <w:sz w:val="22"/>
                <w:szCs w:val="22"/>
              </w:rPr>
            </w:pPr>
            <w:r>
              <w:rPr>
                <w:rFonts w:ascii="Arial" w:hAnsi="Arial" w:cs="Arial"/>
                <w:b/>
                <w:sz w:val="22"/>
                <w:szCs w:val="22"/>
              </w:rPr>
              <w:t>CONSUMO DOMÉSTICO</w:t>
            </w:r>
          </w:p>
        </w:tc>
        <w:tc>
          <w:tcPr>
            <w:tcW w:w="21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rPr>
                <w:rFonts w:ascii="Arial" w:hAnsi="Arial" w:cs="Arial"/>
                <w:b/>
                <w:sz w:val="22"/>
                <w:szCs w:val="22"/>
              </w:rPr>
            </w:pPr>
            <w:r>
              <w:rPr>
                <w:rFonts w:ascii="Arial" w:hAnsi="Arial" w:cs="Arial"/>
                <w:b/>
                <w:sz w:val="22"/>
                <w:szCs w:val="22"/>
              </w:rPr>
              <w:t>M3</w:t>
            </w:r>
          </w:p>
        </w:tc>
        <w:tc>
          <w:tcPr>
            <w:tcW w:w="21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rPr>
                <w:rFonts w:ascii="Arial" w:hAnsi="Arial" w:cs="Arial"/>
                <w:b/>
                <w:sz w:val="22"/>
                <w:szCs w:val="22"/>
              </w:rPr>
            </w:pPr>
            <w:r>
              <w:rPr>
                <w:rFonts w:ascii="Arial" w:hAnsi="Arial" w:cs="Arial"/>
                <w:b/>
                <w:sz w:val="22"/>
                <w:szCs w:val="22"/>
              </w:rPr>
              <w:t>E/M3</w:t>
            </w:r>
          </w:p>
        </w:tc>
        <w:tc>
          <w:tcPr>
            <w:tcW w:w="21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rPr>
                <w:rFonts w:ascii="Arial" w:hAnsi="Arial" w:cs="Arial"/>
                <w:b/>
                <w:sz w:val="22"/>
                <w:szCs w:val="22"/>
              </w:rPr>
            </w:pPr>
            <w:r>
              <w:rPr>
                <w:rFonts w:ascii="Arial" w:hAnsi="Arial" w:cs="Arial"/>
                <w:b/>
                <w:sz w:val="22"/>
                <w:szCs w:val="22"/>
              </w:rPr>
              <w:t>IMPORTE</w:t>
            </w:r>
          </w:p>
        </w:tc>
      </w:tr>
      <w:tr w:rsidR="009B4233">
        <w:tblPrEx>
          <w:tblCellMar>
            <w:top w:w="0" w:type="dxa"/>
            <w:bottom w:w="0" w:type="dxa"/>
          </w:tblCellMar>
        </w:tblPrEx>
        <w:tc>
          <w:tcPr>
            <w:tcW w:w="21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rPr>
                <w:rFonts w:ascii="Arial" w:hAnsi="Arial" w:cs="Arial"/>
                <w:sz w:val="22"/>
                <w:szCs w:val="22"/>
              </w:rPr>
            </w:pPr>
            <w:r>
              <w:rPr>
                <w:rFonts w:ascii="Arial" w:hAnsi="Arial" w:cs="Arial"/>
                <w:sz w:val="22"/>
                <w:szCs w:val="22"/>
              </w:rPr>
              <w:t>CUOTA SERVICIO</w:t>
            </w:r>
          </w:p>
        </w:tc>
        <w:tc>
          <w:tcPr>
            <w:tcW w:w="21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rPr>
                <w:rFonts w:ascii="Arial" w:hAnsi="Arial" w:cs="Arial"/>
                <w:sz w:val="22"/>
                <w:szCs w:val="22"/>
              </w:rPr>
            </w:pPr>
            <w:r>
              <w:rPr>
                <w:rFonts w:ascii="Arial" w:hAnsi="Arial" w:cs="Arial"/>
                <w:sz w:val="22"/>
                <w:szCs w:val="22"/>
              </w:rPr>
              <w:t>13.500*14,19 €*6</w:t>
            </w:r>
          </w:p>
        </w:tc>
        <w:tc>
          <w:tcPr>
            <w:tcW w:w="21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9B4233">
            <w:pPr>
              <w:rPr>
                <w:rFonts w:ascii="Arial" w:hAnsi="Arial" w:cs="Arial"/>
                <w:sz w:val="22"/>
                <w:szCs w:val="22"/>
              </w:rPr>
            </w:pPr>
          </w:p>
        </w:tc>
        <w:tc>
          <w:tcPr>
            <w:tcW w:w="21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rPr>
                <w:rFonts w:ascii="Arial" w:hAnsi="Arial" w:cs="Arial"/>
                <w:sz w:val="22"/>
                <w:szCs w:val="22"/>
              </w:rPr>
            </w:pPr>
            <w:r>
              <w:rPr>
                <w:rFonts w:ascii="Arial" w:hAnsi="Arial" w:cs="Arial"/>
                <w:sz w:val="22"/>
                <w:szCs w:val="22"/>
              </w:rPr>
              <w:t>1.149.390,00 €</w:t>
            </w:r>
          </w:p>
        </w:tc>
      </w:tr>
      <w:tr w:rsidR="009B4233">
        <w:tblPrEx>
          <w:tblCellMar>
            <w:top w:w="0" w:type="dxa"/>
            <w:bottom w:w="0" w:type="dxa"/>
          </w:tblCellMar>
        </w:tblPrEx>
        <w:tc>
          <w:tcPr>
            <w:tcW w:w="21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rPr>
                <w:rFonts w:ascii="Arial" w:hAnsi="Arial" w:cs="Arial"/>
                <w:sz w:val="22"/>
                <w:szCs w:val="22"/>
              </w:rPr>
            </w:pPr>
            <w:r>
              <w:rPr>
                <w:rFonts w:ascii="Arial" w:hAnsi="Arial" w:cs="Arial"/>
                <w:sz w:val="22"/>
                <w:szCs w:val="22"/>
              </w:rPr>
              <w:t>DE 1 a 10 m3</w:t>
            </w:r>
          </w:p>
        </w:tc>
        <w:tc>
          <w:tcPr>
            <w:tcW w:w="21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rPr>
                <w:rFonts w:ascii="Arial" w:hAnsi="Arial" w:cs="Arial"/>
                <w:sz w:val="22"/>
                <w:szCs w:val="22"/>
              </w:rPr>
            </w:pPr>
            <w:r>
              <w:rPr>
                <w:rFonts w:ascii="Arial" w:hAnsi="Arial" w:cs="Arial"/>
                <w:sz w:val="22"/>
                <w:szCs w:val="22"/>
              </w:rPr>
              <w:t>652.756</w:t>
            </w:r>
          </w:p>
        </w:tc>
        <w:tc>
          <w:tcPr>
            <w:tcW w:w="21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rPr>
                <w:rFonts w:ascii="Arial" w:hAnsi="Arial" w:cs="Arial"/>
                <w:sz w:val="22"/>
                <w:szCs w:val="22"/>
              </w:rPr>
            </w:pPr>
            <w:r>
              <w:rPr>
                <w:rFonts w:ascii="Arial" w:hAnsi="Arial" w:cs="Arial"/>
                <w:sz w:val="22"/>
                <w:szCs w:val="22"/>
              </w:rPr>
              <w:t>0,59</w:t>
            </w:r>
          </w:p>
        </w:tc>
        <w:tc>
          <w:tcPr>
            <w:tcW w:w="21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rPr>
                <w:rFonts w:ascii="Arial" w:hAnsi="Arial" w:cs="Arial"/>
                <w:sz w:val="22"/>
                <w:szCs w:val="22"/>
              </w:rPr>
            </w:pPr>
            <w:r>
              <w:rPr>
                <w:rFonts w:ascii="Arial" w:hAnsi="Arial" w:cs="Arial"/>
                <w:sz w:val="22"/>
                <w:szCs w:val="22"/>
              </w:rPr>
              <w:t>385.126,04 €</w:t>
            </w:r>
          </w:p>
        </w:tc>
      </w:tr>
      <w:tr w:rsidR="009B4233">
        <w:tblPrEx>
          <w:tblCellMar>
            <w:top w:w="0" w:type="dxa"/>
            <w:bottom w:w="0" w:type="dxa"/>
          </w:tblCellMar>
        </w:tblPrEx>
        <w:tc>
          <w:tcPr>
            <w:tcW w:w="21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rPr>
                <w:rFonts w:ascii="Arial" w:hAnsi="Arial" w:cs="Arial"/>
                <w:sz w:val="22"/>
                <w:szCs w:val="22"/>
              </w:rPr>
            </w:pPr>
            <w:r>
              <w:rPr>
                <w:rFonts w:ascii="Arial" w:hAnsi="Arial" w:cs="Arial"/>
                <w:sz w:val="22"/>
                <w:szCs w:val="22"/>
              </w:rPr>
              <w:t>De 11 a 30 m3</w:t>
            </w:r>
          </w:p>
        </w:tc>
        <w:tc>
          <w:tcPr>
            <w:tcW w:w="21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rPr>
                <w:rFonts w:ascii="Arial" w:hAnsi="Arial" w:cs="Arial"/>
                <w:sz w:val="22"/>
                <w:szCs w:val="22"/>
              </w:rPr>
            </w:pPr>
            <w:r>
              <w:rPr>
                <w:rFonts w:ascii="Arial" w:hAnsi="Arial" w:cs="Arial"/>
                <w:sz w:val="22"/>
                <w:szCs w:val="22"/>
              </w:rPr>
              <w:t>562.678</w:t>
            </w:r>
          </w:p>
        </w:tc>
        <w:tc>
          <w:tcPr>
            <w:tcW w:w="21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rPr>
                <w:rFonts w:ascii="Arial" w:hAnsi="Arial" w:cs="Arial"/>
                <w:sz w:val="22"/>
                <w:szCs w:val="22"/>
              </w:rPr>
            </w:pPr>
            <w:r>
              <w:rPr>
                <w:rFonts w:ascii="Arial" w:hAnsi="Arial" w:cs="Arial"/>
                <w:sz w:val="22"/>
                <w:szCs w:val="22"/>
              </w:rPr>
              <w:t>1,2</w:t>
            </w:r>
          </w:p>
        </w:tc>
        <w:tc>
          <w:tcPr>
            <w:tcW w:w="21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rPr>
                <w:rFonts w:ascii="Arial" w:hAnsi="Arial" w:cs="Arial"/>
                <w:sz w:val="22"/>
                <w:szCs w:val="22"/>
              </w:rPr>
            </w:pPr>
            <w:r>
              <w:rPr>
                <w:rFonts w:ascii="Arial" w:hAnsi="Arial" w:cs="Arial"/>
                <w:sz w:val="22"/>
                <w:szCs w:val="22"/>
              </w:rPr>
              <w:t>675.213,60 €</w:t>
            </w:r>
          </w:p>
        </w:tc>
      </w:tr>
      <w:tr w:rsidR="009B4233">
        <w:tblPrEx>
          <w:tblCellMar>
            <w:top w:w="0" w:type="dxa"/>
            <w:bottom w:w="0" w:type="dxa"/>
          </w:tblCellMar>
        </w:tblPrEx>
        <w:tc>
          <w:tcPr>
            <w:tcW w:w="21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rPr>
                <w:rFonts w:ascii="Arial" w:hAnsi="Arial" w:cs="Arial"/>
                <w:sz w:val="22"/>
                <w:szCs w:val="22"/>
              </w:rPr>
            </w:pPr>
            <w:r>
              <w:rPr>
                <w:rFonts w:ascii="Arial" w:hAnsi="Arial" w:cs="Arial"/>
                <w:sz w:val="22"/>
                <w:szCs w:val="22"/>
              </w:rPr>
              <w:t>De 31 a 60 m3</w:t>
            </w:r>
          </w:p>
        </w:tc>
        <w:tc>
          <w:tcPr>
            <w:tcW w:w="21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rPr>
                <w:rFonts w:ascii="Arial" w:hAnsi="Arial" w:cs="Arial"/>
                <w:sz w:val="22"/>
                <w:szCs w:val="22"/>
              </w:rPr>
            </w:pPr>
            <w:r>
              <w:rPr>
                <w:rFonts w:ascii="Arial" w:hAnsi="Arial" w:cs="Arial"/>
                <w:sz w:val="22"/>
                <w:szCs w:val="22"/>
              </w:rPr>
              <w:t>161.239</w:t>
            </w:r>
          </w:p>
        </w:tc>
        <w:tc>
          <w:tcPr>
            <w:tcW w:w="21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rPr>
                <w:rFonts w:ascii="Arial" w:hAnsi="Arial" w:cs="Arial"/>
                <w:sz w:val="22"/>
                <w:szCs w:val="22"/>
              </w:rPr>
            </w:pPr>
            <w:r>
              <w:rPr>
                <w:rFonts w:ascii="Arial" w:hAnsi="Arial" w:cs="Arial"/>
                <w:sz w:val="22"/>
                <w:szCs w:val="22"/>
              </w:rPr>
              <w:t>2,19</w:t>
            </w:r>
          </w:p>
        </w:tc>
        <w:tc>
          <w:tcPr>
            <w:tcW w:w="21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rPr>
                <w:rFonts w:ascii="Arial" w:hAnsi="Arial" w:cs="Arial"/>
                <w:sz w:val="22"/>
                <w:szCs w:val="22"/>
              </w:rPr>
            </w:pPr>
            <w:r>
              <w:rPr>
                <w:rFonts w:ascii="Arial" w:hAnsi="Arial" w:cs="Arial"/>
                <w:sz w:val="22"/>
                <w:szCs w:val="22"/>
              </w:rPr>
              <w:t>353.113,41 €</w:t>
            </w:r>
          </w:p>
        </w:tc>
      </w:tr>
      <w:tr w:rsidR="009B4233">
        <w:tblPrEx>
          <w:tblCellMar>
            <w:top w:w="0" w:type="dxa"/>
            <w:bottom w:w="0" w:type="dxa"/>
          </w:tblCellMar>
        </w:tblPrEx>
        <w:tc>
          <w:tcPr>
            <w:tcW w:w="21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rPr>
                <w:rFonts w:ascii="Arial" w:hAnsi="Arial" w:cs="Arial"/>
                <w:sz w:val="22"/>
                <w:szCs w:val="22"/>
              </w:rPr>
            </w:pPr>
            <w:r>
              <w:rPr>
                <w:rFonts w:ascii="Arial" w:hAnsi="Arial" w:cs="Arial"/>
                <w:sz w:val="22"/>
                <w:szCs w:val="22"/>
              </w:rPr>
              <w:t>Más de 60 m3</w:t>
            </w:r>
          </w:p>
        </w:tc>
        <w:tc>
          <w:tcPr>
            <w:tcW w:w="21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rPr>
                <w:rFonts w:ascii="Arial" w:hAnsi="Arial" w:cs="Arial"/>
                <w:sz w:val="22"/>
                <w:szCs w:val="22"/>
              </w:rPr>
            </w:pPr>
            <w:r>
              <w:rPr>
                <w:rFonts w:ascii="Arial" w:hAnsi="Arial" w:cs="Arial"/>
                <w:sz w:val="22"/>
                <w:szCs w:val="22"/>
              </w:rPr>
              <w:t>200.919</w:t>
            </w:r>
          </w:p>
        </w:tc>
        <w:tc>
          <w:tcPr>
            <w:tcW w:w="21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rPr>
                <w:rFonts w:ascii="Arial" w:hAnsi="Arial" w:cs="Arial"/>
                <w:sz w:val="22"/>
                <w:szCs w:val="22"/>
              </w:rPr>
            </w:pPr>
            <w:r>
              <w:rPr>
                <w:rFonts w:ascii="Arial" w:hAnsi="Arial" w:cs="Arial"/>
                <w:sz w:val="22"/>
                <w:szCs w:val="22"/>
              </w:rPr>
              <w:t>3,48</w:t>
            </w:r>
          </w:p>
        </w:tc>
        <w:tc>
          <w:tcPr>
            <w:tcW w:w="21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rPr>
                <w:rFonts w:ascii="Arial" w:hAnsi="Arial" w:cs="Arial"/>
                <w:sz w:val="22"/>
                <w:szCs w:val="22"/>
              </w:rPr>
            </w:pPr>
            <w:r>
              <w:rPr>
                <w:rFonts w:ascii="Arial" w:hAnsi="Arial" w:cs="Arial"/>
                <w:sz w:val="22"/>
                <w:szCs w:val="22"/>
              </w:rPr>
              <w:t>699.198,12 €</w:t>
            </w:r>
          </w:p>
        </w:tc>
      </w:tr>
      <w:tr w:rsidR="009B4233">
        <w:tblPrEx>
          <w:tblCellMar>
            <w:top w:w="0" w:type="dxa"/>
            <w:bottom w:w="0" w:type="dxa"/>
          </w:tblCellMar>
        </w:tblPrEx>
        <w:tc>
          <w:tcPr>
            <w:tcW w:w="21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rPr>
                <w:rFonts w:ascii="Arial" w:hAnsi="Arial" w:cs="Arial"/>
                <w:b/>
                <w:sz w:val="22"/>
                <w:szCs w:val="22"/>
              </w:rPr>
            </w:pPr>
            <w:r>
              <w:rPr>
                <w:rFonts w:ascii="Arial" w:hAnsi="Arial" w:cs="Arial"/>
                <w:b/>
                <w:sz w:val="22"/>
                <w:szCs w:val="22"/>
              </w:rPr>
              <w:t>TOTAL</w:t>
            </w:r>
          </w:p>
        </w:tc>
        <w:tc>
          <w:tcPr>
            <w:tcW w:w="21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9B4233">
            <w:pPr>
              <w:rPr>
                <w:rFonts w:ascii="Arial" w:hAnsi="Arial" w:cs="Arial"/>
                <w:b/>
                <w:sz w:val="22"/>
                <w:szCs w:val="22"/>
              </w:rPr>
            </w:pPr>
          </w:p>
        </w:tc>
        <w:tc>
          <w:tcPr>
            <w:tcW w:w="21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9B4233">
            <w:pPr>
              <w:rPr>
                <w:rFonts w:ascii="Arial" w:hAnsi="Arial" w:cs="Arial"/>
                <w:b/>
                <w:sz w:val="22"/>
                <w:szCs w:val="22"/>
              </w:rPr>
            </w:pPr>
          </w:p>
        </w:tc>
        <w:tc>
          <w:tcPr>
            <w:tcW w:w="21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rPr>
                <w:rFonts w:ascii="Arial" w:hAnsi="Arial" w:cs="Arial"/>
                <w:b/>
                <w:sz w:val="22"/>
                <w:szCs w:val="22"/>
              </w:rPr>
            </w:pPr>
            <w:r>
              <w:rPr>
                <w:rFonts w:ascii="Arial" w:hAnsi="Arial" w:cs="Arial"/>
                <w:b/>
                <w:sz w:val="22"/>
                <w:szCs w:val="22"/>
              </w:rPr>
              <w:t>3.262.041,17 €</w:t>
            </w:r>
          </w:p>
        </w:tc>
      </w:tr>
    </w:tbl>
    <w:p w:rsidR="009B4233" w:rsidRDefault="009B4233">
      <w:pPr>
        <w:rPr>
          <w:rFonts w:ascii="Arial" w:hAnsi="Arial" w:cs="Arial"/>
          <w:sz w:val="22"/>
          <w:szCs w:val="22"/>
        </w:rPr>
      </w:pPr>
    </w:p>
    <w:p w:rsidR="009B4233" w:rsidRDefault="006B08B9">
      <w:pPr>
        <w:rPr>
          <w:rFonts w:ascii="Arial" w:hAnsi="Arial" w:cs="Arial"/>
          <w:sz w:val="22"/>
          <w:szCs w:val="22"/>
        </w:rPr>
      </w:pPr>
      <w:r>
        <w:rPr>
          <w:rFonts w:ascii="Arial" w:hAnsi="Arial" w:cs="Arial"/>
          <w:sz w:val="22"/>
          <w:szCs w:val="22"/>
        </w:rPr>
        <w:t>Estimación Ingresos por Suministro de carácter Industrial</w:t>
      </w:r>
    </w:p>
    <w:p w:rsidR="009B4233" w:rsidRDefault="009B4233">
      <w:pPr>
        <w:rPr>
          <w:rFonts w:ascii="Arial" w:hAnsi="Arial" w:cs="Arial"/>
          <w:sz w:val="22"/>
          <w:szCs w:val="22"/>
        </w:rPr>
      </w:pPr>
    </w:p>
    <w:tbl>
      <w:tblPr>
        <w:tblW w:w="8494" w:type="dxa"/>
        <w:tblCellMar>
          <w:left w:w="10" w:type="dxa"/>
          <w:right w:w="10" w:type="dxa"/>
        </w:tblCellMar>
        <w:tblLook w:val="0000" w:firstRow="0" w:lastRow="0" w:firstColumn="0" w:lastColumn="0" w:noHBand="0" w:noVBand="0"/>
      </w:tblPr>
      <w:tblGrid>
        <w:gridCol w:w="2123"/>
        <w:gridCol w:w="2123"/>
        <w:gridCol w:w="2124"/>
        <w:gridCol w:w="2124"/>
      </w:tblGrid>
      <w:tr w:rsidR="009B4233">
        <w:tblPrEx>
          <w:tblCellMar>
            <w:top w:w="0" w:type="dxa"/>
            <w:bottom w:w="0" w:type="dxa"/>
          </w:tblCellMar>
        </w:tblPrEx>
        <w:tc>
          <w:tcPr>
            <w:tcW w:w="21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rPr>
                <w:rFonts w:ascii="Arial" w:hAnsi="Arial" w:cs="Arial"/>
                <w:b/>
                <w:sz w:val="22"/>
                <w:szCs w:val="22"/>
              </w:rPr>
            </w:pPr>
            <w:r>
              <w:rPr>
                <w:rFonts w:ascii="Arial" w:hAnsi="Arial" w:cs="Arial"/>
                <w:b/>
                <w:sz w:val="22"/>
                <w:szCs w:val="22"/>
              </w:rPr>
              <w:t>CONSUMO DOMÉSTICO</w:t>
            </w:r>
          </w:p>
        </w:tc>
        <w:tc>
          <w:tcPr>
            <w:tcW w:w="21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rPr>
                <w:rFonts w:ascii="Arial" w:hAnsi="Arial" w:cs="Arial"/>
                <w:b/>
                <w:sz w:val="22"/>
                <w:szCs w:val="22"/>
              </w:rPr>
            </w:pPr>
            <w:r>
              <w:rPr>
                <w:rFonts w:ascii="Arial" w:hAnsi="Arial" w:cs="Arial"/>
                <w:b/>
                <w:sz w:val="22"/>
                <w:szCs w:val="22"/>
              </w:rPr>
              <w:t>M3</w:t>
            </w:r>
          </w:p>
        </w:tc>
        <w:tc>
          <w:tcPr>
            <w:tcW w:w="21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rPr>
                <w:rFonts w:ascii="Arial" w:hAnsi="Arial" w:cs="Arial"/>
                <w:b/>
                <w:sz w:val="22"/>
                <w:szCs w:val="22"/>
              </w:rPr>
            </w:pPr>
            <w:r>
              <w:rPr>
                <w:rFonts w:ascii="Arial" w:hAnsi="Arial" w:cs="Arial"/>
                <w:b/>
                <w:sz w:val="22"/>
                <w:szCs w:val="22"/>
              </w:rPr>
              <w:t>E/M3</w:t>
            </w:r>
          </w:p>
        </w:tc>
        <w:tc>
          <w:tcPr>
            <w:tcW w:w="21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rPr>
                <w:rFonts w:ascii="Arial" w:hAnsi="Arial" w:cs="Arial"/>
                <w:b/>
                <w:sz w:val="22"/>
                <w:szCs w:val="22"/>
              </w:rPr>
            </w:pPr>
            <w:r>
              <w:rPr>
                <w:rFonts w:ascii="Arial" w:hAnsi="Arial" w:cs="Arial"/>
                <w:b/>
                <w:sz w:val="22"/>
                <w:szCs w:val="22"/>
              </w:rPr>
              <w:t>IMPORTE</w:t>
            </w:r>
          </w:p>
        </w:tc>
      </w:tr>
      <w:tr w:rsidR="009B4233">
        <w:tblPrEx>
          <w:tblCellMar>
            <w:top w:w="0" w:type="dxa"/>
            <w:bottom w:w="0" w:type="dxa"/>
          </w:tblCellMar>
        </w:tblPrEx>
        <w:tc>
          <w:tcPr>
            <w:tcW w:w="21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rPr>
                <w:rFonts w:ascii="Arial" w:hAnsi="Arial" w:cs="Arial"/>
                <w:sz w:val="22"/>
                <w:szCs w:val="22"/>
              </w:rPr>
            </w:pPr>
            <w:r>
              <w:rPr>
                <w:rFonts w:ascii="Arial" w:hAnsi="Arial" w:cs="Arial"/>
                <w:sz w:val="22"/>
                <w:szCs w:val="22"/>
              </w:rPr>
              <w:t>CUOTA SERVICIO</w:t>
            </w:r>
          </w:p>
        </w:tc>
        <w:tc>
          <w:tcPr>
            <w:tcW w:w="21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rPr>
                <w:rFonts w:ascii="Arial" w:hAnsi="Arial" w:cs="Arial"/>
                <w:sz w:val="22"/>
                <w:szCs w:val="22"/>
              </w:rPr>
            </w:pPr>
            <w:r>
              <w:rPr>
                <w:rFonts w:ascii="Arial" w:hAnsi="Arial" w:cs="Arial"/>
                <w:sz w:val="22"/>
                <w:szCs w:val="22"/>
              </w:rPr>
              <w:t>929*21,17 €*6</w:t>
            </w:r>
          </w:p>
        </w:tc>
        <w:tc>
          <w:tcPr>
            <w:tcW w:w="21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9B4233">
            <w:pPr>
              <w:rPr>
                <w:rFonts w:ascii="Arial" w:hAnsi="Arial" w:cs="Arial"/>
                <w:sz w:val="22"/>
                <w:szCs w:val="22"/>
              </w:rPr>
            </w:pPr>
          </w:p>
        </w:tc>
        <w:tc>
          <w:tcPr>
            <w:tcW w:w="21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rPr>
                <w:rFonts w:ascii="Arial" w:hAnsi="Arial" w:cs="Arial"/>
                <w:sz w:val="22"/>
                <w:szCs w:val="22"/>
              </w:rPr>
            </w:pPr>
            <w:r>
              <w:rPr>
                <w:rFonts w:ascii="Arial" w:hAnsi="Arial" w:cs="Arial"/>
                <w:sz w:val="22"/>
                <w:szCs w:val="22"/>
              </w:rPr>
              <w:t>118.001,58 €</w:t>
            </w:r>
          </w:p>
        </w:tc>
      </w:tr>
      <w:tr w:rsidR="009B4233">
        <w:tblPrEx>
          <w:tblCellMar>
            <w:top w:w="0" w:type="dxa"/>
            <w:bottom w:w="0" w:type="dxa"/>
          </w:tblCellMar>
        </w:tblPrEx>
        <w:tc>
          <w:tcPr>
            <w:tcW w:w="21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rPr>
                <w:rFonts w:ascii="Arial" w:hAnsi="Arial" w:cs="Arial"/>
                <w:sz w:val="22"/>
                <w:szCs w:val="22"/>
              </w:rPr>
            </w:pPr>
            <w:r>
              <w:rPr>
                <w:rFonts w:ascii="Arial" w:hAnsi="Arial" w:cs="Arial"/>
                <w:sz w:val="22"/>
                <w:szCs w:val="22"/>
              </w:rPr>
              <w:t xml:space="preserve">DE 1 a 10 </w:t>
            </w:r>
            <w:r>
              <w:rPr>
                <w:rFonts w:ascii="Arial" w:hAnsi="Arial" w:cs="Arial"/>
                <w:sz w:val="22"/>
                <w:szCs w:val="22"/>
              </w:rPr>
              <w:t>m3</w:t>
            </w:r>
          </w:p>
        </w:tc>
        <w:tc>
          <w:tcPr>
            <w:tcW w:w="21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rPr>
                <w:rFonts w:ascii="Arial" w:hAnsi="Arial" w:cs="Arial"/>
                <w:sz w:val="22"/>
                <w:szCs w:val="22"/>
              </w:rPr>
            </w:pPr>
            <w:r>
              <w:rPr>
                <w:rFonts w:ascii="Arial" w:hAnsi="Arial" w:cs="Arial"/>
                <w:sz w:val="22"/>
                <w:szCs w:val="22"/>
              </w:rPr>
              <w:t>35.059</w:t>
            </w:r>
          </w:p>
        </w:tc>
        <w:tc>
          <w:tcPr>
            <w:tcW w:w="21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rPr>
                <w:rFonts w:ascii="Arial" w:hAnsi="Arial" w:cs="Arial"/>
                <w:sz w:val="22"/>
                <w:szCs w:val="22"/>
              </w:rPr>
            </w:pPr>
            <w:r>
              <w:rPr>
                <w:rFonts w:ascii="Arial" w:hAnsi="Arial" w:cs="Arial"/>
                <w:sz w:val="22"/>
                <w:szCs w:val="22"/>
              </w:rPr>
              <w:t>0,89</w:t>
            </w:r>
          </w:p>
          <w:p w:rsidR="009B4233" w:rsidRDefault="009B4233">
            <w:pPr>
              <w:rPr>
                <w:rFonts w:ascii="Arial" w:hAnsi="Arial" w:cs="Arial"/>
                <w:sz w:val="22"/>
                <w:szCs w:val="22"/>
              </w:rPr>
            </w:pPr>
          </w:p>
        </w:tc>
        <w:tc>
          <w:tcPr>
            <w:tcW w:w="21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rPr>
                <w:rFonts w:ascii="Arial" w:hAnsi="Arial" w:cs="Arial"/>
                <w:sz w:val="22"/>
                <w:szCs w:val="22"/>
              </w:rPr>
            </w:pPr>
            <w:r>
              <w:rPr>
                <w:rFonts w:ascii="Arial" w:hAnsi="Arial" w:cs="Arial"/>
                <w:sz w:val="22"/>
                <w:szCs w:val="22"/>
              </w:rPr>
              <w:t>31.202,51€</w:t>
            </w:r>
          </w:p>
        </w:tc>
      </w:tr>
      <w:tr w:rsidR="009B4233">
        <w:tblPrEx>
          <w:tblCellMar>
            <w:top w:w="0" w:type="dxa"/>
            <w:bottom w:w="0" w:type="dxa"/>
          </w:tblCellMar>
        </w:tblPrEx>
        <w:tc>
          <w:tcPr>
            <w:tcW w:w="21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rPr>
                <w:rFonts w:ascii="Arial" w:hAnsi="Arial" w:cs="Arial"/>
                <w:sz w:val="22"/>
                <w:szCs w:val="22"/>
              </w:rPr>
            </w:pPr>
            <w:r>
              <w:rPr>
                <w:rFonts w:ascii="Arial" w:hAnsi="Arial" w:cs="Arial"/>
                <w:sz w:val="22"/>
                <w:szCs w:val="22"/>
              </w:rPr>
              <w:t>De 11 a 30 m3</w:t>
            </w:r>
          </w:p>
        </w:tc>
        <w:tc>
          <w:tcPr>
            <w:tcW w:w="21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rPr>
                <w:rFonts w:ascii="Arial" w:hAnsi="Arial" w:cs="Arial"/>
                <w:sz w:val="22"/>
                <w:szCs w:val="22"/>
              </w:rPr>
            </w:pPr>
            <w:r>
              <w:rPr>
                <w:rFonts w:ascii="Arial" w:hAnsi="Arial" w:cs="Arial"/>
                <w:sz w:val="22"/>
                <w:szCs w:val="22"/>
              </w:rPr>
              <w:t>37.130</w:t>
            </w:r>
          </w:p>
        </w:tc>
        <w:tc>
          <w:tcPr>
            <w:tcW w:w="21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rPr>
                <w:rFonts w:ascii="Arial" w:hAnsi="Arial" w:cs="Arial"/>
                <w:sz w:val="22"/>
                <w:szCs w:val="22"/>
              </w:rPr>
            </w:pPr>
            <w:r>
              <w:rPr>
                <w:rFonts w:ascii="Arial" w:hAnsi="Arial" w:cs="Arial"/>
                <w:sz w:val="22"/>
                <w:szCs w:val="22"/>
              </w:rPr>
              <w:t>1,84</w:t>
            </w:r>
          </w:p>
        </w:tc>
        <w:tc>
          <w:tcPr>
            <w:tcW w:w="21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rPr>
                <w:rFonts w:ascii="Arial" w:hAnsi="Arial" w:cs="Arial"/>
                <w:sz w:val="22"/>
                <w:szCs w:val="22"/>
              </w:rPr>
            </w:pPr>
            <w:r>
              <w:rPr>
                <w:rFonts w:ascii="Arial" w:hAnsi="Arial" w:cs="Arial"/>
                <w:sz w:val="22"/>
                <w:szCs w:val="22"/>
              </w:rPr>
              <w:t>68.319,20 €</w:t>
            </w:r>
          </w:p>
        </w:tc>
      </w:tr>
      <w:tr w:rsidR="009B4233">
        <w:tblPrEx>
          <w:tblCellMar>
            <w:top w:w="0" w:type="dxa"/>
            <w:bottom w:w="0" w:type="dxa"/>
          </w:tblCellMar>
        </w:tblPrEx>
        <w:tc>
          <w:tcPr>
            <w:tcW w:w="21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rPr>
                <w:rFonts w:ascii="Arial" w:hAnsi="Arial" w:cs="Arial"/>
                <w:sz w:val="22"/>
                <w:szCs w:val="22"/>
              </w:rPr>
            </w:pPr>
            <w:r>
              <w:rPr>
                <w:rFonts w:ascii="Arial" w:hAnsi="Arial" w:cs="Arial"/>
                <w:sz w:val="22"/>
                <w:szCs w:val="22"/>
              </w:rPr>
              <w:t>De 31 a 60 m3</w:t>
            </w:r>
          </w:p>
        </w:tc>
        <w:tc>
          <w:tcPr>
            <w:tcW w:w="21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rPr>
                <w:rFonts w:ascii="Arial" w:hAnsi="Arial" w:cs="Arial"/>
                <w:sz w:val="22"/>
                <w:szCs w:val="22"/>
              </w:rPr>
            </w:pPr>
            <w:r>
              <w:rPr>
                <w:rFonts w:ascii="Arial" w:hAnsi="Arial" w:cs="Arial"/>
                <w:sz w:val="22"/>
                <w:szCs w:val="22"/>
              </w:rPr>
              <w:t>26.304</w:t>
            </w:r>
          </w:p>
        </w:tc>
        <w:tc>
          <w:tcPr>
            <w:tcW w:w="21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rPr>
                <w:rFonts w:ascii="Arial" w:hAnsi="Arial" w:cs="Arial"/>
                <w:sz w:val="22"/>
                <w:szCs w:val="22"/>
              </w:rPr>
            </w:pPr>
            <w:r>
              <w:rPr>
                <w:rFonts w:ascii="Arial" w:hAnsi="Arial" w:cs="Arial"/>
                <w:sz w:val="22"/>
                <w:szCs w:val="22"/>
              </w:rPr>
              <w:t>2,84</w:t>
            </w:r>
          </w:p>
        </w:tc>
        <w:tc>
          <w:tcPr>
            <w:tcW w:w="21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rPr>
                <w:rFonts w:ascii="Arial" w:hAnsi="Arial" w:cs="Arial"/>
                <w:sz w:val="22"/>
                <w:szCs w:val="22"/>
              </w:rPr>
            </w:pPr>
            <w:r>
              <w:rPr>
                <w:rFonts w:ascii="Arial" w:hAnsi="Arial" w:cs="Arial"/>
                <w:sz w:val="22"/>
                <w:szCs w:val="22"/>
              </w:rPr>
              <w:t>74.703,36 €</w:t>
            </w:r>
          </w:p>
        </w:tc>
      </w:tr>
      <w:tr w:rsidR="009B4233">
        <w:tblPrEx>
          <w:tblCellMar>
            <w:top w:w="0" w:type="dxa"/>
            <w:bottom w:w="0" w:type="dxa"/>
          </w:tblCellMar>
        </w:tblPrEx>
        <w:tc>
          <w:tcPr>
            <w:tcW w:w="21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rPr>
                <w:rFonts w:ascii="Arial" w:hAnsi="Arial" w:cs="Arial"/>
                <w:sz w:val="22"/>
                <w:szCs w:val="22"/>
              </w:rPr>
            </w:pPr>
            <w:r>
              <w:rPr>
                <w:rFonts w:ascii="Arial" w:hAnsi="Arial" w:cs="Arial"/>
                <w:sz w:val="22"/>
                <w:szCs w:val="22"/>
              </w:rPr>
              <w:t>Más de 60 m3</w:t>
            </w:r>
          </w:p>
        </w:tc>
        <w:tc>
          <w:tcPr>
            <w:tcW w:w="21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rPr>
                <w:rFonts w:ascii="Arial" w:hAnsi="Arial" w:cs="Arial"/>
                <w:sz w:val="22"/>
                <w:szCs w:val="22"/>
              </w:rPr>
            </w:pPr>
            <w:r>
              <w:rPr>
                <w:rFonts w:ascii="Arial" w:hAnsi="Arial" w:cs="Arial"/>
                <w:sz w:val="22"/>
                <w:szCs w:val="22"/>
              </w:rPr>
              <w:t>133.715</w:t>
            </w:r>
          </w:p>
        </w:tc>
        <w:tc>
          <w:tcPr>
            <w:tcW w:w="21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rPr>
                <w:rFonts w:ascii="Arial" w:hAnsi="Arial" w:cs="Arial"/>
                <w:sz w:val="22"/>
                <w:szCs w:val="22"/>
              </w:rPr>
            </w:pPr>
            <w:r>
              <w:rPr>
                <w:rFonts w:ascii="Arial" w:hAnsi="Arial" w:cs="Arial"/>
                <w:sz w:val="22"/>
                <w:szCs w:val="22"/>
              </w:rPr>
              <w:t>3,94</w:t>
            </w:r>
          </w:p>
        </w:tc>
        <w:tc>
          <w:tcPr>
            <w:tcW w:w="21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rPr>
                <w:rFonts w:ascii="Arial" w:hAnsi="Arial" w:cs="Arial"/>
                <w:sz w:val="22"/>
                <w:szCs w:val="22"/>
              </w:rPr>
            </w:pPr>
            <w:r>
              <w:rPr>
                <w:rFonts w:ascii="Arial" w:hAnsi="Arial" w:cs="Arial"/>
                <w:sz w:val="22"/>
                <w:szCs w:val="22"/>
              </w:rPr>
              <w:t>526.837,10 €</w:t>
            </w:r>
          </w:p>
        </w:tc>
      </w:tr>
      <w:tr w:rsidR="009B4233">
        <w:tblPrEx>
          <w:tblCellMar>
            <w:top w:w="0" w:type="dxa"/>
            <w:bottom w:w="0" w:type="dxa"/>
          </w:tblCellMar>
        </w:tblPrEx>
        <w:tc>
          <w:tcPr>
            <w:tcW w:w="21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rPr>
                <w:rFonts w:ascii="Arial" w:hAnsi="Arial" w:cs="Arial"/>
                <w:b/>
                <w:sz w:val="22"/>
                <w:szCs w:val="22"/>
              </w:rPr>
            </w:pPr>
            <w:r>
              <w:rPr>
                <w:rFonts w:ascii="Arial" w:hAnsi="Arial" w:cs="Arial"/>
                <w:b/>
                <w:sz w:val="22"/>
                <w:szCs w:val="22"/>
              </w:rPr>
              <w:t>TOTAL</w:t>
            </w:r>
          </w:p>
        </w:tc>
        <w:tc>
          <w:tcPr>
            <w:tcW w:w="21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9B4233">
            <w:pPr>
              <w:rPr>
                <w:rFonts w:ascii="Arial" w:hAnsi="Arial" w:cs="Arial"/>
                <w:b/>
                <w:sz w:val="22"/>
                <w:szCs w:val="22"/>
              </w:rPr>
            </w:pPr>
          </w:p>
        </w:tc>
        <w:tc>
          <w:tcPr>
            <w:tcW w:w="21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9B4233">
            <w:pPr>
              <w:rPr>
                <w:rFonts w:ascii="Arial" w:hAnsi="Arial" w:cs="Arial"/>
                <w:b/>
                <w:sz w:val="22"/>
                <w:szCs w:val="22"/>
              </w:rPr>
            </w:pPr>
          </w:p>
        </w:tc>
        <w:tc>
          <w:tcPr>
            <w:tcW w:w="21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rPr>
                <w:rFonts w:ascii="Arial" w:hAnsi="Arial" w:cs="Arial"/>
                <w:b/>
                <w:sz w:val="22"/>
                <w:szCs w:val="22"/>
              </w:rPr>
            </w:pPr>
            <w:r>
              <w:rPr>
                <w:rFonts w:ascii="Arial" w:hAnsi="Arial" w:cs="Arial"/>
                <w:b/>
                <w:sz w:val="22"/>
                <w:szCs w:val="22"/>
              </w:rPr>
              <w:t>819.063,75 €</w:t>
            </w:r>
          </w:p>
        </w:tc>
      </w:tr>
    </w:tbl>
    <w:p w:rsidR="009B4233" w:rsidRDefault="009B4233">
      <w:pPr>
        <w:pStyle w:val="Textoindependiente"/>
        <w:ind w:firstLine="708"/>
        <w:jc w:val="both"/>
        <w:rPr>
          <w:rFonts w:cs="Arial"/>
          <w:szCs w:val="22"/>
        </w:rPr>
      </w:pPr>
    </w:p>
    <w:p w:rsidR="009B4233" w:rsidRDefault="006B08B9">
      <w:pPr>
        <w:pStyle w:val="Textoindependiente"/>
        <w:jc w:val="both"/>
        <w:rPr>
          <w:rFonts w:cs="Arial"/>
          <w:szCs w:val="22"/>
        </w:rPr>
      </w:pPr>
      <w:r>
        <w:rPr>
          <w:rFonts w:cs="Arial"/>
          <w:szCs w:val="22"/>
        </w:rPr>
        <w:tab/>
        <w:t>Por tanto, se obtiene un déficit de 351.123,09 Euros, por lo que a través del cociente</w:t>
      </w:r>
      <w:r>
        <w:rPr>
          <w:rFonts w:cs="Arial"/>
          <w:szCs w:val="22"/>
        </w:rPr>
        <w:t xml:space="preserve"> entre los gastos e ingresos, nos da una subida del 8,60 %, para restablecer el equilibrio económico financiero del servicio, frente al 13,67 %, solicitado por Aqualia, dando lugar a las siguientes tarifas:</w:t>
      </w:r>
    </w:p>
    <w:p w:rsidR="009B4233" w:rsidRDefault="009B4233">
      <w:pPr>
        <w:pStyle w:val="Textoindependiente"/>
        <w:ind w:firstLine="708"/>
        <w:jc w:val="both"/>
        <w:rPr>
          <w:rFonts w:cs="Arial"/>
          <w:b/>
          <w:szCs w:val="22"/>
        </w:rPr>
      </w:pPr>
    </w:p>
    <w:tbl>
      <w:tblPr>
        <w:tblW w:w="6095" w:type="dxa"/>
        <w:tblInd w:w="1526" w:type="dxa"/>
        <w:tblCellMar>
          <w:left w:w="10" w:type="dxa"/>
          <w:right w:w="10" w:type="dxa"/>
        </w:tblCellMar>
        <w:tblLook w:val="0000" w:firstRow="0" w:lastRow="0" w:firstColumn="0" w:lastColumn="0" w:noHBand="0" w:noVBand="0"/>
      </w:tblPr>
      <w:tblGrid>
        <w:gridCol w:w="2835"/>
        <w:gridCol w:w="3260"/>
      </w:tblGrid>
      <w:tr w:rsidR="009B4233">
        <w:tblPrEx>
          <w:tblCellMar>
            <w:top w:w="0" w:type="dxa"/>
            <w:bottom w:w="0" w:type="dxa"/>
          </w:tblCellMar>
        </w:tblPrEx>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pStyle w:val="Textoindependiente"/>
              <w:jc w:val="center"/>
              <w:rPr>
                <w:rFonts w:cs="Arial"/>
                <w:b/>
                <w:szCs w:val="22"/>
              </w:rPr>
            </w:pPr>
            <w:r>
              <w:rPr>
                <w:rFonts w:cs="Arial"/>
                <w:b/>
                <w:szCs w:val="22"/>
              </w:rPr>
              <w:t>TARIFAS</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pStyle w:val="Textoindependiente"/>
              <w:jc w:val="center"/>
              <w:rPr>
                <w:rFonts w:cs="Arial"/>
                <w:b/>
                <w:szCs w:val="22"/>
              </w:rPr>
            </w:pPr>
            <w:r>
              <w:rPr>
                <w:rFonts w:cs="Arial"/>
                <w:b/>
                <w:szCs w:val="22"/>
              </w:rPr>
              <w:t>PROPUESTAS AL PLENO</w:t>
            </w:r>
          </w:p>
        </w:tc>
      </w:tr>
      <w:tr w:rsidR="009B4233">
        <w:tblPrEx>
          <w:tblCellMar>
            <w:top w:w="0" w:type="dxa"/>
            <w:bottom w:w="0" w:type="dxa"/>
          </w:tblCellMar>
        </w:tblPrEx>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widowControl/>
              <w:suppressAutoHyphens w:val="0"/>
              <w:spacing w:after="120"/>
              <w:jc w:val="center"/>
            </w:pPr>
            <w:r>
              <w:rPr>
                <w:rFonts w:ascii="Arial" w:eastAsia="Times New Roman" w:hAnsi="Arial" w:cs="Arial"/>
                <w:b/>
                <w:bCs/>
                <w:color w:val="000000"/>
                <w:sz w:val="22"/>
                <w:szCs w:val="22"/>
                <w:lang w:eastAsia="es-ES"/>
              </w:rPr>
              <w:t>CONSUMO DOMÉSTICO</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9B4233">
            <w:pPr>
              <w:pStyle w:val="Textoindependiente"/>
              <w:jc w:val="center"/>
              <w:rPr>
                <w:rFonts w:cs="Arial"/>
                <w:szCs w:val="22"/>
              </w:rPr>
            </w:pPr>
          </w:p>
        </w:tc>
      </w:tr>
      <w:tr w:rsidR="009B4233">
        <w:tblPrEx>
          <w:tblCellMar>
            <w:top w:w="0" w:type="dxa"/>
            <w:bottom w:w="0" w:type="dxa"/>
          </w:tblCellMar>
        </w:tblPrEx>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widowControl/>
              <w:suppressAutoHyphens w:val="0"/>
              <w:spacing w:after="120"/>
              <w:jc w:val="center"/>
            </w:pPr>
            <w:r>
              <w:rPr>
                <w:rFonts w:ascii="Arial" w:eastAsia="Times New Roman" w:hAnsi="Arial" w:cs="Arial"/>
                <w:color w:val="000000"/>
                <w:sz w:val="22"/>
                <w:szCs w:val="22"/>
                <w:lang w:eastAsia="es-ES"/>
              </w:rPr>
              <w:t>CUOTA FIJA</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widowControl/>
              <w:suppressAutoHyphens w:val="0"/>
              <w:spacing w:after="120"/>
              <w:jc w:val="center"/>
            </w:pPr>
            <w:r>
              <w:rPr>
                <w:rFonts w:ascii="Arial" w:eastAsia="Times New Roman" w:hAnsi="Arial" w:cs="Arial"/>
                <w:color w:val="000000"/>
                <w:sz w:val="22"/>
                <w:szCs w:val="22"/>
                <w:lang w:eastAsia="es-ES"/>
              </w:rPr>
              <w:t>15,41 €</w:t>
            </w:r>
          </w:p>
        </w:tc>
      </w:tr>
      <w:tr w:rsidR="009B4233">
        <w:tblPrEx>
          <w:tblCellMar>
            <w:top w:w="0" w:type="dxa"/>
            <w:bottom w:w="0" w:type="dxa"/>
          </w:tblCellMar>
        </w:tblPrEx>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widowControl/>
              <w:suppressAutoHyphens w:val="0"/>
              <w:spacing w:after="120"/>
              <w:jc w:val="center"/>
            </w:pPr>
            <w:r>
              <w:rPr>
                <w:rFonts w:ascii="Arial" w:eastAsia="Times New Roman" w:hAnsi="Arial" w:cs="Arial"/>
                <w:color w:val="000000"/>
                <w:sz w:val="22"/>
                <w:szCs w:val="22"/>
                <w:lang w:eastAsia="es-ES"/>
              </w:rPr>
              <w:t>De 1 a 10 m3</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widowControl/>
              <w:suppressAutoHyphens w:val="0"/>
              <w:spacing w:after="120"/>
              <w:jc w:val="center"/>
            </w:pPr>
            <w:r>
              <w:rPr>
                <w:rFonts w:ascii="Arial" w:eastAsia="Times New Roman" w:hAnsi="Arial" w:cs="Arial"/>
                <w:color w:val="000000"/>
                <w:sz w:val="22"/>
                <w:szCs w:val="22"/>
                <w:lang w:eastAsia="es-ES"/>
              </w:rPr>
              <w:t>0,64 €/m3</w:t>
            </w:r>
          </w:p>
        </w:tc>
      </w:tr>
      <w:tr w:rsidR="009B4233">
        <w:tblPrEx>
          <w:tblCellMar>
            <w:top w:w="0" w:type="dxa"/>
            <w:bottom w:w="0" w:type="dxa"/>
          </w:tblCellMar>
        </w:tblPrEx>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widowControl/>
              <w:suppressAutoHyphens w:val="0"/>
              <w:spacing w:after="120"/>
              <w:jc w:val="center"/>
            </w:pPr>
            <w:r>
              <w:rPr>
                <w:rFonts w:ascii="Arial" w:eastAsia="Times New Roman" w:hAnsi="Arial" w:cs="Arial"/>
                <w:i/>
                <w:iCs/>
                <w:color w:val="000000"/>
                <w:sz w:val="22"/>
                <w:szCs w:val="22"/>
                <w:lang w:eastAsia="es-ES"/>
              </w:rPr>
              <w:t xml:space="preserve">De </w:t>
            </w:r>
            <w:r>
              <w:rPr>
                <w:rFonts w:ascii="Arial" w:eastAsia="Times New Roman" w:hAnsi="Arial" w:cs="Arial"/>
                <w:color w:val="000000"/>
                <w:sz w:val="22"/>
                <w:szCs w:val="22"/>
                <w:lang w:eastAsia="es-ES"/>
              </w:rPr>
              <w:t>11 a 30 m3</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widowControl/>
              <w:suppressAutoHyphens w:val="0"/>
              <w:spacing w:after="120"/>
              <w:jc w:val="center"/>
            </w:pPr>
            <w:r>
              <w:rPr>
                <w:rFonts w:ascii="Arial" w:eastAsia="Times New Roman" w:hAnsi="Arial" w:cs="Arial"/>
                <w:color w:val="000000"/>
                <w:sz w:val="22"/>
                <w:szCs w:val="22"/>
                <w:lang w:eastAsia="es-ES"/>
              </w:rPr>
              <w:t>1,30 €/m3</w:t>
            </w:r>
          </w:p>
        </w:tc>
      </w:tr>
      <w:tr w:rsidR="009B4233">
        <w:tblPrEx>
          <w:tblCellMar>
            <w:top w:w="0" w:type="dxa"/>
            <w:bottom w:w="0" w:type="dxa"/>
          </w:tblCellMar>
        </w:tblPrEx>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widowControl/>
              <w:suppressAutoHyphens w:val="0"/>
              <w:spacing w:after="120"/>
              <w:jc w:val="center"/>
            </w:pPr>
            <w:r>
              <w:rPr>
                <w:rFonts w:ascii="Arial" w:eastAsia="Times New Roman" w:hAnsi="Arial" w:cs="Arial"/>
                <w:i/>
                <w:iCs/>
                <w:color w:val="000000"/>
                <w:sz w:val="22"/>
                <w:szCs w:val="22"/>
                <w:lang w:eastAsia="es-ES"/>
              </w:rPr>
              <w:t xml:space="preserve">De 31 a 60 </w:t>
            </w:r>
            <w:r>
              <w:rPr>
                <w:rFonts w:ascii="Arial" w:eastAsia="Times New Roman" w:hAnsi="Arial" w:cs="Arial"/>
                <w:color w:val="000000"/>
                <w:sz w:val="22"/>
                <w:szCs w:val="22"/>
                <w:lang w:eastAsia="es-ES"/>
              </w:rPr>
              <w:t>m3</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widowControl/>
              <w:suppressAutoHyphens w:val="0"/>
              <w:spacing w:after="120"/>
              <w:jc w:val="center"/>
            </w:pPr>
            <w:r>
              <w:rPr>
                <w:rFonts w:ascii="Arial" w:eastAsia="Times New Roman" w:hAnsi="Arial" w:cs="Arial"/>
                <w:color w:val="000000"/>
                <w:sz w:val="22"/>
                <w:szCs w:val="22"/>
                <w:lang w:eastAsia="es-ES"/>
              </w:rPr>
              <w:t>2,38 €/m3</w:t>
            </w:r>
          </w:p>
        </w:tc>
      </w:tr>
      <w:tr w:rsidR="009B4233">
        <w:tblPrEx>
          <w:tblCellMar>
            <w:top w:w="0" w:type="dxa"/>
            <w:bottom w:w="0" w:type="dxa"/>
          </w:tblCellMar>
        </w:tblPrEx>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widowControl/>
              <w:suppressAutoHyphens w:val="0"/>
              <w:spacing w:after="120"/>
              <w:jc w:val="center"/>
            </w:pPr>
            <w:r>
              <w:rPr>
                <w:rFonts w:ascii="Arial" w:eastAsia="Times New Roman" w:hAnsi="Arial" w:cs="Arial"/>
                <w:i/>
                <w:iCs/>
                <w:color w:val="000000"/>
                <w:sz w:val="22"/>
                <w:szCs w:val="22"/>
                <w:lang w:eastAsia="es-ES"/>
              </w:rPr>
              <w:t xml:space="preserve">Más de 60 </w:t>
            </w:r>
            <w:r>
              <w:rPr>
                <w:rFonts w:ascii="Arial" w:eastAsia="Times New Roman" w:hAnsi="Arial" w:cs="Arial"/>
                <w:color w:val="000000"/>
                <w:sz w:val="22"/>
                <w:szCs w:val="22"/>
                <w:lang w:eastAsia="es-ES"/>
              </w:rPr>
              <w:t>m3</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widowControl/>
              <w:suppressAutoHyphens w:val="0"/>
              <w:spacing w:after="120"/>
              <w:jc w:val="center"/>
            </w:pPr>
            <w:r>
              <w:rPr>
                <w:rFonts w:ascii="Arial" w:eastAsia="Times New Roman" w:hAnsi="Arial" w:cs="Arial"/>
                <w:color w:val="000000"/>
                <w:sz w:val="22"/>
                <w:szCs w:val="22"/>
                <w:lang w:eastAsia="es-ES"/>
              </w:rPr>
              <w:t>3,78 €/m3</w:t>
            </w:r>
          </w:p>
        </w:tc>
      </w:tr>
      <w:tr w:rsidR="009B4233">
        <w:tblPrEx>
          <w:tblCellMar>
            <w:top w:w="0" w:type="dxa"/>
            <w:bottom w:w="0" w:type="dxa"/>
          </w:tblCellMar>
        </w:tblPrEx>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widowControl/>
              <w:suppressAutoHyphens w:val="0"/>
              <w:spacing w:after="120"/>
              <w:jc w:val="center"/>
            </w:pPr>
            <w:r>
              <w:rPr>
                <w:rFonts w:ascii="Arial" w:eastAsia="Times New Roman" w:hAnsi="Arial" w:cs="Arial"/>
                <w:b/>
                <w:bCs/>
                <w:color w:val="000000"/>
                <w:sz w:val="22"/>
                <w:szCs w:val="22"/>
                <w:lang w:eastAsia="es-ES"/>
              </w:rPr>
              <w:t>CONSUMO INDUSTRIAL</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9B4233">
            <w:pPr>
              <w:pStyle w:val="Textoindependiente"/>
              <w:jc w:val="center"/>
              <w:rPr>
                <w:rFonts w:cs="Arial"/>
                <w:szCs w:val="22"/>
              </w:rPr>
            </w:pPr>
          </w:p>
        </w:tc>
      </w:tr>
      <w:tr w:rsidR="009B4233">
        <w:tblPrEx>
          <w:tblCellMar>
            <w:top w:w="0" w:type="dxa"/>
            <w:bottom w:w="0" w:type="dxa"/>
          </w:tblCellMar>
        </w:tblPrEx>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widowControl/>
              <w:suppressAutoHyphens w:val="0"/>
              <w:spacing w:after="120"/>
              <w:jc w:val="center"/>
            </w:pPr>
            <w:r>
              <w:rPr>
                <w:rFonts w:ascii="Arial" w:eastAsia="Times New Roman" w:hAnsi="Arial" w:cs="Arial"/>
                <w:color w:val="000000"/>
                <w:sz w:val="22"/>
                <w:szCs w:val="22"/>
                <w:lang w:eastAsia="es-ES"/>
              </w:rPr>
              <w:t>CUOTA FIJA</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widowControl/>
              <w:suppressAutoHyphens w:val="0"/>
              <w:spacing w:after="120"/>
              <w:jc w:val="center"/>
            </w:pPr>
            <w:r>
              <w:rPr>
                <w:rFonts w:ascii="Arial" w:eastAsia="Times New Roman" w:hAnsi="Arial" w:cs="Arial"/>
                <w:color w:val="000000"/>
                <w:sz w:val="22"/>
                <w:szCs w:val="22"/>
                <w:lang w:eastAsia="es-ES"/>
              </w:rPr>
              <w:t>22,99 €</w:t>
            </w:r>
          </w:p>
        </w:tc>
      </w:tr>
      <w:tr w:rsidR="009B4233">
        <w:tblPrEx>
          <w:tblCellMar>
            <w:top w:w="0" w:type="dxa"/>
            <w:bottom w:w="0" w:type="dxa"/>
          </w:tblCellMar>
        </w:tblPrEx>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widowControl/>
              <w:suppressAutoHyphens w:val="0"/>
              <w:spacing w:after="120"/>
              <w:jc w:val="center"/>
            </w:pPr>
            <w:r>
              <w:rPr>
                <w:rFonts w:ascii="Arial" w:eastAsia="Times New Roman" w:hAnsi="Arial" w:cs="Arial"/>
                <w:color w:val="000000"/>
                <w:sz w:val="22"/>
                <w:szCs w:val="22"/>
                <w:lang w:eastAsia="es-ES"/>
              </w:rPr>
              <w:t>De 1 a 10 m3</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widowControl/>
              <w:suppressAutoHyphens w:val="0"/>
              <w:spacing w:after="120"/>
              <w:jc w:val="center"/>
            </w:pPr>
            <w:r>
              <w:rPr>
                <w:rFonts w:ascii="Arial" w:eastAsia="Times New Roman" w:hAnsi="Arial" w:cs="Arial"/>
                <w:color w:val="000000"/>
                <w:sz w:val="22"/>
                <w:szCs w:val="22"/>
                <w:lang w:eastAsia="es-ES"/>
              </w:rPr>
              <w:t>0,97 €/m3</w:t>
            </w:r>
          </w:p>
        </w:tc>
      </w:tr>
      <w:tr w:rsidR="009B4233">
        <w:tblPrEx>
          <w:tblCellMar>
            <w:top w:w="0" w:type="dxa"/>
            <w:bottom w:w="0" w:type="dxa"/>
          </w:tblCellMar>
        </w:tblPrEx>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widowControl/>
              <w:suppressAutoHyphens w:val="0"/>
              <w:spacing w:after="120"/>
              <w:jc w:val="center"/>
            </w:pPr>
            <w:r>
              <w:rPr>
                <w:rFonts w:ascii="Arial" w:eastAsia="Times New Roman" w:hAnsi="Arial" w:cs="Arial"/>
                <w:i/>
                <w:iCs/>
                <w:color w:val="000000"/>
                <w:sz w:val="22"/>
                <w:szCs w:val="22"/>
                <w:lang w:eastAsia="es-ES"/>
              </w:rPr>
              <w:t xml:space="preserve">De </w:t>
            </w:r>
            <w:r>
              <w:rPr>
                <w:rFonts w:ascii="Arial" w:eastAsia="Times New Roman" w:hAnsi="Arial" w:cs="Arial"/>
                <w:color w:val="000000"/>
                <w:sz w:val="22"/>
                <w:szCs w:val="22"/>
                <w:lang w:eastAsia="es-ES"/>
              </w:rPr>
              <w:t>11 a 30 m3</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widowControl/>
              <w:suppressAutoHyphens w:val="0"/>
              <w:spacing w:after="120"/>
              <w:jc w:val="center"/>
            </w:pPr>
            <w:r>
              <w:rPr>
                <w:rFonts w:ascii="Arial" w:eastAsia="Times New Roman" w:hAnsi="Arial" w:cs="Arial"/>
                <w:color w:val="000000"/>
                <w:sz w:val="22"/>
                <w:szCs w:val="22"/>
                <w:lang w:eastAsia="es-ES"/>
              </w:rPr>
              <w:t>2.00 €/m3</w:t>
            </w:r>
          </w:p>
        </w:tc>
      </w:tr>
      <w:tr w:rsidR="009B4233">
        <w:tblPrEx>
          <w:tblCellMar>
            <w:top w:w="0" w:type="dxa"/>
            <w:bottom w:w="0" w:type="dxa"/>
          </w:tblCellMar>
        </w:tblPrEx>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widowControl/>
              <w:suppressAutoHyphens w:val="0"/>
              <w:spacing w:after="120"/>
              <w:jc w:val="center"/>
            </w:pPr>
            <w:r>
              <w:rPr>
                <w:rFonts w:ascii="Arial" w:eastAsia="Times New Roman" w:hAnsi="Arial" w:cs="Arial"/>
                <w:i/>
                <w:iCs/>
                <w:color w:val="000000"/>
                <w:sz w:val="22"/>
                <w:szCs w:val="22"/>
                <w:lang w:eastAsia="es-ES"/>
              </w:rPr>
              <w:t xml:space="preserve">De 31 a 60 </w:t>
            </w:r>
            <w:r>
              <w:rPr>
                <w:rFonts w:ascii="Arial" w:eastAsia="Times New Roman" w:hAnsi="Arial" w:cs="Arial"/>
                <w:color w:val="000000"/>
                <w:sz w:val="22"/>
                <w:szCs w:val="22"/>
                <w:lang w:eastAsia="es-ES"/>
              </w:rPr>
              <w:t>m3</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widowControl/>
              <w:suppressAutoHyphens w:val="0"/>
              <w:spacing w:after="120"/>
              <w:jc w:val="center"/>
            </w:pPr>
            <w:r>
              <w:rPr>
                <w:rFonts w:ascii="Arial" w:eastAsia="Times New Roman" w:hAnsi="Arial" w:cs="Arial"/>
                <w:color w:val="000000"/>
                <w:sz w:val="22"/>
                <w:szCs w:val="22"/>
                <w:lang w:eastAsia="es-ES"/>
              </w:rPr>
              <w:t>3,08 €/m3</w:t>
            </w:r>
          </w:p>
        </w:tc>
      </w:tr>
      <w:tr w:rsidR="009B4233">
        <w:tblPrEx>
          <w:tblCellMar>
            <w:top w:w="0" w:type="dxa"/>
            <w:bottom w:w="0" w:type="dxa"/>
          </w:tblCellMar>
        </w:tblPrEx>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widowControl/>
              <w:suppressAutoHyphens w:val="0"/>
              <w:spacing w:after="120"/>
              <w:jc w:val="center"/>
            </w:pPr>
            <w:r>
              <w:rPr>
                <w:rFonts w:ascii="Arial" w:eastAsia="Times New Roman" w:hAnsi="Arial" w:cs="Arial"/>
                <w:i/>
                <w:iCs/>
                <w:color w:val="000000"/>
                <w:sz w:val="22"/>
                <w:szCs w:val="22"/>
                <w:lang w:eastAsia="es-ES"/>
              </w:rPr>
              <w:t xml:space="preserve">Más de 60 </w:t>
            </w:r>
            <w:r>
              <w:rPr>
                <w:rFonts w:ascii="Arial" w:eastAsia="Times New Roman" w:hAnsi="Arial" w:cs="Arial"/>
                <w:color w:val="000000"/>
                <w:sz w:val="22"/>
                <w:szCs w:val="22"/>
                <w:lang w:eastAsia="es-ES"/>
              </w:rPr>
              <w:t>m3</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widowControl/>
              <w:suppressAutoHyphens w:val="0"/>
              <w:spacing w:after="120"/>
              <w:jc w:val="center"/>
            </w:pPr>
            <w:r>
              <w:rPr>
                <w:rFonts w:ascii="Arial" w:eastAsia="Times New Roman" w:hAnsi="Arial" w:cs="Arial"/>
                <w:color w:val="000000"/>
                <w:sz w:val="22"/>
                <w:szCs w:val="22"/>
                <w:lang w:eastAsia="es-ES"/>
              </w:rPr>
              <w:t>4,28 €/m3</w:t>
            </w:r>
          </w:p>
        </w:tc>
      </w:tr>
    </w:tbl>
    <w:p w:rsidR="009B4233" w:rsidRDefault="009B4233">
      <w:pPr>
        <w:pStyle w:val="Textoindependiente"/>
        <w:jc w:val="both"/>
        <w:rPr>
          <w:rFonts w:cs="Arial"/>
          <w:szCs w:val="22"/>
        </w:rPr>
      </w:pPr>
    </w:p>
    <w:p w:rsidR="009B4233" w:rsidRDefault="006B08B9">
      <w:pPr>
        <w:pStyle w:val="Textoindependiente"/>
        <w:jc w:val="both"/>
        <w:rPr>
          <w:rFonts w:cs="Arial"/>
          <w:szCs w:val="22"/>
        </w:rPr>
      </w:pPr>
      <w:r>
        <w:rPr>
          <w:rFonts w:cs="Arial"/>
          <w:szCs w:val="22"/>
        </w:rPr>
        <w:t>Con estas nuevas tarifas, podemos obtener el siguiente cuadro con las tarifas a pagar, según consumos realizados tarifas de abastecimiento doméstico y su diferencia con las aprobadas por el anterior acuerdo plenario:</w:t>
      </w:r>
    </w:p>
    <w:p w:rsidR="009B4233" w:rsidRDefault="009B4233">
      <w:pPr>
        <w:pStyle w:val="Textoindependiente"/>
        <w:jc w:val="both"/>
        <w:rPr>
          <w:rFonts w:cs="Arial"/>
          <w:szCs w:val="22"/>
        </w:rPr>
      </w:pPr>
    </w:p>
    <w:tbl>
      <w:tblPr>
        <w:tblW w:w="8972" w:type="dxa"/>
        <w:tblLayout w:type="fixed"/>
        <w:tblCellMar>
          <w:left w:w="10" w:type="dxa"/>
          <w:right w:w="10" w:type="dxa"/>
        </w:tblCellMar>
        <w:tblLook w:val="0000" w:firstRow="0" w:lastRow="0" w:firstColumn="0" w:lastColumn="0" w:noHBand="0" w:noVBand="0"/>
      </w:tblPr>
      <w:tblGrid>
        <w:gridCol w:w="1601"/>
        <w:gridCol w:w="2410"/>
        <w:gridCol w:w="3119"/>
        <w:gridCol w:w="1842"/>
      </w:tblGrid>
      <w:tr w:rsidR="009B4233">
        <w:tblPrEx>
          <w:tblCellMar>
            <w:top w:w="0" w:type="dxa"/>
            <w:bottom w:w="0" w:type="dxa"/>
          </w:tblCellMar>
        </w:tblPrEx>
        <w:trPr>
          <w:trHeight w:val="300"/>
        </w:trPr>
        <w:tc>
          <w:tcPr>
            <w:tcW w:w="1601" w:type="dxa"/>
            <w:tcBorders>
              <w:top w:val="single" w:sz="8" w:space="0" w:color="000000"/>
              <w:left w:val="single" w:sz="8" w:space="0" w:color="000000"/>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
                <w:bCs/>
                <w:color w:val="000000"/>
                <w:sz w:val="22"/>
                <w:szCs w:val="22"/>
                <w:lang w:eastAsia="es-ES"/>
              </w:rPr>
            </w:pPr>
            <w:r>
              <w:rPr>
                <w:rFonts w:ascii="Arial" w:eastAsia="Times New Roman" w:hAnsi="Arial" w:cs="Arial"/>
                <w:b/>
                <w:bCs/>
                <w:color w:val="000000"/>
                <w:sz w:val="22"/>
                <w:szCs w:val="22"/>
                <w:lang w:eastAsia="es-ES"/>
              </w:rPr>
              <w:t>CONSUMO</w:t>
            </w:r>
          </w:p>
        </w:tc>
        <w:tc>
          <w:tcPr>
            <w:tcW w:w="2410" w:type="dxa"/>
            <w:tcBorders>
              <w:top w:val="single" w:sz="8" w:space="0" w:color="000000"/>
              <w:left w:val="single" w:sz="8" w:space="0" w:color="000000"/>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
                <w:bCs/>
                <w:color w:val="000000"/>
                <w:sz w:val="22"/>
                <w:szCs w:val="22"/>
                <w:lang w:eastAsia="es-ES"/>
              </w:rPr>
            </w:pPr>
            <w:r>
              <w:rPr>
                <w:rFonts w:ascii="Arial" w:eastAsia="Times New Roman" w:hAnsi="Arial" w:cs="Arial"/>
                <w:b/>
                <w:bCs/>
                <w:color w:val="000000"/>
                <w:sz w:val="22"/>
                <w:szCs w:val="22"/>
                <w:lang w:eastAsia="es-ES"/>
              </w:rPr>
              <w:t>TARIFA ACTUAL</w:t>
            </w:r>
          </w:p>
        </w:tc>
        <w:tc>
          <w:tcPr>
            <w:tcW w:w="3119" w:type="dxa"/>
            <w:tcBorders>
              <w:top w:val="single" w:sz="8" w:space="0" w:color="000000"/>
              <w:left w:val="single" w:sz="8" w:space="0" w:color="000000"/>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
                <w:bCs/>
                <w:color w:val="000000"/>
                <w:sz w:val="22"/>
                <w:szCs w:val="22"/>
                <w:lang w:eastAsia="es-ES"/>
              </w:rPr>
            </w:pPr>
            <w:r>
              <w:rPr>
                <w:rFonts w:ascii="Arial" w:eastAsia="Times New Roman" w:hAnsi="Arial" w:cs="Arial"/>
                <w:b/>
                <w:bCs/>
                <w:color w:val="000000"/>
                <w:sz w:val="22"/>
                <w:szCs w:val="22"/>
                <w:lang w:eastAsia="es-ES"/>
              </w:rPr>
              <w:t xml:space="preserve">TARIFA </w:t>
            </w:r>
            <w:r>
              <w:rPr>
                <w:rFonts w:ascii="Arial" w:eastAsia="Times New Roman" w:hAnsi="Arial" w:cs="Arial"/>
                <w:b/>
                <w:bCs/>
                <w:color w:val="000000"/>
                <w:sz w:val="22"/>
                <w:szCs w:val="22"/>
                <w:lang w:eastAsia="es-ES"/>
              </w:rPr>
              <w:t xml:space="preserve">PROPUESTA </w:t>
            </w:r>
          </w:p>
        </w:tc>
        <w:tc>
          <w:tcPr>
            <w:tcW w:w="1842" w:type="dxa"/>
            <w:tcBorders>
              <w:top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
                <w:bCs/>
                <w:color w:val="000000"/>
                <w:sz w:val="22"/>
                <w:szCs w:val="22"/>
                <w:lang w:eastAsia="es-ES"/>
              </w:rPr>
            </w:pPr>
            <w:r>
              <w:rPr>
                <w:rFonts w:ascii="Arial" w:eastAsia="Times New Roman" w:hAnsi="Arial" w:cs="Arial"/>
                <w:b/>
                <w:bCs/>
                <w:color w:val="000000"/>
                <w:sz w:val="22"/>
                <w:szCs w:val="22"/>
                <w:lang w:eastAsia="es-ES"/>
              </w:rPr>
              <w:t>DIFERENCIA</w:t>
            </w:r>
          </w:p>
        </w:tc>
      </w:tr>
      <w:tr w:rsidR="009B4233">
        <w:tblPrEx>
          <w:tblCellMar>
            <w:top w:w="0" w:type="dxa"/>
            <w:bottom w:w="0" w:type="dxa"/>
          </w:tblCellMar>
        </w:tblPrEx>
        <w:trPr>
          <w:trHeight w:val="300"/>
        </w:trPr>
        <w:tc>
          <w:tcPr>
            <w:tcW w:w="1601"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0  m3</w:t>
            </w:r>
          </w:p>
        </w:tc>
        <w:tc>
          <w:tcPr>
            <w:tcW w:w="2410"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14,19 €</w:t>
            </w:r>
          </w:p>
        </w:tc>
        <w:tc>
          <w:tcPr>
            <w:tcW w:w="3119"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15,41 €</w:t>
            </w:r>
          </w:p>
        </w:tc>
        <w:tc>
          <w:tcPr>
            <w:tcW w:w="1842" w:type="dxa"/>
            <w:tcBorders>
              <w:top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1,22 €</w:t>
            </w:r>
          </w:p>
        </w:tc>
      </w:tr>
      <w:tr w:rsidR="009B4233">
        <w:tblPrEx>
          <w:tblCellMar>
            <w:top w:w="0" w:type="dxa"/>
            <w:bottom w:w="0" w:type="dxa"/>
          </w:tblCellMar>
        </w:tblPrEx>
        <w:trPr>
          <w:trHeight w:val="300"/>
        </w:trPr>
        <w:tc>
          <w:tcPr>
            <w:tcW w:w="1601"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1 m3</w:t>
            </w:r>
          </w:p>
        </w:tc>
        <w:tc>
          <w:tcPr>
            <w:tcW w:w="2410"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14,78 €</w:t>
            </w:r>
          </w:p>
        </w:tc>
        <w:tc>
          <w:tcPr>
            <w:tcW w:w="3119"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16,05 €</w:t>
            </w:r>
          </w:p>
        </w:tc>
        <w:tc>
          <w:tcPr>
            <w:tcW w:w="1842" w:type="dxa"/>
            <w:tcBorders>
              <w:top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1,27 €</w:t>
            </w:r>
          </w:p>
        </w:tc>
      </w:tr>
      <w:tr w:rsidR="009B4233">
        <w:tblPrEx>
          <w:tblCellMar>
            <w:top w:w="0" w:type="dxa"/>
            <w:bottom w:w="0" w:type="dxa"/>
          </w:tblCellMar>
        </w:tblPrEx>
        <w:trPr>
          <w:trHeight w:val="300"/>
        </w:trPr>
        <w:tc>
          <w:tcPr>
            <w:tcW w:w="1601"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2 m3</w:t>
            </w:r>
          </w:p>
        </w:tc>
        <w:tc>
          <w:tcPr>
            <w:tcW w:w="2410"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15,37 €</w:t>
            </w:r>
          </w:p>
        </w:tc>
        <w:tc>
          <w:tcPr>
            <w:tcW w:w="3119"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16,69 €</w:t>
            </w:r>
          </w:p>
        </w:tc>
        <w:tc>
          <w:tcPr>
            <w:tcW w:w="1842" w:type="dxa"/>
            <w:tcBorders>
              <w:top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1,32 €</w:t>
            </w:r>
          </w:p>
        </w:tc>
      </w:tr>
      <w:tr w:rsidR="009B4233">
        <w:tblPrEx>
          <w:tblCellMar>
            <w:top w:w="0" w:type="dxa"/>
            <w:bottom w:w="0" w:type="dxa"/>
          </w:tblCellMar>
        </w:tblPrEx>
        <w:trPr>
          <w:trHeight w:val="300"/>
        </w:trPr>
        <w:tc>
          <w:tcPr>
            <w:tcW w:w="1601"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3 m3</w:t>
            </w:r>
          </w:p>
        </w:tc>
        <w:tc>
          <w:tcPr>
            <w:tcW w:w="2410"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15,96 €</w:t>
            </w:r>
          </w:p>
        </w:tc>
        <w:tc>
          <w:tcPr>
            <w:tcW w:w="3119"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17,33 €</w:t>
            </w:r>
          </w:p>
        </w:tc>
        <w:tc>
          <w:tcPr>
            <w:tcW w:w="1842" w:type="dxa"/>
            <w:tcBorders>
              <w:top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1,37 €</w:t>
            </w:r>
          </w:p>
        </w:tc>
      </w:tr>
      <w:tr w:rsidR="009B4233">
        <w:tblPrEx>
          <w:tblCellMar>
            <w:top w:w="0" w:type="dxa"/>
            <w:bottom w:w="0" w:type="dxa"/>
          </w:tblCellMar>
        </w:tblPrEx>
        <w:trPr>
          <w:trHeight w:val="300"/>
        </w:trPr>
        <w:tc>
          <w:tcPr>
            <w:tcW w:w="1601"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4 m3</w:t>
            </w:r>
          </w:p>
        </w:tc>
        <w:tc>
          <w:tcPr>
            <w:tcW w:w="2410"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16,55 €</w:t>
            </w:r>
          </w:p>
        </w:tc>
        <w:tc>
          <w:tcPr>
            <w:tcW w:w="3119"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17,97 €</w:t>
            </w:r>
          </w:p>
        </w:tc>
        <w:tc>
          <w:tcPr>
            <w:tcW w:w="1842" w:type="dxa"/>
            <w:tcBorders>
              <w:top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1,42 €</w:t>
            </w:r>
          </w:p>
        </w:tc>
      </w:tr>
      <w:tr w:rsidR="009B4233">
        <w:tblPrEx>
          <w:tblCellMar>
            <w:top w:w="0" w:type="dxa"/>
            <w:bottom w:w="0" w:type="dxa"/>
          </w:tblCellMar>
        </w:tblPrEx>
        <w:trPr>
          <w:trHeight w:val="300"/>
        </w:trPr>
        <w:tc>
          <w:tcPr>
            <w:tcW w:w="1601"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5 m3</w:t>
            </w:r>
          </w:p>
        </w:tc>
        <w:tc>
          <w:tcPr>
            <w:tcW w:w="2410"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17,14 €</w:t>
            </w:r>
          </w:p>
        </w:tc>
        <w:tc>
          <w:tcPr>
            <w:tcW w:w="3119"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18,61 €</w:t>
            </w:r>
          </w:p>
        </w:tc>
        <w:tc>
          <w:tcPr>
            <w:tcW w:w="1842" w:type="dxa"/>
            <w:tcBorders>
              <w:top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1,47 €</w:t>
            </w:r>
          </w:p>
        </w:tc>
      </w:tr>
      <w:tr w:rsidR="009B4233">
        <w:tblPrEx>
          <w:tblCellMar>
            <w:top w:w="0" w:type="dxa"/>
            <w:bottom w:w="0" w:type="dxa"/>
          </w:tblCellMar>
        </w:tblPrEx>
        <w:trPr>
          <w:trHeight w:val="300"/>
        </w:trPr>
        <w:tc>
          <w:tcPr>
            <w:tcW w:w="1601"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6 m3</w:t>
            </w:r>
          </w:p>
        </w:tc>
        <w:tc>
          <w:tcPr>
            <w:tcW w:w="2410"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17,73 €</w:t>
            </w:r>
          </w:p>
        </w:tc>
        <w:tc>
          <w:tcPr>
            <w:tcW w:w="3119"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19,25 €</w:t>
            </w:r>
          </w:p>
        </w:tc>
        <w:tc>
          <w:tcPr>
            <w:tcW w:w="1842" w:type="dxa"/>
            <w:tcBorders>
              <w:top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1,52 €</w:t>
            </w:r>
          </w:p>
        </w:tc>
      </w:tr>
      <w:tr w:rsidR="009B4233">
        <w:tblPrEx>
          <w:tblCellMar>
            <w:top w:w="0" w:type="dxa"/>
            <w:bottom w:w="0" w:type="dxa"/>
          </w:tblCellMar>
        </w:tblPrEx>
        <w:trPr>
          <w:trHeight w:val="300"/>
        </w:trPr>
        <w:tc>
          <w:tcPr>
            <w:tcW w:w="1601"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7 m3</w:t>
            </w:r>
          </w:p>
        </w:tc>
        <w:tc>
          <w:tcPr>
            <w:tcW w:w="2410"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18,32 €</w:t>
            </w:r>
          </w:p>
        </w:tc>
        <w:tc>
          <w:tcPr>
            <w:tcW w:w="3119"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19,89 €</w:t>
            </w:r>
          </w:p>
        </w:tc>
        <w:tc>
          <w:tcPr>
            <w:tcW w:w="1842" w:type="dxa"/>
            <w:tcBorders>
              <w:top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1,57 €</w:t>
            </w:r>
          </w:p>
        </w:tc>
      </w:tr>
      <w:tr w:rsidR="009B4233">
        <w:tblPrEx>
          <w:tblCellMar>
            <w:top w:w="0" w:type="dxa"/>
            <w:bottom w:w="0" w:type="dxa"/>
          </w:tblCellMar>
        </w:tblPrEx>
        <w:trPr>
          <w:trHeight w:val="300"/>
        </w:trPr>
        <w:tc>
          <w:tcPr>
            <w:tcW w:w="1601"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8 m3</w:t>
            </w:r>
          </w:p>
        </w:tc>
        <w:tc>
          <w:tcPr>
            <w:tcW w:w="2410"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18,91 €</w:t>
            </w:r>
          </w:p>
        </w:tc>
        <w:tc>
          <w:tcPr>
            <w:tcW w:w="3119"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20,53 €</w:t>
            </w:r>
          </w:p>
        </w:tc>
        <w:tc>
          <w:tcPr>
            <w:tcW w:w="1842" w:type="dxa"/>
            <w:tcBorders>
              <w:top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1,62 €</w:t>
            </w:r>
          </w:p>
        </w:tc>
      </w:tr>
      <w:tr w:rsidR="009B4233">
        <w:tblPrEx>
          <w:tblCellMar>
            <w:top w:w="0" w:type="dxa"/>
            <w:bottom w:w="0" w:type="dxa"/>
          </w:tblCellMar>
        </w:tblPrEx>
        <w:trPr>
          <w:trHeight w:val="300"/>
        </w:trPr>
        <w:tc>
          <w:tcPr>
            <w:tcW w:w="1601"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9 m3</w:t>
            </w:r>
          </w:p>
        </w:tc>
        <w:tc>
          <w:tcPr>
            <w:tcW w:w="2410"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19,50 €</w:t>
            </w:r>
          </w:p>
        </w:tc>
        <w:tc>
          <w:tcPr>
            <w:tcW w:w="3119"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21,17 €</w:t>
            </w:r>
          </w:p>
        </w:tc>
        <w:tc>
          <w:tcPr>
            <w:tcW w:w="1842" w:type="dxa"/>
            <w:tcBorders>
              <w:top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1,67 €</w:t>
            </w:r>
          </w:p>
        </w:tc>
      </w:tr>
      <w:tr w:rsidR="009B4233">
        <w:tblPrEx>
          <w:tblCellMar>
            <w:top w:w="0" w:type="dxa"/>
            <w:bottom w:w="0" w:type="dxa"/>
          </w:tblCellMar>
        </w:tblPrEx>
        <w:trPr>
          <w:trHeight w:val="300"/>
        </w:trPr>
        <w:tc>
          <w:tcPr>
            <w:tcW w:w="1601"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10 m3</w:t>
            </w:r>
          </w:p>
        </w:tc>
        <w:tc>
          <w:tcPr>
            <w:tcW w:w="2410"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20,09 €</w:t>
            </w:r>
          </w:p>
        </w:tc>
        <w:tc>
          <w:tcPr>
            <w:tcW w:w="3119"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21,81 €</w:t>
            </w:r>
          </w:p>
        </w:tc>
        <w:tc>
          <w:tcPr>
            <w:tcW w:w="1842" w:type="dxa"/>
            <w:tcBorders>
              <w:top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1,72 €</w:t>
            </w:r>
          </w:p>
        </w:tc>
      </w:tr>
      <w:tr w:rsidR="009B4233">
        <w:tblPrEx>
          <w:tblCellMar>
            <w:top w:w="0" w:type="dxa"/>
            <w:bottom w:w="0" w:type="dxa"/>
          </w:tblCellMar>
        </w:tblPrEx>
        <w:trPr>
          <w:trHeight w:val="300"/>
        </w:trPr>
        <w:tc>
          <w:tcPr>
            <w:tcW w:w="1601"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11 m3</w:t>
            </w:r>
          </w:p>
        </w:tc>
        <w:tc>
          <w:tcPr>
            <w:tcW w:w="2410"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21,29 €</w:t>
            </w:r>
          </w:p>
        </w:tc>
        <w:tc>
          <w:tcPr>
            <w:tcW w:w="3119"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23,11 €</w:t>
            </w:r>
          </w:p>
        </w:tc>
        <w:tc>
          <w:tcPr>
            <w:tcW w:w="1842" w:type="dxa"/>
            <w:tcBorders>
              <w:top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1,82 €</w:t>
            </w:r>
          </w:p>
        </w:tc>
      </w:tr>
      <w:tr w:rsidR="009B4233">
        <w:tblPrEx>
          <w:tblCellMar>
            <w:top w:w="0" w:type="dxa"/>
            <w:bottom w:w="0" w:type="dxa"/>
          </w:tblCellMar>
        </w:tblPrEx>
        <w:trPr>
          <w:trHeight w:val="300"/>
        </w:trPr>
        <w:tc>
          <w:tcPr>
            <w:tcW w:w="1601"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12 m3</w:t>
            </w:r>
          </w:p>
        </w:tc>
        <w:tc>
          <w:tcPr>
            <w:tcW w:w="2410"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22,49 €</w:t>
            </w:r>
          </w:p>
        </w:tc>
        <w:tc>
          <w:tcPr>
            <w:tcW w:w="3119"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24,41 €</w:t>
            </w:r>
          </w:p>
        </w:tc>
        <w:tc>
          <w:tcPr>
            <w:tcW w:w="1842" w:type="dxa"/>
            <w:tcBorders>
              <w:top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1,92 €</w:t>
            </w:r>
          </w:p>
        </w:tc>
      </w:tr>
      <w:tr w:rsidR="009B4233">
        <w:tblPrEx>
          <w:tblCellMar>
            <w:top w:w="0" w:type="dxa"/>
            <w:bottom w:w="0" w:type="dxa"/>
          </w:tblCellMar>
        </w:tblPrEx>
        <w:trPr>
          <w:trHeight w:val="300"/>
        </w:trPr>
        <w:tc>
          <w:tcPr>
            <w:tcW w:w="1601"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13 m3</w:t>
            </w:r>
          </w:p>
        </w:tc>
        <w:tc>
          <w:tcPr>
            <w:tcW w:w="2410"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23,69 €</w:t>
            </w:r>
          </w:p>
        </w:tc>
        <w:tc>
          <w:tcPr>
            <w:tcW w:w="3119"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25,71 €</w:t>
            </w:r>
          </w:p>
        </w:tc>
        <w:tc>
          <w:tcPr>
            <w:tcW w:w="1842" w:type="dxa"/>
            <w:tcBorders>
              <w:top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2,02 €</w:t>
            </w:r>
          </w:p>
        </w:tc>
      </w:tr>
      <w:tr w:rsidR="009B4233">
        <w:tblPrEx>
          <w:tblCellMar>
            <w:top w:w="0" w:type="dxa"/>
            <w:bottom w:w="0" w:type="dxa"/>
          </w:tblCellMar>
        </w:tblPrEx>
        <w:trPr>
          <w:trHeight w:val="300"/>
        </w:trPr>
        <w:tc>
          <w:tcPr>
            <w:tcW w:w="1601"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14 m3</w:t>
            </w:r>
          </w:p>
        </w:tc>
        <w:tc>
          <w:tcPr>
            <w:tcW w:w="2410"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24,89 €</w:t>
            </w:r>
          </w:p>
        </w:tc>
        <w:tc>
          <w:tcPr>
            <w:tcW w:w="3119"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27,01 €</w:t>
            </w:r>
          </w:p>
        </w:tc>
        <w:tc>
          <w:tcPr>
            <w:tcW w:w="1842" w:type="dxa"/>
            <w:tcBorders>
              <w:top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2,12 €</w:t>
            </w:r>
          </w:p>
        </w:tc>
      </w:tr>
      <w:tr w:rsidR="009B4233">
        <w:tblPrEx>
          <w:tblCellMar>
            <w:top w:w="0" w:type="dxa"/>
            <w:bottom w:w="0" w:type="dxa"/>
          </w:tblCellMar>
        </w:tblPrEx>
        <w:trPr>
          <w:trHeight w:val="300"/>
        </w:trPr>
        <w:tc>
          <w:tcPr>
            <w:tcW w:w="1601"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15 m3</w:t>
            </w:r>
          </w:p>
        </w:tc>
        <w:tc>
          <w:tcPr>
            <w:tcW w:w="2410"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26,09 €</w:t>
            </w:r>
          </w:p>
        </w:tc>
        <w:tc>
          <w:tcPr>
            <w:tcW w:w="3119"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28,31 €</w:t>
            </w:r>
          </w:p>
        </w:tc>
        <w:tc>
          <w:tcPr>
            <w:tcW w:w="1842" w:type="dxa"/>
            <w:tcBorders>
              <w:top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2,22 €</w:t>
            </w:r>
          </w:p>
        </w:tc>
      </w:tr>
      <w:tr w:rsidR="009B4233">
        <w:tblPrEx>
          <w:tblCellMar>
            <w:top w:w="0" w:type="dxa"/>
            <w:bottom w:w="0" w:type="dxa"/>
          </w:tblCellMar>
        </w:tblPrEx>
        <w:trPr>
          <w:trHeight w:val="300"/>
        </w:trPr>
        <w:tc>
          <w:tcPr>
            <w:tcW w:w="1601"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16 m3</w:t>
            </w:r>
          </w:p>
        </w:tc>
        <w:tc>
          <w:tcPr>
            <w:tcW w:w="2410"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27,29 €</w:t>
            </w:r>
          </w:p>
        </w:tc>
        <w:tc>
          <w:tcPr>
            <w:tcW w:w="3119"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29,61 €</w:t>
            </w:r>
          </w:p>
        </w:tc>
        <w:tc>
          <w:tcPr>
            <w:tcW w:w="1842" w:type="dxa"/>
            <w:tcBorders>
              <w:top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2,32 €</w:t>
            </w:r>
          </w:p>
        </w:tc>
      </w:tr>
      <w:tr w:rsidR="009B4233">
        <w:tblPrEx>
          <w:tblCellMar>
            <w:top w:w="0" w:type="dxa"/>
            <w:bottom w:w="0" w:type="dxa"/>
          </w:tblCellMar>
        </w:tblPrEx>
        <w:trPr>
          <w:trHeight w:val="300"/>
        </w:trPr>
        <w:tc>
          <w:tcPr>
            <w:tcW w:w="1601"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17 m3</w:t>
            </w:r>
          </w:p>
        </w:tc>
        <w:tc>
          <w:tcPr>
            <w:tcW w:w="2410"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28,49 €</w:t>
            </w:r>
          </w:p>
        </w:tc>
        <w:tc>
          <w:tcPr>
            <w:tcW w:w="3119"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30,91 €</w:t>
            </w:r>
          </w:p>
        </w:tc>
        <w:tc>
          <w:tcPr>
            <w:tcW w:w="1842" w:type="dxa"/>
            <w:tcBorders>
              <w:top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2,42 €</w:t>
            </w:r>
          </w:p>
        </w:tc>
      </w:tr>
      <w:tr w:rsidR="009B4233">
        <w:tblPrEx>
          <w:tblCellMar>
            <w:top w:w="0" w:type="dxa"/>
            <w:bottom w:w="0" w:type="dxa"/>
          </w:tblCellMar>
        </w:tblPrEx>
        <w:trPr>
          <w:trHeight w:val="300"/>
        </w:trPr>
        <w:tc>
          <w:tcPr>
            <w:tcW w:w="1601"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18 m3</w:t>
            </w:r>
          </w:p>
        </w:tc>
        <w:tc>
          <w:tcPr>
            <w:tcW w:w="2410"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29,69 €</w:t>
            </w:r>
          </w:p>
        </w:tc>
        <w:tc>
          <w:tcPr>
            <w:tcW w:w="3119"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32,21 €</w:t>
            </w:r>
          </w:p>
        </w:tc>
        <w:tc>
          <w:tcPr>
            <w:tcW w:w="1842" w:type="dxa"/>
            <w:tcBorders>
              <w:top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2,52 €</w:t>
            </w:r>
          </w:p>
        </w:tc>
      </w:tr>
      <w:tr w:rsidR="009B4233">
        <w:tblPrEx>
          <w:tblCellMar>
            <w:top w:w="0" w:type="dxa"/>
            <w:bottom w:w="0" w:type="dxa"/>
          </w:tblCellMar>
        </w:tblPrEx>
        <w:trPr>
          <w:trHeight w:val="300"/>
        </w:trPr>
        <w:tc>
          <w:tcPr>
            <w:tcW w:w="1601"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19 m3</w:t>
            </w:r>
          </w:p>
        </w:tc>
        <w:tc>
          <w:tcPr>
            <w:tcW w:w="2410"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30,89 €</w:t>
            </w:r>
          </w:p>
        </w:tc>
        <w:tc>
          <w:tcPr>
            <w:tcW w:w="3119"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33,51 €</w:t>
            </w:r>
          </w:p>
        </w:tc>
        <w:tc>
          <w:tcPr>
            <w:tcW w:w="1842" w:type="dxa"/>
            <w:tcBorders>
              <w:top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2,62 €</w:t>
            </w:r>
          </w:p>
        </w:tc>
      </w:tr>
      <w:tr w:rsidR="009B4233">
        <w:tblPrEx>
          <w:tblCellMar>
            <w:top w:w="0" w:type="dxa"/>
            <w:bottom w:w="0" w:type="dxa"/>
          </w:tblCellMar>
        </w:tblPrEx>
        <w:trPr>
          <w:trHeight w:val="300"/>
        </w:trPr>
        <w:tc>
          <w:tcPr>
            <w:tcW w:w="1601"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20 m3</w:t>
            </w:r>
          </w:p>
        </w:tc>
        <w:tc>
          <w:tcPr>
            <w:tcW w:w="2410"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32,09 €</w:t>
            </w:r>
          </w:p>
        </w:tc>
        <w:tc>
          <w:tcPr>
            <w:tcW w:w="3119"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34,81 €</w:t>
            </w:r>
          </w:p>
        </w:tc>
        <w:tc>
          <w:tcPr>
            <w:tcW w:w="1842" w:type="dxa"/>
            <w:tcBorders>
              <w:top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2,72 €</w:t>
            </w:r>
          </w:p>
        </w:tc>
      </w:tr>
      <w:tr w:rsidR="009B4233">
        <w:tblPrEx>
          <w:tblCellMar>
            <w:top w:w="0" w:type="dxa"/>
            <w:bottom w:w="0" w:type="dxa"/>
          </w:tblCellMar>
        </w:tblPrEx>
        <w:trPr>
          <w:trHeight w:val="300"/>
        </w:trPr>
        <w:tc>
          <w:tcPr>
            <w:tcW w:w="1601"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21 m3</w:t>
            </w:r>
          </w:p>
        </w:tc>
        <w:tc>
          <w:tcPr>
            <w:tcW w:w="2410"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33,29 €</w:t>
            </w:r>
          </w:p>
        </w:tc>
        <w:tc>
          <w:tcPr>
            <w:tcW w:w="3119"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36,11 €</w:t>
            </w:r>
          </w:p>
        </w:tc>
        <w:tc>
          <w:tcPr>
            <w:tcW w:w="1842" w:type="dxa"/>
            <w:tcBorders>
              <w:top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2,82 €</w:t>
            </w:r>
          </w:p>
        </w:tc>
      </w:tr>
      <w:tr w:rsidR="009B4233">
        <w:tblPrEx>
          <w:tblCellMar>
            <w:top w:w="0" w:type="dxa"/>
            <w:bottom w:w="0" w:type="dxa"/>
          </w:tblCellMar>
        </w:tblPrEx>
        <w:trPr>
          <w:trHeight w:val="300"/>
        </w:trPr>
        <w:tc>
          <w:tcPr>
            <w:tcW w:w="1601"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22 m3</w:t>
            </w:r>
          </w:p>
        </w:tc>
        <w:tc>
          <w:tcPr>
            <w:tcW w:w="2410"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34,49 €</w:t>
            </w:r>
          </w:p>
        </w:tc>
        <w:tc>
          <w:tcPr>
            <w:tcW w:w="3119"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37,41 €</w:t>
            </w:r>
          </w:p>
        </w:tc>
        <w:tc>
          <w:tcPr>
            <w:tcW w:w="1842" w:type="dxa"/>
            <w:tcBorders>
              <w:top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2,92 €</w:t>
            </w:r>
          </w:p>
        </w:tc>
      </w:tr>
      <w:tr w:rsidR="009B4233">
        <w:tblPrEx>
          <w:tblCellMar>
            <w:top w:w="0" w:type="dxa"/>
            <w:bottom w:w="0" w:type="dxa"/>
          </w:tblCellMar>
        </w:tblPrEx>
        <w:trPr>
          <w:trHeight w:val="300"/>
        </w:trPr>
        <w:tc>
          <w:tcPr>
            <w:tcW w:w="1601"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23 m3</w:t>
            </w:r>
          </w:p>
        </w:tc>
        <w:tc>
          <w:tcPr>
            <w:tcW w:w="2410"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35,69 €</w:t>
            </w:r>
          </w:p>
        </w:tc>
        <w:tc>
          <w:tcPr>
            <w:tcW w:w="3119"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38,71 €</w:t>
            </w:r>
          </w:p>
        </w:tc>
        <w:tc>
          <w:tcPr>
            <w:tcW w:w="1842" w:type="dxa"/>
            <w:tcBorders>
              <w:top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3,02 €</w:t>
            </w:r>
          </w:p>
        </w:tc>
      </w:tr>
      <w:tr w:rsidR="009B4233">
        <w:tblPrEx>
          <w:tblCellMar>
            <w:top w:w="0" w:type="dxa"/>
            <w:bottom w:w="0" w:type="dxa"/>
          </w:tblCellMar>
        </w:tblPrEx>
        <w:trPr>
          <w:trHeight w:val="300"/>
        </w:trPr>
        <w:tc>
          <w:tcPr>
            <w:tcW w:w="1601"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24 m3</w:t>
            </w:r>
          </w:p>
        </w:tc>
        <w:tc>
          <w:tcPr>
            <w:tcW w:w="2410"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36,89 €</w:t>
            </w:r>
          </w:p>
        </w:tc>
        <w:tc>
          <w:tcPr>
            <w:tcW w:w="3119"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40,01 €</w:t>
            </w:r>
          </w:p>
        </w:tc>
        <w:tc>
          <w:tcPr>
            <w:tcW w:w="1842" w:type="dxa"/>
            <w:tcBorders>
              <w:top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3,12 €</w:t>
            </w:r>
          </w:p>
        </w:tc>
      </w:tr>
      <w:tr w:rsidR="009B4233">
        <w:tblPrEx>
          <w:tblCellMar>
            <w:top w:w="0" w:type="dxa"/>
            <w:bottom w:w="0" w:type="dxa"/>
          </w:tblCellMar>
        </w:tblPrEx>
        <w:trPr>
          <w:trHeight w:val="300"/>
        </w:trPr>
        <w:tc>
          <w:tcPr>
            <w:tcW w:w="1601"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25 m3</w:t>
            </w:r>
          </w:p>
        </w:tc>
        <w:tc>
          <w:tcPr>
            <w:tcW w:w="2410"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38,09 €</w:t>
            </w:r>
          </w:p>
        </w:tc>
        <w:tc>
          <w:tcPr>
            <w:tcW w:w="3119"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41,31 €</w:t>
            </w:r>
          </w:p>
        </w:tc>
        <w:tc>
          <w:tcPr>
            <w:tcW w:w="1842" w:type="dxa"/>
            <w:tcBorders>
              <w:top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3,22 €</w:t>
            </w:r>
          </w:p>
        </w:tc>
      </w:tr>
      <w:tr w:rsidR="009B4233">
        <w:tblPrEx>
          <w:tblCellMar>
            <w:top w:w="0" w:type="dxa"/>
            <w:bottom w:w="0" w:type="dxa"/>
          </w:tblCellMar>
        </w:tblPrEx>
        <w:trPr>
          <w:trHeight w:val="300"/>
        </w:trPr>
        <w:tc>
          <w:tcPr>
            <w:tcW w:w="1601"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26 m3</w:t>
            </w:r>
          </w:p>
        </w:tc>
        <w:tc>
          <w:tcPr>
            <w:tcW w:w="2410"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39,29 €</w:t>
            </w:r>
          </w:p>
        </w:tc>
        <w:tc>
          <w:tcPr>
            <w:tcW w:w="3119"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42,61 €</w:t>
            </w:r>
          </w:p>
        </w:tc>
        <w:tc>
          <w:tcPr>
            <w:tcW w:w="1842" w:type="dxa"/>
            <w:tcBorders>
              <w:top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3,32 €</w:t>
            </w:r>
          </w:p>
        </w:tc>
      </w:tr>
      <w:tr w:rsidR="009B4233">
        <w:tblPrEx>
          <w:tblCellMar>
            <w:top w:w="0" w:type="dxa"/>
            <w:bottom w:w="0" w:type="dxa"/>
          </w:tblCellMar>
        </w:tblPrEx>
        <w:trPr>
          <w:trHeight w:val="300"/>
        </w:trPr>
        <w:tc>
          <w:tcPr>
            <w:tcW w:w="1601"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27 m3</w:t>
            </w:r>
          </w:p>
        </w:tc>
        <w:tc>
          <w:tcPr>
            <w:tcW w:w="2410"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40,49 €</w:t>
            </w:r>
          </w:p>
        </w:tc>
        <w:tc>
          <w:tcPr>
            <w:tcW w:w="3119"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43,91 €</w:t>
            </w:r>
          </w:p>
        </w:tc>
        <w:tc>
          <w:tcPr>
            <w:tcW w:w="1842" w:type="dxa"/>
            <w:tcBorders>
              <w:top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3,42 €</w:t>
            </w:r>
          </w:p>
        </w:tc>
      </w:tr>
      <w:tr w:rsidR="009B4233">
        <w:tblPrEx>
          <w:tblCellMar>
            <w:top w:w="0" w:type="dxa"/>
            <w:bottom w:w="0" w:type="dxa"/>
          </w:tblCellMar>
        </w:tblPrEx>
        <w:trPr>
          <w:trHeight w:val="300"/>
        </w:trPr>
        <w:tc>
          <w:tcPr>
            <w:tcW w:w="1601"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28 m3</w:t>
            </w:r>
          </w:p>
        </w:tc>
        <w:tc>
          <w:tcPr>
            <w:tcW w:w="2410"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41,69 €</w:t>
            </w:r>
          </w:p>
        </w:tc>
        <w:tc>
          <w:tcPr>
            <w:tcW w:w="3119"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45,21 €</w:t>
            </w:r>
          </w:p>
        </w:tc>
        <w:tc>
          <w:tcPr>
            <w:tcW w:w="1842" w:type="dxa"/>
            <w:tcBorders>
              <w:top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3,52 €</w:t>
            </w:r>
          </w:p>
        </w:tc>
      </w:tr>
      <w:tr w:rsidR="009B4233">
        <w:tblPrEx>
          <w:tblCellMar>
            <w:top w:w="0" w:type="dxa"/>
            <w:bottom w:w="0" w:type="dxa"/>
          </w:tblCellMar>
        </w:tblPrEx>
        <w:trPr>
          <w:trHeight w:val="300"/>
        </w:trPr>
        <w:tc>
          <w:tcPr>
            <w:tcW w:w="1601"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29 m3</w:t>
            </w:r>
          </w:p>
        </w:tc>
        <w:tc>
          <w:tcPr>
            <w:tcW w:w="2410"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42,89 €</w:t>
            </w:r>
          </w:p>
        </w:tc>
        <w:tc>
          <w:tcPr>
            <w:tcW w:w="3119"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46,51 €</w:t>
            </w:r>
          </w:p>
        </w:tc>
        <w:tc>
          <w:tcPr>
            <w:tcW w:w="1842" w:type="dxa"/>
            <w:tcBorders>
              <w:top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3,62 €</w:t>
            </w:r>
          </w:p>
        </w:tc>
      </w:tr>
      <w:tr w:rsidR="009B4233">
        <w:tblPrEx>
          <w:tblCellMar>
            <w:top w:w="0" w:type="dxa"/>
            <w:bottom w:w="0" w:type="dxa"/>
          </w:tblCellMar>
        </w:tblPrEx>
        <w:trPr>
          <w:trHeight w:val="300"/>
        </w:trPr>
        <w:tc>
          <w:tcPr>
            <w:tcW w:w="1601"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30 m3</w:t>
            </w:r>
          </w:p>
        </w:tc>
        <w:tc>
          <w:tcPr>
            <w:tcW w:w="2410"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44,09 €</w:t>
            </w:r>
          </w:p>
        </w:tc>
        <w:tc>
          <w:tcPr>
            <w:tcW w:w="3119"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47,81 €</w:t>
            </w:r>
          </w:p>
        </w:tc>
        <w:tc>
          <w:tcPr>
            <w:tcW w:w="1842" w:type="dxa"/>
            <w:tcBorders>
              <w:top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3,72 €</w:t>
            </w:r>
          </w:p>
        </w:tc>
      </w:tr>
      <w:tr w:rsidR="009B4233">
        <w:tblPrEx>
          <w:tblCellMar>
            <w:top w:w="0" w:type="dxa"/>
            <w:bottom w:w="0" w:type="dxa"/>
          </w:tblCellMar>
        </w:tblPrEx>
        <w:trPr>
          <w:trHeight w:val="300"/>
        </w:trPr>
        <w:tc>
          <w:tcPr>
            <w:tcW w:w="1601"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31 m3</w:t>
            </w:r>
          </w:p>
        </w:tc>
        <w:tc>
          <w:tcPr>
            <w:tcW w:w="2410"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46,28 €</w:t>
            </w:r>
          </w:p>
        </w:tc>
        <w:tc>
          <w:tcPr>
            <w:tcW w:w="3119"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50,19 €</w:t>
            </w:r>
          </w:p>
        </w:tc>
        <w:tc>
          <w:tcPr>
            <w:tcW w:w="1842" w:type="dxa"/>
            <w:tcBorders>
              <w:top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3,91 €</w:t>
            </w:r>
          </w:p>
        </w:tc>
      </w:tr>
      <w:tr w:rsidR="009B4233">
        <w:tblPrEx>
          <w:tblCellMar>
            <w:top w:w="0" w:type="dxa"/>
            <w:bottom w:w="0" w:type="dxa"/>
          </w:tblCellMar>
        </w:tblPrEx>
        <w:trPr>
          <w:trHeight w:val="300"/>
        </w:trPr>
        <w:tc>
          <w:tcPr>
            <w:tcW w:w="1601"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32 m3</w:t>
            </w:r>
          </w:p>
        </w:tc>
        <w:tc>
          <w:tcPr>
            <w:tcW w:w="2410"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48,47 €</w:t>
            </w:r>
          </w:p>
        </w:tc>
        <w:tc>
          <w:tcPr>
            <w:tcW w:w="3119"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52,57 €</w:t>
            </w:r>
          </w:p>
        </w:tc>
        <w:tc>
          <w:tcPr>
            <w:tcW w:w="1842" w:type="dxa"/>
            <w:tcBorders>
              <w:top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4,10 €</w:t>
            </w:r>
          </w:p>
        </w:tc>
      </w:tr>
      <w:tr w:rsidR="009B4233">
        <w:tblPrEx>
          <w:tblCellMar>
            <w:top w:w="0" w:type="dxa"/>
            <w:bottom w:w="0" w:type="dxa"/>
          </w:tblCellMar>
        </w:tblPrEx>
        <w:trPr>
          <w:trHeight w:val="300"/>
        </w:trPr>
        <w:tc>
          <w:tcPr>
            <w:tcW w:w="1601"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33 m3</w:t>
            </w:r>
          </w:p>
        </w:tc>
        <w:tc>
          <w:tcPr>
            <w:tcW w:w="2410"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50,66 €</w:t>
            </w:r>
          </w:p>
        </w:tc>
        <w:tc>
          <w:tcPr>
            <w:tcW w:w="3119"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54,95 €</w:t>
            </w:r>
          </w:p>
        </w:tc>
        <w:tc>
          <w:tcPr>
            <w:tcW w:w="1842" w:type="dxa"/>
            <w:tcBorders>
              <w:top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4,29 €</w:t>
            </w:r>
          </w:p>
        </w:tc>
      </w:tr>
      <w:tr w:rsidR="009B4233">
        <w:tblPrEx>
          <w:tblCellMar>
            <w:top w:w="0" w:type="dxa"/>
            <w:bottom w:w="0" w:type="dxa"/>
          </w:tblCellMar>
        </w:tblPrEx>
        <w:trPr>
          <w:trHeight w:val="300"/>
        </w:trPr>
        <w:tc>
          <w:tcPr>
            <w:tcW w:w="1601"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34 m3</w:t>
            </w:r>
          </w:p>
        </w:tc>
        <w:tc>
          <w:tcPr>
            <w:tcW w:w="2410"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52,85 €</w:t>
            </w:r>
          </w:p>
        </w:tc>
        <w:tc>
          <w:tcPr>
            <w:tcW w:w="3119"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57,33 €</w:t>
            </w:r>
          </w:p>
        </w:tc>
        <w:tc>
          <w:tcPr>
            <w:tcW w:w="1842" w:type="dxa"/>
            <w:tcBorders>
              <w:top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4,48 €</w:t>
            </w:r>
          </w:p>
        </w:tc>
      </w:tr>
      <w:tr w:rsidR="009B4233">
        <w:tblPrEx>
          <w:tblCellMar>
            <w:top w:w="0" w:type="dxa"/>
            <w:bottom w:w="0" w:type="dxa"/>
          </w:tblCellMar>
        </w:tblPrEx>
        <w:trPr>
          <w:trHeight w:val="300"/>
        </w:trPr>
        <w:tc>
          <w:tcPr>
            <w:tcW w:w="1601"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35 m3</w:t>
            </w:r>
          </w:p>
        </w:tc>
        <w:tc>
          <w:tcPr>
            <w:tcW w:w="2410"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55,04 €</w:t>
            </w:r>
          </w:p>
        </w:tc>
        <w:tc>
          <w:tcPr>
            <w:tcW w:w="3119"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59,71 €</w:t>
            </w:r>
          </w:p>
        </w:tc>
        <w:tc>
          <w:tcPr>
            <w:tcW w:w="1842" w:type="dxa"/>
            <w:tcBorders>
              <w:top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4,67 €</w:t>
            </w:r>
          </w:p>
        </w:tc>
      </w:tr>
      <w:tr w:rsidR="009B4233">
        <w:tblPrEx>
          <w:tblCellMar>
            <w:top w:w="0" w:type="dxa"/>
            <w:bottom w:w="0" w:type="dxa"/>
          </w:tblCellMar>
        </w:tblPrEx>
        <w:trPr>
          <w:trHeight w:val="300"/>
        </w:trPr>
        <w:tc>
          <w:tcPr>
            <w:tcW w:w="1601"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36 m3</w:t>
            </w:r>
          </w:p>
        </w:tc>
        <w:tc>
          <w:tcPr>
            <w:tcW w:w="2410"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57,23 €</w:t>
            </w:r>
          </w:p>
        </w:tc>
        <w:tc>
          <w:tcPr>
            <w:tcW w:w="3119"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62,09 €</w:t>
            </w:r>
          </w:p>
        </w:tc>
        <w:tc>
          <w:tcPr>
            <w:tcW w:w="1842" w:type="dxa"/>
            <w:tcBorders>
              <w:top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4,86 €</w:t>
            </w:r>
          </w:p>
        </w:tc>
      </w:tr>
      <w:tr w:rsidR="009B4233">
        <w:tblPrEx>
          <w:tblCellMar>
            <w:top w:w="0" w:type="dxa"/>
            <w:bottom w:w="0" w:type="dxa"/>
          </w:tblCellMar>
        </w:tblPrEx>
        <w:trPr>
          <w:trHeight w:val="300"/>
        </w:trPr>
        <w:tc>
          <w:tcPr>
            <w:tcW w:w="1601"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37 m3</w:t>
            </w:r>
          </w:p>
        </w:tc>
        <w:tc>
          <w:tcPr>
            <w:tcW w:w="2410"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59,42 €</w:t>
            </w:r>
          </w:p>
        </w:tc>
        <w:tc>
          <w:tcPr>
            <w:tcW w:w="3119"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64,47 €</w:t>
            </w:r>
          </w:p>
        </w:tc>
        <w:tc>
          <w:tcPr>
            <w:tcW w:w="1842" w:type="dxa"/>
            <w:tcBorders>
              <w:top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5,05 €</w:t>
            </w:r>
          </w:p>
        </w:tc>
      </w:tr>
      <w:tr w:rsidR="009B4233">
        <w:tblPrEx>
          <w:tblCellMar>
            <w:top w:w="0" w:type="dxa"/>
            <w:bottom w:w="0" w:type="dxa"/>
          </w:tblCellMar>
        </w:tblPrEx>
        <w:trPr>
          <w:trHeight w:val="300"/>
        </w:trPr>
        <w:tc>
          <w:tcPr>
            <w:tcW w:w="1601"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38 m3</w:t>
            </w:r>
          </w:p>
        </w:tc>
        <w:tc>
          <w:tcPr>
            <w:tcW w:w="2410"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61,61 €</w:t>
            </w:r>
          </w:p>
        </w:tc>
        <w:tc>
          <w:tcPr>
            <w:tcW w:w="3119"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66,85 €</w:t>
            </w:r>
          </w:p>
        </w:tc>
        <w:tc>
          <w:tcPr>
            <w:tcW w:w="1842" w:type="dxa"/>
            <w:tcBorders>
              <w:top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5,24 €</w:t>
            </w:r>
          </w:p>
        </w:tc>
      </w:tr>
      <w:tr w:rsidR="009B4233">
        <w:tblPrEx>
          <w:tblCellMar>
            <w:top w:w="0" w:type="dxa"/>
            <w:bottom w:w="0" w:type="dxa"/>
          </w:tblCellMar>
        </w:tblPrEx>
        <w:trPr>
          <w:trHeight w:val="300"/>
        </w:trPr>
        <w:tc>
          <w:tcPr>
            <w:tcW w:w="1601"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39 m3</w:t>
            </w:r>
          </w:p>
        </w:tc>
        <w:tc>
          <w:tcPr>
            <w:tcW w:w="2410"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63,80 €</w:t>
            </w:r>
          </w:p>
        </w:tc>
        <w:tc>
          <w:tcPr>
            <w:tcW w:w="3119"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69,23 €</w:t>
            </w:r>
          </w:p>
        </w:tc>
        <w:tc>
          <w:tcPr>
            <w:tcW w:w="1842" w:type="dxa"/>
            <w:tcBorders>
              <w:top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5,43 €</w:t>
            </w:r>
          </w:p>
        </w:tc>
      </w:tr>
      <w:tr w:rsidR="009B4233">
        <w:tblPrEx>
          <w:tblCellMar>
            <w:top w:w="0" w:type="dxa"/>
            <w:bottom w:w="0" w:type="dxa"/>
          </w:tblCellMar>
        </w:tblPrEx>
        <w:trPr>
          <w:trHeight w:val="300"/>
        </w:trPr>
        <w:tc>
          <w:tcPr>
            <w:tcW w:w="1601"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40 m3</w:t>
            </w:r>
          </w:p>
        </w:tc>
        <w:tc>
          <w:tcPr>
            <w:tcW w:w="2410"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65,99 €</w:t>
            </w:r>
          </w:p>
        </w:tc>
        <w:tc>
          <w:tcPr>
            <w:tcW w:w="3119"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71,61 €</w:t>
            </w:r>
          </w:p>
        </w:tc>
        <w:tc>
          <w:tcPr>
            <w:tcW w:w="1842" w:type="dxa"/>
            <w:tcBorders>
              <w:top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5,62 €</w:t>
            </w:r>
          </w:p>
        </w:tc>
      </w:tr>
      <w:tr w:rsidR="009B4233">
        <w:tblPrEx>
          <w:tblCellMar>
            <w:top w:w="0" w:type="dxa"/>
            <w:bottom w:w="0" w:type="dxa"/>
          </w:tblCellMar>
        </w:tblPrEx>
        <w:trPr>
          <w:trHeight w:val="300"/>
        </w:trPr>
        <w:tc>
          <w:tcPr>
            <w:tcW w:w="1601"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41 m3</w:t>
            </w:r>
          </w:p>
        </w:tc>
        <w:tc>
          <w:tcPr>
            <w:tcW w:w="2410"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68,18 €</w:t>
            </w:r>
          </w:p>
        </w:tc>
        <w:tc>
          <w:tcPr>
            <w:tcW w:w="3119"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73,99 €</w:t>
            </w:r>
          </w:p>
        </w:tc>
        <w:tc>
          <w:tcPr>
            <w:tcW w:w="1842" w:type="dxa"/>
            <w:tcBorders>
              <w:top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5,81 €</w:t>
            </w:r>
          </w:p>
        </w:tc>
      </w:tr>
      <w:tr w:rsidR="009B4233">
        <w:tblPrEx>
          <w:tblCellMar>
            <w:top w:w="0" w:type="dxa"/>
            <w:bottom w:w="0" w:type="dxa"/>
          </w:tblCellMar>
        </w:tblPrEx>
        <w:trPr>
          <w:trHeight w:val="300"/>
        </w:trPr>
        <w:tc>
          <w:tcPr>
            <w:tcW w:w="1601"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42 m3</w:t>
            </w:r>
          </w:p>
        </w:tc>
        <w:tc>
          <w:tcPr>
            <w:tcW w:w="2410"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70,37 €</w:t>
            </w:r>
          </w:p>
        </w:tc>
        <w:tc>
          <w:tcPr>
            <w:tcW w:w="3119"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76,37 €</w:t>
            </w:r>
          </w:p>
        </w:tc>
        <w:tc>
          <w:tcPr>
            <w:tcW w:w="1842" w:type="dxa"/>
            <w:tcBorders>
              <w:top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6,00 €</w:t>
            </w:r>
          </w:p>
        </w:tc>
      </w:tr>
      <w:tr w:rsidR="009B4233">
        <w:tblPrEx>
          <w:tblCellMar>
            <w:top w:w="0" w:type="dxa"/>
            <w:bottom w:w="0" w:type="dxa"/>
          </w:tblCellMar>
        </w:tblPrEx>
        <w:trPr>
          <w:trHeight w:val="300"/>
        </w:trPr>
        <w:tc>
          <w:tcPr>
            <w:tcW w:w="1601"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43 m3</w:t>
            </w:r>
          </w:p>
        </w:tc>
        <w:tc>
          <w:tcPr>
            <w:tcW w:w="2410"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72,56 €</w:t>
            </w:r>
          </w:p>
        </w:tc>
        <w:tc>
          <w:tcPr>
            <w:tcW w:w="3119"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78,75 €</w:t>
            </w:r>
          </w:p>
        </w:tc>
        <w:tc>
          <w:tcPr>
            <w:tcW w:w="1842" w:type="dxa"/>
            <w:tcBorders>
              <w:top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6,19 €</w:t>
            </w:r>
          </w:p>
        </w:tc>
      </w:tr>
      <w:tr w:rsidR="009B4233">
        <w:tblPrEx>
          <w:tblCellMar>
            <w:top w:w="0" w:type="dxa"/>
            <w:bottom w:w="0" w:type="dxa"/>
          </w:tblCellMar>
        </w:tblPrEx>
        <w:trPr>
          <w:trHeight w:val="300"/>
        </w:trPr>
        <w:tc>
          <w:tcPr>
            <w:tcW w:w="1601"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44 m3</w:t>
            </w:r>
          </w:p>
        </w:tc>
        <w:tc>
          <w:tcPr>
            <w:tcW w:w="2410"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74,75 €</w:t>
            </w:r>
          </w:p>
        </w:tc>
        <w:tc>
          <w:tcPr>
            <w:tcW w:w="3119"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81,13 €</w:t>
            </w:r>
          </w:p>
        </w:tc>
        <w:tc>
          <w:tcPr>
            <w:tcW w:w="1842" w:type="dxa"/>
            <w:tcBorders>
              <w:top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6,38 €</w:t>
            </w:r>
          </w:p>
        </w:tc>
      </w:tr>
      <w:tr w:rsidR="009B4233">
        <w:tblPrEx>
          <w:tblCellMar>
            <w:top w:w="0" w:type="dxa"/>
            <w:bottom w:w="0" w:type="dxa"/>
          </w:tblCellMar>
        </w:tblPrEx>
        <w:trPr>
          <w:trHeight w:val="300"/>
        </w:trPr>
        <w:tc>
          <w:tcPr>
            <w:tcW w:w="1601"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45 m3</w:t>
            </w:r>
          </w:p>
        </w:tc>
        <w:tc>
          <w:tcPr>
            <w:tcW w:w="2410"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76,94 €</w:t>
            </w:r>
          </w:p>
        </w:tc>
        <w:tc>
          <w:tcPr>
            <w:tcW w:w="3119"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83,51 €</w:t>
            </w:r>
          </w:p>
        </w:tc>
        <w:tc>
          <w:tcPr>
            <w:tcW w:w="1842" w:type="dxa"/>
            <w:tcBorders>
              <w:top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6,57 €</w:t>
            </w:r>
          </w:p>
        </w:tc>
      </w:tr>
      <w:tr w:rsidR="009B4233">
        <w:tblPrEx>
          <w:tblCellMar>
            <w:top w:w="0" w:type="dxa"/>
            <w:bottom w:w="0" w:type="dxa"/>
          </w:tblCellMar>
        </w:tblPrEx>
        <w:trPr>
          <w:trHeight w:val="300"/>
        </w:trPr>
        <w:tc>
          <w:tcPr>
            <w:tcW w:w="1601"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46 m3</w:t>
            </w:r>
          </w:p>
        </w:tc>
        <w:tc>
          <w:tcPr>
            <w:tcW w:w="2410"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79,13 €</w:t>
            </w:r>
          </w:p>
        </w:tc>
        <w:tc>
          <w:tcPr>
            <w:tcW w:w="3119"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85,89 €</w:t>
            </w:r>
          </w:p>
        </w:tc>
        <w:tc>
          <w:tcPr>
            <w:tcW w:w="1842" w:type="dxa"/>
            <w:tcBorders>
              <w:top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6,76 €</w:t>
            </w:r>
          </w:p>
        </w:tc>
      </w:tr>
      <w:tr w:rsidR="009B4233">
        <w:tblPrEx>
          <w:tblCellMar>
            <w:top w:w="0" w:type="dxa"/>
            <w:bottom w:w="0" w:type="dxa"/>
          </w:tblCellMar>
        </w:tblPrEx>
        <w:trPr>
          <w:trHeight w:val="300"/>
        </w:trPr>
        <w:tc>
          <w:tcPr>
            <w:tcW w:w="1601"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47 m3</w:t>
            </w:r>
          </w:p>
        </w:tc>
        <w:tc>
          <w:tcPr>
            <w:tcW w:w="2410"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81,32 €</w:t>
            </w:r>
          </w:p>
        </w:tc>
        <w:tc>
          <w:tcPr>
            <w:tcW w:w="3119"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88,27 €</w:t>
            </w:r>
          </w:p>
        </w:tc>
        <w:tc>
          <w:tcPr>
            <w:tcW w:w="1842" w:type="dxa"/>
            <w:tcBorders>
              <w:top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6,95 €</w:t>
            </w:r>
          </w:p>
        </w:tc>
      </w:tr>
      <w:tr w:rsidR="009B4233">
        <w:tblPrEx>
          <w:tblCellMar>
            <w:top w:w="0" w:type="dxa"/>
            <w:bottom w:w="0" w:type="dxa"/>
          </w:tblCellMar>
        </w:tblPrEx>
        <w:trPr>
          <w:trHeight w:val="300"/>
        </w:trPr>
        <w:tc>
          <w:tcPr>
            <w:tcW w:w="1601"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48 m3</w:t>
            </w:r>
          </w:p>
        </w:tc>
        <w:tc>
          <w:tcPr>
            <w:tcW w:w="2410"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83,51 €</w:t>
            </w:r>
          </w:p>
        </w:tc>
        <w:tc>
          <w:tcPr>
            <w:tcW w:w="3119"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90,65 €</w:t>
            </w:r>
          </w:p>
        </w:tc>
        <w:tc>
          <w:tcPr>
            <w:tcW w:w="1842" w:type="dxa"/>
            <w:tcBorders>
              <w:top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7,14 €</w:t>
            </w:r>
          </w:p>
        </w:tc>
      </w:tr>
      <w:tr w:rsidR="009B4233">
        <w:tblPrEx>
          <w:tblCellMar>
            <w:top w:w="0" w:type="dxa"/>
            <w:bottom w:w="0" w:type="dxa"/>
          </w:tblCellMar>
        </w:tblPrEx>
        <w:trPr>
          <w:trHeight w:val="300"/>
        </w:trPr>
        <w:tc>
          <w:tcPr>
            <w:tcW w:w="1601"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49 m3</w:t>
            </w:r>
          </w:p>
        </w:tc>
        <w:tc>
          <w:tcPr>
            <w:tcW w:w="2410"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85,70 €</w:t>
            </w:r>
          </w:p>
        </w:tc>
        <w:tc>
          <w:tcPr>
            <w:tcW w:w="3119"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93,03 €</w:t>
            </w:r>
          </w:p>
        </w:tc>
        <w:tc>
          <w:tcPr>
            <w:tcW w:w="1842" w:type="dxa"/>
            <w:tcBorders>
              <w:top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7,33 €</w:t>
            </w:r>
          </w:p>
        </w:tc>
      </w:tr>
      <w:tr w:rsidR="009B4233">
        <w:tblPrEx>
          <w:tblCellMar>
            <w:top w:w="0" w:type="dxa"/>
            <w:bottom w:w="0" w:type="dxa"/>
          </w:tblCellMar>
        </w:tblPrEx>
        <w:trPr>
          <w:trHeight w:val="300"/>
        </w:trPr>
        <w:tc>
          <w:tcPr>
            <w:tcW w:w="1601"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50 m3</w:t>
            </w:r>
          </w:p>
        </w:tc>
        <w:tc>
          <w:tcPr>
            <w:tcW w:w="2410"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87,89 €</w:t>
            </w:r>
          </w:p>
        </w:tc>
        <w:tc>
          <w:tcPr>
            <w:tcW w:w="3119"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95,41 €</w:t>
            </w:r>
          </w:p>
        </w:tc>
        <w:tc>
          <w:tcPr>
            <w:tcW w:w="1842" w:type="dxa"/>
            <w:tcBorders>
              <w:top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7,52 €</w:t>
            </w:r>
          </w:p>
        </w:tc>
      </w:tr>
      <w:tr w:rsidR="009B4233">
        <w:tblPrEx>
          <w:tblCellMar>
            <w:top w:w="0" w:type="dxa"/>
            <w:bottom w:w="0" w:type="dxa"/>
          </w:tblCellMar>
        </w:tblPrEx>
        <w:trPr>
          <w:trHeight w:val="300"/>
        </w:trPr>
        <w:tc>
          <w:tcPr>
            <w:tcW w:w="1601"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51 m3</w:t>
            </w:r>
          </w:p>
        </w:tc>
        <w:tc>
          <w:tcPr>
            <w:tcW w:w="2410"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90,08 €</w:t>
            </w:r>
          </w:p>
        </w:tc>
        <w:tc>
          <w:tcPr>
            <w:tcW w:w="3119"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97,79 €</w:t>
            </w:r>
          </w:p>
        </w:tc>
        <w:tc>
          <w:tcPr>
            <w:tcW w:w="1842" w:type="dxa"/>
            <w:tcBorders>
              <w:top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7,71 €</w:t>
            </w:r>
          </w:p>
        </w:tc>
      </w:tr>
      <w:tr w:rsidR="009B4233">
        <w:tblPrEx>
          <w:tblCellMar>
            <w:top w:w="0" w:type="dxa"/>
            <w:bottom w:w="0" w:type="dxa"/>
          </w:tblCellMar>
        </w:tblPrEx>
        <w:trPr>
          <w:trHeight w:val="300"/>
        </w:trPr>
        <w:tc>
          <w:tcPr>
            <w:tcW w:w="1601"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52 m3</w:t>
            </w:r>
          </w:p>
        </w:tc>
        <w:tc>
          <w:tcPr>
            <w:tcW w:w="2410"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92,27 €</w:t>
            </w:r>
          </w:p>
        </w:tc>
        <w:tc>
          <w:tcPr>
            <w:tcW w:w="3119"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100,17 €</w:t>
            </w:r>
          </w:p>
        </w:tc>
        <w:tc>
          <w:tcPr>
            <w:tcW w:w="1842" w:type="dxa"/>
            <w:tcBorders>
              <w:top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7,90 €</w:t>
            </w:r>
          </w:p>
        </w:tc>
      </w:tr>
      <w:tr w:rsidR="009B4233">
        <w:tblPrEx>
          <w:tblCellMar>
            <w:top w:w="0" w:type="dxa"/>
            <w:bottom w:w="0" w:type="dxa"/>
          </w:tblCellMar>
        </w:tblPrEx>
        <w:trPr>
          <w:trHeight w:val="300"/>
        </w:trPr>
        <w:tc>
          <w:tcPr>
            <w:tcW w:w="1601"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53 m3</w:t>
            </w:r>
          </w:p>
        </w:tc>
        <w:tc>
          <w:tcPr>
            <w:tcW w:w="2410"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94,46 €</w:t>
            </w:r>
          </w:p>
        </w:tc>
        <w:tc>
          <w:tcPr>
            <w:tcW w:w="3119"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102,55 €</w:t>
            </w:r>
          </w:p>
        </w:tc>
        <w:tc>
          <w:tcPr>
            <w:tcW w:w="1842" w:type="dxa"/>
            <w:tcBorders>
              <w:top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8,09 €</w:t>
            </w:r>
          </w:p>
        </w:tc>
      </w:tr>
      <w:tr w:rsidR="009B4233">
        <w:tblPrEx>
          <w:tblCellMar>
            <w:top w:w="0" w:type="dxa"/>
            <w:bottom w:w="0" w:type="dxa"/>
          </w:tblCellMar>
        </w:tblPrEx>
        <w:trPr>
          <w:trHeight w:val="300"/>
        </w:trPr>
        <w:tc>
          <w:tcPr>
            <w:tcW w:w="1601"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54 m3</w:t>
            </w:r>
          </w:p>
        </w:tc>
        <w:tc>
          <w:tcPr>
            <w:tcW w:w="2410"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96,65 €</w:t>
            </w:r>
          </w:p>
        </w:tc>
        <w:tc>
          <w:tcPr>
            <w:tcW w:w="3119"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104,93 €</w:t>
            </w:r>
          </w:p>
        </w:tc>
        <w:tc>
          <w:tcPr>
            <w:tcW w:w="1842" w:type="dxa"/>
            <w:tcBorders>
              <w:top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8,28 €</w:t>
            </w:r>
          </w:p>
        </w:tc>
      </w:tr>
      <w:tr w:rsidR="009B4233">
        <w:tblPrEx>
          <w:tblCellMar>
            <w:top w:w="0" w:type="dxa"/>
            <w:bottom w:w="0" w:type="dxa"/>
          </w:tblCellMar>
        </w:tblPrEx>
        <w:trPr>
          <w:trHeight w:val="300"/>
        </w:trPr>
        <w:tc>
          <w:tcPr>
            <w:tcW w:w="1601"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55 m3</w:t>
            </w:r>
          </w:p>
        </w:tc>
        <w:tc>
          <w:tcPr>
            <w:tcW w:w="2410"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98,84 €</w:t>
            </w:r>
          </w:p>
        </w:tc>
        <w:tc>
          <w:tcPr>
            <w:tcW w:w="3119"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107,31 €</w:t>
            </w:r>
          </w:p>
        </w:tc>
        <w:tc>
          <w:tcPr>
            <w:tcW w:w="1842" w:type="dxa"/>
            <w:tcBorders>
              <w:top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8,47 €</w:t>
            </w:r>
          </w:p>
        </w:tc>
      </w:tr>
      <w:tr w:rsidR="009B4233">
        <w:tblPrEx>
          <w:tblCellMar>
            <w:top w:w="0" w:type="dxa"/>
            <w:bottom w:w="0" w:type="dxa"/>
          </w:tblCellMar>
        </w:tblPrEx>
        <w:trPr>
          <w:trHeight w:val="300"/>
        </w:trPr>
        <w:tc>
          <w:tcPr>
            <w:tcW w:w="1601"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56 m3</w:t>
            </w:r>
          </w:p>
        </w:tc>
        <w:tc>
          <w:tcPr>
            <w:tcW w:w="2410"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101,03 €</w:t>
            </w:r>
          </w:p>
        </w:tc>
        <w:tc>
          <w:tcPr>
            <w:tcW w:w="3119"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109,69 €</w:t>
            </w:r>
          </w:p>
        </w:tc>
        <w:tc>
          <w:tcPr>
            <w:tcW w:w="1842" w:type="dxa"/>
            <w:tcBorders>
              <w:top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8,66 €</w:t>
            </w:r>
          </w:p>
        </w:tc>
      </w:tr>
      <w:tr w:rsidR="009B4233">
        <w:tblPrEx>
          <w:tblCellMar>
            <w:top w:w="0" w:type="dxa"/>
            <w:bottom w:w="0" w:type="dxa"/>
          </w:tblCellMar>
        </w:tblPrEx>
        <w:trPr>
          <w:trHeight w:val="300"/>
        </w:trPr>
        <w:tc>
          <w:tcPr>
            <w:tcW w:w="1601"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57 m3</w:t>
            </w:r>
          </w:p>
        </w:tc>
        <w:tc>
          <w:tcPr>
            <w:tcW w:w="2410"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103,22 €</w:t>
            </w:r>
          </w:p>
        </w:tc>
        <w:tc>
          <w:tcPr>
            <w:tcW w:w="3119"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112,07 €</w:t>
            </w:r>
          </w:p>
        </w:tc>
        <w:tc>
          <w:tcPr>
            <w:tcW w:w="1842" w:type="dxa"/>
            <w:tcBorders>
              <w:top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8,85 €</w:t>
            </w:r>
          </w:p>
        </w:tc>
      </w:tr>
      <w:tr w:rsidR="009B4233">
        <w:tblPrEx>
          <w:tblCellMar>
            <w:top w:w="0" w:type="dxa"/>
            <w:bottom w:w="0" w:type="dxa"/>
          </w:tblCellMar>
        </w:tblPrEx>
        <w:trPr>
          <w:trHeight w:val="300"/>
        </w:trPr>
        <w:tc>
          <w:tcPr>
            <w:tcW w:w="1601"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58 m3</w:t>
            </w:r>
          </w:p>
        </w:tc>
        <w:tc>
          <w:tcPr>
            <w:tcW w:w="2410"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105,41 €</w:t>
            </w:r>
          </w:p>
        </w:tc>
        <w:tc>
          <w:tcPr>
            <w:tcW w:w="3119"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 xml:space="preserve">114,45 </w:t>
            </w:r>
            <w:r>
              <w:rPr>
                <w:rFonts w:ascii="Arial" w:eastAsia="Times New Roman" w:hAnsi="Arial" w:cs="Arial"/>
                <w:bCs/>
                <w:color w:val="000000"/>
                <w:sz w:val="22"/>
                <w:szCs w:val="22"/>
                <w:lang w:eastAsia="es-ES"/>
              </w:rPr>
              <w:t>€</w:t>
            </w:r>
          </w:p>
        </w:tc>
        <w:tc>
          <w:tcPr>
            <w:tcW w:w="1842" w:type="dxa"/>
            <w:tcBorders>
              <w:top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9,04 €</w:t>
            </w:r>
          </w:p>
        </w:tc>
      </w:tr>
      <w:tr w:rsidR="009B4233">
        <w:tblPrEx>
          <w:tblCellMar>
            <w:top w:w="0" w:type="dxa"/>
            <w:bottom w:w="0" w:type="dxa"/>
          </w:tblCellMar>
        </w:tblPrEx>
        <w:trPr>
          <w:trHeight w:val="300"/>
        </w:trPr>
        <w:tc>
          <w:tcPr>
            <w:tcW w:w="1601"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59 m3</w:t>
            </w:r>
          </w:p>
        </w:tc>
        <w:tc>
          <w:tcPr>
            <w:tcW w:w="2410"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107,60 €</w:t>
            </w:r>
          </w:p>
        </w:tc>
        <w:tc>
          <w:tcPr>
            <w:tcW w:w="3119"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116,83 €</w:t>
            </w:r>
          </w:p>
        </w:tc>
        <w:tc>
          <w:tcPr>
            <w:tcW w:w="1842" w:type="dxa"/>
            <w:tcBorders>
              <w:top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9,23 €</w:t>
            </w:r>
          </w:p>
        </w:tc>
      </w:tr>
      <w:tr w:rsidR="009B4233">
        <w:tblPrEx>
          <w:tblCellMar>
            <w:top w:w="0" w:type="dxa"/>
            <w:bottom w:w="0" w:type="dxa"/>
          </w:tblCellMar>
        </w:tblPrEx>
        <w:trPr>
          <w:trHeight w:val="300"/>
        </w:trPr>
        <w:tc>
          <w:tcPr>
            <w:tcW w:w="1601"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60 m3</w:t>
            </w:r>
          </w:p>
        </w:tc>
        <w:tc>
          <w:tcPr>
            <w:tcW w:w="2410"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109,79 €</w:t>
            </w:r>
          </w:p>
        </w:tc>
        <w:tc>
          <w:tcPr>
            <w:tcW w:w="3119"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119,21 €</w:t>
            </w:r>
          </w:p>
        </w:tc>
        <w:tc>
          <w:tcPr>
            <w:tcW w:w="1842" w:type="dxa"/>
            <w:tcBorders>
              <w:top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9,42 €</w:t>
            </w:r>
          </w:p>
        </w:tc>
      </w:tr>
      <w:tr w:rsidR="009B4233">
        <w:tblPrEx>
          <w:tblCellMar>
            <w:top w:w="0" w:type="dxa"/>
            <w:bottom w:w="0" w:type="dxa"/>
          </w:tblCellMar>
        </w:tblPrEx>
        <w:trPr>
          <w:trHeight w:val="300"/>
        </w:trPr>
        <w:tc>
          <w:tcPr>
            <w:tcW w:w="1601"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61 m3</w:t>
            </w:r>
          </w:p>
        </w:tc>
        <w:tc>
          <w:tcPr>
            <w:tcW w:w="2410"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113,27 €</w:t>
            </w:r>
          </w:p>
        </w:tc>
        <w:tc>
          <w:tcPr>
            <w:tcW w:w="3119"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122,99 €</w:t>
            </w:r>
          </w:p>
        </w:tc>
        <w:tc>
          <w:tcPr>
            <w:tcW w:w="1842" w:type="dxa"/>
            <w:tcBorders>
              <w:top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9,72 €</w:t>
            </w:r>
          </w:p>
        </w:tc>
      </w:tr>
      <w:tr w:rsidR="009B4233">
        <w:tblPrEx>
          <w:tblCellMar>
            <w:top w:w="0" w:type="dxa"/>
            <w:bottom w:w="0" w:type="dxa"/>
          </w:tblCellMar>
        </w:tblPrEx>
        <w:trPr>
          <w:trHeight w:val="300"/>
        </w:trPr>
        <w:tc>
          <w:tcPr>
            <w:tcW w:w="1601"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62 m3</w:t>
            </w:r>
          </w:p>
        </w:tc>
        <w:tc>
          <w:tcPr>
            <w:tcW w:w="2410"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116,75 €</w:t>
            </w:r>
          </w:p>
        </w:tc>
        <w:tc>
          <w:tcPr>
            <w:tcW w:w="3119"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126,77 €</w:t>
            </w:r>
          </w:p>
        </w:tc>
        <w:tc>
          <w:tcPr>
            <w:tcW w:w="1842" w:type="dxa"/>
            <w:tcBorders>
              <w:top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10,02 €</w:t>
            </w:r>
          </w:p>
        </w:tc>
      </w:tr>
      <w:tr w:rsidR="009B4233">
        <w:tblPrEx>
          <w:tblCellMar>
            <w:top w:w="0" w:type="dxa"/>
            <w:bottom w:w="0" w:type="dxa"/>
          </w:tblCellMar>
        </w:tblPrEx>
        <w:trPr>
          <w:trHeight w:val="300"/>
        </w:trPr>
        <w:tc>
          <w:tcPr>
            <w:tcW w:w="1601"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63 m3</w:t>
            </w:r>
          </w:p>
        </w:tc>
        <w:tc>
          <w:tcPr>
            <w:tcW w:w="2410"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120,23 €</w:t>
            </w:r>
          </w:p>
        </w:tc>
        <w:tc>
          <w:tcPr>
            <w:tcW w:w="3119"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130,55 €</w:t>
            </w:r>
          </w:p>
        </w:tc>
        <w:tc>
          <w:tcPr>
            <w:tcW w:w="1842" w:type="dxa"/>
            <w:tcBorders>
              <w:top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10,32 €</w:t>
            </w:r>
          </w:p>
        </w:tc>
      </w:tr>
      <w:tr w:rsidR="009B4233">
        <w:tblPrEx>
          <w:tblCellMar>
            <w:top w:w="0" w:type="dxa"/>
            <w:bottom w:w="0" w:type="dxa"/>
          </w:tblCellMar>
        </w:tblPrEx>
        <w:trPr>
          <w:trHeight w:val="300"/>
        </w:trPr>
        <w:tc>
          <w:tcPr>
            <w:tcW w:w="1601"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64 m3</w:t>
            </w:r>
          </w:p>
        </w:tc>
        <w:tc>
          <w:tcPr>
            <w:tcW w:w="2410"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123,71 €</w:t>
            </w:r>
          </w:p>
        </w:tc>
        <w:tc>
          <w:tcPr>
            <w:tcW w:w="3119"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134,33 €</w:t>
            </w:r>
          </w:p>
        </w:tc>
        <w:tc>
          <w:tcPr>
            <w:tcW w:w="1842" w:type="dxa"/>
            <w:tcBorders>
              <w:top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10,62 €</w:t>
            </w:r>
          </w:p>
        </w:tc>
      </w:tr>
      <w:tr w:rsidR="009B4233">
        <w:tblPrEx>
          <w:tblCellMar>
            <w:top w:w="0" w:type="dxa"/>
            <w:bottom w:w="0" w:type="dxa"/>
          </w:tblCellMar>
        </w:tblPrEx>
        <w:trPr>
          <w:trHeight w:val="300"/>
        </w:trPr>
        <w:tc>
          <w:tcPr>
            <w:tcW w:w="1601"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65 m3</w:t>
            </w:r>
          </w:p>
        </w:tc>
        <w:tc>
          <w:tcPr>
            <w:tcW w:w="2410"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127,19 €</w:t>
            </w:r>
          </w:p>
        </w:tc>
        <w:tc>
          <w:tcPr>
            <w:tcW w:w="3119"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138,11 €</w:t>
            </w:r>
          </w:p>
        </w:tc>
        <w:tc>
          <w:tcPr>
            <w:tcW w:w="1842" w:type="dxa"/>
            <w:tcBorders>
              <w:top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10,92 €</w:t>
            </w:r>
          </w:p>
        </w:tc>
      </w:tr>
      <w:tr w:rsidR="009B4233">
        <w:tblPrEx>
          <w:tblCellMar>
            <w:top w:w="0" w:type="dxa"/>
            <w:bottom w:w="0" w:type="dxa"/>
          </w:tblCellMar>
        </w:tblPrEx>
        <w:trPr>
          <w:trHeight w:val="300"/>
        </w:trPr>
        <w:tc>
          <w:tcPr>
            <w:tcW w:w="1601"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66 m3</w:t>
            </w:r>
          </w:p>
        </w:tc>
        <w:tc>
          <w:tcPr>
            <w:tcW w:w="2410"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130,67 €</w:t>
            </w:r>
          </w:p>
        </w:tc>
        <w:tc>
          <w:tcPr>
            <w:tcW w:w="3119"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141,89 €</w:t>
            </w:r>
          </w:p>
        </w:tc>
        <w:tc>
          <w:tcPr>
            <w:tcW w:w="1842" w:type="dxa"/>
            <w:tcBorders>
              <w:top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11,22 €</w:t>
            </w:r>
          </w:p>
        </w:tc>
      </w:tr>
      <w:tr w:rsidR="009B4233">
        <w:tblPrEx>
          <w:tblCellMar>
            <w:top w:w="0" w:type="dxa"/>
            <w:bottom w:w="0" w:type="dxa"/>
          </w:tblCellMar>
        </w:tblPrEx>
        <w:trPr>
          <w:trHeight w:val="300"/>
        </w:trPr>
        <w:tc>
          <w:tcPr>
            <w:tcW w:w="1601"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67 m3</w:t>
            </w:r>
          </w:p>
        </w:tc>
        <w:tc>
          <w:tcPr>
            <w:tcW w:w="2410"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134,15 €</w:t>
            </w:r>
          </w:p>
        </w:tc>
        <w:tc>
          <w:tcPr>
            <w:tcW w:w="3119"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145,67 €</w:t>
            </w:r>
          </w:p>
        </w:tc>
        <w:tc>
          <w:tcPr>
            <w:tcW w:w="1842" w:type="dxa"/>
            <w:tcBorders>
              <w:top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11,52 €</w:t>
            </w:r>
          </w:p>
        </w:tc>
      </w:tr>
      <w:tr w:rsidR="009B4233">
        <w:tblPrEx>
          <w:tblCellMar>
            <w:top w:w="0" w:type="dxa"/>
            <w:bottom w:w="0" w:type="dxa"/>
          </w:tblCellMar>
        </w:tblPrEx>
        <w:trPr>
          <w:trHeight w:val="300"/>
        </w:trPr>
        <w:tc>
          <w:tcPr>
            <w:tcW w:w="1601"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68 m3</w:t>
            </w:r>
          </w:p>
        </w:tc>
        <w:tc>
          <w:tcPr>
            <w:tcW w:w="2410"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137,63 €</w:t>
            </w:r>
          </w:p>
        </w:tc>
        <w:tc>
          <w:tcPr>
            <w:tcW w:w="3119"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149,45 €</w:t>
            </w:r>
          </w:p>
        </w:tc>
        <w:tc>
          <w:tcPr>
            <w:tcW w:w="1842" w:type="dxa"/>
            <w:tcBorders>
              <w:top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11,82 €</w:t>
            </w:r>
          </w:p>
        </w:tc>
      </w:tr>
      <w:tr w:rsidR="009B4233">
        <w:tblPrEx>
          <w:tblCellMar>
            <w:top w:w="0" w:type="dxa"/>
            <w:bottom w:w="0" w:type="dxa"/>
          </w:tblCellMar>
        </w:tblPrEx>
        <w:trPr>
          <w:trHeight w:val="300"/>
        </w:trPr>
        <w:tc>
          <w:tcPr>
            <w:tcW w:w="1601"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69 m3</w:t>
            </w:r>
          </w:p>
        </w:tc>
        <w:tc>
          <w:tcPr>
            <w:tcW w:w="2410"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141,11 €</w:t>
            </w:r>
          </w:p>
        </w:tc>
        <w:tc>
          <w:tcPr>
            <w:tcW w:w="3119"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153,23 €</w:t>
            </w:r>
          </w:p>
        </w:tc>
        <w:tc>
          <w:tcPr>
            <w:tcW w:w="1842" w:type="dxa"/>
            <w:tcBorders>
              <w:top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12,12 €</w:t>
            </w:r>
          </w:p>
        </w:tc>
      </w:tr>
      <w:tr w:rsidR="009B4233">
        <w:tblPrEx>
          <w:tblCellMar>
            <w:top w:w="0" w:type="dxa"/>
            <w:bottom w:w="0" w:type="dxa"/>
          </w:tblCellMar>
        </w:tblPrEx>
        <w:trPr>
          <w:trHeight w:val="300"/>
        </w:trPr>
        <w:tc>
          <w:tcPr>
            <w:tcW w:w="1601"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70 m3</w:t>
            </w:r>
          </w:p>
        </w:tc>
        <w:tc>
          <w:tcPr>
            <w:tcW w:w="2410"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144,59 €</w:t>
            </w:r>
          </w:p>
        </w:tc>
        <w:tc>
          <w:tcPr>
            <w:tcW w:w="3119"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157,01 €</w:t>
            </w:r>
          </w:p>
        </w:tc>
        <w:tc>
          <w:tcPr>
            <w:tcW w:w="1842" w:type="dxa"/>
            <w:tcBorders>
              <w:top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12,42 €</w:t>
            </w:r>
          </w:p>
        </w:tc>
      </w:tr>
      <w:tr w:rsidR="009B4233">
        <w:tblPrEx>
          <w:tblCellMar>
            <w:top w:w="0" w:type="dxa"/>
            <w:bottom w:w="0" w:type="dxa"/>
          </w:tblCellMar>
        </w:tblPrEx>
        <w:trPr>
          <w:trHeight w:val="300"/>
        </w:trPr>
        <w:tc>
          <w:tcPr>
            <w:tcW w:w="1601"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71 m3</w:t>
            </w:r>
          </w:p>
        </w:tc>
        <w:tc>
          <w:tcPr>
            <w:tcW w:w="2410"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148,07 €</w:t>
            </w:r>
          </w:p>
        </w:tc>
        <w:tc>
          <w:tcPr>
            <w:tcW w:w="3119"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160,79 €</w:t>
            </w:r>
          </w:p>
        </w:tc>
        <w:tc>
          <w:tcPr>
            <w:tcW w:w="1842" w:type="dxa"/>
            <w:tcBorders>
              <w:top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12,72 €</w:t>
            </w:r>
          </w:p>
        </w:tc>
      </w:tr>
      <w:tr w:rsidR="009B4233">
        <w:tblPrEx>
          <w:tblCellMar>
            <w:top w:w="0" w:type="dxa"/>
            <w:bottom w:w="0" w:type="dxa"/>
          </w:tblCellMar>
        </w:tblPrEx>
        <w:trPr>
          <w:trHeight w:val="300"/>
        </w:trPr>
        <w:tc>
          <w:tcPr>
            <w:tcW w:w="1601"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72 m3</w:t>
            </w:r>
          </w:p>
        </w:tc>
        <w:tc>
          <w:tcPr>
            <w:tcW w:w="2410"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151,55 €</w:t>
            </w:r>
          </w:p>
        </w:tc>
        <w:tc>
          <w:tcPr>
            <w:tcW w:w="3119"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164,57 €</w:t>
            </w:r>
          </w:p>
        </w:tc>
        <w:tc>
          <w:tcPr>
            <w:tcW w:w="1842" w:type="dxa"/>
            <w:tcBorders>
              <w:top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13,02 €</w:t>
            </w:r>
          </w:p>
        </w:tc>
      </w:tr>
      <w:tr w:rsidR="009B4233">
        <w:tblPrEx>
          <w:tblCellMar>
            <w:top w:w="0" w:type="dxa"/>
            <w:bottom w:w="0" w:type="dxa"/>
          </w:tblCellMar>
        </w:tblPrEx>
        <w:trPr>
          <w:trHeight w:val="300"/>
        </w:trPr>
        <w:tc>
          <w:tcPr>
            <w:tcW w:w="1601"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73 m3</w:t>
            </w:r>
          </w:p>
        </w:tc>
        <w:tc>
          <w:tcPr>
            <w:tcW w:w="2410"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155,03 €</w:t>
            </w:r>
          </w:p>
        </w:tc>
        <w:tc>
          <w:tcPr>
            <w:tcW w:w="3119"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168,35 €</w:t>
            </w:r>
          </w:p>
        </w:tc>
        <w:tc>
          <w:tcPr>
            <w:tcW w:w="1842" w:type="dxa"/>
            <w:tcBorders>
              <w:top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13,32 €</w:t>
            </w:r>
          </w:p>
        </w:tc>
      </w:tr>
      <w:tr w:rsidR="009B4233">
        <w:tblPrEx>
          <w:tblCellMar>
            <w:top w:w="0" w:type="dxa"/>
            <w:bottom w:w="0" w:type="dxa"/>
          </w:tblCellMar>
        </w:tblPrEx>
        <w:trPr>
          <w:trHeight w:val="300"/>
        </w:trPr>
        <w:tc>
          <w:tcPr>
            <w:tcW w:w="1601"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74 m3</w:t>
            </w:r>
          </w:p>
        </w:tc>
        <w:tc>
          <w:tcPr>
            <w:tcW w:w="2410"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158,51 €</w:t>
            </w:r>
          </w:p>
        </w:tc>
        <w:tc>
          <w:tcPr>
            <w:tcW w:w="3119" w:type="dxa"/>
            <w:tcBorders>
              <w:top w:val="single" w:sz="8" w:space="0" w:color="000000"/>
              <w:left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172,13 €</w:t>
            </w:r>
          </w:p>
        </w:tc>
        <w:tc>
          <w:tcPr>
            <w:tcW w:w="1842" w:type="dxa"/>
            <w:tcBorders>
              <w:top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13,62 €</w:t>
            </w:r>
          </w:p>
        </w:tc>
      </w:tr>
      <w:tr w:rsidR="009B4233">
        <w:tblPrEx>
          <w:tblCellMar>
            <w:top w:w="0" w:type="dxa"/>
            <w:bottom w:w="0" w:type="dxa"/>
          </w:tblCellMar>
        </w:tblPrEx>
        <w:trPr>
          <w:trHeight w:val="300"/>
        </w:trPr>
        <w:tc>
          <w:tcPr>
            <w:tcW w:w="1601" w:type="dxa"/>
            <w:tcBorders>
              <w:top w:val="single" w:sz="8" w:space="0" w:color="000000"/>
              <w:left w:val="single" w:sz="8" w:space="0" w:color="000000"/>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75 m3</w:t>
            </w:r>
          </w:p>
        </w:tc>
        <w:tc>
          <w:tcPr>
            <w:tcW w:w="2410" w:type="dxa"/>
            <w:tcBorders>
              <w:top w:val="single" w:sz="8" w:space="0" w:color="000000"/>
              <w:left w:val="single" w:sz="8" w:space="0" w:color="000000"/>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161,99 €</w:t>
            </w:r>
          </w:p>
        </w:tc>
        <w:tc>
          <w:tcPr>
            <w:tcW w:w="3119" w:type="dxa"/>
            <w:tcBorders>
              <w:top w:val="single" w:sz="8" w:space="0" w:color="000000"/>
              <w:left w:val="single" w:sz="8" w:space="0" w:color="000000"/>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175,91 €</w:t>
            </w:r>
          </w:p>
        </w:tc>
        <w:tc>
          <w:tcPr>
            <w:tcW w:w="1842" w:type="dxa"/>
            <w:tcBorders>
              <w:top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Cs/>
                <w:color w:val="000000"/>
                <w:sz w:val="22"/>
                <w:szCs w:val="22"/>
                <w:lang w:eastAsia="es-ES"/>
              </w:rPr>
            </w:pPr>
            <w:r>
              <w:rPr>
                <w:rFonts w:ascii="Arial" w:eastAsia="Times New Roman" w:hAnsi="Arial" w:cs="Arial"/>
                <w:bCs/>
                <w:color w:val="000000"/>
                <w:sz w:val="22"/>
                <w:szCs w:val="22"/>
                <w:lang w:eastAsia="es-ES"/>
              </w:rPr>
              <w:t>13,92 €</w:t>
            </w:r>
          </w:p>
        </w:tc>
      </w:tr>
      <w:tr w:rsidR="009B4233">
        <w:tblPrEx>
          <w:tblCellMar>
            <w:top w:w="0" w:type="dxa"/>
            <w:bottom w:w="0" w:type="dxa"/>
          </w:tblCellMar>
        </w:tblPrEx>
        <w:trPr>
          <w:trHeight w:val="345"/>
        </w:trPr>
        <w:tc>
          <w:tcPr>
            <w:tcW w:w="1601" w:type="dxa"/>
            <w:tcBorders>
              <w:left w:val="single" w:sz="8" w:space="0" w:color="000000"/>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75 m3</w:t>
            </w:r>
          </w:p>
        </w:tc>
        <w:tc>
          <w:tcPr>
            <w:tcW w:w="2410"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161,99 €</w:t>
            </w:r>
          </w:p>
        </w:tc>
        <w:tc>
          <w:tcPr>
            <w:tcW w:w="3119"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178,29 €</w:t>
            </w:r>
          </w:p>
        </w:tc>
        <w:tc>
          <w:tcPr>
            <w:tcW w:w="1842"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16,30 €</w:t>
            </w:r>
          </w:p>
        </w:tc>
      </w:tr>
    </w:tbl>
    <w:p w:rsidR="009B4233" w:rsidRDefault="009B4233">
      <w:pPr>
        <w:pStyle w:val="Textoindependiente"/>
        <w:jc w:val="both"/>
        <w:rPr>
          <w:rFonts w:cs="Arial"/>
          <w:szCs w:val="22"/>
        </w:rPr>
      </w:pPr>
    </w:p>
    <w:p w:rsidR="009B4233" w:rsidRDefault="009B4233">
      <w:pPr>
        <w:pStyle w:val="Sangra3detindependiente1"/>
        <w:ind w:firstLine="0"/>
        <w:rPr>
          <w:rFonts w:ascii="Arial" w:hAnsi="Arial" w:cs="Arial"/>
          <w:b/>
          <w:bCs/>
          <w:sz w:val="22"/>
          <w:szCs w:val="22"/>
        </w:rPr>
      </w:pPr>
    </w:p>
    <w:p w:rsidR="009B4233" w:rsidRDefault="006B08B9">
      <w:pPr>
        <w:pStyle w:val="Textoindependiente"/>
        <w:jc w:val="both"/>
      </w:pPr>
      <w:r>
        <w:rPr>
          <w:rFonts w:cs="Arial"/>
          <w:b/>
          <w:szCs w:val="22"/>
          <w:lang w:eastAsia="ar-SA"/>
        </w:rPr>
        <w:t xml:space="preserve">CUARTO: </w:t>
      </w:r>
      <w:r>
        <w:rPr>
          <w:rFonts w:cs="Arial"/>
          <w:szCs w:val="22"/>
          <w:lang w:eastAsia="ar-SA"/>
        </w:rPr>
        <w:t xml:space="preserve">Visto el certificado del acuerdo plenario de “prórroga </w:t>
      </w:r>
      <w:r>
        <w:rPr>
          <w:rFonts w:cs="Arial"/>
          <w:szCs w:val="22"/>
        </w:rPr>
        <w:t xml:space="preserve">del contrato de adjudicación del servicio de abastecimiento domiciliario de agua potable y </w:t>
      </w:r>
      <w:r>
        <w:rPr>
          <w:rFonts w:cs="Arial"/>
          <w:szCs w:val="22"/>
        </w:rPr>
        <w:t>saneamiento, suscrito con la entidad “SERAGUA, S.A.” el 9 de mayo de 1995, hoy “F.C.C. AQUALIA S.A.”, con estricta sujeción a los términos pactados en el mismo, por un plazo de diez años, a partir del 15 de mayo de 2025 y finalizando el 15 de mayo de 2035”</w:t>
      </w:r>
      <w:r>
        <w:rPr>
          <w:rFonts w:cs="Arial"/>
          <w:szCs w:val="22"/>
        </w:rPr>
        <w:t>, que, en su cláusula quinta, regula retribución del concesionario, señalando que:</w:t>
      </w:r>
    </w:p>
    <w:p w:rsidR="009B4233" w:rsidRDefault="006B08B9">
      <w:pPr>
        <w:pStyle w:val="Textoindependiente"/>
        <w:jc w:val="both"/>
        <w:rPr>
          <w:rFonts w:cs="Arial"/>
          <w:szCs w:val="22"/>
        </w:rPr>
      </w:pPr>
      <w:r>
        <w:rPr>
          <w:rFonts w:cs="Arial"/>
          <w:szCs w:val="22"/>
        </w:rPr>
        <w:t>“Este Ayuntamiento se encuentra obligado a revisar anualmente las tarifas aplicando para ello la fórmula polinómica establecida en la cláusula 36.3 del PCGEA, que es auténti</w:t>
      </w:r>
      <w:r>
        <w:rPr>
          <w:rFonts w:cs="Arial"/>
          <w:szCs w:val="22"/>
        </w:rPr>
        <w:t>ca lex contractus entre las partes [STSJ Canarias de fecha 23 de marzo de 2021 (recurso nº 25/2021)]. En su virtud, este Ayuntamiento dispone que, en aplicación de lo dispuesto en la cláusula 36 del PCGEA del Contrato y de las prerrogativas que le son prop</w:t>
      </w:r>
      <w:r>
        <w:rPr>
          <w:rFonts w:cs="Arial"/>
          <w:szCs w:val="22"/>
        </w:rPr>
        <w:t>ias, el concesionario (AQUALIA) tiene derecho a la revisión anual de las tarifas, las cuales se tienen que llevar a cabo mediante la aplicación de la fórmula polinómica establecida en la cláusula 36.3 de dicho PCGEA, y se compromete a efectuar dicha revisi</w:t>
      </w:r>
      <w:r>
        <w:rPr>
          <w:rFonts w:cs="Arial"/>
          <w:szCs w:val="22"/>
        </w:rPr>
        <w:t xml:space="preserve">ón con carácter anual y aplicando la referida fórmula polinómica a partir de la aprobación de la prórroga propuesta en el presente escrito. De acuerdo con las posibilidades previstas en la cláusula 28.3 del PCGEA, el Ayuntamiento y AQUALIA acuerdan que, a </w:t>
      </w:r>
      <w:r>
        <w:rPr>
          <w:rFonts w:cs="Arial"/>
          <w:szCs w:val="22"/>
        </w:rPr>
        <w:t>partir de la entrada en vigor de la nueva prórroga del Contrato, la revisión de las tarifas de los servicios se realizará a propuesta de AQUALIA, que presentará ante el Ayuntamiento para su tramitación la correspondiente solicitud y documentación justifica</w:t>
      </w:r>
      <w:r>
        <w:rPr>
          <w:rFonts w:cs="Arial"/>
          <w:szCs w:val="22"/>
        </w:rPr>
        <w:t>tiva antes del 1 de septiembre de cada año natural”.</w:t>
      </w:r>
    </w:p>
    <w:p w:rsidR="009B4233" w:rsidRDefault="006B08B9">
      <w:pPr>
        <w:pStyle w:val="Sangra3detindependiente1"/>
        <w:ind w:firstLine="0"/>
        <w:rPr>
          <w:rFonts w:ascii="Arial" w:hAnsi="Arial" w:cs="Arial"/>
          <w:sz w:val="22"/>
          <w:szCs w:val="22"/>
        </w:rPr>
      </w:pPr>
      <w:r>
        <w:rPr>
          <w:rFonts w:ascii="Arial" w:hAnsi="Arial" w:cs="Arial"/>
          <w:sz w:val="22"/>
          <w:szCs w:val="22"/>
        </w:rPr>
        <w:tab/>
        <w:t>Consecuencia de lo anterior, la empresa AQUALIA SA, presenta revisión de tarifas conforme fórmula polinómica, amparándose también en el artículo 36.3 del Pliego de Condiciones Económicas Administrativas</w:t>
      </w:r>
      <w:r>
        <w:rPr>
          <w:rFonts w:ascii="Arial" w:hAnsi="Arial" w:cs="Arial"/>
          <w:sz w:val="22"/>
          <w:szCs w:val="22"/>
        </w:rPr>
        <w:t xml:space="preserve"> y Jurídicas de la concesión, la retribución del contratista resulta de la aplicación de la fórmula polinómica, para la obtención de las tarifas, presentando el siguiente detalle:</w:t>
      </w:r>
    </w:p>
    <w:p w:rsidR="009B4233" w:rsidRDefault="009B4233">
      <w:pPr>
        <w:jc w:val="both"/>
        <w:rPr>
          <w:rFonts w:ascii="Arial" w:hAnsi="Arial" w:cs="Arial"/>
          <w:sz w:val="22"/>
          <w:szCs w:val="22"/>
        </w:rPr>
      </w:pPr>
    </w:p>
    <w:p w:rsidR="009B4233" w:rsidRDefault="006B08B9">
      <w:pPr>
        <w:jc w:val="center"/>
        <w:rPr>
          <w:rFonts w:ascii="Arial" w:hAnsi="Arial" w:cs="Arial"/>
          <w:sz w:val="22"/>
          <w:szCs w:val="22"/>
        </w:rPr>
      </w:pPr>
      <w:r>
        <w:rPr>
          <w:rFonts w:ascii="Arial" w:hAnsi="Arial" w:cs="Arial"/>
          <w:sz w:val="22"/>
          <w:szCs w:val="22"/>
        </w:rPr>
        <w:t>K = 0,60 * ( Mt / M0 ) + 0,25 * ( Rt / R0 ) + 0,15, en la que:</w:t>
      </w:r>
    </w:p>
    <w:p w:rsidR="009B4233" w:rsidRDefault="009B4233">
      <w:pPr>
        <w:jc w:val="center"/>
        <w:rPr>
          <w:rFonts w:ascii="Arial" w:hAnsi="Arial" w:cs="Arial"/>
          <w:sz w:val="22"/>
          <w:szCs w:val="22"/>
        </w:rPr>
      </w:pPr>
    </w:p>
    <w:p w:rsidR="009B4233" w:rsidRDefault="006B08B9">
      <w:pPr>
        <w:rPr>
          <w:rFonts w:ascii="Arial" w:hAnsi="Arial" w:cs="Arial"/>
          <w:b/>
          <w:bCs/>
          <w:sz w:val="22"/>
          <w:szCs w:val="22"/>
        </w:rPr>
      </w:pPr>
      <w:r>
        <w:rPr>
          <w:rFonts w:ascii="Arial" w:hAnsi="Arial" w:cs="Arial"/>
          <w:b/>
          <w:bCs/>
          <w:sz w:val="22"/>
          <w:szCs w:val="22"/>
        </w:rPr>
        <w:t>Kt = Coefic</w:t>
      </w:r>
      <w:r>
        <w:rPr>
          <w:rFonts w:ascii="Arial" w:hAnsi="Arial" w:cs="Arial"/>
          <w:b/>
          <w:bCs/>
          <w:sz w:val="22"/>
          <w:szCs w:val="22"/>
        </w:rPr>
        <w:t>iente de revisión de costes, excepto compra de agua = 2,5409</w:t>
      </w:r>
    </w:p>
    <w:p w:rsidR="009B4233" w:rsidRDefault="009B4233">
      <w:pPr>
        <w:rPr>
          <w:rFonts w:ascii="Arial" w:hAnsi="Arial" w:cs="Arial"/>
          <w:b/>
          <w:bCs/>
          <w:sz w:val="22"/>
          <w:szCs w:val="22"/>
        </w:rPr>
      </w:pPr>
    </w:p>
    <w:p w:rsidR="009B4233" w:rsidRDefault="006B08B9">
      <w:pPr>
        <w:rPr>
          <w:rFonts w:ascii="Arial" w:hAnsi="Arial" w:cs="Arial"/>
          <w:sz w:val="22"/>
          <w:szCs w:val="22"/>
        </w:rPr>
      </w:pPr>
      <w:r>
        <w:rPr>
          <w:rFonts w:ascii="Arial" w:hAnsi="Arial" w:cs="Arial"/>
          <w:sz w:val="22"/>
          <w:szCs w:val="22"/>
        </w:rPr>
        <w:t>Mt = S.M.I., en el momento t ( t= 2025 ).............................................1.184,00 Euros</w:t>
      </w:r>
    </w:p>
    <w:p w:rsidR="009B4233" w:rsidRDefault="006B08B9">
      <w:pPr>
        <w:rPr>
          <w:rFonts w:ascii="Arial" w:hAnsi="Arial" w:cs="Arial"/>
          <w:sz w:val="22"/>
          <w:szCs w:val="22"/>
        </w:rPr>
      </w:pPr>
      <w:r>
        <w:rPr>
          <w:rFonts w:ascii="Arial" w:hAnsi="Arial" w:cs="Arial"/>
          <w:sz w:val="22"/>
          <w:szCs w:val="22"/>
        </w:rPr>
        <w:t>M0 = S.M.I., en el momento de la adjudicación ( t= 1995 )...................376,83 Euros</w:t>
      </w:r>
    </w:p>
    <w:p w:rsidR="009B4233" w:rsidRDefault="006B08B9">
      <w:pPr>
        <w:rPr>
          <w:rFonts w:ascii="Arial" w:hAnsi="Arial" w:cs="Arial"/>
          <w:sz w:val="22"/>
          <w:szCs w:val="22"/>
        </w:rPr>
      </w:pPr>
      <w:r>
        <w:rPr>
          <w:rFonts w:ascii="Arial" w:hAnsi="Arial" w:cs="Arial"/>
          <w:sz w:val="22"/>
          <w:szCs w:val="22"/>
        </w:rPr>
        <w:t xml:space="preserve">Rt = </w:t>
      </w:r>
      <w:r>
        <w:rPr>
          <w:rFonts w:ascii="Arial" w:hAnsi="Arial" w:cs="Arial"/>
          <w:sz w:val="22"/>
          <w:szCs w:val="22"/>
        </w:rPr>
        <w:t>Incremento IPC desde mayo 1995 a mayo de 2025....................202,30 Euros</w:t>
      </w:r>
    </w:p>
    <w:p w:rsidR="009B4233" w:rsidRDefault="006B08B9">
      <w:pPr>
        <w:rPr>
          <w:rFonts w:ascii="Arial" w:hAnsi="Arial" w:cs="Arial"/>
          <w:sz w:val="22"/>
          <w:szCs w:val="22"/>
        </w:rPr>
      </w:pPr>
      <w:r>
        <w:rPr>
          <w:rFonts w:ascii="Arial" w:hAnsi="Arial" w:cs="Arial"/>
          <w:sz w:val="22"/>
          <w:szCs w:val="22"/>
        </w:rPr>
        <w:t xml:space="preserve">R0 = Costo materiales media ponderada del precio tubería y accesorios y cloro en el momento </w:t>
      </w:r>
      <w:r>
        <w:rPr>
          <w:rFonts w:ascii="Arial" w:hAnsi="Arial" w:cs="Arial"/>
          <w:sz w:val="22"/>
          <w:szCs w:val="22"/>
        </w:rPr>
        <w:t>adjudicación....................................................................................100,00</w:t>
      </w:r>
    </w:p>
    <w:p w:rsidR="009B4233" w:rsidRDefault="009B4233">
      <w:pPr>
        <w:rPr>
          <w:rFonts w:ascii="Arial" w:hAnsi="Arial" w:cs="Arial"/>
          <w:sz w:val="22"/>
          <w:szCs w:val="22"/>
        </w:rPr>
      </w:pPr>
    </w:p>
    <w:p w:rsidR="009B4233" w:rsidRDefault="006B08B9">
      <w:r>
        <w:rPr>
          <w:rFonts w:ascii="Arial" w:hAnsi="Arial" w:cs="Arial"/>
          <w:b/>
          <w:bCs/>
          <w:sz w:val="22"/>
          <w:szCs w:val="22"/>
        </w:rPr>
        <w:t>Kq = Coeficiente de revisión de costes, incluida compra de agua = 2,4975</w:t>
      </w:r>
    </w:p>
    <w:p w:rsidR="009B4233" w:rsidRDefault="006B08B9">
      <w:pPr>
        <w:rPr>
          <w:rFonts w:ascii="Arial" w:hAnsi="Arial" w:cs="Arial"/>
          <w:sz w:val="22"/>
          <w:szCs w:val="22"/>
        </w:rPr>
      </w:pPr>
      <w:r>
        <w:rPr>
          <w:rFonts w:ascii="Arial" w:hAnsi="Arial" w:cs="Arial"/>
          <w:sz w:val="22"/>
          <w:szCs w:val="22"/>
        </w:rPr>
        <w:t xml:space="preserve"> </w:t>
      </w:r>
    </w:p>
    <w:p w:rsidR="009B4233" w:rsidRDefault="006B08B9">
      <w:pPr>
        <w:rPr>
          <w:rFonts w:ascii="Arial" w:hAnsi="Arial" w:cs="Arial"/>
          <w:sz w:val="22"/>
          <w:szCs w:val="22"/>
        </w:rPr>
      </w:pPr>
      <w:r>
        <w:rPr>
          <w:rFonts w:ascii="Arial" w:hAnsi="Arial" w:cs="Arial"/>
          <w:sz w:val="22"/>
          <w:szCs w:val="22"/>
        </w:rPr>
        <w:t>Qt = Precio Pipa de agua comprada en el momento de la revisión..............0</w:t>
      </w:r>
      <w:r>
        <w:rPr>
          <w:rFonts w:ascii="Arial" w:hAnsi="Arial" w:cs="Arial"/>
          <w:sz w:val="22"/>
          <w:szCs w:val="22"/>
        </w:rPr>
        <w:t xml:space="preserve">,44010 </w:t>
      </w:r>
    </w:p>
    <w:p w:rsidR="009B4233" w:rsidRDefault="006B08B9">
      <w:pPr>
        <w:rPr>
          <w:rFonts w:ascii="Arial" w:hAnsi="Arial" w:cs="Arial"/>
          <w:sz w:val="22"/>
          <w:szCs w:val="22"/>
        </w:rPr>
      </w:pPr>
      <w:r>
        <w:rPr>
          <w:rFonts w:ascii="Arial" w:hAnsi="Arial" w:cs="Arial"/>
          <w:sz w:val="22"/>
          <w:szCs w:val="22"/>
        </w:rPr>
        <w:t>Q0 = Precio Pipa de agua comprada en el momento de la adjudicación.....0,176217.</w:t>
      </w:r>
    </w:p>
    <w:p w:rsidR="009B4233" w:rsidRDefault="009B4233">
      <w:pPr>
        <w:rPr>
          <w:rFonts w:ascii="Arial" w:hAnsi="Arial" w:cs="Arial"/>
          <w:sz w:val="22"/>
          <w:szCs w:val="22"/>
        </w:rPr>
      </w:pPr>
    </w:p>
    <w:p w:rsidR="009B4233" w:rsidRDefault="009B4233">
      <w:pPr>
        <w:pStyle w:val="Textoindependiente"/>
        <w:jc w:val="both"/>
        <w:rPr>
          <w:rFonts w:cs="Arial"/>
          <w:szCs w:val="22"/>
        </w:rPr>
      </w:pPr>
    </w:p>
    <w:p w:rsidR="009B4233" w:rsidRDefault="006B08B9">
      <w:pPr>
        <w:pStyle w:val="Textoindependiente"/>
        <w:rPr>
          <w:rFonts w:cs="Arial"/>
          <w:szCs w:val="22"/>
        </w:rPr>
      </w:pPr>
      <w:r>
        <w:rPr>
          <w:rFonts w:cs="Arial"/>
          <w:szCs w:val="22"/>
        </w:rPr>
        <w:tab/>
        <w:t>Para el cálculo de la retribución de AQUALIA SA en el ejercicio 2026, en euros / m3 de agua facturada, será la siguiente:</w:t>
      </w:r>
    </w:p>
    <w:p w:rsidR="009B4233" w:rsidRDefault="009B4233">
      <w:pPr>
        <w:rPr>
          <w:rFonts w:ascii="Arial" w:hAnsi="Arial" w:cs="Arial"/>
          <w:sz w:val="22"/>
          <w:szCs w:val="22"/>
        </w:rPr>
      </w:pPr>
    </w:p>
    <w:p w:rsidR="009B4233" w:rsidRDefault="006B08B9">
      <w:pPr>
        <w:jc w:val="center"/>
        <w:rPr>
          <w:rFonts w:ascii="Arial" w:hAnsi="Arial" w:cs="Arial"/>
          <w:sz w:val="22"/>
          <w:szCs w:val="22"/>
        </w:rPr>
      </w:pPr>
      <w:r>
        <w:rPr>
          <w:rFonts w:ascii="Arial" w:hAnsi="Arial" w:cs="Arial"/>
          <w:sz w:val="22"/>
          <w:szCs w:val="22"/>
        </w:rPr>
        <w:t xml:space="preserve">R(2026) = K*R (1995) = 2,5153 </w:t>
      </w:r>
      <w:r>
        <w:rPr>
          <w:rFonts w:ascii="Arial" w:hAnsi="Arial" w:cs="Arial"/>
          <w:sz w:val="22"/>
          <w:szCs w:val="22"/>
        </w:rPr>
        <w:t>Euros/m3*0,8968 €/m3, en la que:</w:t>
      </w:r>
    </w:p>
    <w:p w:rsidR="009B4233" w:rsidRDefault="009B4233">
      <w:pPr>
        <w:jc w:val="center"/>
        <w:rPr>
          <w:rFonts w:ascii="Arial" w:hAnsi="Arial" w:cs="Arial"/>
          <w:sz w:val="22"/>
          <w:szCs w:val="22"/>
        </w:rPr>
      </w:pPr>
    </w:p>
    <w:p w:rsidR="009B4233" w:rsidRDefault="006B08B9">
      <w:pPr>
        <w:pStyle w:val="Encabezado"/>
        <w:rPr>
          <w:rFonts w:ascii="Arial" w:hAnsi="Arial" w:cs="Arial"/>
          <w:sz w:val="22"/>
          <w:szCs w:val="22"/>
        </w:rPr>
      </w:pPr>
      <w:r>
        <w:rPr>
          <w:rFonts w:ascii="Arial" w:hAnsi="Arial" w:cs="Arial"/>
          <w:sz w:val="22"/>
          <w:szCs w:val="22"/>
        </w:rPr>
        <w:t>K = 0,41 *2,5409 + 0,59 * 2,4975= 2.5153</w:t>
      </w:r>
    </w:p>
    <w:p w:rsidR="009B4233" w:rsidRDefault="006B08B9">
      <w:pPr>
        <w:rPr>
          <w:rFonts w:ascii="Arial" w:hAnsi="Arial" w:cs="Arial"/>
          <w:sz w:val="22"/>
          <w:szCs w:val="22"/>
        </w:rPr>
      </w:pPr>
      <w:r>
        <w:rPr>
          <w:rFonts w:ascii="Arial" w:hAnsi="Arial" w:cs="Arial"/>
          <w:sz w:val="22"/>
          <w:szCs w:val="22"/>
        </w:rPr>
        <w:t>R(1995) = 0,8968 Euros / m3.</w:t>
      </w:r>
    </w:p>
    <w:p w:rsidR="009B4233" w:rsidRDefault="009B4233">
      <w:pPr>
        <w:rPr>
          <w:rFonts w:ascii="Arial" w:hAnsi="Arial" w:cs="Arial"/>
          <w:sz w:val="22"/>
          <w:szCs w:val="22"/>
        </w:rPr>
      </w:pPr>
    </w:p>
    <w:p w:rsidR="009B4233" w:rsidRDefault="006B08B9">
      <w:pPr>
        <w:rPr>
          <w:rFonts w:ascii="Arial" w:hAnsi="Arial" w:cs="Arial"/>
          <w:sz w:val="22"/>
          <w:szCs w:val="22"/>
        </w:rPr>
      </w:pPr>
      <w:r>
        <w:rPr>
          <w:rFonts w:ascii="Arial" w:hAnsi="Arial" w:cs="Arial"/>
          <w:sz w:val="22"/>
          <w:szCs w:val="22"/>
        </w:rPr>
        <w:t>R(2026) = 2,2558 €/M3. Dado que la tarifa media del año de estudio, fue de 1,8986 €/m3, el porcentaje de incremento de tarifas se incrementa al 18,81 %</w:t>
      </w:r>
      <w:r>
        <w:rPr>
          <w:rFonts w:ascii="Arial" w:hAnsi="Arial" w:cs="Arial"/>
          <w:sz w:val="22"/>
          <w:szCs w:val="22"/>
        </w:rPr>
        <w:t>.</w:t>
      </w:r>
    </w:p>
    <w:p w:rsidR="009B4233" w:rsidRDefault="009B4233">
      <w:pPr>
        <w:rPr>
          <w:rFonts w:ascii="Arial" w:hAnsi="Arial" w:cs="Arial"/>
          <w:sz w:val="22"/>
          <w:szCs w:val="22"/>
        </w:rPr>
      </w:pPr>
    </w:p>
    <w:p w:rsidR="009B4233" w:rsidRDefault="006B08B9">
      <w:pPr>
        <w:ind w:firstLine="708"/>
        <w:jc w:val="both"/>
        <w:rPr>
          <w:rFonts w:ascii="Arial" w:hAnsi="Arial" w:cs="Arial"/>
          <w:sz w:val="22"/>
          <w:szCs w:val="22"/>
        </w:rPr>
      </w:pPr>
      <w:r>
        <w:rPr>
          <w:rFonts w:ascii="Arial" w:hAnsi="Arial" w:cs="Arial"/>
          <w:sz w:val="22"/>
          <w:szCs w:val="22"/>
        </w:rPr>
        <w:t>No obstante, esta subida porcentual resultante de aplicar la fórmula polinómica, da lugar a las siguientes tarifas:</w:t>
      </w:r>
    </w:p>
    <w:p w:rsidR="009B4233" w:rsidRDefault="009B4233">
      <w:pPr>
        <w:ind w:firstLine="708"/>
        <w:jc w:val="both"/>
        <w:rPr>
          <w:rFonts w:ascii="Arial" w:hAnsi="Arial" w:cs="Arial"/>
          <w:sz w:val="22"/>
          <w:szCs w:val="22"/>
        </w:rPr>
      </w:pPr>
    </w:p>
    <w:tbl>
      <w:tblPr>
        <w:tblW w:w="6095" w:type="dxa"/>
        <w:tblInd w:w="1526" w:type="dxa"/>
        <w:tblCellMar>
          <w:left w:w="10" w:type="dxa"/>
          <w:right w:w="10" w:type="dxa"/>
        </w:tblCellMar>
        <w:tblLook w:val="0000" w:firstRow="0" w:lastRow="0" w:firstColumn="0" w:lastColumn="0" w:noHBand="0" w:noVBand="0"/>
      </w:tblPr>
      <w:tblGrid>
        <w:gridCol w:w="2835"/>
        <w:gridCol w:w="3260"/>
      </w:tblGrid>
      <w:tr w:rsidR="009B4233">
        <w:tblPrEx>
          <w:tblCellMar>
            <w:top w:w="0" w:type="dxa"/>
            <w:bottom w:w="0" w:type="dxa"/>
          </w:tblCellMar>
        </w:tblPrEx>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pStyle w:val="Textoindependiente"/>
              <w:jc w:val="center"/>
              <w:rPr>
                <w:rFonts w:cs="Arial"/>
                <w:b/>
                <w:szCs w:val="22"/>
              </w:rPr>
            </w:pPr>
            <w:r>
              <w:rPr>
                <w:rFonts w:cs="Arial"/>
                <w:b/>
                <w:szCs w:val="22"/>
              </w:rPr>
              <w:t>TARIFAS</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pStyle w:val="Textoindependiente"/>
              <w:jc w:val="center"/>
              <w:rPr>
                <w:rFonts w:cs="Arial"/>
                <w:b/>
                <w:szCs w:val="22"/>
              </w:rPr>
            </w:pPr>
            <w:r>
              <w:rPr>
                <w:rFonts w:cs="Arial"/>
                <w:b/>
                <w:szCs w:val="22"/>
              </w:rPr>
              <w:t>PROPUESTAS AL PLENO</w:t>
            </w:r>
          </w:p>
        </w:tc>
      </w:tr>
      <w:tr w:rsidR="009B4233">
        <w:tblPrEx>
          <w:tblCellMar>
            <w:top w:w="0" w:type="dxa"/>
            <w:bottom w:w="0" w:type="dxa"/>
          </w:tblCellMar>
        </w:tblPrEx>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widowControl/>
              <w:suppressAutoHyphens w:val="0"/>
              <w:spacing w:after="120"/>
              <w:jc w:val="center"/>
            </w:pPr>
            <w:r>
              <w:rPr>
                <w:rFonts w:ascii="Arial" w:eastAsia="Times New Roman" w:hAnsi="Arial" w:cs="Arial"/>
                <w:b/>
                <w:bCs/>
                <w:color w:val="000000"/>
                <w:sz w:val="22"/>
                <w:szCs w:val="22"/>
                <w:lang w:eastAsia="es-ES"/>
              </w:rPr>
              <w:t>CONSUMO DOMÉSTICO</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9B4233">
            <w:pPr>
              <w:pStyle w:val="Textoindependiente"/>
              <w:jc w:val="center"/>
              <w:rPr>
                <w:rFonts w:cs="Arial"/>
                <w:szCs w:val="22"/>
              </w:rPr>
            </w:pPr>
          </w:p>
        </w:tc>
      </w:tr>
      <w:tr w:rsidR="009B4233">
        <w:tblPrEx>
          <w:tblCellMar>
            <w:top w:w="0" w:type="dxa"/>
            <w:bottom w:w="0" w:type="dxa"/>
          </w:tblCellMar>
        </w:tblPrEx>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widowControl/>
              <w:suppressAutoHyphens w:val="0"/>
              <w:spacing w:after="120"/>
              <w:jc w:val="center"/>
            </w:pPr>
            <w:r>
              <w:rPr>
                <w:rFonts w:ascii="Arial" w:eastAsia="Times New Roman" w:hAnsi="Arial" w:cs="Arial"/>
                <w:color w:val="000000"/>
                <w:sz w:val="22"/>
                <w:szCs w:val="22"/>
                <w:lang w:eastAsia="es-ES"/>
              </w:rPr>
              <w:t>CUOTA FIJA</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widowControl/>
              <w:suppressAutoHyphens w:val="0"/>
              <w:spacing w:after="120"/>
              <w:jc w:val="center"/>
            </w:pPr>
            <w:r>
              <w:rPr>
                <w:rFonts w:ascii="Arial" w:eastAsia="Times New Roman" w:hAnsi="Arial" w:cs="Arial"/>
                <w:color w:val="000000"/>
                <w:sz w:val="22"/>
                <w:szCs w:val="22"/>
                <w:lang w:eastAsia="es-ES"/>
              </w:rPr>
              <w:t>16,86 €</w:t>
            </w:r>
          </w:p>
        </w:tc>
      </w:tr>
      <w:tr w:rsidR="009B4233">
        <w:tblPrEx>
          <w:tblCellMar>
            <w:top w:w="0" w:type="dxa"/>
            <w:bottom w:w="0" w:type="dxa"/>
          </w:tblCellMar>
        </w:tblPrEx>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widowControl/>
              <w:suppressAutoHyphens w:val="0"/>
              <w:spacing w:after="120"/>
              <w:jc w:val="center"/>
            </w:pPr>
            <w:r>
              <w:rPr>
                <w:rFonts w:ascii="Arial" w:eastAsia="Times New Roman" w:hAnsi="Arial" w:cs="Arial"/>
                <w:color w:val="000000"/>
                <w:sz w:val="22"/>
                <w:szCs w:val="22"/>
                <w:lang w:eastAsia="es-ES"/>
              </w:rPr>
              <w:t>De 1 a 10 m3</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widowControl/>
              <w:suppressAutoHyphens w:val="0"/>
              <w:spacing w:after="120"/>
              <w:jc w:val="center"/>
            </w:pPr>
            <w:r>
              <w:rPr>
                <w:rFonts w:ascii="Arial" w:eastAsia="Times New Roman" w:hAnsi="Arial" w:cs="Arial"/>
                <w:color w:val="000000"/>
                <w:sz w:val="22"/>
                <w:szCs w:val="22"/>
                <w:lang w:eastAsia="es-ES"/>
              </w:rPr>
              <w:t>0,70 €/m3</w:t>
            </w:r>
          </w:p>
        </w:tc>
      </w:tr>
      <w:tr w:rsidR="009B4233">
        <w:tblPrEx>
          <w:tblCellMar>
            <w:top w:w="0" w:type="dxa"/>
            <w:bottom w:w="0" w:type="dxa"/>
          </w:tblCellMar>
        </w:tblPrEx>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widowControl/>
              <w:suppressAutoHyphens w:val="0"/>
              <w:spacing w:after="120"/>
              <w:jc w:val="center"/>
            </w:pPr>
            <w:r>
              <w:rPr>
                <w:rFonts w:ascii="Arial" w:eastAsia="Times New Roman" w:hAnsi="Arial" w:cs="Arial"/>
                <w:i/>
                <w:iCs/>
                <w:color w:val="000000"/>
                <w:sz w:val="22"/>
                <w:szCs w:val="22"/>
                <w:lang w:eastAsia="es-ES"/>
              </w:rPr>
              <w:t xml:space="preserve">De </w:t>
            </w:r>
            <w:r>
              <w:rPr>
                <w:rFonts w:ascii="Arial" w:eastAsia="Times New Roman" w:hAnsi="Arial" w:cs="Arial"/>
                <w:color w:val="000000"/>
                <w:sz w:val="22"/>
                <w:szCs w:val="22"/>
                <w:lang w:eastAsia="es-ES"/>
              </w:rPr>
              <w:t>11 a 30 m3</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widowControl/>
              <w:suppressAutoHyphens w:val="0"/>
              <w:spacing w:after="120"/>
              <w:jc w:val="center"/>
            </w:pPr>
            <w:r>
              <w:rPr>
                <w:rFonts w:ascii="Arial" w:eastAsia="Times New Roman" w:hAnsi="Arial" w:cs="Arial"/>
                <w:color w:val="000000"/>
                <w:sz w:val="22"/>
                <w:szCs w:val="22"/>
                <w:lang w:eastAsia="es-ES"/>
              </w:rPr>
              <w:t>1,43 €/m3</w:t>
            </w:r>
          </w:p>
        </w:tc>
      </w:tr>
      <w:tr w:rsidR="009B4233">
        <w:tblPrEx>
          <w:tblCellMar>
            <w:top w:w="0" w:type="dxa"/>
            <w:bottom w:w="0" w:type="dxa"/>
          </w:tblCellMar>
        </w:tblPrEx>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widowControl/>
              <w:suppressAutoHyphens w:val="0"/>
              <w:spacing w:after="120"/>
              <w:jc w:val="center"/>
            </w:pPr>
            <w:r>
              <w:rPr>
                <w:rFonts w:ascii="Arial" w:eastAsia="Times New Roman" w:hAnsi="Arial" w:cs="Arial"/>
                <w:i/>
                <w:iCs/>
                <w:color w:val="000000"/>
                <w:sz w:val="22"/>
                <w:szCs w:val="22"/>
                <w:lang w:eastAsia="es-ES"/>
              </w:rPr>
              <w:t xml:space="preserve">De 31 a 60 </w:t>
            </w:r>
            <w:r>
              <w:rPr>
                <w:rFonts w:ascii="Arial" w:eastAsia="Times New Roman" w:hAnsi="Arial" w:cs="Arial"/>
                <w:color w:val="000000"/>
                <w:sz w:val="22"/>
                <w:szCs w:val="22"/>
                <w:lang w:eastAsia="es-ES"/>
              </w:rPr>
              <w:t>m3</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widowControl/>
              <w:suppressAutoHyphens w:val="0"/>
              <w:spacing w:after="120"/>
              <w:jc w:val="center"/>
            </w:pPr>
            <w:r>
              <w:rPr>
                <w:rFonts w:ascii="Arial" w:eastAsia="Times New Roman" w:hAnsi="Arial" w:cs="Arial"/>
                <w:color w:val="000000"/>
                <w:sz w:val="22"/>
                <w:szCs w:val="22"/>
                <w:lang w:eastAsia="es-ES"/>
              </w:rPr>
              <w:t>2,60</w:t>
            </w:r>
            <w:r>
              <w:rPr>
                <w:rFonts w:ascii="Arial" w:eastAsia="Times New Roman" w:hAnsi="Arial" w:cs="Arial"/>
                <w:color w:val="000000"/>
                <w:sz w:val="22"/>
                <w:szCs w:val="22"/>
                <w:lang w:eastAsia="es-ES"/>
              </w:rPr>
              <w:t xml:space="preserve"> €/m3</w:t>
            </w:r>
          </w:p>
        </w:tc>
      </w:tr>
      <w:tr w:rsidR="009B4233">
        <w:tblPrEx>
          <w:tblCellMar>
            <w:top w:w="0" w:type="dxa"/>
            <w:bottom w:w="0" w:type="dxa"/>
          </w:tblCellMar>
        </w:tblPrEx>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widowControl/>
              <w:suppressAutoHyphens w:val="0"/>
              <w:spacing w:after="120"/>
              <w:jc w:val="center"/>
            </w:pPr>
            <w:r>
              <w:rPr>
                <w:rFonts w:ascii="Arial" w:eastAsia="Times New Roman" w:hAnsi="Arial" w:cs="Arial"/>
                <w:i/>
                <w:iCs/>
                <w:color w:val="000000"/>
                <w:sz w:val="22"/>
                <w:szCs w:val="22"/>
                <w:lang w:eastAsia="es-ES"/>
              </w:rPr>
              <w:t xml:space="preserve">Más de 60 </w:t>
            </w:r>
            <w:r>
              <w:rPr>
                <w:rFonts w:ascii="Arial" w:eastAsia="Times New Roman" w:hAnsi="Arial" w:cs="Arial"/>
                <w:color w:val="000000"/>
                <w:sz w:val="22"/>
                <w:szCs w:val="22"/>
                <w:lang w:eastAsia="es-ES"/>
              </w:rPr>
              <w:t>m3</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widowControl/>
              <w:suppressAutoHyphens w:val="0"/>
              <w:spacing w:after="120"/>
              <w:jc w:val="center"/>
            </w:pPr>
            <w:r>
              <w:rPr>
                <w:rFonts w:ascii="Arial" w:eastAsia="Times New Roman" w:hAnsi="Arial" w:cs="Arial"/>
                <w:color w:val="000000"/>
                <w:sz w:val="22"/>
                <w:szCs w:val="22"/>
                <w:lang w:eastAsia="es-ES"/>
              </w:rPr>
              <w:t>4,13 €/m3</w:t>
            </w:r>
          </w:p>
        </w:tc>
      </w:tr>
      <w:tr w:rsidR="009B4233">
        <w:tblPrEx>
          <w:tblCellMar>
            <w:top w:w="0" w:type="dxa"/>
            <w:bottom w:w="0" w:type="dxa"/>
          </w:tblCellMar>
        </w:tblPrEx>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widowControl/>
              <w:suppressAutoHyphens w:val="0"/>
              <w:spacing w:after="120"/>
              <w:jc w:val="center"/>
            </w:pPr>
            <w:r>
              <w:rPr>
                <w:rFonts w:ascii="Arial" w:eastAsia="Times New Roman" w:hAnsi="Arial" w:cs="Arial"/>
                <w:b/>
                <w:bCs/>
                <w:color w:val="000000"/>
                <w:sz w:val="22"/>
                <w:szCs w:val="22"/>
                <w:lang w:eastAsia="es-ES"/>
              </w:rPr>
              <w:t>CONSUMO INDUSTRIAL</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9B4233">
            <w:pPr>
              <w:pStyle w:val="Textoindependiente"/>
              <w:jc w:val="center"/>
              <w:rPr>
                <w:rFonts w:cs="Arial"/>
                <w:szCs w:val="22"/>
              </w:rPr>
            </w:pPr>
          </w:p>
        </w:tc>
      </w:tr>
      <w:tr w:rsidR="009B4233">
        <w:tblPrEx>
          <w:tblCellMar>
            <w:top w:w="0" w:type="dxa"/>
            <w:bottom w:w="0" w:type="dxa"/>
          </w:tblCellMar>
        </w:tblPrEx>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widowControl/>
              <w:suppressAutoHyphens w:val="0"/>
              <w:spacing w:after="120"/>
              <w:jc w:val="center"/>
            </w:pPr>
            <w:r>
              <w:rPr>
                <w:rFonts w:ascii="Arial" w:eastAsia="Times New Roman" w:hAnsi="Arial" w:cs="Arial"/>
                <w:color w:val="000000"/>
                <w:sz w:val="22"/>
                <w:szCs w:val="22"/>
                <w:lang w:eastAsia="es-ES"/>
              </w:rPr>
              <w:t>CUOTA FIJA</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widowControl/>
              <w:suppressAutoHyphens w:val="0"/>
              <w:spacing w:after="120"/>
              <w:jc w:val="center"/>
            </w:pPr>
            <w:r>
              <w:rPr>
                <w:rFonts w:ascii="Arial" w:eastAsia="Times New Roman" w:hAnsi="Arial" w:cs="Arial"/>
                <w:color w:val="000000"/>
                <w:sz w:val="22"/>
                <w:szCs w:val="22"/>
                <w:lang w:eastAsia="es-ES"/>
              </w:rPr>
              <w:t>25,15 €</w:t>
            </w:r>
          </w:p>
        </w:tc>
      </w:tr>
      <w:tr w:rsidR="009B4233">
        <w:tblPrEx>
          <w:tblCellMar>
            <w:top w:w="0" w:type="dxa"/>
            <w:bottom w:w="0" w:type="dxa"/>
          </w:tblCellMar>
        </w:tblPrEx>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widowControl/>
              <w:suppressAutoHyphens w:val="0"/>
              <w:spacing w:after="120"/>
              <w:jc w:val="center"/>
            </w:pPr>
            <w:r>
              <w:rPr>
                <w:rFonts w:ascii="Arial" w:eastAsia="Times New Roman" w:hAnsi="Arial" w:cs="Arial"/>
                <w:color w:val="000000"/>
                <w:sz w:val="22"/>
                <w:szCs w:val="22"/>
                <w:lang w:eastAsia="es-ES"/>
              </w:rPr>
              <w:t>De 1 a 10 m3</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widowControl/>
              <w:suppressAutoHyphens w:val="0"/>
              <w:spacing w:after="120"/>
              <w:jc w:val="center"/>
            </w:pPr>
            <w:r>
              <w:rPr>
                <w:rFonts w:ascii="Arial" w:eastAsia="Times New Roman" w:hAnsi="Arial" w:cs="Arial"/>
                <w:color w:val="000000"/>
                <w:sz w:val="22"/>
                <w:szCs w:val="22"/>
                <w:lang w:eastAsia="es-ES"/>
              </w:rPr>
              <w:t>1,06 €/m3</w:t>
            </w:r>
          </w:p>
        </w:tc>
      </w:tr>
      <w:tr w:rsidR="009B4233">
        <w:tblPrEx>
          <w:tblCellMar>
            <w:top w:w="0" w:type="dxa"/>
            <w:bottom w:w="0" w:type="dxa"/>
          </w:tblCellMar>
        </w:tblPrEx>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widowControl/>
              <w:suppressAutoHyphens w:val="0"/>
              <w:spacing w:after="120"/>
              <w:jc w:val="center"/>
            </w:pPr>
            <w:r>
              <w:rPr>
                <w:rFonts w:ascii="Arial" w:eastAsia="Times New Roman" w:hAnsi="Arial" w:cs="Arial"/>
                <w:i/>
                <w:iCs/>
                <w:color w:val="000000"/>
                <w:sz w:val="22"/>
                <w:szCs w:val="22"/>
                <w:lang w:eastAsia="es-ES"/>
              </w:rPr>
              <w:t xml:space="preserve">De </w:t>
            </w:r>
            <w:r>
              <w:rPr>
                <w:rFonts w:ascii="Arial" w:eastAsia="Times New Roman" w:hAnsi="Arial" w:cs="Arial"/>
                <w:color w:val="000000"/>
                <w:sz w:val="22"/>
                <w:szCs w:val="22"/>
                <w:lang w:eastAsia="es-ES"/>
              </w:rPr>
              <w:t>11 a 30 m3</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widowControl/>
              <w:suppressAutoHyphens w:val="0"/>
              <w:spacing w:after="120"/>
              <w:jc w:val="center"/>
            </w:pPr>
            <w:r>
              <w:rPr>
                <w:rFonts w:ascii="Arial" w:eastAsia="Times New Roman" w:hAnsi="Arial" w:cs="Arial"/>
                <w:color w:val="000000"/>
                <w:sz w:val="22"/>
                <w:szCs w:val="22"/>
                <w:lang w:eastAsia="es-ES"/>
              </w:rPr>
              <w:t>2,19 €/m3</w:t>
            </w:r>
          </w:p>
        </w:tc>
      </w:tr>
      <w:tr w:rsidR="009B4233">
        <w:tblPrEx>
          <w:tblCellMar>
            <w:top w:w="0" w:type="dxa"/>
            <w:bottom w:w="0" w:type="dxa"/>
          </w:tblCellMar>
        </w:tblPrEx>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widowControl/>
              <w:suppressAutoHyphens w:val="0"/>
              <w:spacing w:after="120"/>
              <w:jc w:val="center"/>
            </w:pPr>
            <w:r>
              <w:rPr>
                <w:rFonts w:ascii="Arial" w:eastAsia="Times New Roman" w:hAnsi="Arial" w:cs="Arial"/>
                <w:i/>
                <w:iCs/>
                <w:color w:val="000000"/>
                <w:sz w:val="22"/>
                <w:szCs w:val="22"/>
                <w:lang w:eastAsia="es-ES"/>
              </w:rPr>
              <w:t xml:space="preserve">De 31 a 60 </w:t>
            </w:r>
            <w:r>
              <w:rPr>
                <w:rFonts w:ascii="Arial" w:eastAsia="Times New Roman" w:hAnsi="Arial" w:cs="Arial"/>
                <w:color w:val="000000"/>
                <w:sz w:val="22"/>
                <w:szCs w:val="22"/>
                <w:lang w:eastAsia="es-ES"/>
              </w:rPr>
              <w:t>m3</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widowControl/>
              <w:suppressAutoHyphens w:val="0"/>
              <w:spacing w:after="120"/>
              <w:jc w:val="center"/>
            </w:pPr>
            <w:r>
              <w:rPr>
                <w:rFonts w:ascii="Arial" w:eastAsia="Times New Roman" w:hAnsi="Arial" w:cs="Arial"/>
                <w:color w:val="000000"/>
                <w:sz w:val="22"/>
                <w:szCs w:val="22"/>
                <w:lang w:eastAsia="es-ES"/>
              </w:rPr>
              <w:t>3,37 €/m3</w:t>
            </w:r>
          </w:p>
        </w:tc>
      </w:tr>
      <w:tr w:rsidR="009B4233">
        <w:tblPrEx>
          <w:tblCellMar>
            <w:top w:w="0" w:type="dxa"/>
            <w:bottom w:w="0" w:type="dxa"/>
          </w:tblCellMar>
        </w:tblPrEx>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widowControl/>
              <w:suppressAutoHyphens w:val="0"/>
              <w:spacing w:after="120"/>
              <w:jc w:val="center"/>
            </w:pPr>
            <w:r>
              <w:rPr>
                <w:rFonts w:ascii="Arial" w:eastAsia="Times New Roman" w:hAnsi="Arial" w:cs="Arial"/>
                <w:i/>
                <w:iCs/>
                <w:color w:val="000000"/>
                <w:sz w:val="22"/>
                <w:szCs w:val="22"/>
                <w:lang w:eastAsia="es-ES"/>
              </w:rPr>
              <w:t xml:space="preserve">Más de 60 </w:t>
            </w:r>
            <w:r>
              <w:rPr>
                <w:rFonts w:ascii="Arial" w:eastAsia="Times New Roman" w:hAnsi="Arial" w:cs="Arial"/>
                <w:color w:val="000000"/>
                <w:sz w:val="22"/>
                <w:szCs w:val="22"/>
                <w:lang w:eastAsia="es-ES"/>
              </w:rPr>
              <w:t>m3</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widowControl/>
              <w:suppressAutoHyphens w:val="0"/>
              <w:spacing w:after="120"/>
              <w:jc w:val="center"/>
            </w:pPr>
            <w:r>
              <w:rPr>
                <w:rFonts w:ascii="Arial" w:eastAsia="Times New Roman" w:hAnsi="Arial" w:cs="Arial"/>
                <w:color w:val="000000"/>
                <w:sz w:val="22"/>
                <w:szCs w:val="22"/>
                <w:lang w:eastAsia="es-ES"/>
              </w:rPr>
              <w:t>4,68 €/m3</w:t>
            </w:r>
          </w:p>
        </w:tc>
      </w:tr>
    </w:tbl>
    <w:p w:rsidR="009B4233" w:rsidRDefault="009B4233">
      <w:pPr>
        <w:ind w:firstLine="708"/>
        <w:jc w:val="both"/>
        <w:rPr>
          <w:rFonts w:ascii="Arial" w:hAnsi="Arial" w:cs="Arial"/>
          <w:sz w:val="22"/>
          <w:szCs w:val="22"/>
        </w:rPr>
      </w:pPr>
    </w:p>
    <w:p w:rsidR="009B4233" w:rsidRDefault="006B08B9">
      <w:pPr>
        <w:pStyle w:val="Textoindependiente"/>
        <w:jc w:val="both"/>
        <w:rPr>
          <w:rFonts w:cs="Arial"/>
          <w:szCs w:val="22"/>
        </w:rPr>
      </w:pPr>
      <w:r>
        <w:rPr>
          <w:rFonts w:cs="Arial"/>
          <w:szCs w:val="22"/>
        </w:rPr>
        <w:t xml:space="preserve">Con estas nuevas tarifas extraídas de la fórmula polinómica, podemos obtener el </w:t>
      </w:r>
      <w:r>
        <w:rPr>
          <w:rFonts w:cs="Arial"/>
          <w:szCs w:val="22"/>
        </w:rPr>
        <w:t>siguiente cuadro con las tarifas a pagar, según consumos realizados tarifas de abastecimiento doméstico y su diferencia con las aprobadas por el anterior acuerdo plenario:</w:t>
      </w:r>
    </w:p>
    <w:p w:rsidR="009B4233" w:rsidRDefault="009B4233">
      <w:pPr>
        <w:pStyle w:val="Textoindependiente"/>
        <w:jc w:val="both"/>
        <w:rPr>
          <w:rFonts w:cs="Arial"/>
          <w:szCs w:val="22"/>
        </w:rPr>
      </w:pPr>
    </w:p>
    <w:tbl>
      <w:tblPr>
        <w:tblW w:w="8931" w:type="dxa"/>
        <w:tblInd w:w="70" w:type="dxa"/>
        <w:tblCellMar>
          <w:left w:w="10" w:type="dxa"/>
          <w:right w:w="10" w:type="dxa"/>
        </w:tblCellMar>
        <w:tblLook w:val="0000" w:firstRow="0" w:lastRow="0" w:firstColumn="0" w:lastColumn="0" w:noHBand="0" w:noVBand="0"/>
      </w:tblPr>
      <w:tblGrid>
        <w:gridCol w:w="1985"/>
        <w:gridCol w:w="2977"/>
        <w:gridCol w:w="2126"/>
        <w:gridCol w:w="1843"/>
      </w:tblGrid>
      <w:tr w:rsidR="009B4233">
        <w:tblPrEx>
          <w:tblCellMar>
            <w:top w:w="0" w:type="dxa"/>
            <w:bottom w:w="0" w:type="dxa"/>
          </w:tblCellMar>
        </w:tblPrEx>
        <w:trPr>
          <w:trHeight w:val="300"/>
        </w:trPr>
        <w:tc>
          <w:tcPr>
            <w:tcW w:w="1985" w:type="dxa"/>
            <w:vMerge w:val="restart"/>
            <w:tcBorders>
              <w:top w:val="single" w:sz="8" w:space="0" w:color="000000"/>
              <w:left w:val="single" w:sz="8" w:space="0" w:color="000000"/>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
                <w:bCs/>
                <w:color w:val="000000"/>
                <w:sz w:val="22"/>
                <w:szCs w:val="22"/>
                <w:lang w:eastAsia="es-ES"/>
              </w:rPr>
            </w:pPr>
            <w:r>
              <w:rPr>
                <w:rFonts w:ascii="Arial" w:eastAsia="Times New Roman" w:hAnsi="Arial" w:cs="Arial"/>
                <w:b/>
                <w:bCs/>
                <w:color w:val="000000"/>
                <w:sz w:val="22"/>
                <w:szCs w:val="22"/>
                <w:lang w:eastAsia="es-ES"/>
              </w:rPr>
              <w:t>CONSUMO</w:t>
            </w:r>
          </w:p>
        </w:tc>
        <w:tc>
          <w:tcPr>
            <w:tcW w:w="2977" w:type="dxa"/>
            <w:vMerge w:val="restart"/>
            <w:tcBorders>
              <w:top w:val="single" w:sz="8" w:space="0" w:color="000000"/>
              <w:left w:val="single" w:sz="8" w:space="0" w:color="000000"/>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
                <w:bCs/>
                <w:color w:val="000000"/>
                <w:sz w:val="22"/>
                <w:szCs w:val="22"/>
                <w:lang w:eastAsia="es-ES"/>
              </w:rPr>
            </w:pPr>
            <w:r>
              <w:rPr>
                <w:rFonts w:ascii="Arial" w:eastAsia="Times New Roman" w:hAnsi="Arial" w:cs="Arial"/>
                <w:b/>
                <w:bCs/>
                <w:color w:val="000000"/>
                <w:sz w:val="22"/>
                <w:szCs w:val="22"/>
                <w:lang w:eastAsia="es-ES"/>
              </w:rPr>
              <w:t>TARIFA ACTUAL</w:t>
            </w:r>
          </w:p>
        </w:tc>
        <w:tc>
          <w:tcPr>
            <w:tcW w:w="2126" w:type="dxa"/>
            <w:vMerge w:val="restart"/>
            <w:tcBorders>
              <w:top w:val="single" w:sz="8" w:space="0" w:color="000000"/>
              <w:left w:val="single" w:sz="8" w:space="0" w:color="000000"/>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
                <w:bCs/>
                <w:color w:val="000000"/>
                <w:sz w:val="22"/>
                <w:szCs w:val="22"/>
                <w:lang w:eastAsia="es-ES"/>
              </w:rPr>
            </w:pPr>
            <w:r>
              <w:rPr>
                <w:rFonts w:ascii="Arial" w:eastAsia="Times New Roman" w:hAnsi="Arial" w:cs="Arial"/>
                <w:b/>
                <w:bCs/>
                <w:color w:val="000000"/>
                <w:sz w:val="22"/>
                <w:szCs w:val="22"/>
                <w:lang w:eastAsia="es-ES"/>
              </w:rPr>
              <w:t xml:space="preserve">TARIFA PROPUESTA </w:t>
            </w:r>
          </w:p>
        </w:tc>
        <w:tc>
          <w:tcPr>
            <w:tcW w:w="1843" w:type="dxa"/>
            <w:tcBorders>
              <w:top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
                <w:bCs/>
                <w:color w:val="000000"/>
                <w:sz w:val="22"/>
                <w:szCs w:val="22"/>
                <w:lang w:eastAsia="es-ES"/>
              </w:rPr>
            </w:pPr>
            <w:r>
              <w:rPr>
                <w:rFonts w:ascii="Arial" w:eastAsia="Times New Roman" w:hAnsi="Arial" w:cs="Arial"/>
                <w:b/>
                <w:bCs/>
                <w:color w:val="000000"/>
                <w:sz w:val="22"/>
                <w:szCs w:val="22"/>
                <w:lang w:eastAsia="es-ES"/>
              </w:rPr>
              <w:t> </w:t>
            </w:r>
          </w:p>
        </w:tc>
      </w:tr>
      <w:tr w:rsidR="009B4233">
        <w:tblPrEx>
          <w:tblCellMar>
            <w:top w:w="0" w:type="dxa"/>
            <w:bottom w:w="0" w:type="dxa"/>
          </w:tblCellMar>
        </w:tblPrEx>
        <w:trPr>
          <w:trHeight w:val="300"/>
        </w:trPr>
        <w:tc>
          <w:tcPr>
            <w:tcW w:w="1985" w:type="dxa"/>
            <w:vMerge/>
            <w:tcBorders>
              <w:top w:val="single" w:sz="8" w:space="0" w:color="000000"/>
              <w:left w:val="single" w:sz="8" w:space="0" w:color="000000"/>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9B4233">
            <w:pPr>
              <w:widowControl/>
              <w:suppressAutoHyphens w:val="0"/>
              <w:rPr>
                <w:rFonts w:ascii="Arial" w:eastAsia="Times New Roman" w:hAnsi="Arial" w:cs="Arial"/>
                <w:b/>
                <w:bCs/>
                <w:color w:val="000000"/>
                <w:sz w:val="22"/>
                <w:szCs w:val="22"/>
                <w:lang w:eastAsia="es-ES"/>
              </w:rPr>
            </w:pPr>
          </w:p>
        </w:tc>
        <w:tc>
          <w:tcPr>
            <w:tcW w:w="2977" w:type="dxa"/>
            <w:vMerge/>
            <w:tcBorders>
              <w:top w:val="single" w:sz="8" w:space="0" w:color="000000"/>
              <w:left w:val="single" w:sz="8" w:space="0" w:color="000000"/>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9B4233">
            <w:pPr>
              <w:widowControl/>
              <w:suppressAutoHyphens w:val="0"/>
              <w:rPr>
                <w:rFonts w:ascii="Arial" w:eastAsia="Times New Roman" w:hAnsi="Arial" w:cs="Arial"/>
                <w:b/>
                <w:bCs/>
                <w:color w:val="000000"/>
                <w:sz w:val="22"/>
                <w:szCs w:val="22"/>
                <w:lang w:eastAsia="es-ES"/>
              </w:rPr>
            </w:pPr>
          </w:p>
        </w:tc>
        <w:tc>
          <w:tcPr>
            <w:tcW w:w="2126" w:type="dxa"/>
            <w:vMerge/>
            <w:tcBorders>
              <w:top w:val="single" w:sz="8" w:space="0" w:color="000000"/>
              <w:left w:val="single" w:sz="8" w:space="0" w:color="000000"/>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9B4233">
            <w:pPr>
              <w:widowControl/>
              <w:suppressAutoHyphens w:val="0"/>
              <w:rPr>
                <w:rFonts w:ascii="Arial" w:eastAsia="Times New Roman" w:hAnsi="Arial" w:cs="Arial"/>
                <w:b/>
                <w:bCs/>
                <w:color w:val="000000"/>
                <w:sz w:val="22"/>
                <w:szCs w:val="22"/>
                <w:lang w:eastAsia="es-ES"/>
              </w:rPr>
            </w:pPr>
          </w:p>
        </w:tc>
        <w:tc>
          <w:tcPr>
            <w:tcW w:w="1843" w:type="dxa"/>
            <w:tcBorders>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b/>
                <w:bCs/>
                <w:color w:val="000000"/>
                <w:sz w:val="22"/>
                <w:szCs w:val="22"/>
                <w:lang w:eastAsia="es-ES"/>
              </w:rPr>
            </w:pPr>
            <w:r>
              <w:rPr>
                <w:rFonts w:ascii="Arial" w:eastAsia="Times New Roman" w:hAnsi="Arial" w:cs="Arial"/>
                <w:b/>
                <w:bCs/>
                <w:color w:val="000000"/>
                <w:sz w:val="22"/>
                <w:szCs w:val="22"/>
                <w:lang w:eastAsia="es-ES"/>
              </w:rPr>
              <w:t>DIFERENCIA </w:t>
            </w:r>
          </w:p>
        </w:tc>
      </w:tr>
      <w:tr w:rsidR="009B4233">
        <w:tblPrEx>
          <w:tblCellMar>
            <w:top w:w="0" w:type="dxa"/>
            <w:bottom w:w="0" w:type="dxa"/>
          </w:tblCellMar>
        </w:tblPrEx>
        <w:trPr>
          <w:trHeight w:val="315"/>
        </w:trPr>
        <w:tc>
          <w:tcPr>
            <w:tcW w:w="1985" w:type="dxa"/>
            <w:vMerge/>
            <w:tcBorders>
              <w:top w:val="single" w:sz="8" w:space="0" w:color="000000"/>
              <w:left w:val="single" w:sz="8" w:space="0" w:color="000000"/>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9B4233">
            <w:pPr>
              <w:widowControl/>
              <w:suppressAutoHyphens w:val="0"/>
              <w:rPr>
                <w:rFonts w:ascii="Arial" w:eastAsia="Times New Roman" w:hAnsi="Arial" w:cs="Arial"/>
                <w:b/>
                <w:bCs/>
                <w:color w:val="000000"/>
                <w:sz w:val="22"/>
                <w:szCs w:val="22"/>
                <w:lang w:eastAsia="es-ES"/>
              </w:rPr>
            </w:pPr>
          </w:p>
        </w:tc>
        <w:tc>
          <w:tcPr>
            <w:tcW w:w="2977" w:type="dxa"/>
            <w:vMerge/>
            <w:tcBorders>
              <w:top w:val="single" w:sz="8" w:space="0" w:color="000000"/>
              <w:left w:val="single" w:sz="8" w:space="0" w:color="000000"/>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9B4233">
            <w:pPr>
              <w:widowControl/>
              <w:suppressAutoHyphens w:val="0"/>
              <w:rPr>
                <w:rFonts w:ascii="Arial" w:eastAsia="Times New Roman" w:hAnsi="Arial" w:cs="Arial"/>
                <w:b/>
                <w:bCs/>
                <w:color w:val="000000"/>
                <w:sz w:val="22"/>
                <w:szCs w:val="22"/>
                <w:lang w:eastAsia="es-ES"/>
              </w:rPr>
            </w:pPr>
          </w:p>
        </w:tc>
        <w:tc>
          <w:tcPr>
            <w:tcW w:w="2126" w:type="dxa"/>
            <w:vMerge/>
            <w:tcBorders>
              <w:top w:val="single" w:sz="8" w:space="0" w:color="000000"/>
              <w:left w:val="single" w:sz="8" w:space="0" w:color="000000"/>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9B4233">
            <w:pPr>
              <w:widowControl/>
              <w:suppressAutoHyphens w:val="0"/>
              <w:rPr>
                <w:rFonts w:ascii="Arial" w:eastAsia="Times New Roman" w:hAnsi="Arial" w:cs="Arial"/>
                <w:b/>
                <w:bCs/>
                <w:color w:val="000000"/>
                <w:sz w:val="22"/>
                <w:szCs w:val="22"/>
                <w:lang w:eastAsia="es-ES"/>
              </w:rPr>
            </w:pPr>
          </w:p>
        </w:tc>
        <w:tc>
          <w:tcPr>
            <w:tcW w:w="1843"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9B4233">
            <w:pPr>
              <w:widowControl/>
              <w:suppressAutoHyphens w:val="0"/>
              <w:jc w:val="center"/>
              <w:rPr>
                <w:rFonts w:ascii="Arial" w:eastAsia="Times New Roman" w:hAnsi="Arial" w:cs="Arial"/>
                <w:b/>
                <w:bCs/>
                <w:color w:val="000000"/>
                <w:sz w:val="22"/>
                <w:szCs w:val="22"/>
                <w:lang w:eastAsia="es-ES"/>
              </w:rPr>
            </w:pPr>
          </w:p>
        </w:tc>
      </w:tr>
      <w:tr w:rsidR="009B4233">
        <w:tblPrEx>
          <w:tblCellMar>
            <w:top w:w="0" w:type="dxa"/>
            <w:bottom w:w="0" w:type="dxa"/>
          </w:tblCellMar>
        </w:tblPrEx>
        <w:trPr>
          <w:trHeight w:val="345"/>
        </w:trPr>
        <w:tc>
          <w:tcPr>
            <w:tcW w:w="1985" w:type="dxa"/>
            <w:tcBorders>
              <w:left w:val="single" w:sz="8" w:space="0" w:color="000000"/>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pPr>
            <w:r>
              <w:rPr>
                <w:rFonts w:ascii="Arial" w:eastAsia="Times New Roman" w:hAnsi="Arial" w:cs="Arial"/>
                <w:color w:val="000000"/>
                <w:sz w:val="22"/>
                <w:szCs w:val="22"/>
                <w:lang w:eastAsia="es-ES"/>
              </w:rPr>
              <w:t>0  m</w:t>
            </w:r>
            <w:r>
              <w:rPr>
                <w:rFonts w:ascii="Arial" w:eastAsia="Times New Roman" w:hAnsi="Arial" w:cs="Arial"/>
                <w:color w:val="000000"/>
                <w:sz w:val="22"/>
                <w:szCs w:val="22"/>
                <w:vertAlign w:val="superscript"/>
                <w:lang w:eastAsia="es-ES"/>
              </w:rPr>
              <w:t>3</w:t>
            </w:r>
          </w:p>
        </w:tc>
        <w:tc>
          <w:tcPr>
            <w:tcW w:w="2977"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14,19 €</w:t>
            </w:r>
          </w:p>
        </w:tc>
        <w:tc>
          <w:tcPr>
            <w:tcW w:w="2126"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16,86</w:t>
            </w:r>
            <w:r>
              <w:rPr>
                <w:rFonts w:ascii="Arial" w:eastAsia="Times New Roman" w:hAnsi="Arial" w:cs="Arial"/>
                <w:color w:val="000000"/>
                <w:sz w:val="22"/>
                <w:szCs w:val="22"/>
                <w:lang w:eastAsia="es-ES"/>
              </w:rPr>
              <w:t xml:space="preserve"> €</w:t>
            </w:r>
          </w:p>
        </w:tc>
        <w:tc>
          <w:tcPr>
            <w:tcW w:w="1843"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2,67 €</w:t>
            </w:r>
          </w:p>
        </w:tc>
      </w:tr>
      <w:tr w:rsidR="009B4233">
        <w:tblPrEx>
          <w:tblCellMar>
            <w:top w:w="0" w:type="dxa"/>
            <w:bottom w:w="0" w:type="dxa"/>
          </w:tblCellMar>
        </w:tblPrEx>
        <w:trPr>
          <w:trHeight w:val="345"/>
        </w:trPr>
        <w:tc>
          <w:tcPr>
            <w:tcW w:w="1985" w:type="dxa"/>
            <w:tcBorders>
              <w:left w:val="single" w:sz="8" w:space="0" w:color="000000"/>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pPr>
            <w:r>
              <w:rPr>
                <w:rFonts w:ascii="Arial" w:eastAsia="Times New Roman" w:hAnsi="Arial" w:cs="Arial"/>
                <w:color w:val="000000"/>
                <w:sz w:val="22"/>
                <w:szCs w:val="22"/>
                <w:lang w:eastAsia="es-ES"/>
              </w:rPr>
              <w:t>1 m</w:t>
            </w:r>
            <w:r>
              <w:rPr>
                <w:rFonts w:ascii="Arial" w:eastAsia="Times New Roman" w:hAnsi="Arial" w:cs="Arial"/>
                <w:color w:val="000000"/>
                <w:sz w:val="22"/>
                <w:szCs w:val="22"/>
                <w:vertAlign w:val="superscript"/>
                <w:lang w:eastAsia="es-ES"/>
              </w:rPr>
              <w:t>3</w:t>
            </w:r>
          </w:p>
        </w:tc>
        <w:tc>
          <w:tcPr>
            <w:tcW w:w="2977"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14,78 €</w:t>
            </w:r>
          </w:p>
        </w:tc>
        <w:tc>
          <w:tcPr>
            <w:tcW w:w="2126"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17,56 €</w:t>
            </w:r>
          </w:p>
        </w:tc>
        <w:tc>
          <w:tcPr>
            <w:tcW w:w="1843"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2,78 €</w:t>
            </w:r>
          </w:p>
        </w:tc>
      </w:tr>
      <w:tr w:rsidR="009B4233">
        <w:tblPrEx>
          <w:tblCellMar>
            <w:top w:w="0" w:type="dxa"/>
            <w:bottom w:w="0" w:type="dxa"/>
          </w:tblCellMar>
        </w:tblPrEx>
        <w:trPr>
          <w:trHeight w:val="345"/>
        </w:trPr>
        <w:tc>
          <w:tcPr>
            <w:tcW w:w="1985" w:type="dxa"/>
            <w:tcBorders>
              <w:left w:val="single" w:sz="8" w:space="0" w:color="000000"/>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pPr>
            <w:r>
              <w:rPr>
                <w:rFonts w:ascii="Arial" w:eastAsia="Times New Roman" w:hAnsi="Arial" w:cs="Arial"/>
                <w:color w:val="000000"/>
                <w:sz w:val="22"/>
                <w:szCs w:val="22"/>
                <w:lang w:eastAsia="es-ES"/>
              </w:rPr>
              <w:t>2 m</w:t>
            </w:r>
            <w:r>
              <w:rPr>
                <w:rFonts w:ascii="Arial" w:eastAsia="Times New Roman" w:hAnsi="Arial" w:cs="Arial"/>
                <w:color w:val="000000"/>
                <w:sz w:val="22"/>
                <w:szCs w:val="22"/>
                <w:vertAlign w:val="superscript"/>
                <w:lang w:eastAsia="es-ES"/>
              </w:rPr>
              <w:t>3</w:t>
            </w:r>
          </w:p>
        </w:tc>
        <w:tc>
          <w:tcPr>
            <w:tcW w:w="2977"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15,37 €</w:t>
            </w:r>
          </w:p>
        </w:tc>
        <w:tc>
          <w:tcPr>
            <w:tcW w:w="2126"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18,26 €</w:t>
            </w:r>
          </w:p>
        </w:tc>
        <w:tc>
          <w:tcPr>
            <w:tcW w:w="1843"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2,89 €</w:t>
            </w:r>
          </w:p>
        </w:tc>
      </w:tr>
      <w:tr w:rsidR="009B4233">
        <w:tblPrEx>
          <w:tblCellMar>
            <w:top w:w="0" w:type="dxa"/>
            <w:bottom w:w="0" w:type="dxa"/>
          </w:tblCellMar>
        </w:tblPrEx>
        <w:trPr>
          <w:trHeight w:val="345"/>
        </w:trPr>
        <w:tc>
          <w:tcPr>
            <w:tcW w:w="1985" w:type="dxa"/>
            <w:tcBorders>
              <w:left w:val="single" w:sz="8" w:space="0" w:color="000000"/>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pPr>
            <w:r>
              <w:rPr>
                <w:rFonts w:ascii="Arial" w:eastAsia="Times New Roman" w:hAnsi="Arial" w:cs="Arial"/>
                <w:color w:val="000000"/>
                <w:sz w:val="22"/>
                <w:szCs w:val="22"/>
                <w:lang w:eastAsia="es-ES"/>
              </w:rPr>
              <w:t>3 m</w:t>
            </w:r>
            <w:r>
              <w:rPr>
                <w:rFonts w:ascii="Arial" w:eastAsia="Times New Roman" w:hAnsi="Arial" w:cs="Arial"/>
                <w:color w:val="000000"/>
                <w:sz w:val="22"/>
                <w:szCs w:val="22"/>
                <w:vertAlign w:val="superscript"/>
                <w:lang w:eastAsia="es-ES"/>
              </w:rPr>
              <w:t>3</w:t>
            </w:r>
          </w:p>
        </w:tc>
        <w:tc>
          <w:tcPr>
            <w:tcW w:w="2977"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15,96 €</w:t>
            </w:r>
          </w:p>
        </w:tc>
        <w:tc>
          <w:tcPr>
            <w:tcW w:w="2126"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18,96 €</w:t>
            </w:r>
          </w:p>
        </w:tc>
        <w:tc>
          <w:tcPr>
            <w:tcW w:w="1843"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3,00 €</w:t>
            </w:r>
          </w:p>
        </w:tc>
      </w:tr>
      <w:tr w:rsidR="009B4233">
        <w:tblPrEx>
          <w:tblCellMar>
            <w:top w:w="0" w:type="dxa"/>
            <w:bottom w:w="0" w:type="dxa"/>
          </w:tblCellMar>
        </w:tblPrEx>
        <w:trPr>
          <w:trHeight w:val="345"/>
        </w:trPr>
        <w:tc>
          <w:tcPr>
            <w:tcW w:w="1985" w:type="dxa"/>
            <w:tcBorders>
              <w:left w:val="single" w:sz="8" w:space="0" w:color="000000"/>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pPr>
            <w:r>
              <w:rPr>
                <w:rFonts w:ascii="Arial" w:eastAsia="Times New Roman" w:hAnsi="Arial" w:cs="Arial"/>
                <w:color w:val="000000"/>
                <w:sz w:val="22"/>
                <w:szCs w:val="22"/>
                <w:lang w:eastAsia="es-ES"/>
              </w:rPr>
              <w:t>4 m</w:t>
            </w:r>
            <w:r>
              <w:rPr>
                <w:rFonts w:ascii="Arial" w:eastAsia="Times New Roman" w:hAnsi="Arial" w:cs="Arial"/>
                <w:color w:val="000000"/>
                <w:sz w:val="22"/>
                <w:szCs w:val="22"/>
                <w:vertAlign w:val="superscript"/>
                <w:lang w:eastAsia="es-ES"/>
              </w:rPr>
              <w:t>3</w:t>
            </w:r>
          </w:p>
        </w:tc>
        <w:tc>
          <w:tcPr>
            <w:tcW w:w="2977"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16,55 €</w:t>
            </w:r>
          </w:p>
        </w:tc>
        <w:tc>
          <w:tcPr>
            <w:tcW w:w="2126"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19,66 €</w:t>
            </w:r>
          </w:p>
        </w:tc>
        <w:tc>
          <w:tcPr>
            <w:tcW w:w="1843"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3,11 €</w:t>
            </w:r>
          </w:p>
        </w:tc>
      </w:tr>
      <w:tr w:rsidR="009B4233">
        <w:tblPrEx>
          <w:tblCellMar>
            <w:top w:w="0" w:type="dxa"/>
            <w:bottom w:w="0" w:type="dxa"/>
          </w:tblCellMar>
        </w:tblPrEx>
        <w:trPr>
          <w:trHeight w:val="345"/>
        </w:trPr>
        <w:tc>
          <w:tcPr>
            <w:tcW w:w="1985" w:type="dxa"/>
            <w:tcBorders>
              <w:left w:val="single" w:sz="8" w:space="0" w:color="000000"/>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pPr>
            <w:r>
              <w:rPr>
                <w:rFonts w:ascii="Arial" w:eastAsia="Times New Roman" w:hAnsi="Arial" w:cs="Arial"/>
                <w:color w:val="000000"/>
                <w:sz w:val="22"/>
                <w:szCs w:val="22"/>
                <w:lang w:eastAsia="es-ES"/>
              </w:rPr>
              <w:t>5 m</w:t>
            </w:r>
            <w:r>
              <w:rPr>
                <w:rFonts w:ascii="Arial" w:eastAsia="Times New Roman" w:hAnsi="Arial" w:cs="Arial"/>
                <w:color w:val="000000"/>
                <w:sz w:val="22"/>
                <w:szCs w:val="22"/>
                <w:vertAlign w:val="superscript"/>
                <w:lang w:eastAsia="es-ES"/>
              </w:rPr>
              <w:t>3</w:t>
            </w:r>
          </w:p>
        </w:tc>
        <w:tc>
          <w:tcPr>
            <w:tcW w:w="2977"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17,14 €</w:t>
            </w:r>
          </w:p>
        </w:tc>
        <w:tc>
          <w:tcPr>
            <w:tcW w:w="2126"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20,36 €</w:t>
            </w:r>
          </w:p>
        </w:tc>
        <w:tc>
          <w:tcPr>
            <w:tcW w:w="1843"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3,22 €</w:t>
            </w:r>
          </w:p>
        </w:tc>
      </w:tr>
      <w:tr w:rsidR="009B4233">
        <w:tblPrEx>
          <w:tblCellMar>
            <w:top w:w="0" w:type="dxa"/>
            <w:bottom w:w="0" w:type="dxa"/>
          </w:tblCellMar>
        </w:tblPrEx>
        <w:trPr>
          <w:trHeight w:val="345"/>
        </w:trPr>
        <w:tc>
          <w:tcPr>
            <w:tcW w:w="1985" w:type="dxa"/>
            <w:tcBorders>
              <w:left w:val="single" w:sz="8" w:space="0" w:color="000000"/>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pPr>
            <w:r>
              <w:rPr>
                <w:rFonts w:ascii="Arial" w:eastAsia="Times New Roman" w:hAnsi="Arial" w:cs="Arial"/>
                <w:color w:val="000000"/>
                <w:sz w:val="22"/>
                <w:szCs w:val="22"/>
                <w:lang w:eastAsia="es-ES"/>
              </w:rPr>
              <w:t>6 m</w:t>
            </w:r>
            <w:r>
              <w:rPr>
                <w:rFonts w:ascii="Arial" w:eastAsia="Times New Roman" w:hAnsi="Arial" w:cs="Arial"/>
                <w:color w:val="000000"/>
                <w:sz w:val="22"/>
                <w:szCs w:val="22"/>
                <w:vertAlign w:val="superscript"/>
                <w:lang w:eastAsia="es-ES"/>
              </w:rPr>
              <w:t>3</w:t>
            </w:r>
          </w:p>
        </w:tc>
        <w:tc>
          <w:tcPr>
            <w:tcW w:w="2977"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17,73 €</w:t>
            </w:r>
          </w:p>
        </w:tc>
        <w:tc>
          <w:tcPr>
            <w:tcW w:w="2126"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21,06 €</w:t>
            </w:r>
          </w:p>
        </w:tc>
        <w:tc>
          <w:tcPr>
            <w:tcW w:w="1843"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3,33 €</w:t>
            </w:r>
          </w:p>
        </w:tc>
      </w:tr>
      <w:tr w:rsidR="009B4233">
        <w:tblPrEx>
          <w:tblCellMar>
            <w:top w:w="0" w:type="dxa"/>
            <w:bottom w:w="0" w:type="dxa"/>
          </w:tblCellMar>
        </w:tblPrEx>
        <w:trPr>
          <w:trHeight w:val="345"/>
        </w:trPr>
        <w:tc>
          <w:tcPr>
            <w:tcW w:w="1985" w:type="dxa"/>
            <w:tcBorders>
              <w:left w:val="single" w:sz="8" w:space="0" w:color="000000"/>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pPr>
            <w:r>
              <w:rPr>
                <w:rFonts w:ascii="Arial" w:eastAsia="Times New Roman" w:hAnsi="Arial" w:cs="Arial"/>
                <w:color w:val="000000"/>
                <w:sz w:val="22"/>
                <w:szCs w:val="22"/>
                <w:lang w:eastAsia="es-ES"/>
              </w:rPr>
              <w:t>7 m</w:t>
            </w:r>
            <w:r>
              <w:rPr>
                <w:rFonts w:ascii="Arial" w:eastAsia="Times New Roman" w:hAnsi="Arial" w:cs="Arial"/>
                <w:color w:val="000000"/>
                <w:sz w:val="22"/>
                <w:szCs w:val="22"/>
                <w:vertAlign w:val="superscript"/>
                <w:lang w:eastAsia="es-ES"/>
              </w:rPr>
              <w:t>3</w:t>
            </w:r>
          </w:p>
        </w:tc>
        <w:tc>
          <w:tcPr>
            <w:tcW w:w="2977"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18,32 €</w:t>
            </w:r>
          </w:p>
        </w:tc>
        <w:tc>
          <w:tcPr>
            <w:tcW w:w="2126"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21,76 €</w:t>
            </w:r>
          </w:p>
        </w:tc>
        <w:tc>
          <w:tcPr>
            <w:tcW w:w="1843"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3,44 €</w:t>
            </w:r>
          </w:p>
        </w:tc>
      </w:tr>
      <w:tr w:rsidR="009B4233">
        <w:tblPrEx>
          <w:tblCellMar>
            <w:top w:w="0" w:type="dxa"/>
            <w:bottom w:w="0" w:type="dxa"/>
          </w:tblCellMar>
        </w:tblPrEx>
        <w:trPr>
          <w:trHeight w:val="345"/>
        </w:trPr>
        <w:tc>
          <w:tcPr>
            <w:tcW w:w="1985" w:type="dxa"/>
            <w:tcBorders>
              <w:left w:val="single" w:sz="8" w:space="0" w:color="000000"/>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pPr>
            <w:r>
              <w:rPr>
                <w:rFonts w:ascii="Arial" w:eastAsia="Times New Roman" w:hAnsi="Arial" w:cs="Arial"/>
                <w:color w:val="000000"/>
                <w:sz w:val="22"/>
                <w:szCs w:val="22"/>
                <w:lang w:eastAsia="es-ES"/>
              </w:rPr>
              <w:t>8 m</w:t>
            </w:r>
            <w:r>
              <w:rPr>
                <w:rFonts w:ascii="Arial" w:eastAsia="Times New Roman" w:hAnsi="Arial" w:cs="Arial"/>
                <w:color w:val="000000"/>
                <w:sz w:val="22"/>
                <w:szCs w:val="22"/>
                <w:vertAlign w:val="superscript"/>
                <w:lang w:eastAsia="es-ES"/>
              </w:rPr>
              <w:t>3</w:t>
            </w:r>
          </w:p>
        </w:tc>
        <w:tc>
          <w:tcPr>
            <w:tcW w:w="2977"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18,91 €</w:t>
            </w:r>
          </w:p>
        </w:tc>
        <w:tc>
          <w:tcPr>
            <w:tcW w:w="2126"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22,46 €</w:t>
            </w:r>
          </w:p>
        </w:tc>
        <w:tc>
          <w:tcPr>
            <w:tcW w:w="1843"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3,55 €</w:t>
            </w:r>
          </w:p>
        </w:tc>
      </w:tr>
      <w:tr w:rsidR="009B4233">
        <w:tblPrEx>
          <w:tblCellMar>
            <w:top w:w="0" w:type="dxa"/>
            <w:bottom w:w="0" w:type="dxa"/>
          </w:tblCellMar>
        </w:tblPrEx>
        <w:trPr>
          <w:trHeight w:val="345"/>
        </w:trPr>
        <w:tc>
          <w:tcPr>
            <w:tcW w:w="1985" w:type="dxa"/>
            <w:tcBorders>
              <w:left w:val="single" w:sz="8" w:space="0" w:color="000000"/>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pPr>
            <w:r>
              <w:rPr>
                <w:rFonts w:ascii="Arial" w:eastAsia="Times New Roman" w:hAnsi="Arial" w:cs="Arial"/>
                <w:color w:val="000000"/>
                <w:sz w:val="22"/>
                <w:szCs w:val="22"/>
                <w:lang w:eastAsia="es-ES"/>
              </w:rPr>
              <w:t>9 m</w:t>
            </w:r>
            <w:r>
              <w:rPr>
                <w:rFonts w:ascii="Arial" w:eastAsia="Times New Roman" w:hAnsi="Arial" w:cs="Arial"/>
                <w:color w:val="000000"/>
                <w:sz w:val="22"/>
                <w:szCs w:val="22"/>
                <w:vertAlign w:val="superscript"/>
                <w:lang w:eastAsia="es-ES"/>
              </w:rPr>
              <w:t>3</w:t>
            </w:r>
          </w:p>
        </w:tc>
        <w:tc>
          <w:tcPr>
            <w:tcW w:w="2977"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19,50 €</w:t>
            </w:r>
          </w:p>
        </w:tc>
        <w:tc>
          <w:tcPr>
            <w:tcW w:w="2126"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23,16 €</w:t>
            </w:r>
          </w:p>
        </w:tc>
        <w:tc>
          <w:tcPr>
            <w:tcW w:w="1843"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3,66 €</w:t>
            </w:r>
          </w:p>
        </w:tc>
      </w:tr>
      <w:tr w:rsidR="009B4233">
        <w:tblPrEx>
          <w:tblCellMar>
            <w:top w:w="0" w:type="dxa"/>
            <w:bottom w:w="0" w:type="dxa"/>
          </w:tblCellMar>
        </w:tblPrEx>
        <w:trPr>
          <w:trHeight w:val="345"/>
        </w:trPr>
        <w:tc>
          <w:tcPr>
            <w:tcW w:w="1985" w:type="dxa"/>
            <w:tcBorders>
              <w:left w:val="single" w:sz="8" w:space="0" w:color="000000"/>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pPr>
            <w:r>
              <w:rPr>
                <w:rFonts w:ascii="Arial" w:eastAsia="Times New Roman" w:hAnsi="Arial" w:cs="Arial"/>
                <w:color w:val="000000"/>
                <w:sz w:val="22"/>
                <w:szCs w:val="22"/>
                <w:lang w:eastAsia="es-ES"/>
              </w:rPr>
              <w:t>10 m</w:t>
            </w:r>
            <w:r>
              <w:rPr>
                <w:rFonts w:ascii="Arial" w:eastAsia="Times New Roman" w:hAnsi="Arial" w:cs="Arial"/>
                <w:color w:val="000000"/>
                <w:sz w:val="22"/>
                <w:szCs w:val="22"/>
                <w:vertAlign w:val="superscript"/>
                <w:lang w:eastAsia="es-ES"/>
              </w:rPr>
              <w:t>3</w:t>
            </w:r>
          </w:p>
        </w:tc>
        <w:tc>
          <w:tcPr>
            <w:tcW w:w="2977"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20,09 €</w:t>
            </w:r>
          </w:p>
        </w:tc>
        <w:tc>
          <w:tcPr>
            <w:tcW w:w="2126"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23,86 €</w:t>
            </w:r>
          </w:p>
        </w:tc>
        <w:tc>
          <w:tcPr>
            <w:tcW w:w="1843"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3,77 €</w:t>
            </w:r>
          </w:p>
        </w:tc>
      </w:tr>
      <w:tr w:rsidR="009B4233">
        <w:tblPrEx>
          <w:tblCellMar>
            <w:top w:w="0" w:type="dxa"/>
            <w:bottom w:w="0" w:type="dxa"/>
          </w:tblCellMar>
        </w:tblPrEx>
        <w:trPr>
          <w:trHeight w:val="345"/>
        </w:trPr>
        <w:tc>
          <w:tcPr>
            <w:tcW w:w="1985" w:type="dxa"/>
            <w:tcBorders>
              <w:left w:val="single" w:sz="8" w:space="0" w:color="000000"/>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pPr>
            <w:r>
              <w:rPr>
                <w:rFonts w:ascii="Arial" w:eastAsia="Times New Roman" w:hAnsi="Arial" w:cs="Arial"/>
                <w:color w:val="000000"/>
                <w:sz w:val="22"/>
                <w:szCs w:val="22"/>
                <w:lang w:eastAsia="es-ES"/>
              </w:rPr>
              <w:t>11 m</w:t>
            </w:r>
            <w:r>
              <w:rPr>
                <w:rFonts w:ascii="Arial" w:eastAsia="Times New Roman" w:hAnsi="Arial" w:cs="Arial"/>
                <w:color w:val="000000"/>
                <w:sz w:val="22"/>
                <w:szCs w:val="22"/>
                <w:vertAlign w:val="superscript"/>
                <w:lang w:eastAsia="es-ES"/>
              </w:rPr>
              <w:t>3</w:t>
            </w:r>
          </w:p>
        </w:tc>
        <w:tc>
          <w:tcPr>
            <w:tcW w:w="2977"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21,29 €</w:t>
            </w:r>
          </w:p>
        </w:tc>
        <w:tc>
          <w:tcPr>
            <w:tcW w:w="2126"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25,29 €</w:t>
            </w:r>
          </w:p>
        </w:tc>
        <w:tc>
          <w:tcPr>
            <w:tcW w:w="1843"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4,00 €</w:t>
            </w:r>
          </w:p>
        </w:tc>
      </w:tr>
      <w:tr w:rsidR="009B4233">
        <w:tblPrEx>
          <w:tblCellMar>
            <w:top w:w="0" w:type="dxa"/>
            <w:bottom w:w="0" w:type="dxa"/>
          </w:tblCellMar>
        </w:tblPrEx>
        <w:trPr>
          <w:trHeight w:val="345"/>
        </w:trPr>
        <w:tc>
          <w:tcPr>
            <w:tcW w:w="1985" w:type="dxa"/>
            <w:tcBorders>
              <w:left w:val="single" w:sz="8" w:space="0" w:color="000000"/>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pPr>
            <w:r>
              <w:rPr>
                <w:rFonts w:ascii="Arial" w:eastAsia="Times New Roman" w:hAnsi="Arial" w:cs="Arial"/>
                <w:color w:val="000000"/>
                <w:sz w:val="22"/>
                <w:szCs w:val="22"/>
                <w:lang w:eastAsia="es-ES"/>
              </w:rPr>
              <w:t>12 m</w:t>
            </w:r>
            <w:r>
              <w:rPr>
                <w:rFonts w:ascii="Arial" w:eastAsia="Times New Roman" w:hAnsi="Arial" w:cs="Arial"/>
                <w:color w:val="000000"/>
                <w:sz w:val="22"/>
                <w:szCs w:val="22"/>
                <w:vertAlign w:val="superscript"/>
                <w:lang w:eastAsia="es-ES"/>
              </w:rPr>
              <w:t>3</w:t>
            </w:r>
          </w:p>
        </w:tc>
        <w:tc>
          <w:tcPr>
            <w:tcW w:w="2977"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22,49 €</w:t>
            </w:r>
          </w:p>
        </w:tc>
        <w:tc>
          <w:tcPr>
            <w:tcW w:w="2126"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26,72 €</w:t>
            </w:r>
          </w:p>
        </w:tc>
        <w:tc>
          <w:tcPr>
            <w:tcW w:w="1843"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4,23 €</w:t>
            </w:r>
          </w:p>
        </w:tc>
      </w:tr>
      <w:tr w:rsidR="009B4233">
        <w:tblPrEx>
          <w:tblCellMar>
            <w:top w:w="0" w:type="dxa"/>
            <w:bottom w:w="0" w:type="dxa"/>
          </w:tblCellMar>
        </w:tblPrEx>
        <w:trPr>
          <w:trHeight w:val="345"/>
        </w:trPr>
        <w:tc>
          <w:tcPr>
            <w:tcW w:w="1985" w:type="dxa"/>
            <w:tcBorders>
              <w:left w:val="single" w:sz="8" w:space="0" w:color="000000"/>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pPr>
            <w:r>
              <w:rPr>
                <w:rFonts w:ascii="Arial" w:eastAsia="Times New Roman" w:hAnsi="Arial" w:cs="Arial"/>
                <w:color w:val="000000"/>
                <w:sz w:val="22"/>
                <w:szCs w:val="22"/>
                <w:lang w:eastAsia="es-ES"/>
              </w:rPr>
              <w:t>13 m</w:t>
            </w:r>
            <w:r>
              <w:rPr>
                <w:rFonts w:ascii="Arial" w:eastAsia="Times New Roman" w:hAnsi="Arial" w:cs="Arial"/>
                <w:color w:val="000000"/>
                <w:sz w:val="22"/>
                <w:szCs w:val="22"/>
                <w:vertAlign w:val="superscript"/>
                <w:lang w:eastAsia="es-ES"/>
              </w:rPr>
              <w:t>3</w:t>
            </w:r>
          </w:p>
        </w:tc>
        <w:tc>
          <w:tcPr>
            <w:tcW w:w="2977"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23,69 €</w:t>
            </w:r>
          </w:p>
        </w:tc>
        <w:tc>
          <w:tcPr>
            <w:tcW w:w="2126"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28,15 €</w:t>
            </w:r>
          </w:p>
        </w:tc>
        <w:tc>
          <w:tcPr>
            <w:tcW w:w="1843"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4,46 €</w:t>
            </w:r>
          </w:p>
        </w:tc>
      </w:tr>
      <w:tr w:rsidR="009B4233">
        <w:tblPrEx>
          <w:tblCellMar>
            <w:top w:w="0" w:type="dxa"/>
            <w:bottom w:w="0" w:type="dxa"/>
          </w:tblCellMar>
        </w:tblPrEx>
        <w:trPr>
          <w:trHeight w:val="345"/>
        </w:trPr>
        <w:tc>
          <w:tcPr>
            <w:tcW w:w="1985" w:type="dxa"/>
            <w:tcBorders>
              <w:left w:val="single" w:sz="8" w:space="0" w:color="000000"/>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pPr>
            <w:r>
              <w:rPr>
                <w:rFonts w:ascii="Arial" w:eastAsia="Times New Roman" w:hAnsi="Arial" w:cs="Arial"/>
                <w:color w:val="000000"/>
                <w:sz w:val="22"/>
                <w:szCs w:val="22"/>
                <w:lang w:eastAsia="es-ES"/>
              </w:rPr>
              <w:t>14 m</w:t>
            </w:r>
            <w:r>
              <w:rPr>
                <w:rFonts w:ascii="Arial" w:eastAsia="Times New Roman" w:hAnsi="Arial" w:cs="Arial"/>
                <w:color w:val="000000"/>
                <w:sz w:val="22"/>
                <w:szCs w:val="22"/>
                <w:vertAlign w:val="superscript"/>
                <w:lang w:eastAsia="es-ES"/>
              </w:rPr>
              <w:t>3</w:t>
            </w:r>
          </w:p>
        </w:tc>
        <w:tc>
          <w:tcPr>
            <w:tcW w:w="2977"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24,89 €</w:t>
            </w:r>
          </w:p>
        </w:tc>
        <w:tc>
          <w:tcPr>
            <w:tcW w:w="2126"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29,58 €</w:t>
            </w:r>
          </w:p>
        </w:tc>
        <w:tc>
          <w:tcPr>
            <w:tcW w:w="1843"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4,69 €</w:t>
            </w:r>
          </w:p>
        </w:tc>
      </w:tr>
      <w:tr w:rsidR="009B4233">
        <w:tblPrEx>
          <w:tblCellMar>
            <w:top w:w="0" w:type="dxa"/>
            <w:bottom w:w="0" w:type="dxa"/>
          </w:tblCellMar>
        </w:tblPrEx>
        <w:trPr>
          <w:trHeight w:val="345"/>
        </w:trPr>
        <w:tc>
          <w:tcPr>
            <w:tcW w:w="1985" w:type="dxa"/>
            <w:tcBorders>
              <w:left w:val="single" w:sz="8" w:space="0" w:color="000000"/>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pPr>
            <w:r>
              <w:rPr>
                <w:rFonts w:ascii="Arial" w:eastAsia="Times New Roman" w:hAnsi="Arial" w:cs="Arial"/>
                <w:color w:val="000000"/>
                <w:sz w:val="22"/>
                <w:szCs w:val="22"/>
                <w:lang w:eastAsia="es-ES"/>
              </w:rPr>
              <w:t>15 m</w:t>
            </w:r>
            <w:r>
              <w:rPr>
                <w:rFonts w:ascii="Arial" w:eastAsia="Times New Roman" w:hAnsi="Arial" w:cs="Arial"/>
                <w:color w:val="000000"/>
                <w:sz w:val="22"/>
                <w:szCs w:val="22"/>
                <w:vertAlign w:val="superscript"/>
                <w:lang w:eastAsia="es-ES"/>
              </w:rPr>
              <w:t>3</w:t>
            </w:r>
          </w:p>
        </w:tc>
        <w:tc>
          <w:tcPr>
            <w:tcW w:w="2977"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26,09 €</w:t>
            </w:r>
          </w:p>
        </w:tc>
        <w:tc>
          <w:tcPr>
            <w:tcW w:w="2126"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31,01 €</w:t>
            </w:r>
          </w:p>
        </w:tc>
        <w:tc>
          <w:tcPr>
            <w:tcW w:w="1843"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4,92 €</w:t>
            </w:r>
          </w:p>
        </w:tc>
      </w:tr>
      <w:tr w:rsidR="009B4233">
        <w:tblPrEx>
          <w:tblCellMar>
            <w:top w:w="0" w:type="dxa"/>
            <w:bottom w:w="0" w:type="dxa"/>
          </w:tblCellMar>
        </w:tblPrEx>
        <w:trPr>
          <w:trHeight w:val="345"/>
        </w:trPr>
        <w:tc>
          <w:tcPr>
            <w:tcW w:w="1985" w:type="dxa"/>
            <w:tcBorders>
              <w:left w:val="single" w:sz="8" w:space="0" w:color="000000"/>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pPr>
            <w:r>
              <w:rPr>
                <w:rFonts w:ascii="Arial" w:eastAsia="Times New Roman" w:hAnsi="Arial" w:cs="Arial"/>
                <w:color w:val="000000"/>
                <w:sz w:val="22"/>
                <w:szCs w:val="22"/>
                <w:lang w:eastAsia="es-ES"/>
              </w:rPr>
              <w:t>16 m</w:t>
            </w:r>
            <w:r>
              <w:rPr>
                <w:rFonts w:ascii="Arial" w:eastAsia="Times New Roman" w:hAnsi="Arial" w:cs="Arial"/>
                <w:color w:val="000000"/>
                <w:sz w:val="22"/>
                <w:szCs w:val="22"/>
                <w:vertAlign w:val="superscript"/>
                <w:lang w:eastAsia="es-ES"/>
              </w:rPr>
              <w:t>3</w:t>
            </w:r>
          </w:p>
        </w:tc>
        <w:tc>
          <w:tcPr>
            <w:tcW w:w="2977"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27,29 €</w:t>
            </w:r>
          </w:p>
        </w:tc>
        <w:tc>
          <w:tcPr>
            <w:tcW w:w="2126"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32,44 €</w:t>
            </w:r>
          </w:p>
        </w:tc>
        <w:tc>
          <w:tcPr>
            <w:tcW w:w="1843"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5,15 €</w:t>
            </w:r>
          </w:p>
        </w:tc>
      </w:tr>
      <w:tr w:rsidR="009B4233">
        <w:tblPrEx>
          <w:tblCellMar>
            <w:top w:w="0" w:type="dxa"/>
            <w:bottom w:w="0" w:type="dxa"/>
          </w:tblCellMar>
        </w:tblPrEx>
        <w:trPr>
          <w:trHeight w:val="345"/>
        </w:trPr>
        <w:tc>
          <w:tcPr>
            <w:tcW w:w="1985" w:type="dxa"/>
            <w:tcBorders>
              <w:left w:val="single" w:sz="8" w:space="0" w:color="000000"/>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pPr>
            <w:r>
              <w:rPr>
                <w:rFonts w:ascii="Arial" w:eastAsia="Times New Roman" w:hAnsi="Arial" w:cs="Arial"/>
                <w:color w:val="000000"/>
                <w:sz w:val="22"/>
                <w:szCs w:val="22"/>
                <w:lang w:eastAsia="es-ES"/>
              </w:rPr>
              <w:t>17 m</w:t>
            </w:r>
            <w:r>
              <w:rPr>
                <w:rFonts w:ascii="Arial" w:eastAsia="Times New Roman" w:hAnsi="Arial" w:cs="Arial"/>
                <w:color w:val="000000"/>
                <w:sz w:val="22"/>
                <w:szCs w:val="22"/>
                <w:vertAlign w:val="superscript"/>
                <w:lang w:eastAsia="es-ES"/>
              </w:rPr>
              <w:t>3</w:t>
            </w:r>
          </w:p>
        </w:tc>
        <w:tc>
          <w:tcPr>
            <w:tcW w:w="2977"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28,49 €</w:t>
            </w:r>
          </w:p>
        </w:tc>
        <w:tc>
          <w:tcPr>
            <w:tcW w:w="2126"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33,87 €</w:t>
            </w:r>
          </w:p>
        </w:tc>
        <w:tc>
          <w:tcPr>
            <w:tcW w:w="1843"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5,38 €</w:t>
            </w:r>
          </w:p>
        </w:tc>
      </w:tr>
      <w:tr w:rsidR="009B4233">
        <w:tblPrEx>
          <w:tblCellMar>
            <w:top w:w="0" w:type="dxa"/>
            <w:bottom w:w="0" w:type="dxa"/>
          </w:tblCellMar>
        </w:tblPrEx>
        <w:trPr>
          <w:trHeight w:val="345"/>
        </w:trPr>
        <w:tc>
          <w:tcPr>
            <w:tcW w:w="1985" w:type="dxa"/>
            <w:tcBorders>
              <w:left w:val="single" w:sz="8" w:space="0" w:color="000000"/>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pPr>
            <w:r>
              <w:rPr>
                <w:rFonts w:ascii="Arial" w:eastAsia="Times New Roman" w:hAnsi="Arial" w:cs="Arial"/>
                <w:color w:val="000000"/>
                <w:sz w:val="22"/>
                <w:szCs w:val="22"/>
                <w:lang w:eastAsia="es-ES"/>
              </w:rPr>
              <w:t>18 m</w:t>
            </w:r>
            <w:r>
              <w:rPr>
                <w:rFonts w:ascii="Arial" w:eastAsia="Times New Roman" w:hAnsi="Arial" w:cs="Arial"/>
                <w:color w:val="000000"/>
                <w:sz w:val="22"/>
                <w:szCs w:val="22"/>
                <w:vertAlign w:val="superscript"/>
                <w:lang w:eastAsia="es-ES"/>
              </w:rPr>
              <w:t>3</w:t>
            </w:r>
          </w:p>
        </w:tc>
        <w:tc>
          <w:tcPr>
            <w:tcW w:w="2977"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29,69 €</w:t>
            </w:r>
          </w:p>
        </w:tc>
        <w:tc>
          <w:tcPr>
            <w:tcW w:w="2126"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35,30 €</w:t>
            </w:r>
          </w:p>
        </w:tc>
        <w:tc>
          <w:tcPr>
            <w:tcW w:w="1843"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5,61 €</w:t>
            </w:r>
          </w:p>
        </w:tc>
      </w:tr>
      <w:tr w:rsidR="009B4233">
        <w:tblPrEx>
          <w:tblCellMar>
            <w:top w:w="0" w:type="dxa"/>
            <w:bottom w:w="0" w:type="dxa"/>
          </w:tblCellMar>
        </w:tblPrEx>
        <w:trPr>
          <w:trHeight w:val="345"/>
        </w:trPr>
        <w:tc>
          <w:tcPr>
            <w:tcW w:w="1985" w:type="dxa"/>
            <w:tcBorders>
              <w:left w:val="single" w:sz="8" w:space="0" w:color="000000"/>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pPr>
            <w:r>
              <w:rPr>
                <w:rFonts w:ascii="Arial" w:eastAsia="Times New Roman" w:hAnsi="Arial" w:cs="Arial"/>
                <w:color w:val="000000"/>
                <w:sz w:val="22"/>
                <w:szCs w:val="22"/>
                <w:lang w:eastAsia="es-ES"/>
              </w:rPr>
              <w:t>19 m</w:t>
            </w:r>
            <w:r>
              <w:rPr>
                <w:rFonts w:ascii="Arial" w:eastAsia="Times New Roman" w:hAnsi="Arial" w:cs="Arial"/>
                <w:color w:val="000000"/>
                <w:sz w:val="22"/>
                <w:szCs w:val="22"/>
                <w:vertAlign w:val="superscript"/>
                <w:lang w:eastAsia="es-ES"/>
              </w:rPr>
              <w:t>3</w:t>
            </w:r>
          </w:p>
        </w:tc>
        <w:tc>
          <w:tcPr>
            <w:tcW w:w="2977"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30,89 €</w:t>
            </w:r>
          </w:p>
        </w:tc>
        <w:tc>
          <w:tcPr>
            <w:tcW w:w="2126"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36,73 €</w:t>
            </w:r>
          </w:p>
        </w:tc>
        <w:tc>
          <w:tcPr>
            <w:tcW w:w="1843"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5,84 €</w:t>
            </w:r>
          </w:p>
        </w:tc>
      </w:tr>
      <w:tr w:rsidR="009B4233">
        <w:tblPrEx>
          <w:tblCellMar>
            <w:top w:w="0" w:type="dxa"/>
            <w:bottom w:w="0" w:type="dxa"/>
          </w:tblCellMar>
        </w:tblPrEx>
        <w:trPr>
          <w:trHeight w:val="345"/>
        </w:trPr>
        <w:tc>
          <w:tcPr>
            <w:tcW w:w="1985" w:type="dxa"/>
            <w:tcBorders>
              <w:left w:val="single" w:sz="8" w:space="0" w:color="000000"/>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pPr>
            <w:r>
              <w:rPr>
                <w:rFonts w:ascii="Arial" w:eastAsia="Times New Roman" w:hAnsi="Arial" w:cs="Arial"/>
                <w:color w:val="000000"/>
                <w:sz w:val="22"/>
                <w:szCs w:val="22"/>
                <w:lang w:eastAsia="es-ES"/>
              </w:rPr>
              <w:t>20 m</w:t>
            </w:r>
            <w:r>
              <w:rPr>
                <w:rFonts w:ascii="Arial" w:eastAsia="Times New Roman" w:hAnsi="Arial" w:cs="Arial"/>
                <w:color w:val="000000"/>
                <w:sz w:val="22"/>
                <w:szCs w:val="22"/>
                <w:vertAlign w:val="superscript"/>
                <w:lang w:eastAsia="es-ES"/>
              </w:rPr>
              <w:t>3</w:t>
            </w:r>
          </w:p>
        </w:tc>
        <w:tc>
          <w:tcPr>
            <w:tcW w:w="2977"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32,09 €</w:t>
            </w:r>
          </w:p>
        </w:tc>
        <w:tc>
          <w:tcPr>
            <w:tcW w:w="2126"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38,16 €</w:t>
            </w:r>
          </w:p>
        </w:tc>
        <w:tc>
          <w:tcPr>
            <w:tcW w:w="1843"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6,07 €</w:t>
            </w:r>
          </w:p>
        </w:tc>
      </w:tr>
      <w:tr w:rsidR="009B4233">
        <w:tblPrEx>
          <w:tblCellMar>
            <w:top w:w="0" w:type="dxa"/>
            <w:bottom w:w="0" w:type="dxa"/>
          </w:tblCellMar>
        </w:tblPrEx>
        <w:trPr>
          <w:trHeight w:val="345"/>
        </w:trPr>
        <w:tc>
          <w:tcPr>
            <w:tcW w:w="1985" w:type="dxa"/>
            <w:tcBorders>
              <w:left w:val="single" w:sz="8" w:space="0" w:color="000000"/>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pPr>
            <w:r>
              <w:rPr>
                <w:rFonts w:ascii="Arial" w:eastAsia="Times New Roman" w:hAnsi="Arial" w:cs="Arial"/>
                <w:color w:val="000000"/>
                <w:sz w:val="22"/>
                <w:szCs w:val="22"/>
                <w:lang w:eastAsia="es-ES"/>
              </w:rPr>
              <w:t>21 m</w:t>
            </w:r>
            <w:r>
              <w:rPr>
                <w:rFonts w:ascii="Arial" w:eastAsia="Times New Roman" w:hAnsi="Arial" w:cs="Arial"/>
                <w:color w:val="000000"/>
                <w:sz w:val="22"/>
                <w:szCs w:val="22"/>
                <w:vertAlign w:val="superscript"/>
                <w:lang w:eastAsia="es-ES"/>
              </w:rPr>
              <w:t>3</w:t>
            </w:r>
          </w:p>
        </w:tc>
        <w:tc>
          <w:tcPr>
            <w:tcW w:w="2977"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33,29 €</w:t>
            </w:r>
          </w:p>
        </w:tc>
        <w:tc>
          <w:tcPr>
            <w:tcW w:w="2126"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39,59 €</w:t>
            </w:r>
          </w:p>
        </w:tc>
        <w:tc>
          <w:tcPr>
            <w:tcW w:w="1843"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6,30 €</w:t>
            </w:r>
          </w:p>
        </w:tc>
      </w:tr>
      <w:tr w:rsidR="009B4233">
        <w:tblPrEx>
          <w:tblCellMar>
            <w:top w:w="0" w:type="dxa"/>
            <w:bottom w:w="0" w:type="dxa"/>
          </w:tblCellMar>
        </w:tblPrEx>
        <w:trPr>
          <w:trHeight w:val="345"/>
        </w:trPr>
        <w:tc>
          <w:tcPr>
            <w:tcW w:w="1985" w:type="dxa"/>
            <w:tcBorders>
              <w:left w:val="single" w:sz="8" w:space="0" w:color="000000"/>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pPr>
            <w:r>
              <w:rPr>
                <w:rFonts w:ascii="Arial" w:eastAsia="Times New Roman" w:hAnsi="Arial" w:cs="Arial"/>
                <w:color w:val="000000"/>
                <w:sz w:val="22"/>
                <w:szCs w:val="22"/>
                <w:lang w:eastAsia="es-ES"/>
              </w:rPr>
              <w:t>22 m</w:t>
            </w:r>
            <w:r>
              <w:rPr>
                <w:rFonts w:ascii="Arial" w:eastAsia="Times New Roman" w:hAnsi="Arial" w:cs="Arial"/>
                <w:color w:val="000000"/>
                <w:sz w:val="22"/>
                <w:szCs w:val="22"/>
                <w:vertAlign w:val="superscript"/>
                <w:lang w:eastAsia="es-ES"/>
              </w:rPr>
              <w:t>3</w:t>
            </w:r>
          </w:p>
        </w:tc>
        <w:tc>
          <w:tcPr>
            <w:tcW w:w="2977"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34,49 €</w:t>
            </w:r>
          </w:p>
        </w:tc>
        <w:tc>
          <w:tcPr>
            <w:tcW w:w="2126"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41,02 €</w:t>
            </w:r>
          </w:p>
        </w:tc>
        <w:tc>
          <w:tcPr>
            <w:tcW w:w="1843"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6,53 €</w:t>
            </w:r>
          </w:p>
        </w:tc>
      </w:tr>
      <w:tr w:rsidR="009B4233">
        <w:tblPrEx>
          <w:tblCellMar>
            <w:top w:w="0" w:type="dxa"/>
            <w:bottom w:w="0" w:type="dxa"/>
          </w:tblCellMar>
        </w:tblPrEx>
        <w:trPr>
          <w:trHeight w:val="345"/>
        </w:trPr>
        <w:tc>
          <w:tcPr>
            <w:tcW w:w="1985" w:type="dxa"/>
            <w:tcBorders>
              <w:left w:val="single" w:sz="8" w:space="0" w:color="000000"/>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pPr>
            <w:r>
              <w:rPr>
                <w:rFonts w:ascii="Arial" w:eastAsia="Times New Roman" w:hAnsi="Arial" w:cs="Arial"/>
                <w:color w:val="000000"/>
                <w:sz w:val="22"/>
                <w:szCs w:val="22"/>
                <w:lang w:eastAsia="es-ES"/>
              </w:rPr>
              <w:t>23 m</w:t>
            </w:r>
            <w:r>
              <w:rPr>
                <w:rFonts w:ascii="Arial" w:eastAsia="Times New Roman" w:hAnsi="Arial" w:cs="Arial"/>
                <w:color w:val="000000"/>
                <w:sz w:val="22"/>
                <w:szCs w:val="22"/>
                <w:vertAlign w:val="superscript"/>
                <w:lang w:eastAsia="es-ES"/>
              </w:rPr>
              <w:t>3</w:t>
            </w:r>
          </w:p>
        </w:tc>
        <w:tc>
          <w:tcPr>
            <w:tcW w:w="2977"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35,69 €</w:t>
            </w:r>
          </w:p>
        </w:tc>
        <w:tc>
          <w:tcPr>
            <w:tcW w:w="2126"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42,45 €</w:t>
            </w:r>
          </w:p>
        </w:tc>
        <w:tc>
          <w:tcPr>
            <w:tcW w:w="1843"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6,76 €</w:t>
            </w:r>
          </w:p>
        </w:tc>
      </w:tr>
      <w:tr w:rsidR="009B4233">
        <w:tblPrEx>
          <w:tblCellMar>
            <w:top w:w="0" w:type="dxa"/>
            <w:bottom w:w="0" w:type="dxa"/>
          </w:tblCellMar>
        </w:tblPrEx>
        <w:trPr>
          <w:trHeight w:val="345"/>
        </w:trPr>
        <w:tc>
          <w:tcPr>
            <w:tcW w:w="1985" w:type="dxa"/>
            <w:tcBorders>
              <w:left w:val="single" w:sz="8" w:space="0" w:color="000000"/>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pPr>
            <w:r>
              <w:rPr>
                <w:rFonts w:ascii="Arial" w:eastAsia="Times New Roman" w:hAnsi="Arial" w:cs="Arial"/>
                <w:color w:val="000000"/>
                <w:sz w:val="22"/>
                <w:szCs w:val="22"/>
                <w:lang w:eastAsia="es-ES"/>
              </w:rPr>
              <w:t>24 m</w:t>
            </w:r>
            <w:r>
              <w:rPr>
                <w:rFonts w:ascii="Arial" w:eastAsia="Times New Roman" w:hAnsi="Arial" w:cs="Arial"/>
                <w:color w:val="000000"/>
                <w:sz w:val="22"/>
                <w:szCs w:val="22"/>
                <w:vertAlign w:val="superscript"/>
                <w:lang w:eastAsia="es-ES"/>
              </w:rPr>
              <w:t>3</w:t>
            </w:r>
          </w:p>
        </w:tc>
        <w:tc>
          <w:tcPr>
            <w:tcW w:w="2977"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36,89 €</w:t>
            </w:r>
          </w:p>
        </w:tc>
        <w:tc>
          <w:tcPr>
            <w:tcW w:w="2126"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43,88 €</w:t>
            </w:r>
          </w:p>
        </w:tc>
        <w:tc>
          <w:tcPr>
            <w:tcW w:w="1843"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6,99 €</w:t>
            </w:r>
          </w:p>
        </w:tc>
      </w:tr>
      <w:tr w:rsidR="009B4233">
        <w:tblPrEx>
          <w:tblCellMar>
            <w:top w:w="0" w:type="dxa"/>
            <w:bottom w:w="0" w:type="dxa"/>
          </w:tblCellMar>
        </w:tblPrEx>
        <w:trPr>
          <w:trHeight w:val="345"/>
        </w:trPr>
        <w:tc>
          <w:tcPr>
            <w:tcW w:w="1985" w:type="dxa"/>
            <w:tcBorders>
              <w:left w:val="single" w:sz="8" w:space="0" w:color="000000"/>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pPr>
            <w:r>
              <w:rPr>
                <w:rFonts w:ascii="Arial" w:eastAsia="Times New Roman" w:hAnsi="Arial" w:cs="Arial"/>
                <w:color w:val="000000"/>
                <w:sz w:val="22"/>
                <w:szCs w:val="22"/>
                <w:lang w:eastAsia="es-ES"/>
              </w:rPr>
              <w:t>25 m</w:t>
            </w:r>
            <w:r>
              <w:rPr>
                <w:rFonts w:ascii="Arial" w:eastAsia="Times New Roman" w:hAnsi="Arial" w:cs="Arial"/>
                <w:color w:val="000000"/>
                <w:sz w:val="22"/>
                <w:szCs w:val="22"/>
                <w:vertAlign w:val="superscript"/>
                <w:lang w:eastAsia="es-ES"/>
              </w:rPr>
              <w:t>3</w:t>
            </w:r>
          </w:p>
        </w:tc>
        <w:tc>
          <w:tcPr>
            <w:tcW w:w="2977"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38,09 €</w:t>
            </w:r>
          </w:p>
        </w:tc>
        <w:tc>
          <w:tcPr>
            <w:tcW w:w="2126"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45,31 €</w:t>
            </w:r>
          </w:p>
        </w:tc>
        <w:tc>
          <w:tcPr>
            <w:tcW w:w="1843"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7,22 €</w:t>
            </w:r>
          </w:p>
        </w:tc>
      </w:tr>
      <w:tr w:rsidR="009B4233">
        <w:tblPrEx>
          <w:tblCellMar>
            <w:top w:w="0" w:type="dxa"/>
            <w:bottom w:w="0" w:type="dxa"/>
          </w:tblCellMar>
        </w:tblPrEx>
        <w:trPr>
          <w:trHeight w:val="345"/>
        </w:trPr>
        <w:tc>
          <w:tcPr>
            <w:tcW w:w="1985" w:type="dxa"/>
            <w:tcBorders>
              <w:left w:val="single" w:sz="8" w:space="0" w:color="000000"/>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pPr>
            <w:r>
              <w:rPr>
                <w:rFonts w:ascii="Arial" w:eastAsia="Times New Roman" w:hAnsi="Arial" w:cs="Arial"/>
                <w:color w:val="000000"/>
                <w:sz w:val="22"/>
                <w:szCs w:val="22"/>
                <w:lang w:eastAsia="es-ES"/>
              </w:rPr>
              <w:t>26 m</w:t>
            </w:r>
            <w:r>
              <w:rPr>
                <w:rFonts w:ascii="Arial" w:eastAsia="Times New Roman" w:hAnsi="Arial" w:cs="Arial"/>
                <w:color w:val="000000"/>
                <w:sz w:val="22"/>
                <w:szCs w:val="22"/>
                <w:vertAlign w:val="superscript"/>
                <w:lang w:eastAsia="es-ES"/>
              </w:rPr>
              <w:t>3</w:t>
            </w:r>
          </w:p>
        </w:tc>
        <w:tc>
          <w:tcPr>
            <w:tcW w:w="2977"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39,29 €</w:t>
            </w:r>
          </w:p>
        </w:tc>
        <w:tc>
          <w:tcPr>
            <w:tcW w:w="2126"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46,74 €</w:t>
            </w:r>
          </w:p>
        </w:tc>
        <w:tc>
          <w:tcPr>
            <w:tcW w:w="1843"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7,45 €</w:t>
            </w:r>
          </w:p>
        </w:tc>
      </w:tr>
      <w:tr w:rsidR="009B4233">
        <w:tblPrEx>
          <w:tblCellMar>
            <w:top w:w="0" w:type="dxa"/>
            <w:bottom w:w="0" w:type="dxa"/>
          </w:tblCellMar>
        </w:tblPrEx>
        <w:trPr>
          <w:trHeight w:val="345"/>
        </w:trPr>
        <w:tc>
          <w:tcPr>
            <w:tcW w:w="1985" w:type="dxa"/>
            <w:tcBorders>
              <w:left w:val="single" w:sz="8" w:space="0" w:color="000000"/>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pPr>
            <w:r>
              <w:rPr>
                <w:rFonts w:ascii="Arial" w:eastAsia="Times New Roman" w:hAnsi="Arial" w:cs="Arial"/>
                <w:color w:val="000000"/>
                <w:sz w:val="22"/>
                <w:szCs w:val="22"/>
                <w:lang w:eastAsia="es-ES"/>
              </w:rPr>
              <w:t>27 m</w:t>
            </w:r>
            <w:r>
              <w:rPr>
                <w:rFonts w:ascii="Arial" w:eastAsia="Times New Roman" w:hAnsi="Arial" w:cs="Arial"/>
                <w:color w:val="000000"/>
                <w:sz w:val="22"/>
                <w:szCs w:val="22"/>
                <w:vertAlign w:val="superscript"/>
                <w:lang w:eastAsia="es-ES"/>
              </w:rPr>
              <w:t>3</w:t>
            </w:r>
          </w:p>
        </w:tc>
        <w:tc>
          <w:tcPr>
            <w:tcW w:w="2977"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40,49 €</w:t>
            </w:r>
          </w:p>
        </w:tc>
        <w:tc>
          <w:tcPr>
            <w:tcW w:w="2126"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48,17 €</w:t>
            </w:r>
          </w:p>
        </w:tc>
        <w:tc>
          <w:tcPr>
            <w:tcW w:w="1843"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7,68 €</w:t>
            </w:r>
          </w:p>
        </w:tc>
      </w:tr>
      <w:tr w:rsidR="009B4233">
        <w:tblPrEx>
          <w:tblCellMar>
            <w:top w:w="0" w:type="dxa"/>
            <w:bottom w:w="0" w:type="dxa"/>
          </w:tblCellMar>
        </w:tblPrEx>
        <w:trPr>
          <w:trHeight w:val="345"/>
        </w:trPr>
        <w:tc>
          <w:tcPr>
            <w:tcW w:w="1985" w:type="dxa"/>
            <w:tcBorders>
              <w:left w:val="single" w:sz="8" w:space="0" w:color="000000"/>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pPr>
            <w:r>
              <w:rPr>
                <w:rFonts w:ascii="Arial" w:eastAsia="Times New Roman" w:hAnsi="Arial" w:cs="Arial"/>
                <w:color w:val="000000"/>
                <w:sz w:val="22"/>
                <w:szCs w:val="22"/>
                <w:lang w:eastAsia="es-ES"/>
              </w:rPr>
              <w:t>28 m</w:t>
            </w:r>
            <w:r>
              <w:rPr>
                <w:rFonts w:ascii="Arial" w:eastAsia="Times New Roman" w:hAnsi="Arial" w:cs="Arial"/>
                <w:color w:val="000000"/>
                <w:sz w:val="22"/>
                <w:szCs w:val="22"/>
                <w:vertAlign w:val="superscript"/>
                <w:lang w:eastAsia="es-ES"/>
              </w:rPr>
              <w:t>3</w:t>
            </w:r>
          </w:p>
        </w:tc>
        <w:tc>
          <w:tcPr>
            <w:tcW w:w="2977"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41,69 €</w:t>
            </w:r>
          </w:p>
        </w:tc>
        <w:tc>
          <w:tcPr>
            <w:tcW w:w="2126"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49,60 €</w:t>
            </w:r>
          </w:p>
        </w:tc>
        <w:tc>
          <w:tcPr>
            <w:tcW w:w="1843"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7,91 €</w:t>
            </w:r>
          </w:p>
        </w:tc>
      </w:tr>
      <w:tr w:rsidR="009B4233">
        <w:tblPrEx>
          <w:tblCellMar>
            <w:top w:w="0" w:type="dxa"/>
            <w:bottom w:w="0" w:type="dxa"/>
          </w:tblCellMar>
        </w:tblPrEx>
        <w:trPr>
          <w:trHeight w:val="345"/>
        </w:trPr>
        <w:tc>
          <w:tcPr>
            <w:tcW w:w="1985" w:type="dxa"/>
            <w:tcBorders>
              <w:left w:val="single" w:sz="8" w:space="0" w:color="000000"/>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pPr>
            <w:r>
              <w:rPr>
                <w:rFonts w:ascii="Arial" w:eastAsia="Times New Roman" w:hAnsi="Arial" w:cs="Arial"/>
                <w:color w:val="000000"/>
                <w:sz w:val="22"/>
                <w:szCs w:val="22"/>
                <w:lang w:eastAsia="es-ES"/>
              </w:rPr>
              <w:t>29 m</w:t>
            </w:r>
            <w:r>
              <w:rPr>
                <w:rFonts w:ascii="Arial" w:eastAsia="Times New Roman" w:hAnsi="Arial" w:cs="Arial"/>
                <w:color w:val="000000"/>
                <w:sz w:val="22"/>
                <w:szCs w:val="22"/>
                <w:vertAlign w:val="superscript"/>
                <w:lang w:eastAsia="es-ES"/>
              </w:rPr>
              <w:t>3</w:t>
            </w:r>
          </w:p>
        </w:tc>
        <w:tc>
          <w:tcPr>
            <w:tcW w:w="2977"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42,89 €</w:t>
            </w:r>
          </w:p>
        </w:tc>
        <w:tc>
          <w:tcPr>
            <w:tcW w:w="2126"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51,03 €</w:t>
            </w:r>
          </w:p>
        </w:tc>
        <w:tc>
          <w:tcPr>
            <w:tcW w:w="1843"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8,14 €</w:t>
            </w:r>
          </w:p>
        </w:tc>
      </w:tr>
      <w:tr w:rsidR="009B4233">
        <w:tblPrEx>
          <w:tblCellMar>
            <w:top w:w="0" w:type="dxa"/>
            <w:bottom w:w="0" w:type="dxa"/>
          </w:tblCellMar>
        </w:tblPrEx>
        <w:trPr>
          <w:trHeight w:val="345"/>
        </w:trPr>
        <w:tc>
          <w:tcPr>
            <w:tcW w:w="1985" w:type="dxa"/>
            <w:tcBorders>
              <w:left w:val="single" w:sz="8" w:space="0" w:color="000000"/>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pPr>
            <w:r>
              <w:rPr>
                <w:rFonts w:ascii="Arial" w:eastAsia="Times New Roman" w:hAnsi="Arial" w:cs="Arial"/>
                <w:color w:val="000000"/>
                <w:sz w:val="22"/>
                <w:szCs w:val="22"/>
                <w:lang w:eastAsia="es-ES"/>
              </w:rPr>
              <w:t>30 m</w:t>
            </w:r>
            <w:r>
              <w:rPr>
                <w:rFonts w:ascii="Arial" w:eastAsia="Times New Roman" w:hAnsi="Arial" w:cs="Arial"/>
                <w:color w:val="000000"/>
                <w:sz w:val="22"/>
                <w:szCs w:val="22"/>
                <w:vertAlign w:val="superscript"/>
                <w:lang w:eastAsia="es-ES"/>
              </w:rPr>
              <w:t>3</w:t>
            </w:r>
          </w:p>
        </w:tc>
        <w:tc>
          <w:tcPr>
            <w:tcW w:w="2977"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44,09 €</w:t>
            </w:r>
          </w:p>
        </w:tc>
        <w:tc>
          <w:tcPr>
            <w:tcW w:w="2126"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52,46 €</w:t>
            </w:r>
          </w:p>
        </w:tc>
        <w:tc>
          <w:tcPr>
            <w:tcW w:w="1843"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8,37 €</w:t>
            </w:r>
          </w:p>
        </w:tc>
      </w:tr>
      <w:tr w:rsidR="009B4233">
        <w:tblPrEx>
          <w:tblCellMar>
            <w:top w:w="0" w:type="dxa"/>
            <w:bottom w:w="0" w:type="dxa"/>
          </w:tblCellMar>
        </w:tblPrEx>
        <w:trPr>
          <w:trHeight w:val="315"/>
        </w:trPr>
        <w:tc>
          <w:tcPr>
            <w:tcW w:w="1985" w:type="dxa"/>
            <w:tcBorders>
              <w:left w:val="single" w:sz="8" w:space="0" w:color="000000"/>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31 m3</w:t>
            </w:r>
          </w:p>
        </w:tc>
        <w:tc>
          <w:tcPr>
            <w:tcW w:w="2977"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46,28 €</w:t>
            </w:r>
          </w:p>
        </w:tc>
        <w:tc>
          <w:tcPr>
            <w:tcW w:w="2126"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55,06 €</w:t>
            </w:r>
          </w:p>
        </w:tc>
        <w:tc>
          <w:tcPr>
            <w:tcW w:w="1843"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8,78 €</w:t>
            </w:r>
          </w:p>
        </w:tc>
      </w:tr>
      <w:tr w:rsidR="009B4233">
        <w:tblPrEx>
          <w:tblCellMar>
            <w:top w:w="0" w:type="dxa"/>
            <w:bottom w:w="0" w:type="dxa"/>
          </w:tblCellMar>
        </w:tblPrEx>
        <w:trPr>
          <w:trHeight w:val="315"/>
        </w:trPr>
        <w:tc>
          <w:tcPr>
            <w:tcW w:w="1985" w:type="dxa"/>
            <w:tcBorders>
              <w:left w:val="single" w:sz="8" w:space="0" w:color="000000"/>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32 m3</w:t>
            </w:r>
          </w:p>
        </w:tc>
        <w:tc>
          <w:tcPr>
            <w:tcW w:w="2977"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48,47 €</w:t>
            </w:r>
          </w:p>
        </w:tc>
        <w:tc>
          <w:tcPr>
            <w:tcW w:w="2126"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57,66 €</w:t>
            </w:r>
          </w:p>
        </w:tc>
        <w:tc>
          <w:tcPr>
            <w:tcW w:w="1843"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9,19 €</w:t>
            </w:r>
          </w:p>
        </w:tc>
      </w:tr>
      <w:tr w:rsidR="009B4233">
        <w:tblPrEx>
          <w:tblCellMar>
            <w:top w:w="0" w:type="dxa"/>
            <w:bottom w:w="0" w:type="dxa"/>
          </w:tblCellMar>
        </w:tblPrEx>
        <w:trPr>
          <w:trHeight w:val="315"/>
        </w:trPr>
        <w:tc>
          <w:tcPr>
            <w:tcW w:w="1985" w:type="dxa"/>
            <w:tcBorders>
              <w:left w:val="single" w:sz="8" w:space="0" w:color="000000"/>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33 m3</w:t>
            </w:r>
          </w:p>
        </w:tc>
        <w:tc>
          <w:tcPr>
            <w:tcW w:w="2977"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50,66 €</w:t>
            </w:r>
          </w:p>
        </w:tc>
        <w:tc>
          <w:tcPr>
            <w:tcW w:w="2126"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60,26 €</w:t>
            </w:r>
          </w:p>
        </w:tc>
        <w:tc>
          <w:tcPr>
            <w:tcW w:w="1843"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9,60 €</w:t>
            </w:r>
          </w:p>
        </w:tc>
      </w:tr>
      <w:tr w:rsidR="009B4233">
        <w:tblPrEx>
          <w:tblCellMar>
            <w:top w:w="0" w:type="dxa"/>
            <w:bottom w:w="0" w:type="dxa"/>
          </w:tblCellMar>
        </w:tblPrEx>
        <w:trPr>
          <w:trHeight w:val="315"/>
        </w:trPr>
        <w:tc>
          <w:tcPr>
            <w:tcW w:w="1985" w:type="dxa"/>
            <w:tcBorders>
              <w:left w:val="single" w:sz="8" w:space="0" w:color="000000"/>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34 m3</w:t>
            </w:r>
          </w:p>
        </w:tc>
        <w:tc>
          <w:tcPr>
            <w:tcW w:w="2977"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52,85 €</w:t>
            </w:r>
          </w:p>
        </w:tc>
        <w:tc>
          <w:tcPr>
            <w:tcW w:w="2126"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62,86 €</w:t>
            </w:r>
          </w:p>
        </w:tc>
        <w:tc>
          <w:tcPr>
            <w:tcW w:w="1843"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10,01 €</w:t>
            </w:r>
          </w:p>
        </w:tc>
      </w:tr>
      <w:tr w:rsidR="009B4233">
        <w:tblPrEx>
          <w:tblCellMar>
            <w:top w:w="0" w:type="dxa"/>
            <w:bottom w:w="0" w:type="dxa"/>
          </w:tblCellMar>
        </w:tblPrEx>
        <w:trPr>
          <w:trHeight w:val="315"/>
        </w:trPr>
        <w:tc>
          <w:tcPr>
            <w:tcW w:w="1985" w:type="dxa"/>
            <w:tcBorders>
              <w:left w:val="single" w:sz="8" w:space="0" w:color="000000"/>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35 m3</w:t>
            </w:r>
          </w:p>
        </w:tc>
        <w:tc>
          <w:tcPr>
            <w:tcW w:w="2977"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55,04 €</w:t>
            </w:r>
          </w:p>
        </w:tc>
        <w:tc>
          <w:tcPr>
            <w:tcW w:w="2126"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65,46 €</w:t>
            </w:r>
          </w:p>
        </w:tc>
        <w:tc>
          <w:tcPr>
            <w:tcW w:w="1843"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10,42 €</w:t>
            </w:r>
          </w:p>
        </w:tc>
      </w:tr>
      <w:tr w:rsidR="009B4233">
        <w:tblPrEx>
          <w:tblCellMar>
            <w:top w:w="0" w:type="dxa"/>
            <w:bottom w:w="0" w:type="dxa"/>
          </w:tblCellMar>
        </w:tblPrEx>
        <w:trPr>
          <w:trHeight w:val="315"/>
        </w:trPr>
        <w:tc>
          <w:tcPr>
            <w:tcW w:w="1985" w:type="dxa"/>
            <w:tcBorders>
              <w:left w:val="single" w:sz="8" w:space="0" w:color="000000"/>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36 m3</w:t>
            </w:r>
          </w:p>
        </w:tc>
        <w:tc>
          <w:tcPr>
            <w:tcW w:w="2977"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57,23 €</w:t>
            </w:r>
          </w:p>
        </w:tc>
        <w:tc>
          <w:tcPr>
            <w:tcW w:w="2126"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68,06 €</w:t>
            </w:r>
          </w:p>
        </w:tc>
        <w:tc>
          <w:tcPr>
            <w:tcW w:w="1843"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10,83 €</w:t>
            </w:r>
          </w:p>
        </w:tc>
      </w:tr>
      <w:tr w:rsidR="009B4233">
        <w:tblPrEx>
          <w:tblCellMar>
            <w:top w:w="0" w:type="dxa"/>
            <w:bottom w:w="0" w:type="dxa"/>
          </w:tblCellMar>
        </w:tblPrEx>
        <w:trPr>
          <w:trHeight w:val="315"/>
        </w:trPr>
        <w:tc>
          <w:tcPr>
            <w:tcW w:w="1985" w:type="dxa"/>
            <w:tcBorders>
              <w:left w:val="single" w:sz="8" w:space="0" w:color="000000"/>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37 m3</w:t>
            </w:r>
          </w:p>
        </w:tc>
        <w:tc>
          <w:tcPr>
            <w:tcW w:w="2977"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59,42 €</w:t>
            </w:r>
          </w:p>
        </w:tc>
        <w:tc>
          <w:tcPr>
            <w:tcW w:w="2126"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70,66 €</w:t>
            </w:r>
          </w:p>
        </w:tc>
        <w:tc>
          <w:tcPr>
            <w:tcW w:w="1843"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11,24 €</w:t>
            </w:r>
          </w:p>
        </w:tc>
      </w:tr>
      <w:tr w:rsidR="009B4233">
        <w:tblPrEx>
          <w:tblCellMar>
            <w:top w:w="0" w:type="dxa"/>
            <w:bottom w:w="0" w:type="dxa"/>
          </w:tblCellMar>
        </w:tblPrEx>
        <w:trPr>
          <w:trHeight w:val="315"/>
        </w:trPr>
        <w:tc>
          <w:tcPr>
            <w:tcW w:w="1985" w:type="dxa"/>
            <w:tcBorders>
              <w:left w:val="single" w:sz="8" w:space="0" w:color="000000"/>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38 m3</w:t>
            </w:r>
          </w:p>
        </w:tc>
        <w:tc>
          <w:tcPr>
            <w:tcW w:w="2977"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61,61 €</w:t>
            </w:r>
          </w:p>
        </w:tc>
        <w:tc>
          <w:tcPr>
            <w:tcW w:w="2126"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73,26 €</w:t>
            </w:r>
          </w:p>
        </w:tc>
        <w:tc>
          <w:tcPr>
            <w:tcW w:w="1843"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11,65 €</w:t>
            </w:r>
          </w:p>
        </w:tc>
      </w:tr>
      <w:tr w:rsidR="009B4233">
        <w:tblPrEx>
          <w:tblCellMar>
            <w:top w:w="0" w:type="dxa"/>
            <w:bottom w:w="0" w:type="dxa"/>
          </w:tblCellMar>
        </w:tblPrEx>
        <w:trPr>
          <w:trHeight w:val="315"/>
        </w:trPr>
        <w:tc>
          <w:tcPr>
            <w:tcW w:w="1985" w:type="dxa"/>
            <w:tcBorders>
              <w:left w:val="single" w:sz="8" w:space="0" w:color="000000"/>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39 m3</w:t>
            </w:r>
          </w:p>
        </w:tc>
        <w:tc>
          <w:tcPr>
            <w:tcW w:w="2977"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63,80 €</w:t>
            </w:r>
          </w:p>
        </w:tc>
        <w:tc>
          <w:tcPr>
            <w:tcW w:w="2126"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75,86 €</w:t>
            </w:r>
          </w:p>
        </w:tc>
        <w:tc>
          <w:tcPr>
            <w:tcW w:w="1843"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12,06 €</w:t>
            </w:r>
          </w:p>
        </w:tc>
      </w:tr>
      <w:tr w:rsidR="009B4233">
        <w:tblPrEx>
          <w:tblCellMar>
            <w:top w:w="0" w:type="dxa"/>
            <w:bottom w:w="0" w:type="dxa"/>
          </w:tblCellMar>
        </w:tblPrEx>
        <w:trPr>
          <w:trHeight w:val="315"/>
        </w:trPr>
        <w:tc>
          <w:tcPr>
            <w:tcW w:w="1985" w:type="dxa"/>
            <w:tcBorders>
              <w:left w:val="single" w:sz="8" w:space="0" w:color="000000"/>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40 m3</w:t>
            </w:r>
          </w:p>
        </w:tc>
        <w:tc>
          <w:tcPr>
            <w:tcW w:w="2977"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65,99 €</w:t>
            </w:r>
          </w:p>
        </w:tc>
        <w:tc>
          <w:tcPr>
            <w:tcW w:w="2126"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78,46 €</w:t>
            </w:r>
          </w:p>
        </w:tc>
        <w:tc>
          <w:tcPr>
            <w:tcW w:w="1843"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12,47 €</w:t>
            </w:r>
          </w:p>
        </w:tc>
      </w:tr>
      <w:tr w:rsidR="009B4233">
        <w:tblPrEx>
          <w:tblCellMar>
            <w:top w:w="0" w:type="dxa"/>
            <w:bottom w:w="0" w:type="dxa"/>
          </w:tblCellMar>
        </w:tblPrEx>
        <w:trPr>
          <w:trHeight w:val="315"/>
        </w:trPr>
        <w:tc>
          <w:tcPr>
            <w:tcW w:w="1985" w:type="dxa"/>
            <w:tcBorders>
              <w:left w:val="single" w:sz="8" w:space="0" w:color="000000"/>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41 m3</w:t>
            </w:r>
          </w:p>
        </w:tc>
        <w:tc>
          <w:tcPr>
            <w:tcW w:w="2977"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68,18 €</w:t>
            </w:r>
          </w:p>
        </w:tc>
        <w:tc>
          <w:tcPr>
            <w:tcW w:w="2126"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81,06 €</w:t>
            </w:r>
          </w:p>
        </w:tc>
        <w:tc>
          <w:tcPr>
            <w:tcW w:w="1843"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12,88 €</w:t>
            </w:r>
          </w:p>
        </w:tc>
      </w:tr>
      <w:tr w:rsidR="009B4233">
        <w:tblPrEx>
          <w:tblCellMar>
            <w:top w:w="0" w:type="dxa"/>
            <w:bottom w:w="0" w:type="dxa"/>
          </w:tblCellMar>
        </w:tblPrEx>
        <w:trPr>
          <w:trHeight w:val="315"/>
        </w:trPr>
        <w:tc>
          <w:tcPr>
            <w:tcW w:w="1985" w:type="dxa"/>
            <w:tcBorders>
              <w:left w:val="single" w:sz="8" w:space="0" w:color="000000"/>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42 m3</w:t>
            </w:r>
          </w:p>
        </w:tc>
        <w:tc>
          <w:tcPr>
            <w:tcW w:w="2977"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70,37 €</w:t>
            </w:r>
          </w:p>
        </w:tc>
        <w:tc>
          <w:tcPr>
            <w:tcW w:w="2126"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83,66 €</w:t>
            </w:r>
          </w:p>
        </w:tc>
        <w:tc>
          <w:tcPr>
            <w:tcW w:w="1843"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13,29 €</w:t>
            </w:r>
          </w:p>
        </w:tc>
      </w:tr>
      <w:tr w:rsidR="009B4233">
        <w:tblPrEx>
          <w:tblCellMar>
            <w:top w:w="0" w:type="dxa"/>
            <w:bottom w:w="0" w:type="dxa"/>
          </w:tblCellMar>
        </w:tblPrEx>
        <w:trPr>
          <w:trHeight w:val="315"/>
        </w:trPr>
        <w:tc>
          <w:tcPr>
            <w:tcW w:w="1985" w:type="dxa"/>
            <w:tcBorders>
              <w:left w:val="single" w:sz="8" w:space="0" w:color="000000"/>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43 m3</w:t>
            </w:r>
          </w:p>
        </w:tc>
        <w:tc>
          <w:tcPr>
            <w:tcW w:w="2977"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72,56 €</w:t>
            </w:r>
          </w:p>
        </w:tc>
        <w:tc>
          <w:tcPr>
            <w:tcW w:w="2126"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86,26 €</w:t>
            </w:r>
          </w:p>
        </w:tc>
        <w:tc>
          <w:tcPr>
            <w:tcW w:w="1843"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13,70 €</w:t>
            </w:r>
          </w:p>
        </w:tc>
      </w:tr>
      <w:tr w:rsidR="009B4233">
        <w:tblPrEx>
          <w:tblCellMar>
            <w:top w:w="0" w:type="dxa"/>
            <w:bottom w:w="0" w:type="dxa"/>
          </w:tblCellMar>
        </w:tblPrEx>
        <w:trPr>
          <w:trHeight w:val="315"/>
        </w:trPr>
        <w:tc>
          <w:tcPr>
            <w:tcW w:w="1985" w:type="dxa"/>
            <w:tcBorders>
              <w:left w:val="single" w:sz="8" w:space="0" w:color="000000"/>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44 m3</w:t>
            </w:r>
          </w:p>
        </w:tc>
        <w:tc>
          <w:tcPr>
            <w:tcW w:w="2977"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74,75 €</w:t>
            </w:r>
          </w:p>
        </w:tc>
        <w:tc>
          <w:tcPr>
            <w:tcW w:w="2126"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88,86 €</w:t>
            </w:r>
          </w:p>
        </w:tc>
        <w:tc>
          <w:tcPr>
            <w:tcW w:w="1843"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14,11 €</w:t>
            </w:r>
          </w:p>
        </w:tc>
      </w:tr>
      <w:tr w:rsidR="009B4233">
        <w:tblPrEx>
          <w:tblCellMar>
            <w:top w:w="0" w:type="dxa"/>
            <w:bottom w:w="0" w:type="dxa"/>
          </w:tblCellMar>
        </w:tblPrEx>
        <w:trPr>
          <w:trHeight w:val="315"/>
        </w:trPr>
        <w:tc>
          <w:tcPr>
            <w:tcW w:w="1985" w:type="dxa"/>
            <w:tcBorders>
              <w:left w:val="single" w:sz="8" w:space="0" w:color="000000"/>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45 m3</w:t>
            </w:r>
          </w:p>
        </w:tc>
        <w:tc>
          <w:tcPr>
            <w:tcW w:w="2977"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76,94 €</w:t>
            </w:r>
          </w:p>
        </w:tc>
        <w:tc>
          <w:tcPr>
            <w:tcW w:w="2126"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91,46 €</w:t>
            </w:r>
          </w:p>
        </w:tc>
        <w:tc>
          <w:tcPr>
            <w:tcW w:w="1843"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14,52 €</w:t>
            </w:r>
          </w:p>
        </w:tc>
      </w:tr>
      <w:tr w:rsidR="009B4233">
        <w:tblPrEx>
          <w:tblCellMar>
            <w:top w:w="0" w:type="dxa"/>
            <w:bottom w:w="0" w:type="dxa"/>
          </w:tblCellMar>
        </w:tblPrEx>
        <w:trPr>
          <w:trHeight w:val="315"/>
        </w:trPr>
        <w:tc>
          <w:tcPr>
            <w:tcW w:w="1985" w:type="dxa"/>
            <w:tcBorders>
              <w:left w:val="single" w:sz="8" w:space="0" w:color="000000"/>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46 m3</w:t>
            </w:r>
          </w:p>
        </w:tc>
        <w:tc>
          <w:tcPr>
            <w:tcW w:w="2977"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79,13 €</w:t>
            </w:r>
          </w:p>
        </w:tc>
        <w:tc>
          <w:tcPr>
            <w:tcW w:w="2126"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94,06 €</w:t>
            </w:r>
          </w:p>
        </w:tc>
        <w:tc>
          <w:tcPr>
            <w:tcW w:w="1843"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14,93 €</w:t>
            </w:r>
          </w:p>
        </w:tc>
      </w:tr>
      <w:tr w:rsidR="009B4233">
        <w:tblPrEx>
          <w:tblCellMar>
            <w:top w:w="0" w:type="dxa"/>
            <w:bottom w:w="0" w:type="dxa"/>
          </w:tblCellMar>
        </w:tblPrEx>
        <w:trPr>
          <w:trHeight w:val="315"/>
        </w:trPr>
        <w:tc>
          <w:tcPr>
            <w:tcW w:w="1985" w:type="dxa"/>
            <w:tcBorders>
              <w:left w:val="single" w:sz="8" w:space="0" w:color="000000"/>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47 m3</w:t>
            </w:r>
          </w:p>
        </w:tc>
        <w:tc>
          <w:tcPr>
            <w:tcW w:w="2977"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81,32 €</w:t>
            </w:r>
          </w:p>
        </w:tc>
        <w:tc>
          <w:tcPr>
            <w:tcW w:w="2126"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96,66 €</w:t>
            </w:r>
          </w:p>
        </w:tc>
        <w:tc>
          <w:tcPr>
            <w:tcW w:w="1843"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15,34 €</w:t>
            </w:r>
          </w:p>
        </w:tc>
      </w:tr>
      <w:tr w:rsidR="009B4233">
        <w:tblPrEx>
          <w:tblCellMar>
            <w:top w:w="0" w:type="dxa"/>
            <w:bottom w:w="0" w:type="dxa"/>
          </w:tblCellMar>
        </w:tblPrEx>
        <w:trPr>
          <w:trHeight w:val="315"/>
        </w:trPr>
        <w:tc>
          <w:tcPr>
            <w:tcW w:w="1985" w:type="dxa"/>
            <w:tcBorders>
              <w:left w:val="single" w:sz="8" w:space="0" w:color="000000"/>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48 m3</w:t>
            </w:r>
          </w:p>
        </w:tc>
        <w:tc>
          <w:tcPr>
            <w:tcW w:w="2977"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83,51 €</w:t>
            </w:r>
          </w:p>
        </w:tc>
        <w:tc>
          <w:tcPr>
            <w:tcW w:w="2126"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99,26 €</w:t>
            </w:r>
          </w:p>
        </w:tc>
        <w:tc>
          <w:tcPr>
            <w:tcW w:w="1843"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15,75 €</w:t>
            </w:r>
          </w:p>
        </w:tc>
      </w:tr>
      <w:tr w:rsidR="009B4233">
        <w:tblPrEx>
          <w:tblCellMar>
            <w:top w:w="0" w:type="dxa"/>
            <w:bottom w:w="0" w:type="dxa"/>
          </w:tblCellMar>
        </w:tblPrEx>
        <w:trPr>
          <w:trHeight w:val="315"/>
        </w:trPr>
        <w:tc>
          <w:tcPr>
            <w:tcW w:w="1985" w:type="dxa"/>
            <w:tcBorders>
              <w:left w:val="single" w:sz="8" w:space="0" w:color="000000"/>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49 m3</w:t>
            </w:r>
          </w:p>
        </w:tc>
        <w:tc>
          <w:tcPr>
            <w:tcW w:w="2977"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85,70 €</w:t>
            </w:r>
          </w:p>
        </w:tc>
        <w:tc>
          <w:tcPr>
            <w:tcW w:w="2126"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101,86 €</w:t>
            </w:r>
          </w:p>
        </w:tc>
        <w:tc>
          <w:tcPr>
            <w:tcW w:w="1843"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16,16 €</w:t>
            </w:r>
          </w:p>
        </w:tc>
      </w:tr>
      <w:tr w:rsidR="009B4233">
        <w:tblPrEx>
          <w:tblCellMar>
            <w:top w:w="0" w:type="dxa"/>
            <w:bottom w:w="0" w:type="dxa"/>
          </w:tblCellMar>
        </w:tblPrEx>
        <w:trPr>
          <w:trHeight w:val="315"/>
        </w:trPr>
        <w:tc>
          <w:tcPr>
            <w:tcW w:w="1985" w:type="dxa"/>
            <w:tcBorders>
              <w:left w:val="single" w:sz="8" w:space="0" w:color="000000"/>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50 m3</w:t>
            </w:r>
          </w:p>
        </w:tc>
        <w:tc>
          <w:tcPr>
            <w:tcW w:w="2977"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87,89 €</w:t>
            </w:r>
          </w:p>
        </w:tc>
        <w:tc>
          <w:tcPr>
            <w:tcW w:w="2126"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104,46 €</w:t>
            </w:r>
          </w:p>
        </w:tc>
        <w:tc>
          <w:tcPr>
            <w:tcW w:w="1843"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16,57 €</w:t>
            </w:r>
          </w:p>
        </w:tc>
      </w:tr>
      <w:tr w:rsidR="009B4233">
        <w:tblPrEx>
          <w:tblCellMar>
            <w:top w:w="0" w:type="dxa"/>
            <w:bottom w:w="0" w:type="dxa"/>
          </w:tblCellMar>
        </w:tblPrEx>
        <w:trPr>
          <w:trHeight w:val="315"/>
        </w:trPr>
        <w:tc>
          <w:tcPr>
            <w:tcW w:w="1985" w:type="dxa"/>
            <w:tcBorders>
              <w:left w:val="single" w:sz="8" w:space="0" w:color="000000"/>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51 m3</w:t>
            </w:r>
          </w:p>
        </w:tc>
        <w:tc>
          <w:tcPr>
            <w:tcW w:w="2977"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 xml:space="preserve">90,08 </w:t>
            </w:r>
            <w:r>
              <w:rPr>
                <w:rFonts w:ascii="Arial" w:eastAsia="Times New Roman" w:hAnsi="Arial" w:cs="Arial"/>
                <w:color w:val="000000"/>
                <w:sz w:val="22"/>
                <w:szCs w:val="22"/>
                <w:lang w:eastAsia="es-ES"/>
              </w:rPr>
              <w:t>€</w:t>
            </w:r>
          </w:p>
        </w:tc>
        <w:tc>
          <w:tcPr>
            <w:tcW w:w="2126"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107,06 €</w:t>
            </w:r>
          </w:p>
        </w:tc>
        <w:tc>
          <w:tcPr>
            <w:tcW w:w="1843"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16,98 €</w:t>
            </w:r>
          </w:p>
        </w:tc>
      </w:tr>
      <w:tr w:rsidR="009B4233">
        <w:tblPrEx>
          <w:tblCellMar>
            <w:top w:w="0" w:type="dxa"/>
            <w:bottom w:w="0" w:type="dxa"/>
          </w:tblCellMar>
        </w:tblPrEx>
        <w:trPr>
          <w:trHeight w:val="315"/>
        </w:trPr>
        <w:tc>
          <w:tcPr>
            <w:tcW w:w="1985" w:type="dxa"/>
            <w:tcBorders>
              <w:left w:val="single" w:sz="8" w:space="0" w:color="000000"/>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52 m3</w:t>
            </w:r>
          </w:p>
        </w:tc>
        <w:tc>
          <w:tcPr>
            <w:tcW w:w="2977"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92,27 €</w:t>
            </w:r>
          </w:p>
        </w:tc>
        <w:tc>
          <w:tcPr>
            <w:tcW w:w="2126"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109,66 €</w:t>
            </w:r>
          </w:p>
        </w:tc>
        <w:tc>
          <w:tcPr>
            <w:tcW w:w="1843"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17,39 €</w:t>
            </w:r>
          </w:p>
        </w:tc>
      </w:tr>
      <w:tr w:rsidR="009B4233">
        <w:tblPrEx>
          <w:tblCellMar>
            <w:top w:w="0" w:type="dxa"/>
            <w:bottom w:w="0" w:type="dxa"/>
          </w:tblCellMar>
        </w:tblPrEx>
        <w:trPr>
          <w:trHeight w:val="315"/>
        </w:trPr>
        <w:tc>
          <w:tcPr>
            <w:tcW w:w="1985" w:type="dxa"/>
            <w:tcBorders>
              <w:left w:val="single" w:sz="8" w:space="0" w:color="000000"/>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53 m3</w:t>
            </w:r>
          </w:p>
        </w:tc>
        <w:tc>
          <w:tcPr>
            <w:tcW w:w="2977"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94,46 €</w:t>
            </w:r>
          </w:p>
        </w:tc>
        <w:tc>
          <w:tcPr>
            <w:tcW w:w="2126"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112,26 €</w:t>
            </w:r>
          </w:p>
        </w:tc>
        <w:tc>
          <w:tcPr>
            <w:tcW w:w="1843"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17,80 €</w:t>
            </w:r>
          </w:p>
        </w:tc>
      </w:tr>
      <w:tr w:rsidR="009B4233">
        <w:tblPrEx>
          <w:tblCellMar>
            <w:top w:w="0" w:type="dxa"/>
            <w:bottom w:w="0" w:type="dxa"/>
          </w:tblCellMar>
        </w:tblPrEx>
        <w:trPr>
          <w:trHeight w:val="315"/>
        </w:trPr>
        <w:tc>
          <w:tcPr>
            <w:tcW w:w="1985" w:type="dxa"/>
            <w:tcBorders>
              <w:left w:val="single" w:sz="8" w:space="0" w:color="000000"/>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54 m3</w:t>
            </w:r>
          </w:p>
        </w:tc>
        <w:tc>
          <w:tcPr>
            <w:tcW w:w="2977"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96,65 €</w:t>
            </w:r>
          </w:p>
        </w:tc>
        <w:tc>
          <w:tcPr>
            <w:tcW w:w="2126"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114,86 €</w:t>
            </w:r>
          </w:p>
        </w:tc>
        <w:tc>
          <w:tcPr>
            <w:tcW w:w="1843"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18,21 €</w:t>
            </w:r>
          </w:p>
        </w:tc>
      </w:tr>
      <w:tr w:rsidR="009B4233">
        <w:tblPrEx>
          <w:tblCellMar>
            <w:top w:w="0" w:type="dxa"/>
            <w:bottom w:w="0" w:type="dxa"/>
          </w:tblCellMar>
        </w:tblPrEx>
        <w:trPr>
          <w:trHeight w:val="315"/>
        </w:trPr>
        <w:tc>
          <w:tcPr>
            <w:tcW w:w="1985" w:type="dxa"/>
            <w:tcBorders>
              <w:left w:val="single" w:sz="8" w:space="0" w:color="000000"/>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55 m3</w:t>
            </w:r>
          </w:p>
        </w:tc>
        <w:tc>
          <w:tcPr>
            <w:tcW w:w="2977"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98,84 €</w:t>
            </w:r>
          </w:p>
        </w:tc>
        <w:tc>
          <w:tcPr>
            <w:tcW w:w="2126"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117,46 €</w:t>
            </w:r>
          </w:p>
        </w:tc>
        <w:tc>
          <w:tcPr>
            <w:tcW w:w="1843"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18,62 €</w:t>
            </w:r>
          </w:p>
        </w:tc>
      </w:tr>
      <w:tr w:rsidR="009B4233">
        <w:tblPrEx>
          <w:tblCellMar>
            <w:top w:w="0" w:type="dxa"/>
            <w:bottom w:w="0" w:type="dxa"/>
          </w:tblCellMar>
        </w:tblPrEx>
        <w:trPr>
          <w:trHeight w:val="315"/>
        </w:trPr>
        <w:tc>
          <w:tcPr>
            <w:tcW w:w="1985" w:type="dxa"/>
            <w:tcBorders>
              <w:left w:val="single" w:sz="8" w:space="0" w:color="000000"/>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56 m3</w:t>
            </w:r>
          </w:p>
        </w:tc>
        <w:tc>
          <w:tcPr>
            <w:tcW w:w="2977"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101,03 €</w:t>
            </w:r>
          </w:p>
        </w:tc>
        <w:tc>
          <w:tcPr>
            <w:tcW w:w="2126"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120,06 €</w:t>
            </w:r>
          </w:p>
        </w:tc>
        <w:tc>
          <w:tcPr>
            <w:tcW w:w="1843"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19,03 €</w:t>
            </w:r>
          </w:p>
        </w:tc>
      </w:tr>
      <w:tr w:rsidR="009B4233">
        <w:tblPrEx>
          <w:tblCellMar>
            <w:top w:w="0" w:type="dxa"/>
            <w:bottom w:w="0" w:type="dxa"/>
          </w:tblCellMar>
        </w:tblPrEx>
        <w:trPr>
          <w:trHeight w:val="315"/>
        </w:trPr>
        <w:tc>
          <w:tcPr>
            <w:tcW w:w="1985" w:type="dxa"/>
            <w:tcBorders>
              <w:left w:val="single" w:sz="8" w:space="0" w:color="000000"/>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57 m3</w:t>
            </w:r>
          </w:p>
        </w:tc>
        <w:tc>
          <w:tcPr>
            <w:tcW w:w="2977"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103,22 €</w:t>
            </w:r>
          </w:p>
        </w:tc>
        <w:tc>
          <w:tcPr>
            <w:tcW w:w="2126"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122,66 €</w:t>
            </w:r>
          </w:p>
        </w:tc>
        <w:tc>
          <w:tcPr>
            <w:tcW w:w="1843"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19,44 €</w:t>
            </w:r>
          </w:p>
        </w:tc>
      </w:tr>
      <w:tr w:rsidR="009B4233">
        <w:tblPrEx>
          <w:tblCellMar>
            <w:top w:w="0" w:type="dxa"/>
            <w:bottom w:w="0" w:type="dxa"/>
          </w:tblCellMar>
        </w:tblPrEx>
        <w:trPr>
          <w:trHeight w:val="315"/>
        </w:trPr>
        <w:tc>
          <w:tcPr>
            <w:tcW w:w="1985" w:type="dxa"/>
            <w:tcBorders>
              <w:left w:val="single" w:sz="8" w:space="0" w:color="000000"/>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58 m3</w:t>
            </w:r>
          </w:p>
        </w:tc>
        <w:tc>
          <w:tcPr>
            <w:tcW w:w="2977"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105,41 €</w:t>
            </w:r>
          </w:p>
        </w:tc>
        <w:tc>
          <w:tcPr>
            <w:tcW w:w="2126"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125,26 €</w:t>
            </w:r>
          </w:p>
        </w:tc>
        <w:tc>
          <w:tcPr>
            <w:tcW w:w="1843"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19,85 €</w:t>
            </w:r>
          </w:p>
        </w:tc>
      </w:tr>
      <w:tr w:rsidR="009B4233">
        <w:tblPrEx>
          <w:tblCellMar>
            <w:top w:w="0" w:type="dxa"/>
            <w:bottom w:w="0" w:type="dxa"/>
          </w:tblCellMar>
        </w:tblPrEx>
        <w:trPr>
          <w:trHeight w:val="315"/>
        </w:trPr>
        <w:tc>
          <w:tcPr>
            <w:tcW w:w="1985" w:type="dxa"/>
            <w:tcBorders>
              <w:left w:val="single" w:sz="8" w:space="0" w:color="000000"/>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59 m3</w:t>
            </w:r>
          </w:p>
        </w:tc>
        <w:tc>
          <w:tcPr>
            <w:tcW w:w="2977"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107,60 €</w:t>
            </w:r>
          </w:p>
        </w:tc>
        <w:tc>
          <w:tcPr>
            <w:tcW w:w="2126"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127,86 €</w:t>
            </w:r>
          </w:p>
        </w:tc>
        <w:tc>
          <w:tcPr>
            <w:tcW w:w="1843"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20,26 €</w:t>
            </w:r>
          </w:p>
        </w:tc>
      </w:tr>
      <w:tr w:rsidR="009B4233">
        <w:tblPrEx>
          <w:tblCellMar>
            <w:top w:w="0" w:type="dxa"/>
            <w:bottom w:w="0" w:type="dxa"/>
          </w:tblCellMar>
        </w:tblPrEx>
        <w:trPr>
          <w:trHeight w:val="315"/>
        </w:trPr>
        <w:tc>
          <w:tcPr>
            <w:tcW w:w="1985" w:type="dxa"/>
            <w:tcBorders>
              <w:left w:val="single" w:sz="8" w:space="0" w:color="000000"/>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60 m3</w:t>
            </w:r>
          </w:p>
        </w:tc>
        <w:tc>
          <w:tcPr>
            <w:tcW w:w="2977"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109,79 €</w:t>
            </w:r>
          </w:p>
        </w:tc>
        <w:tc>
          <w:tcPr>
            <w:tcW w:w="2126"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130,46 €</w:t>
            </w:r>
          </w:p>
        </w:tc>
        <w:tc>
          <w:tcPr>
            <w:tcW w:w="1843"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20,67 €</w:t>
            </w:r>
          </w:p>
        </w:tc>
      </w:tr>
      <w:tr w:rsidR="009B4233">
        <w:tblPrEx>
          <w:tblCellMar>
            <w:top w:w="0" w:type="dxa"/>
            <w:bottom w:w="0" w:type="dxa"/>
          </w:tblCellMar>
        </w:tblPrEx>
        <w:trPr>
          <w:trHeight w:val="315"/>
        </w:trPr>
        <w:tc>
          <w:tcPr>
            <w:tcW w:w="1985" w:type="dxa"/>
            <w:tcBorders>
              <w:left w:val="single" w:sz="8" w:space="0" w:color="000000"/>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61 m3</w:t>
            </w:r>
          </w:p>
        </w:tc>
        <w:tc>
          <w:tcPr>
            <w:tcW w:w="2977"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113,27 €</w:t>
            </w:r>
          </w:p>
        </w:tc>
        <w:tc>
          <w:tcPr>
            <w:tcW w:w="2126"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134,59 €</w:t>
            </w:r>
          </w:p>
        </w:tc>
        <w:tc>
          <w:tcPr>
            <w:tcW w:w="1843"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21,32 €</w:t>
            </w:r>
          </w:p>
        </w:tc>
      </w:tr>
      <w:tr w:rsidR="009B4233">
        <w:tblPrEx>
          <w:tblCellMar>
            <w:top w:w="0" w:type="dxa"/>
            <w:bottom w:w="0" w:type="dxa"/>
          </w:tblCellMar>
        </w:tblPrEx>
        <w:trPr>
          <w:trHeight w:val="315"/>
        </w:trPr>
        <w:tc>
          <w:tcPr>
            <w:tcW w:w="1985" w:type="dxa"/>
            <w:tcBorders>
              <w:left w:val="single" w:sz="8" w:space="0" w:color="000000"/>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62 m3</w:t>
            </w:r>
          </w:p>
        </w:tc>
        <w:tc>
          <w:tcPr>
            <w:tcW w:w="2977"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116,75 €</w:t>
            </w:r>
          </w:p>
        </w:tc>
        <w:tc>
          <w:tcPr>
            <w:tcW w:w="2126"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138,72 €</w:t>
            </w:r>
          </w:p>
        </w:tc>
        <w:tc>
          <w:tcPr>
            <w:tcW w:w="1843"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21,97 €</w:t>
            </w:r>
          </w:p>
        </w:tc>
      </w:tr>
      <w:tr w:rsidR="009B4233">
        <w:tblPrEx>
          <w:tblCellMar>
            <w:top w:w="0" w:type="dxa"/>
            <w:bottom w:w="0" w:type="dxa"/>
          </w:tblCellMar>
        </w:tblPrEx>
        <w:trPr>
          <w:trHeight w:val="315"/>
        </w:trPr>
        <w:tc>
          <w:tcPr>
            <w:tcW w:w="1985" w:type="dxa"/>
            <w:tcBorders>
              <w:left w:val="single" w:sz="8" w:space="0" w:color="000000"/>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63 m3</w:t>
            </w:r>
          </w:p>
        </w:tc>
        <w:tc>
          <w:tcPr>
            <w:tcW w:w="2977"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120,23 €</w:t>
            </w:r>
          </w:p>
        </w:tc>
        <w:tc>
          <w:tcPr>
            <w:tcW w:w="2126"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142,85 €</w:t>
            </w:r>
          </w:p>
        </w:tc>
        <w:tc>
          <w:tcPr>
            <w:tcW w:w="1843"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22,62 €</w:t>
            </w:r>
          </w:p>
        </w:tc>
      </w:tr>
      <w:tr w:rsidR="009B4233">
        <w:tblPrEx>
          <w:tblCellMar>
            <w:top w:w="0" w:type="dxa"/>
            <w:bottom w:w="0" w:type="dxa"/>
          </w:tblCellMar>
        </w:tblPrEx>
        <w:trPr>
          <w:trHeight w:val="315"/>
        </w:trPr>
        <w:tc>
          <w:tcPr>
            <w:tcW w:w="1985" w:type="dxa"/>
            <w:tcBorders>
              <w:left w:val="single" w:sz="8" w:space="0" w:color="000000"/>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64 m3</w:t>
            </w:r>
          </w:p>
        </w:tc>
        <w:tc>
          <w:tcPr>
            <w:tcW w:w="2977"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123,71 €</w:t>
            </w:r>
          </w:p>
        </w:tc>
        <w:tc>
          <w:tcPr>
            <w:tcW w:w="2126"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146,98 €</w:t>
            </w:r>
          </w:p>
        </w:tc>
        <w:tc>
          <w:tcPr>
            <w:tcW w:w="1843"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23,27 €</w:t>
            </w:r>
          </w:p>
        </w:tc>
      </w:tr>
      <w:tr w:rsidR="009B4233">
        <w:tblPrEx>
          <w:tblCellMar>
            <w:top w:w="0" w:type="dxa"/>
            <w:bottom w:w="0" w:type="dxa"/>
          </w:tblCellMar>
        </w:tblPrEx>
        <w:trPr>
          <w:trHeight w:val="315"/>
        </w:trPr>
        <w:tc>
          <w:tcPr>
            <w:tcW w:w="1985" w:type="dxa"/>
            <w:tcBorders>
              <w:left w:val="single" w:sz="8" w:space="0" w:color="000000"/>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65 m3</w:t>
            </w:r>
          </w:p>
        </w:tc>
        <w:tc>
          <w:tcPr>
            <w:tcW w:w="2977"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127,19 €</w:t>
            </w:r>
          </w:p>
        </w:tc>
        <w:tc>
          <w:tcPr>
            <w:tcW w:w="2126"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151,11 €</w:t>
            </w:r>
          </w:p>
        </w:tc>
        <w:tc>
          <w:tcPr>
            <w:tcW w:w="1843"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23,92 €</w:t>
            </w:r>
          </w:p>
        </w:tc>
      </w:tr>
      <w:tr w:rsidR="009B4233">
        <w:tblPrEx>
          <w:tblCellMar>
            <w:top w:w="0" w:type="dxa"/>
            <w:bottom w:w="0" w:type="dxa"/>
          </w:tblCellMar>
        </w:tblPrEx>
        <w:trPr>
          <w:trHeight w:val="315"/>
        </w:trPr>
        <w:tc>
          <w:tcPr>
            <w:tcW w:w="1985" w:type="dxa"/>
            <w:tcBorders>
              <w:left w:val="single" w:sz="8" w:space="0" w:color="000000"/>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66 m3</w:t>
            </w:r>
          </w:p>
        </w:tc>
        <w:tc>
          <w:tcPr>
            <w:tcW w:w="2977"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130,67 €</w:t>
            </w:r>
          </w:p>
        </w:tc>
        <w:tc>
          <w:tcPr>
            <w:tcW w:w="2126"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155,24 €</w:t>
            </w:r>
          </w:p>
        </w:tc>
        <w:tc>
          <w:tcPr>
            <w:tcW w:w="1843"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24,57 €</w:t>
            </w:r>
          </w:p>
        </w:tc>
      </w:tr>
      <w:tr w:rsidR="009B4233">
        <w:tblPrEx>
          <w:tblCellMar>
            <w:top w:w="0" w:type="dxa"/>
            <w:bottom w:w="0" w:type="dxa"/>
          </w:tblCellMar>
        </w:tblPrEx>
        <w:trPr>
          <w:trHeight w:val="315"/>
        </w:trPr>
        <w:tc>
          <w:tcPr>
            <w:tcW w:w="1985" w:type="dxa"/>
            <w:tcBorders>
              <w:left w:val="single" w:sz="8" w:space="0" w:color="000000"/>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67 m3</w:t>
            </w:r>
          </w:p>
        </w:tc>
        <w:tc>
          <w:tcPr>
            <w:tcW w:w="2977"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134,15 €</w:t>
            </w:r>
          </w:p>
        </w:tc>
        <w:tc>
          <w:tcPr>
            <w:tcW w:w="2126"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159,37 €</w:t>
            </w:r>
          </w:p>
        </w:tc>
        <w:tc>
          <w:tcPr>
            <w:tcW w:w="1843"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25,22 €</w:t>
            </w:r>
          </w:p>
        </w:tc>
      </w:tr>
      <w:tr w:rsidR="009B4233">
        <w:tblPrEx>
          <w:tblCellMar>
            <w:top w:w="0" w:type="dxa"/>
            <w:bottom w:w="0" w:type="dxa"/>
          </w:tblCellMar>
        </w:tblPrEx>
        <w:trPr>
          <w:trHeight w:val="315"/>
        </w:trPr>
        <w:tc>
          <w:tcPr>
            <w:tcW w:w="1985" w:type="dxa"/>
            <w:tcBorders>
              <w:left w:val="single" w:sz="8" w:space="0" w:color="000000"/>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68 m3</w:t>
            </w:r>
          </w:p>
        </w:tc>
        <w:tc>
          <w:tcPr>
            <w:tcW w:w="2977"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137,63 €</w:t>
            </w:r>
          </w:p>
        </w:tc>
        <w:tc>
          <w:tcPr>
            <w:tcW w:w="2126"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163,50 €</w:t>
            </w:r>
          </w:p>
        </w:tc>
        <w:tc>
          <w:tcPr>
            <w:tcW w:w="1843"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25,87 €</w:t>
            </w:r>
          </w:p>
        </w:tc>
      </w:tr>
      <w:tr w:rsidR="009B4233">
        <w:tblPrEx>
          <w:tblCellMar>
            <w:top w:w="0" w:type="dxa"/>
            <w:bottom w:w="0" w:type="dxa"/>
          </w:tblCellMar>
        </w:tblPrEx>
        <w:trPr>
          <w:trHeight w:val="315"/>
        </w:trPr>
        <w:tc>
          <w:tcPr>
            <w:tcW w:w="1985" w:type="dxa"/>
            <w:tcBorders>
              <w:left w:val="single" w:sz="8" w:space="0" w:color="000000"/>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69 m3</w:t>
            </w:r>
          </w:p>
        </w:tc>
        <w:tc>
          <w:tcPr>
            <w:tcW w:w="2977"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141,11 €</w:t>
            </w:r>
          </w:p>
        </w:tc>
        <w:tc>
          <w:tcPr>
            <w:tcW w:w="2126"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167,63 €</w:t>
            </w:r>
          </w:p>
        </w:tc>
        <w:tc>
          <w:tcPr>
            <w:tcW w:w="1843"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26,52 €</w:t>
            </w:r>
          </w:p>
        </w:tc>
      </w:tr>
      <w:tr w:rsidR="009B4233">
        <w:tblPrEx>
          <w:tblCellMar>
            <w:top w:w="0" w:type="dxa"/>
            <w:bottom w:w="0" w:type="dxa"/>
          </w:tblCellMar>
        </w:tblPrEx>
        <w:trPr>
          <w:trHeight w:val="315"/>
        </w:trPr>
        <w:tc>
          <w:tcPr>
            <w:tcW w:w="1985" w:type="dxa"/>
            <w:tcBorders>
              <w:left w:val="single" w:sz="8" w:space="0" w:color="000000"/>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70 m3</w:t>
            </w:r>
          </w:p>
        </w:tc>
        <w:tc>
          <w:tcPr>
            <w:tcW w:w="2977"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144,59 €</w:t>
            </w:r>
          </w:p>
        </w:tc>
        <w:tc>
          <w:tcPr>
            <w:tcW w:w="2126"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171,76 €</w:t>
            </w:r>
          </w:p>
        </w:tc>
        <w:tc>
          <w:tcPr>
            <w:tcW w:w="1843"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27,17 €</w:t>
            </w:r>
          </w:p>
        </w:tc>
      </w:tr>
      <w:tr w:rsidR="009B4233">
        <w:tblPrEx>
          <w:tblCellMar>
            <w:top w:w="0" w:type="dxa"/>
            <w:bottom w:w="0" w:type="dxa"/>
          </w:tblCellMar>
        </w:tblPrEx>
        <w:trPr>
          <w:trHeight w:val="315"/>
        </w:trPr>
        <w:tc>
          <w:tcPr>
            <w:tcW w:w="1985" w:type="dxa"/>
            <w:tcBorders>
              <w:left w:val="single" w:sz="8" w:space="0" w:color="000000"/>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71 m3</w:t>
            </w:r>
          </w:p>
        </w:tc>
        <w:tc>
          <w:tcPr>
            <w:tcW w:w="2977"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148,07 €</w:t>
            </w:r>
          </w:p>
        </w:tc>
        <w:tc>
          <w:tcPr>
            <w:tcW w:w="2126"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175,89 €</w:t>
            </w:r>
          </w:p>
        </w:tc>
        <w:tc>
          <w:tcPr>
            <w:tcW w:w="1843"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27,82 €</w:t>
            </w:r>
          </w:p>
        </w:tc>
      </w:tr>
      <w:tr w:rsidR="009B4233">
        <w:tblPrEx>
          <w:tblCellMar>
            <w:top w:w="0" w:type="dxa"/>
            <w:bottom w:w="0" w:type="dxa"/>
          </w:tblCellMar>
        </w:tblPrEx>
        <w:trPr>
          <w:trHeight w:val="315"/>
        </w:trPr>
        <w:tc>
          <w:tcPr>
            <w:tcW w:w="1985" w:type="dxa"/>
            <w:tcBorders>
              <w:left w:val="single" w:sz="8" w:space="0" w:color="000000"/>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72 m3</w:t>
            </w:r>
          </w:p>
        </w:tc>
        <w:tc>
          <w:tcPr>
            <w:tcW w:w="2977"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151,55 €</w:t>
            </w:r>
          </w:p>
        </w:tc>
        <w:tc>
          <w:tcPr>
            <w:tcW w:w="2126"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180,02 €</w:t>
            </w:r>
          </w:p>
        </w:tc>
        <w:tc>
          <w:tcPr>
            <w:tcW w:w="1843"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28,47 €</w:t>
            </w:r>
          </w:p>
        </w:tc>
      </w:tr>
      <w:tr w:rsidR="009B4233">
        <w:tblPrEx>
          <w:tblCellMar>
            <w:top w:w="0" w:type="dxa"/>
            <w:bottom w:w="0" w:type="dxa"/>
          </w:tblCellMar>
        </w:tblPrEx>
        <w:trPr>
          <w:trHeight w:val="315"/>
        </w:trPr>
        <w:tc>
          <w:tcPr>
            <w:tcW w:w="1985" w:type="dxa"/>
            <w:tcBorders>
              <w:left w:val="single" w:sz="8" w:space="0" w:color="000000"/>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73 m3</w:t>
            </w:r>
          </w:p>
        </w:tc>
        <w:tc>
          <w:tcPr>
            <w:tcW w:w="2977"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155,03 €</w:t>
            </w:r>
          </w:p>
        </w:tc>
        <w:tc>
          <w:tcPr>
            <w:tcW w:w="2126"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184,15 €</w:t>
            </w:r>
          </w:p>
        </w:tc>
        <w:tc>
          <w:tcPr>
            <w:tcW w:w="1843"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29,12 €</w:t>
            </w:r>
          </w:p>
        </w:tc>
      </w:tr>
      <w:tr w:rsidR="009B4233">
        <w:tblPrEx>
          <w:tblCellMar>
            <w:top w:w="0" w:type="dxa"/>
            <w:bottom w:w="0" w:type="dxa"/>
          </w:tblCellMar>
        </w:tblPrEx>
        <w:trPr>
          <w:trHeight w:val="315"/>
        </w:trPr>
        <w:tc>
          <w:tcPr>
            <w:tcW w:w="1985" w:type="dxa"/>
            <w:tcBorders>
              <w:left w:val="single" w:sz="8" w:space="0" w:color="000000"/>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74 m3</w:t>
            </w:r>
          </w:p>
        </w:tc>
        <w:tc>
          <w:tcPr>
            <w:tcW w:w="2977"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158,51 €</w:t>
            </w:r>
          </w:p>
        </w:tc>
        <w:tc>
          <w:tcPr>
            <w:tcW w:w="2126"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188,28 €</w:t>
            </w:r>
          </w:p>
        </w:tc>
        <w:tc>
          <w:tcPr>
            <w:tcW w:w="1843"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29,77 €</w:t>
            </w:r>
          </w:p>
        </w:tc>
      </w:tr>
      <w:tr w:rsidR="009B4233">
        <w:tblPrEx>
          <w:tblCellMar>
            <w:top w:w="0" w:type="dxa"/>
            <w:bottom w:w="0" w:type="dxa"/>
          </w:tblCellMar>
        </w:tblPrEx>
        <w:trPr>
          <w:trHeight w:val="315"/>
        </w:trPr>
        <w:tc>
          <w:tcPr>
            <w:tcW w:w="1985" w:type="dxa"/>
            <w:tcBorders>
              <w:left w:val="single" w:sz="8" w:space="0" w:color="000000"/>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75 m3</w:t>
            </w:r>
          </w:p>
        </w:tc>
        <w:tc>
          <w:tcPr>
            <w:tcW w:w="2977"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161,99 €</w:t>
            </w:r>
          </w:p>
        </w:tc>
        <w:tc>
          <w:tcPr>
            <w:tcW w:w="2126"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192,41 €</w:t>
            </w:r>
          </w:p>
        </w:tc>
        <w:tc>
          <w:tcPr>
            <w:tcW w:w="1843" w:type="dxa"/>
            <w:tcBorders>
              <w:bottom w:val="single" w:sz="8" w:space="0" w:color="000000"/>
              <w:right w:val="single" w:sz="8" w:space="0" w:color="000000"/>
            </w:tcBorders>
            <w:shd w:val="clear" w:color="auto" w:fill="auto"/>
            <w:tcMar>
              <w:top w:w="0" w:type="dxa"/>
              <w:left w:w="70" w:type="dxa"/>
              <w:bottom w:w="0" w:type="dxa"/>
              <w:right w:w="70" w:type="dxa"/>
            </w:tcMar>
            <w:vAlign w:val="center"/>
          </w:tcPr>
          <w:p w:rsidR="009B4233" w:rsidRDefault="006B08B9">
            <w:pPr>
              <w:widowControl/>
              <w:suppressAutoHyphens w:val="0"/>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30,42 €</w:t>
            </w:r>
          </w:p>
        </w:tc>
      </w:tr>
    </w:tbl>
    <w:p w:rsidR="009B4233" w:rsidRDefault="009B4233">
      <w:pPr>
        <w:pStyle w:val="Textoindependiente"/>
        <w:jc w:val="both"/>
        <w:rPr>
          <w:rFonts w:cs="Arial"/>
          <w:b/>
          <w:szCs w:val="22"/>
          <w:lang w:eastAsia="ar-SA"/>
        </w:rPr>
      </w:pPr>
    </w:p>
    <w:p w:rsidR="009B4233" w:rsidRDefault="009B4233">
      <w:pPr>
        <w:pStyle w:val="Textoindependiente"/>
        <w:jc w:val="both"/>
        <w:rPr>
          <w:rFonts w:cs="Arial"/>
          <w:b/>
          <w:szCs w:val="22"/>
          <w:lang w:eastAsia="ar-SA"/>
        </w:rPr>
      </w:pPr>
    </w:p>
    <w:p w:rsidR="009B4233" w:rsidRDefault="006B08B9">
      <w:pPr>
        <w:pStyle w:val="Textoindependiente"/>
        <w:jc w:val="both"/>
      </w:pPr>
      <w:r>
        <w:rPr>
          <w:rFonts w:cs="Arial"/>
          <w:b/>
          <w:szCs w:val="22"/>
          <w:lang w:eastAsia="ar-SA"/>
        </w:rPr>
        <w:t>QUINTO:</w:t>
      </w:r>
      <w:r>
        <w:rPr>
          <w:rFonts w:cs="Arial"/>
          <w:szCs w:val="22"/>
          <w:lang w:eastAsia="ar-SA"/>
        </w:rPr>
        <w:t xml:space="preserve"> Con respecto a las tarifas de saneamiento, s</w:t>
      </w:r>
      <w:r>
        <w:rPr>
          <w:rFonts w:cs="Arial"/>
          <w:szCs w:val="22"/>
        </w:rPr>
        <w:t xml:space="preserve">e presenta estudio económico auditado del año 2024, para un total de clientes de 9.877 clientes, frente a los 14.300 clientes de abastecimiento y con unos </w:t>
      </w:r>
      <w:r>
        <w:rPr>
          <w:rFonts w:cs="Arial"/>
          <w:szCs w:val="22"/>
        </w:rPr>
        <w:t>volúmenes facturados de 1.196.958 m3, frente a los 1.855.820 m3 de abastecimiento, siendo la tarifa media de 0,159 Euros/m3.</w:t>
      </w:r>
    </w:p>
    <w:p w:rsidR="009B4233" w:rsidRDefault="006B08B9">
      <w:pPr>
        <w:pStyle w:val="Textoindependiente"/>
        <w:ind w:firstLine="1134"/>
        <w:jc w:val="both"/>
        <w:rPr>
          <w:rFonts w:cs="Arial"/>
          <w:szCs w:val="22"/>
        </w:rPr>
      </w:pPr>
      <w:r>
        <w:rPr>
          <w:rFonts w:cs="Arial"/>
          <w:szCs w:val="22"/>
        </w:rPr>
        <w:t>Este estudio presenta una estructura de Ingresos de 209.841,77 Euros y Gastos, por importe de 274.573,47 Euros, relativo a la explo</w:t>
      </w:r>
      <w:r>
        <w:rPr>
          <w:rFonts w:cs="Arial"/>
          <w:szCs w:val="22"/>
        </w:rPr>
        <w:t>tación del Saneamiento del municipio de Candelaria del ejercicio 2026, con un déficit del servicio de 64.731,70 Euros, un 30,85 %, destacando el incremento de los costes de personal en un 116 % hasta llegar a 74.656,16 Euros, al incrementar un trabajador m</w:t>
      </w:r>
      <w:r>
        <w:rPr>
          <w:rFonts w:cs="Arial"/>
          <w:szCs w:val="22"/>
        </w:rPr>
        <w:t>ás y que ya fue solicitado el año pasado, siendo rechazado por la Corporación municipal, por lo que se mantendrá un solo trabajador, ya que el volumen de gastos, con respecto al año auditado, no justifica un trabajador más a jornada completa, por lo que es</w:t>
      </w:r>
      <w:r>
        <w:rPr>
          <w:rFonts w:cs="Arial"/>
          <w:szCs w:val="22"/>
        </w:rPr>
        <w:t>te concepto de gastos, se reducirá. Se reduce en el total de gastos, el concepto de gastos financieros, conforme el mismo criterio de las tarifas de abastecimiento y se propone una subida del 2 % de los diferentes elementos de coste en base al mismo criter</w:t>
      </w:r>
      <w:r>
        <w:rPr>
          <w:rFonts w:cs="Arial"/>
          <w:szCs w:val="22"/>
        </w:rPr>
        <w:t>io calculado a las tarifas de abastecimiento y el personal, en un 9,2 %, calculado conforme datos reales y auditados en el año 2024, tenemos los siguientes costes:</w:t>
      </w:r>
    </w:p>
    <w:p w:rsidR="009B4233" w:rsidRDefault="006B08B9">
      <w:pPr>
        <w:pStyle w:val="Textoindependiente"/>
        <w:ind w:firstLine="1134"/>
        <w:jc w:val="both"/>
        <w:rPr>
          <w:rFonts w:cs="Arial"/>
          <w:szCs w:val="22"/>
        </w:rPr>
      </w:pPr>
      <w:r>
        <w:rPr>
          <w:rFonts w:cs="Arial"/>
          <w:szCs w:val="22"/>
        </w:rPr>
        <w:t>1.- Aprovisionamientos: 135.828,30 €.</w:t>
      </w:r>
    </w:p>
    <w:p w:rsidR="009B4233" w:rsidRDefault="006B08B9">
      <w:pPr>
        <w:pStyle w:val="Textoindependiente"/>
        <w:ind w:firstLine="1134"/>
        <w:jc w:val="both"/>
        <w:rPr>
          <w:rFonts w:cs="Arial"/>
          <w:szCs w:val="22"/>
        </w:rPr>
      </w:pPr>
      <w:r>
        <w:rPr>
          <w:rFonts w:cs="Arial"/>
          <w:szCs w:val="22"/>
        </w:rPr>
        <w:t>2.- Servicios Exteriores: 13.934,21 €.</w:t>
      </w:r>
    </w:p>
    <w:p w:rsidR="009B4233" w:rsidRDefault="006B08B9">
      <w:pPr>
        <w:pStyle w:val="Textoindependiente"/>
        <w:ind w:firstLine="1134"/>
        <w:jc w:val="both"/>
        <w:rPr>
          <w:rFonts w:cs="Arial"/>
          <w:szCs w:val="22"/>
        </w:rPr>
      </w:pPr>
      <w:r>
        <w:rPr>
          <w:rFonts w:cs="Arial"/>
          <w:szCs w:val="22"/>
        </w:rPr>
        <w:t>3.- Gastos de P</w:t>
      </w:r>
      <w:r>
        <w:rPr>
          <w:rFonts w:cs="Arial"/>
          <w:szCs w:val="22"/>
        </w:rPr>
        <w:t>ersonal: 37.669,86 €.</w:t>
      </w:r>
    </w:p>
    <w:p w:rsidR="009B4233" w:rsidRDefault="006B08B9">
      <w:pPr>
        <w:pStyle w:val="Textoindependiente"/>
        <w:ind w:firstLine="1134"/>
        <w:jc w:val="both"/>
        <w:rPr>
          <w:rFonts w:cs="Arial"/>
          <w:szCs w:val="22"/>
        </w:rPr>
      </w:pPr>
      <w:r>
        <w:rPr>
          <w:rFonts w:cs="Arial"/>
          <w:szCs w:val="22"/>
        </w:rPr>
        <w:t>4.- Amortización Explotación: 12.947,15 €</w:t>
      </w:r>
    </w:p>
    <w:p w:rsidR="009B4233" w:rsidRDefault="006B08B9">
      <w:pPr>
        <w:pStyle w:val="Textoindependiente"/>
        <w:ind w:firstLine="1134"/>
        <w:jc w:val="both"/>
        <w:rPr>
          <w:rFonts w:cs="Arial"/>
          <w:szCs w:val="22"/>
        </w:rPr>
      </w:pPr>
      <w:r>
        <w:rPr>
          <w:rFonts w:cs="Arial"/>
          <w:szCs w:val="22"/>
        </w:rPr>
        <w:t>5.- Dotación Provisiones Insolvencias: 2.098,42 €</w:t>
      </w:r>
    </w:p>
    <w:p w:rsidR="009B4233" w:rsidRDefault="009B4233">
      <w:pPr>
        <w:pStyle w:val="Textoindependiente"/>
        <w:ind w:firstLine="1134"/>
        <w:jc w:val="both"/>
        <w:rPr>
          <w:rFonts w:cs="Arial"/>
          <w:szCs w:val="22"/>
        </w:rPr>
      </w:pPr>
    </w:p>
    <w:p w:rsidR="009B4233" w:rsidRDefault="006B08B9">
      <w:pPr>
        <w:pStyle w:val="Textoindependiente"/>
        <w:ind w:firstLine="1134"/>
        <w:jc w:val="both"/>
        <w:rPr>
          <w:rFonts w:cs="Arial"/>
          <w:szCs w:val="22"/>
        </w:rPr>
      </w:pPr>
      <w:r>
        <w:rPr>
          <w:rFonts w:cs="Arial"/>
          <w:szCs w:val="22"/>
        </w:rPr>
        <w:t xml:space="preserve">Consecuencia de lo anterior, la propuesta de estudio económico para el año 2026, ascienden los costes en 202.477,94 Euros, a los que hay que </w:t>
      </w:r>
      <w:r>
        <w:rPr>
          <w:rFonts w:cs="Arial"/>
          <w:szCs w:val="22"/>
        </w:rPr>
        <w:t>añadir, los gastos generales, calculado conforme mismo criterio que para las tarifas de abastecimiento, elevándose a 22.743,69, lo que se estima un coste total para el ejercicio 2026 de 225.221,63 Euros, mientras que los ingresos se elevan a 209.841,77 Eur</w:t>
      </w:r>
      <w:r>
        <w:rPr>
          <w:rFonts w:cs="Arial"/>
          <w:szCs w:val="22"/>
        </w:rPr>
        <w:t>os, obteniéndose un déficit del 7,33 %, frente al déficit propuesta por la empresa Aqualia SA, del 30,85 %. Con esta propuesta, la estructura de tarifas de saneamiento propuesta, se elevarían a:</w:t>
      </w:r>
    </w:p>
    <w:p w:rsidR="009B4233" w:rsidRDefault="009B4233">
      <w:pPr>
        <w:jc w:val="both"/>
        <w:rPr>
          <w:rFonts w:ascii="Arial" w:hAnsi="Arial" w:cs="Arial"/>
          <w:sz w:val="22"/>
          <w:szCs w:val="22"/>
        </w:rPr>
      </w:pPr>
    </w:p>
    <w:tbl>
      <w:tblPr>
        <w:tblW w:w="4820" w:type="dxa"/>
        <w:tblInd w:w="1809" w:type="dxa"/>
        <w:tblCellMar>
          <w:left w:w="10" w:type="dxa"/>
          <w:right w:w="10" w:type="dxa"/>
        </w:tblCellMar>
        <w:tblLook w:val="0000" w:firstRow="0" w:lastRow="0" w:firstColumn="0" w:lastColumn="0" w:noHBand="0" w:noVBand="0"/>
      </w:tblPr>
      <w:tblGrid>
        <w:gridCol w:w="3043"/>
        <w:gridCol w:w="1777"/>
      </w:tblGrid>
      <w:tr w:rsidR="009B4233">
        <w:tblPrEx>
          <w:tblCellMar>
            <w:top w:w="0" w:type="dxa"/>
            <w:bottom w:w="0" w:type="dxa"/>
          </w:tblCellMar>
        </w:tblPrEx>
        <w:tc>
          <w:tcPr>
            <w:tcW w:w="30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pStyle w:val="Textoindependiente"/>
              <w:rPr>
                <w:rFonts w:cs="Arial"/>
                <w:b/>
                <w:szCs w:val="22"/>
              </w:rPr>
            </w:pPr>
            <w:r>
              <w:rPr>
                <w:rFonts w:cs="Arial"/>
                <w:b/>
                <w:szCs w:val="22"/>
              </w:rPr>
              <w:t>CONSUMO DOMÉSTICO</w:t>
            </w:r>
          </w:p>
        </w:tc>
        <w:tc>
          <w:tcPr>
            <w:tcW w:w="17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pStyle w:val="Textoindependiente"/>
              <w:rPr>
                <w:rFonts w:cs="Arial"/>
                <w:b/>
                <w:szCs w:val="22"/>
              </w:rPr>
            </w:pPr>
            <w:r>
              <w:rPr>
                <w:rFonts w:cs="Arial"/>
                <w:b/>
                <w:szCs w:val="22"/>
              </w:rPr>
              <w:t>IMPORTE</w:t>
            </w:r>
          </w:p>
        </w:tc>
      </w:tr>
      <w:tr w:rsidR="009B4233">
        <w:tblPrEx>
          <w:tblCellMar>
            <w:top w:w="0" w:type="dxa"/>
            <w:bottom w:w="0" w:type="dxa"/>
          </w:tblCellMar>
        </w:tblPrEx>
        <w:tc>
          <w:tcPr>
            <w:tcW w:w="30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pStyle w:val="Textoindependiente"/>
              <w:rPr>
                <w:rFonts w:cs="Arial"/>
                <w:szCs w:val="22"/>
              </w:rPr>
            </w:pPr>
            <w:r>
              <w:rPr>
                <w:rFonts w:cs="Arial"/>
                <w:szCs w:val="22"/>
              </w:rPr>
              <w:t>Mínimo de 10 m3</w:t>
            </w:r>
          </w:p>
        </w:tc>
        <w:tc>
          <w:tcPr>
            <w:tcW w:w="17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pStyle w:val="Textoindependiente"/>
              <w:rPr>
                <w:rFonts w:cs="Arial"/>
                <w:szCs w:val="22"/>
              </w:rPr>
            </w:pPr>
            <w:r>
              <w:rPr>
                <w:rFonts w:cs="Arial"/>
                <w:szCs w:val="22"/>
              </w:rPr>
              <w:t>1,89 €</w:t>
            </w:r>
          </w:p>
        </w:tc>
      </w:tr>
      <w:tr w:rsidR="009B4233">
        <w:tblPrEx>
          <w:tblCellMar>
            <w:top w:w="0" w:type="dxa"/>
            <w:bottom w:w="0" w:type="dxa"/>
          </w:tblCellMar>
        </w:tblPrEx>
        <w:tc>
          <w:tcPr>
            <w:tcW w:w="30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pStyle w:val="Textoindependiente"/>
            </w:pPr>
            <w:r>
              <w:rPr>
                <w:rFonts w:cs="Arial"/>
                <w:i/>
                <w:szCs w:val="22"/>
              </w:rPr>
              <w:t>Más de 10</w:t>
            </w:r>
            <w:r>
              <w:rPr>
                <w:rFonts w:cs="Arial"/>
                <w:i/>
                <w:szCs w:val="22"/>
              </w:rPr>
              <w:t xml:space="preserve"> </w:t>
            </w:r>
            <w:r>
              <w:rPr>
                <w:rFonts w:cs="Arial"/>
                <w:szCs w:val="22"/>
              </w:rPr>
              <w:t>m3</w:t>
            </w:r>
          </w:p>
        </w:tc>
        <w:tc>
          <w:tcPr>
            <w:tcW w:w="17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pStyle w:val="Textoindependiente"/>
              <w:rPr>
                <w:rFonts w:cs="Arial"/>
                <w:szCs w:val="22"/>
              </w:rPr>
            </w:pPr>
            <w:r>
              <w:rPr>
                <w:rFonts w:cs="Arial"/>
                <w:szCs w:val="22"/>
              </w:rPr>
              <w:t>0,19 €/m3</w:t>
            </w:r>
          </w:p>
        </w:tc>
      </w:tr>
      <w:tr w:rsidR="009B4233">
        <w:tblPrEx>
          <w:tblCellMar>
            <w:top w:w="0" w:type="dxa"/>
            <w:bottom w:w="0" w:type="dxa"/>
          </w:tblCellMar>
        </w:tblPrEx>
        <w:tc>
          <w:tcPr>
            <w:tcW w:w="30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pStyle w:val="Textoindependiente"/>
              <w:rPr>
                <w:rFonts w:cs="Arial"/>
                <w:b/>
                <w:szCs w:val="22"/>
              </w:rPr>
            </w:pPr>
            <w:r>
              <w:rPr>
                <w:rFonts w:cs="Arial"/>
                <w:b/>
                <w:szCs w:val="22"/>
              </w:rPr>
              <w:t>CONSUMO INDUSTRIAL</w:t>
            </w:r>
          </w:p>
        </w:tc>
        <w:tc>
          <w:tcPr>
            <w:tcW w:w="17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9B4233">
            <w:pPr>
              <w:pStyle w:val="Textoindependiente"/>
              <w:rPr>
                <w:rFonts w:cs="Arial"/>
                <w:b/>
                <w:szCs w:val="22"/>
              </w:rPr>
            </w:pPr>
          </w:p>
        </w:tc>
      </w:tr>
      <w:tr w:rsidR="009B4233">
        <w:tblPrEx>
          <w:tblCellMar>
            <w:top w:w="0" w:type="dxa"/>
            <w:bottom w:w="0" w:type="dxa"/>
          </w:tblCellMar>
        </w:tblPrEx>
        <w:tc>
          <w:tcPr>
            <w:tcW w:w="30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pStyle w:val="Textoindependiente"/>
              <w:rPr>
                <w:rFonts w:cs="Arial"/>
                <w:szCs w:val="22"/>
              </w:rPr>
            </w:pPr>
            <w:r>
              <w:rPr>
                <w:rFonts w:cs="Arial"/>
                <w:szCs w:val="22"/>
              </w:rPr>
              <w:t>Mínimo 10 m3</w:t>
            </w:r>
          </w:p>
        </w:tc>
        <w:tc>
          <w:tcPr>
            <w:tcW w:w="17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pStyle w:val="Textoindependiente"/>
              <w:rPr>
                <w:rFonts w:cs="Arial"/>
                <w:szCs w:val="22"/>
              </w:rPr>
            </w:pPr>
            <w:r>
              <w:rPr>
                <w:rFonts w:cs="Arial"/>
                <w:szCs w:val="22"/>
              </w:rPr>
              <w:t>2.17 €</w:t>
            </w:r>
          </w:p>
        </w:tc>
      </w:tr>
      <w:tr w:rsidR="009B4233">
        <w:tblPrEx>
          <w:tblCellMar>
            <w:top w:w="0" w:type="dxa"/>
            <w:bottom w:w="0" w:type="dxa"/>
          </w:tblCellMar>
        </w:tblPrEx>
        <w:tc>
          <w:tcPr>
            <w:tcW w:w="30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pStyle w:val="Textoindependiente"/>
              <w:rPr>
                <w:rFonts w:cs="Arial"/>
                <w:szCs w:val="22"/>
              </w:rPr>
            </w:pPr>
            <w:r>
              <w:rPr>
                <w:rFonts w:cs="Arial"/>
                <w:szCs w:val="22"/>
              </w:rPr>
              <w:t>Más de 10 m3</w:t>
            </w:r>
          </w:p>
        </w:tc>
        <w:tc>
          <w:tcPr>
            <w:tcW w:w="17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pStyle w:val="Textoindependiente"/>
              <w:rPr>
                <w:rFonts w:cs="Arial"/>
                <w:szCs w:val="22"/>
              </w:rPr>
            </w:pPr>
            <w:r>
              <w:rPr>
                <w:rFonts w:cs="Arial"/>
                <w:szCs w:val="22"/>
              </w:rPr>
              <w:t>0,22 €/m3</w:t>
            </w:r>
          </w:p>
        </w:tc>
      </w:tr>
    </w:tbl>
    <w:p w:rsidR="009B4233" w:rsidRDefault="009B4233">
      <w:pPr>
        <w:pStyle w:val="Textoindependiente"/>
        <w:rPr>
          <w:rFonts w:cs="Arial"/>
          <w:bCs/>
          <w:szCs w:val="22"/>
        </w:rPr>
      </w:pPr>
    </w:p>
    <w:p w:rsidR="009B4233" w:rsidRDefault="009B4233">
      <w:pPr>
        <w:pStyle w:val="Textoindependiente"/>
        <w:rPr>
          <w:rFonts w:cs="Arial"/>
          <w:bCs/>
          <w:szCs w:val="22"/>
        </w:rPr>
      </w:pPr>
    </w:p>
    <w:p w:rsidR="009B4233" w:rsidRDefault="009B4233">
      <w:pPr>
        <w:pStyle w:val="Textoindependiente"/>
        <w:rPr>
          <w:rFonts w:cs="Arial"/>
          <w:bCs/>
          <w:szCs w:val="22"/>
        </w:rPr>
      </w:pPr>
    </w:p>
    <w:tbl>
      <w:tblPr>
        <w:tblW w:w="10461" w:type="dxa"/>
        <w:tblInd w:w="-1106" w:type="dxa"/>
        <w:tblLayout w:type="fixed"/>
        <w:tblCellMar>
          <w:left w:w="10" w:type="dxa"/>
          <w:right w:w="10" w:type="dxa"/>
        </w:tblCellMar>
        <w:tblLook w:val="0000" w:firstRow="0" w:lastRow="0" w:firstColumn="0" w:lastColumn="0" w:noHBand="0" w:noVBand="0"/>
      </w:tblPr>
      <w:tblGrid>
        <w:gridCol w:w="10461"/>
      </w:tblGrid>
      <w:tr w:rsidR="009B4233">
        <w:tblPrEx>
          <w:tblCellMar>
            <w:top w:w="0" w:type="dxa"/>
            <w:bottom w:w="0" w:type="dxa"/>
          </w:tblCellMar>
        </w:tblPrEx>
        <w:tc>
          <w:tcPr>
            <w:tcW w:w="10461" w:type="dxa"/>
            <w:shd w:val="clear" w:color="auto" w:fill="auto"/>
            <w:tcMar>
              <w:top w:w="28" w:type="dxa"/>
              <w:left w:w="28" w:type="dxa"/>
              <w:bottom w:w="28" w:type="dxa"/>
              <w:right w:w="28" w:type="dxa"/>
            </w:tcMar>
          </w:tcPr>
          <w:p w:rsidR="009B4233" w:rsidRDefault="006B08B9">
            <w:pPr>
              <w:pStyle w:val="Contenidodelatabla"/>
              <w:snapToGrid w:val="0"/>
              <w:spacing w:after="283"/>
              <w:ind w:left="1110"/>
              <w:jc w:val="both"/>
            </w:pPr>
            <w:r>
              <w:rPr>
                <w:rFonts w:ascii="Arial" w:hAnsi="Arial" w:cs="Arial"/>
                <w:b/>
                <w:sz w:val="22"/>
                <w:szCs w:val="22"/>
              </w:rPr>
              <w:t>QUINTO</w:t>
            </w:r>
            <w:r>
              <w:rPr>
                <w:rFonts w:ascii="Arial" w:hAnsi="Arial" w:cs="Arial"/>
                <w:b/>
                <w:bCs/>
                <w:sz w:val="22"/>
                <w:szCs w:val="22"/>
              </w:rPr>
              <w:t xml:space="preserve">: </w:t>
            </w:r>
            <w:r>
              <w:rPr>
                <w:rFonts w:ascii="Arial" w:hAnsi="Arial" w:cs="Arial"/>
                <w:color w:val="000000"/>
                <w:sz w:val="22"/>
                <w:szCs w:val="22"/>
              </w:rPr>
              <w:t xml:space="preserve">Que los precios a aplicar, como contraprestación de los servicios prestados por Aqualia SA, tendrán la naturaleza de Prestaciones Patrimoniales Públicas no </w:t>
            </w:r>
            <w:r>
              <w:rPr>
                <w:rFonts w:ascii="Arial" w:hAnsi="Arial" w:cs="Arial"/>
                <w:color w:val="000000"/>
                <w:sz w:val="22"/>
                <w:szCs w:val="22"/>
              </w:rPr>
              <w:t>Tributarias.</w:t>
            </w:r>
          </w:p>
          <w:p w:rsidR="009B4233" w:rsidRDefault="006B08B9">
            <w:pPr>
              <w:pStyle w:val="Textoindependiente"/>
              <w:ind w:left="1110" w:firstLine="1110"/>
              <w:jc w:val="both"/>
            </w:pPr>
            <w:r>
              <w:rPr>
                <w:rFonts w:cs="Arial"/>
                <w:color w:val="000000"/>
                <w:szCs w:val="22"/>
              </w:rPr>
              <w:tab/>
              <w:t xml:space="preserve">En efecto, </w:t>
            </w:r>
            <w:r>
              <w:rPr>
                <w:rStyle w:val="nfasis"/>
                <w:rFonts w:cs="Arial"/>
                <w:color w:val="000000"/>
                <w:szCs w:val="22"/>
              </w:rPr>
              <w:t xml:space="preserve">de conformidad con la Ley 9/2017, de 8 de noviembre, de Contratos del Sector Público, a través de la disposición final undécima, se modifica la naturaleza jurídica de las contraprestaciones económicas percibidas de los usuarios, </w:t>
            </w:r>
            <w:r>
              <w:rPr>
                <w:rStyle w:val="nfasis"/>
                <w:rFonts w:cs="Arial"/>
                <w:color w:val="000000"/>
                <w:szCs w:val="22"/>
              </w:rPr>
              <w:t>por los servicios públicos prestados tanto de forma indirecta mediante concesionario, como directa, introduciendo una nueva regulación para este tipo de contraprestaciones, las denominadas «</w:t>
            </w:r>
            <w:r>
              <w:rPr>
                <w:rStyle w:val="nfasis"/>
                <w:rFonts w:cs="Arial"/>
                <w:b/>
                <w:bCs/>
                <w:color w:val="000000"/>
                <w:szCs w:val="22"/>
              </w:rPr>
              <w:t>prestaciones patrimoniales no tributarias</w:t>
            </w:r>
            <w:r>
              <w:rPr>
                <w:rStyle w:val="nfasis"/>
                <w:rFonts w:cs="Arial"/>
                <w:color w:val="000000"/>
                <w:szCs w:val="22"/>
              </w:rPr>
              <w:t xml:space="preserve">». </w:t>
            </w:r>
          </w:p>
          <w:p w:rsidR="009B4233" w:rsidRDefault="006B08B9">
            <w:pPr>
              <w:pStyle w:val="Textoindependiente"/>
              <w:ind w:left="968" w:firstLine="426"/>
              <w:jc w:val="both"/>
            </w:pPr>
            <w:r>
              <w:rPr>
                <w:rStyle w:val="nfasis"/>
                <w:rFonts w:cs="Arial"/>
                <w:color w:val="000000"/>
                <w:szCs w:val="22"/>
              </w:rPr>
              <w:tab/>
              <w:t>Para identificar una</w:t>
            </w:r>
            <w:r>
              <w:rPr>
                <w:rStyle w:val="nfasis"/>
                <w:rFonts w:cs="Arial"/>
                <w:color w:val="000000"/>
                <w:szCs w:val="22"/>
              </w:rPr>
              <w:t xml:space="preserve"> contraprestación por un servicio público como prestación patrimonial de carácter público no tributario, deben concurrir los siguientes requisitos: </w:t>
            </w:r>
          </w:p>
          <w:p w:rsidR="009B4233" w:rsidRDefault="006B08B9">
            <w:pPr>
              <w:pStyle w:val="Textoindependiente"/>
              <w:ind w:left="826"/>
              <w:jc w:val="both"/>
            </w:pPr>
            <w:r>
              <w:rPr>
                <w:rStyle w:val="nfasis"/>
                <w:rFonts w:cs="Arial"/>
                <w:color w:val="000000"/>
                <w:szCs w:val="22"/>
              </w:rPr>
              <w:t xml:space="preserve">• Que el servicio se exija coactivamente. </w:t>
            </w:r>
          </w:p>
          <w:p w:rsidR="009B4233" w:rsidRDefault="006B08B9">
            <w:pPr>
              <w:pStyle w:val="Textoindependiente"/>
              <w:ind w:left="826"/>
              <w:jc w:val="both"/>
            </w:pPr>
            <w:r>
              <w:rPr>
                <w:rStyle w:val="nfasis"/>
                <w:rFonts w:cs="Arial"/>
                <w:color w:val="000000"/>
                <w:szCs w:val="22"/>
              </w:rPr>
              <w:t>• Que los servicios se correspondan con los establecidos en el a</w:t>
            </w:r>
            <w:r>
              <w:rPr>
                <w:rStyle w:val="nfasis"/>
                <w:rFonts w:cs="Arial"/>
                <w:color w:val="000000"/>
                <w:szCs w:val="22"/>
              </w:rPr>
              <w:t>rtículo 20 del TRLRHL.</w:t>
            </w:r>
          </w:p>
          <w:p w:rsidR="009B4233" w:rsidRDefault="006B08B9">
            <w:pPr>
              <w:pStyle w:val="Textoindependiente"/>
              <w:ind w:left="826"/>
              <w:jc w:val="both"/>
            </w:pPr>
            <w:r>
              <w:rPr>
                <w:rStyle w:val="nfasis"/>
                <w:rFonts w:cs="Arial"/>
                <w:color w:val="000000"/>
                <w:szCs w:val="22"/>
              </w:rPr>
              <w:t>• Se preste el servicio de manera directa mediante entidad dependiente de una Administración o de forma indirecta.</w:t>
            </w:r>
          </w:p>
          <w:p w:rsidR="009B4233" w:rsidRDefault="006B08B9">
            <w:pPr>
              <w:pStyle w:val="Textoindependiente"/>
              <w:ind w:left="826"/>
              <w:jc w:val="both"/>
            </w:pPr>
            <w:r>
              <w:rPr>
                <w:rStyle w:val="nfasis"/>
                <w:rFonts w:cs="Arial"/>
                <w:color w:val="000000"/>
                <w:szCs w:val="22"/>
              </w:rPr>
              <w:t>• Exista una Ordenanza que la regule.</w:t>
            </w:r>
          </w:p>
          <w:p w:rsidR="009B4233" w:rsidRDefault="006B08B9">
            <w:pPr>
              <w:pStyle w:val="Textoindependiente"/>
              <w:ind w:left="826"/>
              <w:jc w:val="both"/>
            </w:pPr>
            <w:r>
              <w:rPr>
                <w:rStyle w:val="nfasis"/>
                <w:rFonts w:cs="Arial"/>
                <w:color w:val="000000"/>
                <w:szCs w:val="22"/>
              </w:rPr>
              <w:t>• En su caso, informes preceptivos de la Administraciones Públicas, para los pre</w:t>
            </w:r>
            <w:r>
              <w:rPr>
                <w:rStyle w:val="nfasis"/>
                <w:rFonts w:cs="Arial"/>
                <w:color w:val="000000"/>
                <w:szCs w:val="22"/>
              </w:rPr>
              <w:t xml:space="preserve">cios autorizados. </w:t>
            </w:r>
          </w:p>
          <w:p w:rsidR="009B4233" w:rsidRDefault="006B08B9">
            <w:pPr>
              <w:pStyle w:val="Textoindependiente"/>
              <w:jc w:val="both"/>
            </w:pPr>
            <w:r>
              <w:rPr>
                <w:rStyle w:val="nfasis"/>
                <w:rFonts w:cs="Arial"/>
                <w:color w:val="000000"/>
                <w:szCs w:val="22"/>
              </w:rPr>
              <w:tab/>
              <w:t>Consecuencia de lo anterior, existen dos tipos de prestaciones patrimoniales Públicas:</w:t>
            </w:r>
          </w:p>
          <w:p w:rsidR="009B4233" w:rsidRDefault="006B08B9">
            <w:pPr>
              <w:pStyle w:val="Textoindependiente"/>
              <w:ind w:left="826"/>
              <w:jc w:val="both"/>
            </w:pPr>
            <w:r>
              <w:rPr>
                <w:rStyle w:val="nfasis"/>
                <w:rFonts w:cs="Arial"/>
                <w:color w:val="000000"/>
                <w:szCs w:val="22"/>
              </w:rPr>
              <w:t xml:space="preserve">1. Las Tributarias, Impuestos, tasas y contribuciones especiales. </w:t>
            </w:r>
          </w:p>
          <w:p w:rsidR="009B4233" w:rsidRDefault="006B08B9">
            <w:pPr>
              <w:pStyle w:val="Textoindependiente"/>
              <w:ind w:left="826"/>
              <w:jc w:val="both"/>
            </w:pPr>
            <w:r>
              <w:rPr>
                <w:rStyle w:val="nfasis"/>
                <w:rFonts w:cs="Arial"/>
                <w:color w:val="000000"/>
                <w:szCs w:val="22"/>
              </w:rPr>
              <w:t xml:space="preserve">2. No Tributarias, las creadas por el legislador con la nueva normativa de </w:t>
            </w:r>
            <w:r>
              <w:rPr>
                <w:rStyle w:val="nfasis"/>
                <w:rFonts w:cs="Arial"/>
                <w:color w:val="000000"/>
                <w:szCs w:val="22"/>
              </w:rPr>
              <w:t>contratos que se identifican no por el servicio prestado, sino por quien presta el servicio. De tal manera que tienen la consideración de prestaciones patrimoniales no tributarias las que se exigen a los ciudadanos por la prestación de servicios gestionado</w:t>
            </w:r>
            <w:r>
              <w:rPr>
                <w:rStyle w:val="nfasis"/>
                <w:rFonts w:cs="Arial"/>
                <w:color w:val="000000"/>
                <w:szCs w:val="22"/>
              </w:rPr>
              <w:t>s de forma directa (personificación privada, empresa pública, empresa de capital público) o indirectamente (concesión administrativa, empresas mixtas, sociedades municipales).</w:t>
            </w:r>
          </w:p>
          <w:p w:rsidR="009B4233" w:rsidRDefault="006B08B9">
            <w:pPr>
              <w:pStyle w:val="Textoindependiente"/>
              <w:ind w:left="826"/>
              <w:jc w:val="both"/>
            </w:pPr>
            <w:r>
              <w:rPr>
                <w:rStyle w:val="nfasis"/>
                <w:rFonts w:cs="Arial"/>
                <w:color w:val="000000"/>
                <w:szCs w:val="22"/>
              </w:rPr>
              <w:tab/>
              <w:t>Por tanto, las prestaciones patrimoniales de carácter público no tributario deb</w:t>
            </w:r>
            <w:r>
              <w:rPr>
                <w:rStyle w:val="nfasis"/>
                <w:rFonts w:cs="Arial"/>
                <w:color w:val="000000"/>
                <w:szCs w:val="22"/>
              </w:rPr>
              <w:t>erán aprobarse a través de la correspondiente Ordenanza reguladora acudiendo al procedimiento de aprobación y modificación regulado en el artículo 49 de la Ley 7/1985, de 2 de abril, reguladora de las Bases del Régimen Local (en adelante LRBRL), que de man</w:t>
            </w:r>
            <w:r>
              <w:rPr>
                <w:rStyle w:val="nfasis"/>
                <w:rFonts w:cs="Arial"/>
                <w:color w:val="000000"/>
                <w:szCs w:val="22"/>
              </w:rPr>
              <w:t>era sucinta precisa:</w:t>
            </w:r>
          </w:p>
          <w:p w:rsidR="009B4233" w:rsidRDefault="006B08B9">
            <w:pPr>
              <w:pStyle w:val="Textoindependiente"/>
              <w:ind w:left="826"/>
              <w:jc w:val="both"/>
            </w:pPr>
            <w:r>
              <w:rPr>
                <w:rStyle w:val="nfasis"/>
                <w:rFonts w:cs="Arial"/>
                <w:color w:val="000000"/>
                <w:szCs w:val="22"/>
              </w:rPr>
              <w:t xml:space="preserve">1. Aprobación inicial por el pleno. Previo Dictamen de la Comisión informativa correspondiente. </w:t>
            </w:r>
          </w:p>
          <w:p w:rsidR="009B4233" w:rsidRDefault="006B08B9">
            <w:pPr>
              <w:pStyle w:val="Textoindependiente"/>
              <w:ind w:left="826"/>
              <w:jc w:val="both"/>
            </w:pPr>
            <w:r>
              <w:rPr>
                <w:rStyle w:val="nfasis"/>
                <w:rFonts w:cs="Arial"/>
                <w:color w:val="000000"/>
                <w:szCs w:val="22"/>
              </w:rPr>
              <w:t xml:space="preserve">2. Exposición al público por 30 días hábiles. </w:t>
            </w:r>
          </w:p>
          <w:p w:rsidR="009B4233" w:rsidRDefault="006B08B9">
            <w:pPr>
              <w:pStyle w:val="Textoindependiente"/>
              <w:ind w:left="826"/>
              <w:jc w:val="both"/>
            </w:pPr>
            <w:r>
              <w:rPr>
                <w:rStyle w:val="nfasis"/>
                <w:rFonts w:cs="Arial"/>
                <w:color w:val="000000"/>
                <w:szCs w:val="22"/>
              </w:rPr>
              <w:t>3. Concluido el período de información pública, si se han presentado reclamaciones y/o suge</w:t>
            </w:r>
            <w:r>
              <w:rPr>
                <w:rStyle w:val="nfasis"/>
                <w:rFonts w:cs="Arial"/>
                <w:color w:val="000000"/>
                <w:szCs w:val="22"/>
              </w:rPr>
              <w:t>rencias, deberán resolverse éstas, incorporándose al texto de la Ordenanza. La aprobación definitiva corresponde al Pleno, de conformidad con lo dispuesto por los artículos 22.2.d) y 49 de la Ley 7/1985, de 2 de abril, Reguladora de las Bases del Régimen L</w:t>
            </w:r>
            <w:r>
              <w:rPr>
                <w:rStyle w:val="nfasis"/>
                <w:rFonts w:cs="Arial"/>
                <w:color w:val="000000"/>
                <w:szCs w:val="22"/>
              </w:rPr>
              <w:t xml:space="preserve">ocal. </w:t>
            </w:r>
          </w:p>
          <w:tbl>
            <w:tblPr>
              <w:tblW w:w="9310" w:type="dxa"/>
              <w:tblInd w:w="45" w:type="dxa"/>
              <w:tblCellMar>
                <w:left w:w="10" w:type="dxa"/>
                <w:right w:w="10" w:type="dxa"/>
              </w:tblCellMar>
              <w:tblLook w:val="0000" w:firstRow="0" w:lastRow="0" w:firstColumn="0" w:lastColumn="0" w:noHBand="0" w:noVBand="0"/>
            </w:tblPr>
            <w:tblGrid>
              <w:gridCol w:w="9310"/>
            </w:tblGrid>
            <w:tr w:rsidR="009B4233">
              <w:tblPrEx>
                <w:tblCellMar>
                  <w:top w:w="0" w:type="dxa"/>
                  <w:bottom w:w="0" w:type="dxa"/>
                </w:tblCellMar>
              </w:tblPrEx>
              <w:trPr>
                <w:trHeight w:val="65"/>
              </w:trPr>
              <w:tc>
                <w:tcPr>
                  <w:tcW w:w="9310" w:type="dxa"/>
                  <w:shd w:val="clear" w:color="auto" w:fill="auto"/>
                  <w:tcMar>
                    <w:top w:w="28" w:type="dxa"/>
                    <w:left w:w="28" w:type="dxa"/>
                    <w:bottom w:w="28" w:type="dxa"/>
                    <w:right w:w="28" w:type="dxa"/>
                  </w:tcMar>
                </w:tcPr>
                <w:p w:rsidR="009B4233" w:rsidRDefault="006B08B9">
                  <w:pPr>
                    <w:pStyle w:val="NormalWeb"/>
                    <w:ind w:left="751" w:firstLine="284"/>
                    <w:rPr>
                      <w:rFonts w:ascii="Arial" w:hAnsi="Arial" w:cs="Arial"/>
                      <w:sz w:val="22"/>
                      <w:szCs w:val="22"/>
                    </w:rPr>
                  </w:pPr>
                  <w:r>
                    <w:rPr>
                      <w:rFonts w:ascii="Arial" w:hAnsi="Arial" w:cs="Arial"/>
                      <w:sz w:val="22"/>
                      <w:szCs w:val="22"/>
                    </w:rPr>
                    <w:t xml:space="preserve">        En cuanto a la intervención de la Comisión Territorial de Precios de Santa Cruz de Tenerife, a efectos de aprobación de las tarifas de abastecimiento, se rige por el decreto 64/2000, de 25 de abril, por el que se regula el procedimiento para</w:t>
                  </w:r>
                  <w:r>
                    <w:rPr>
                      <w:rFonts w:ascii="Arial" w:hAnsi="Arial" w:cs="Arial"/>
                      <w:sz w:val="22"/>
                      <w:szCs w:val="22"/>
                    </w:rPr>
                    <w:t xml:space="preserve"> la implantación y modificación de precios de los bienes y servicios autorizados y comunicados de ámbito autonómico, modificado por Decreto 77/2011, de 24 de marzo:</w:t>
                  </w:r>
                </w:p>
                <w:p w:rsidR="009B4233" w:rsidRDefault="006B08B9">
                  <w:pPr>
                    <w:pStyle w:val="Textoindependiente"/>
                    <w:spacing w:after="283"/>
                    <w:ind w:left="893"/>
                    <w:jc w:val="both"/>
                    <w:rPr>
                      <w:rFonts w:cs="Arial"/>
                      <w:szCs w:val="22"/>
                    </w:rPr>
                  </w:pPr>
                  <w:r>
                    <w:rPr>
                      <w:rFonts w:cs="Arial"/>
                      <w:szCs w:val="22"/>
                    </w:rPr>
                    <w:t>- Artículo 4.- 1. Los expedientes para la implantación y modificación de tarifas de los ser</w:t>
                  </w:r>
                  <w:r>
                    <w:rPr>
                      <w:rFonts w:cs="Arial"/>
                      <w:szCs w:val="22"/>
                    </w:rPr>
                    <w:t>vicios de competencia local sometidos al régimen de precios autorizados de ámbito autonómico, que presten las Corporaciones Locales por sí mismas o mediante órganos exclusivamente dependientes de ellas, se iniciará con la presentación de la solicitud por p</w:t>
                  </w:r>
                  <w:r>
                    <w:rPr>
                      <w:rFonts w:cs="Arial"/>
                      <w:szCs w:val="22"/>
                    </w:rPr>
                    <w:t>arte de la Corporación Local afectada en el Registro de la Consejería de Industria y Comercio.</w:t>
                  </w:r>
                </w:p>
                <w:p w:rsidR="009B4233" w:rsidRDefault="006B08B9">
                  <w:pPr>
                    <w:pStyle w:val="Textoindependiente"/>
                    <w:spacing w:after="283"/>
                    <w:ind w:left="893"/>
                    <w:jc w:val="both"/>
                    <w:rPr>
                      <w:rFonts w:cs="Arial"/>
                      <w:szCs w:val="22"/>
                    </w:rPr>
                  </w:pPr>
                  <w:r>
                    <w:rPr>
                      <w:rFonts w:cs="Arial"/>
                      <w:szCs w:val="22"/>
                    </w:rPr>
                    <w:t>2. A la solicitud se adjuntará la siguiente documentación:</w:t>
                  </w:r>
                </w:p>
                <w:p w:rsidR="009B4233" w:rsidRDefault="006B08B9">
                  <w:pPr>
                    <w:ind w:left="1035"/>
                    <w:rPr>
                      <w:rFonts w:ascii="Arial" w:hAnsi="Arial" w:cs="Arial"/>
                      <w:sz w:val="22"/>
                      <w:szCs w:val="22"/>
                    </w:rPr>
                  </w:pPr>
                  <w:r>
                    <w:rPr>
                      <w:rFonts w:ascii="Arial" w:hAnsi="Arial" w:cs="Arial"/>
                      <w:sz w:val="22"/>
                      <w:szCs w:val="22"/>
                    </w:rPr>
                    <w:t>a) Acuerdo del Pleno proponiendo las tarifas correspondientes.</w:t>
                  </w:r>
                </w:p>
                <w:p w:rsidR="009B4233" w:rsidRDefault="006B08B9">
                  <w:pPr>
                    <w:ind w:left="1035"/>
                    <w:jc w:val="both"/>
                    <w:rPr>
                      <w:rFonts w:ascii="Arial" w:hAnsi="Arial" w:cs="Arial"/>
                      <w:sz w:val="22"/>
                      <w:szCs w:val="22"/>
                    </w:rPr>
                  </w:pPr>
                  <w:r>
                    <w:rPr>
                      <w:rFonts w:ascii="Arial" w:hAnsi="Arial" w:cs="Arial"/>
                      <w:sz w:val="22"/>
                      <w:szCs w:val="22"/>
                    </w:rPr>
                    <w:t xml:space="preserve">b) Documentación relacionada en los </w:t>
                  </w:r>
                  <w:r>
                    <w:rPr>
                      <w:rFonts w:ascii="Arial" w:hAnsi="Arial" w:cs="Arial"/>
                      <w:sz w:val="22"/>
                      <w:szCs w:val="22"/>
                    </w:rPr>
                    <w:t>apartados c) y d) del artículo 2.2 de este Decreto.</w:t>
                  </w:r>
                </w:p>
                <w:p w:rsidR="009B4233" w:rsidRDefault="006B08B9">
                  <w:pPr>
                    <w:ind w:left="1035"/>
                    <w:rPr>
                      <w:rFonts w:ascii="Arial" w:hAnsi="Arial" w:cs="Arial"/>
                      <w:sz w:val="22"/>
                      <w:szCs w:val="22"/>
                    </w:rPr>
                  </w:pPr>
                  <w:r>
                    <w:rPr>
                      <w:rFonts w:ascii="Arial" w:hAnsi="Arial" w:cs="Arial"/>
                      <w:sz w:val="22"/>
                      <w:szCs w:val="22"/>
                    </w:rPr>
                    <w:t>c) Estudio económico, debidamente fiscalizado por el Interventor de la Corporación Local.</w:t>
                  </w:r>
                </w:p>
                <w:p w:rsidR="009B4233" w:rsidRDefault="006B08B9">
                  <w:pPr>
                    <w:rPr>
                      <w:rFonts w:ascii="Arial" w:hAnsi="Arial" w:cs="Arial"/>
                      <w:sz w:val="22"/>
                      <w:szCs w:val="22"/>
                    </w:rPr>
                  </w:pPr>
                  <w:r>
                    <w:rPr>
                      <w:rFonts w:ascii="Arial" w:hAnsi="Arial" w:cs="Arial"/>
                      <w:sz w:val="22"/>
                      <w:szCs w:val="22"/>
                    </w:rPr>
                    <w:t xml:space="preserve">    </w:t>
                  </w:r>
                </w:p>
                <w:p w:rsidR="009B4233" w:rsidRDefault="006B08B9">
                  <w:pPr>
                    <w:pStyle w:val="Textoindependiente"/>
                    <w:spacing w:after="283"/>
                    <w:ind w:left="1035"/>
                    <w:jc w:val="both"/>
                    <w:rPr>
                      <w:rFonts w:cs="Arial"/>
                      <w:szCs w:val="22"/>
                    </w:rPr>
                  </w:pPr>
                  <w:r>
                    <w:rPr>
                      <w:rFonts w:cs="Arial"/>
                      <w:szCs w:val="22"/>
                    </w:rPr>
                    <w:t>- Artículo 8.- Las resoluciones por las que se establecen los precios autorizados de los servicios de compete</w:t>
                  </w:r>
                  <w:r>
                    <w:rPr>
                      <w:rFonts w:cs="Arial"/>
                      <w:szCs w:val="22"/>
                    </w:rPr>
                    <w:t>ncia local surtirán efecto desde la fecha en que las mismas se adopten, salvo que en ellas se disponga otra cosa, y serán publicadas en el Boletín Oficial de Canarias, sin perjuicio de su notificación a los solicitantes.</w:t>
                  </w:r>
                </w:p>
                <w:p w:rsidR="009B4233" w:rsidRDefault="006B08B9">
                  <w:pPr>
                    <w:pStyle w:val="parrafo"/>
                    <w:spacing w:before="180" w:after="180"/>
                    <w:ind w:left="1035" w:firstLine="1276"/>
                    <w:jc w:val="both"/>
                  </w:pPr>
                  <w:r>
                    <w:rPr>
                      <w:rFonts w:ascii="Arial" w:hAnsi="Arial" w:cs="Arial"/>
                      <w:sz w:val="22"/>
                      <w:szCs w:val="22"/>
                    </w:rPr>
                    <w:t>No obstante, el artículo 20.6 del T</w:t>
                  </w:r>
                  <w:r>
                    <w:rPr>
                      <w:rFonts w:ascii="Arial" w:hAnsi="Arial" w:cs="Arial"/>
                      <w:sz w:val="22"/>
                      <w:szCs w:val="22"/>
                    </w:rPr>
                    <w:t>RLRHL,</w:t>
                  </w:r>
                  <w:r>
                    <w:rPr>
                      <w:rFonts w:ascii="Arial" w:hAnsi="Arial" w:cs="Arial"/>
                      <w:color w:val="000000"/>
                      <w:sz w:val="22"/>
                      <w:szCs w:val="22"/>
                    </w:rPr>
                    <w:t xml:space="preserve"> regula que “las contraprestaciones económicas establecidas coactivamente que se perciban por la prestación de los servicios públicos a que se refiere el apartado 4 de este artículo, realizada de forma directa mediante personificación privada o media</w:t>
                  </w:r>
                  <w:r>
                    <w:rPr>
                      <w:rFonts w:ascii="Arial" w:hAnsi="Arial" w:cs="Arial"/>
                      <w:color w:val="000000"/>
                      <w:sz w:val="22"/>
                      <w:szCs w:val="22"/>
                    </w:rPr>
                    <w:t>nte gestión indirecta, tendrán la condición de prestaciones patrimoniales de carácter público no tributario conforme a lo previsto en el artículo 31.3 de la Constitución.</w:t>
                  </w:r>
                </w:p>
                <w:p w:rsidR="009B4233" w:rsidRDefault="006B08B9">
                  <w:pPr>
                    <w:pStyle w:val="parrafo"/>
                    <w:spacing w:before="180" w:after="180"/>
                    <w:ind w:left="1177" w:firstLine="992"/>
                    <w:jc w:val="both"/>
                  </w:pPr>
                  <w:r>
                    <w:rPr>
                      <w:rFonts w:ascii="Arial" w:hAnsi="Arial" w:cs="Arial"/>
                      <w:color w:val="000000"/>
                      <w:sz w:val="22"/>
                      <w:szCs w:val="22"/>
                    </w:rPr>
                    <w:t xml:space="preserve">Durante el procedimiento de aprobación de dicha ordenanza las entidades locales </w:t>
                  </w:r>
                  <w:r>
                    <w:rPr>
                      <w:rFonts w:ascii="Arial" w:hAnsi="Arial" w:cs="Arial"/>
                      <w:b/>
                      <w:color w:val="000000"/>
                      <w:sz w:val="22"/>
                      <w:szCs w:val="22"/>
                    </w:rPr>
                    <w:t>solic</w:t>
                  </w:r>
                  <w:r>
                    <w:rPr>
                      <w:rFonts w:ascii="Arial" w:hAnsi="Arial" w:cs="Arial"/>
                      <w:b/>
                      <w:color w:val="000000"/>
                      <w:sz w:val="22"/>
                      <w:szCs w:val="22"/>
                    </w:rPr>
                    <w:t>itarán informe preceptivo</w:t>
                  </w:r>
                  <w:r>
                    <w:rPr>
                      <w:rFonts w:ascii="Arial" w:hAnsi="Arial" w:cs="Arial"/>
                      <w:color w:val="000000"/>
                      <w:sz w:val="22"/>
                      <w:szCs w:val="22"/>
                    </w:rPr>
                    <w:t xml:space="preserve"> de aquellas Administraciones Públicas a las que el ordenamiento jurídico les atribuyera alguna facultad de intervención sobre las mismas”.</w:t>
                  </w:r>
                </w:p>
                <w:p w:rsidR="009B4233" w:rsidRDefault="006B08B9">
                  <w:pPr>
                    <w:pStyle w:val="Textoindependiente"/>
                    <w:spacing w:after="283"/>
                    <w:ind w:left="1035" w:firstLine="1177"/>
                    <w:jc w:val="both"/>
                    <w:rPr>
                      <w:rFonts w:cs="Arial"/>
                      <w:bCs/>
                      <w:szCs w:val="22"/>
                    </w:rPr>
                  </w:pPr>
                  <w:r>
                    <w:rPr>
                      <w:rFonts w:cs="Arial"/>
                      <w:bCs/>
                      <w:szCs w:val="22"/>
                    </w:rPr>
                    <w:t xml:space="preserve">           Conforme los artículos 79 y 80 de la Ley 39/2015, se señala, respectivamente, qu</w:t>
                  </w:r>
                  <w:r>
                    <w:rPr>
                      <w:rFonts w:cs="Arial"/>
                      <w:bCs/>
                      <w:szCs w:val="22"/>
                    </w:rPr>
                    <w:t>e “se solicitarán aquellos informes que sean preceptivos por las disposiciones legales, y los que se juzguen necesarios para resolver” y “salvo disposición expresa en contrario, los informes serán facultativos y no vinculantes, emitidos en el plazo de diez</w:t>
                  </w:r>
                  <w:r>
                    <w:rPr>
                      <w:rFonts w:cs="Arial"/>
                      <w:bCs/>
                      <w:szCs w:val="22"/>
                    </w:rPr>
                    <w:t xml:space="preserve"> días, salvo que una disposición o el cumplimiento del resto de los plazos del procedimiento permita o exija otro plazo mayor o menor. De no emitirse el informe en el plazo señalado, se podrán proseguir las actuaciones salvo cuando se trate de un informe p</w:t>
                  </w:r>
                  <w:r>
                    <w:rPr>
                      <w:rFonts w:cs="Arial"/>
                      <w:bCs/>
                      <w:szCs w:val="22"/>
                    </w:rPr>
                    <w:t>receptivo, en cuyo caso se podrá suspender el transcurso del plazo máximo legal para resolver el procedimiento. Si el informe debiera ser emitido por una Administración Pública distinta de la que tramita el procedimiento en orden a expresar el punto de vis</w:t>
                  </w:r>
                  <w:r>
                    <w:rPr>
                      <w:rFonts w:cs="Arial"/>
                      <w:bCs/>
                      <w:szCs w:val="22"/>
                    </w:rPr>
                    <w:t>ta correspondiente a sus competencias respectivas, y transcurriera el plazo sin que aquél se hubiera emitido, se podrán proseguir las actuaciones. El informe emitido fuera de plazo podrá no ser tenido en cuenta al adoptar la correspondiente resolución”.</w:t>
                  </w:r>
                </w:p>
                <w:p w:rsidR="009B4233" w:rsidRDefault="006B08B9">
                  <w:pPr>
                    <w:pStyle w:val="Textoindependiente"/>
                    <w:spacing w:after="283"/>
                    <w:ind w:left="1035" w:firstLine="141"/>
                    <w:jc w:val="both"/>
                    <w:rPr>
                      <w:rFonts w:cs="Arial"/>
                      <w:bCs/>
                      <w:szCs w:val="22"/>
                    </w:rPr>
                  </w:pPr>
                  <w:r>
                    <w:rPr>
                      <w:rFonts w:cs="Arial"/>
                      <w:bCs/>
                      <w:szCs w:val="22"/>
                    </w:rPr>
                    <w:t xml:space="preserve">       Por tanto, debe ser un informe preceptivo y no vinculante y, en ningún caso, puede ser un procedimiento autorizatorio porque debe producirse durante el procedimiento de aprobación de la ordenanza, es decir, que el procedimiento de aprobación de la o</w:t>
                  </w:r>
                  <w:r>
                    <w:rPr>
                      <w:rFonts w:cs="Arial"/>
                      <w:bCs/>
                      <w:szCs w:val="22"/>
                    </w:rPr>
                    <w:t>rdenanza locales, fiscales o no, no contempla ninguna aprobación posterior por un órgano de tutela.</w:t>
                  </w:r>
                </w:p>
                <w:p w:rsidR="009B4233" w:rsidRDefault="006B08B9">
                  <w:pPr>
                    <w:pStyle w:val="Textoindependiente"/>
                    <w:spacing w:after="283"/>
                    <w:ind w:left="1177"/>
                    <w:jc w:val="both"/>
                  </w:pPr>
                  <w:r>
                    <w:rPr>
                      <w:rFonts w:cs="Arial"/>
                      <w:b/>
                      <w:bCs/>
                      <w:szCs w:val="22"/>
                    </w:rPr>
                    <w:t xml:space="preserve">SEXTO: </w:t>
                  </w:r>
                  <w:r>
                    <w:rPr>
                      <w:rStyle w:val="nfasis"/>
                      <w:rFonts w:cs="Arial"/>
                      <w:i w:val="0"/>
                      <w:szCs w:val="22"/>
                    </w:rPr>
                    <w:t>La Ley 39/2015, de 1 de octubre, del Procedimiento Administrativo Común de las Administraciones Públicas, a las Entidades Locales, en su artículo 133</w:t>
                  </w:r>
                  <w:r>
                    <w:rPr>
                      <w:rStyle w:val="nfasis"/>
                      <w:rFonts w:cs="Arial"/>
                      <w:i w:val="0"/>
                      <w:szCs w:val="22"/>
                    </w:rPr>
                    <w:t>, regula el trámite de consulta previa, que no tiene equivalente en el TRLRHL, dado el carácter ex novo del mismo, y no puede considerarse incluido en el trámite de participación ciudadana regulado en el artículo 17 del TRLRHL, ya que son dos trámites dist</w:t>
                  </w:r>
                  <w:r>
                    <w:rPr>
                      <w:rStyle w:val="nfasis"/>
                      <w:rFonts w:cs="Arial"/>
                      <w:i w:val="0"/>
                      <w:szCs w:val="22"/>
                    </w:rPr>
                    <w:t>intos y que se realizan en dos momentos del tiempo diferentes: el trámite de consulta previa tiene lugar con carácter previo a la elaboración del proyecto o anteproyecto de ley o de reglamento y se sustancia a través del portal web de la Administración com</w:t>
                  </w:r>
                  <w:r>
                    <w:rPr>
                      <w:rStyle w:val="nfasis"/>
                      <w:rFonts w:cs="Arial"/>
                      <w:i w:val="0"/>
                      <w:szCs w:val="22"/>
                    </w:rPr>
                    <w:t>petente; mientras que el trámite de participación ciudadana del artículo 17 del TRLRHL tiene lugar posteriormente, una vez elaborada y aprobada la redacción provisional de la ordenanza fiscal y no se realiza por medios electrónicos, sino mediante su exposi</w:t>
                  </w:r>
                  <w:r>
                    <w:rPr>
                      <w:rStyle w:val="nfasis"/>
                      <w:rFonts w:cs="Arial"/>
                      <w:i w:val="0"/>
                      <w:szCs w:val="22"/>
                    </w:rPr>
                    <w:t>ción en el tablón de anuncios de la Entidad Local y su publicación en el boletín oficial correspondiente.</w:t>
                  </w:r>
                  <w:r>
                    <w:rPr>
                      <w:rFonts w:cs="Arial"/>
                      <w:i/>
                      <w:szCs w:val="22"/>
                    </w:rPr>
                    <w:t xml:space="preserve"> </w:t>
                  </w:r>
                </w:p>
                <w:p w:rsidR="009B4233" w:rsidRDefault="006B08B9">
                  <w:pPr>
                    <w:pStyle w:val="Textoindependiente"/>
                    <w:spacing w:after="283"/>
                    <w:ind w:left="751" w:firstLine="609"/>
                    <w:jc w:val="both"/>
                    <w:rPr>
                      <w:rFonts w:cs="Arial"/>
                      <w:szCs w:val="22"/>
                    </w:rPr>
                  </w:pPr>
                  <w:r>
                    <w:rPr>
                      <w:rFonts w:cs="Arial"/>
                      <w:szCs w:val="22"/>
                    </w:rPr>
                    <w:t xml:space="preserve">         La STS 108/2023, de 31 de enero, estableció la doctrina de que no resulta exigible la consulta previa del art. 133.1 LPACAP en el procedimie</w:t>
                  </w:r>
                  <w:r>
                    <w:rPr>
                      <w:rFonts w:cs="Arial"/>
                      <w:szCs w:val="22"/>
                    </w:rPr>
                    <w:t xml:space="preserve">nto de elaboración de las ordenanzas fiscales, dado que se trata de un procedimiento especial contemplado en la disposición adicional primera de la Ley 39/2015. </w:t>
                  </w:r>
                </w:p>
                <w:p w:rsidR="009B4233" w:rsidRDefault="006B08B9">
                  <w:pPr>
                    <w:pStyle w:val="Textoindependiente"/>
                    <w:spacing w:after="283"/>
                    <w:ind w:left="1035" w:firstLine="142"/>
                    <w:jc w:val="both"/>
                    <w:rPr>
                      <w:rFonts w:cs="Arial"/>
                      <w:szCs w:val="22"/>
                    </w:rPr>
                  </w:pPr>
                  <w:r>
                    <w:rPr>
                      <w:rFonts w:cs="Arial"/>
                      <w:szCs w:val="22"/>
                    </w:rPr>
                    <w:t xml:space="preserve">         En cambio, y en relación con las prestaciones patrimoniales de carácter público no </w:t>
                  </w:r>
                  <w:r>
                    <w:rPr>
                      <w:rFonts w:cs="Arial"/>
                      <w:szCs w:val="22"/>
                    </w:rPr>
                    <w:t>tributario, la reciente STS 1453/2023, de 16 de noviembre, JUR 2023\429016, ha establecido la siguiente doctrina:</w:t>
                  </w:r>
                </w:p>
                <w:p w:rsidR="009B4233" w:rsidRDefault="006B08B9">
                  <w:pPr>
                    <w:pStyle w:val="Textoindependiente"/>
                    <w:spacing w:after="283"/>
                    <w:ind w:left="893" w:firstLine="1461"/>
                    <w:jc w:val="both"/>
                    <w:rPr>
                      <w:rFonts w:cs="Arial"/>
                      <w:szCs w:val="22"/>
                    </w:rPr>
                  </w:pPr>
                  <w:r>
                    <w:rPr>
                      <w:rFonts w:cs="Arial"/>
                      <w:szCs w:val="22"/>
                    </w:rPr>
                    <w:t xml:space="preserve">    La consulta previa a la que se refiere el art 133 de la Ley 39/2015, de 1 de octubre, del Procedimiento Administrativo Común de las Admini</w:t>
                  </w:r>
                  <w:r>
                    <w:rPr>
                      <w:rFonts w:cs="Arial"/>
                      <w:szCs w:val="22"/>
                    </w:rPr>
                    <w:t>straciones Públicas es obligatoria respecto de las ordenanzas locales que, como las reguladoras de prestaciones patrimoniales de carácter público no tributarias, no afecten a materias de la Disposición Adicional primera LPACAP, salvo que pueda prescindirse</w:t>
                  </w:r>
                  <w:r>
                    <w:rPr>
                      <w:rFonts w:cs="Arial"/>
                      <w:szCs w:val="22"/>
                    </w:rPr>
                    <w:t xml:space="preserve"> de dicho trámite por causas legalmente previstas. A efectos de una ordenanza local, son causas legalmente previstas para prescindir del trámite de consulta previa, las contendidas en el primer párrafo del apartado cuarto del art 133 de la Ley 39/2015, de </w:t>
                  </w:r>
                  <w:r>
                    <w:rPr>
                      <w:rFonts w:cs="Arial"/>
                      <w:szCs w:val="22"/>
                    </w:rPr>
                    <w:t xml:space="preserve">1 de octubre, del Procedimiento Administrativo Común de las Administraciones Públicas al tener carácter de legislación básica; y, en su caso, las que establezca la correspondiente legislación autonómica. </w:t>
                  </w:r>
                </w:p>
                <w:p w:rsidR="009B4233" w:rsidRDefault="006B08B9">
                  <w:pPr>
                    <w:pStyle w:val="Textoindependiente"/>
                    <w:ind w:left="751" w:firstLine="751"/>
                    <w:jc w:val="both"/>
                  </w:pPr>
                  <w:r>
                    <w:rPr>
                      <w:rFonts w:cs="Arial"/>
                      <w:b/>
                      <w:szCs w:val="22"/>
                    </w:rPr>
                    <w:t>SÉPTIMO:</w:t>
                  </w:r>
                  <w:r>
                    <w:rPr>
                      <w:rFonts w:cs="Arial"/>
                      <w:szCs w:val="22"/>
                    </w:rPr>
                    <w:t xml:space="preserve"> Se mantiene igual el cuadro de tarifas fac</w:t>
                  </w:r>
                  <w:r>
                    <w:rPr>
                      <w:rFonts w:cs="Arial"/>
                      <w:szCs w:val="22"/>
                    </w:rPr>
                    <w:t>turadas en el servicio y reflejados en la Ordenanza:</w:t>
                  </w:r>
                </w:p>
                <w:tbl>
                  <w:tblPr>
                    <w:tblW w:w="9073" w:type="dxa"/>
                    <w:tblInd w:w="746" w:type="dxa"/>
                    <w:tblCellMar>
                      <w:left w:w="10" w:type="dxa"/>
                      <w:right w:w="10" w:type="dxa"/>
                    </w:tblCellMar>
                    <w:tblLook w:val="0000" w:firstRow="0" w:lastRow="0" w:firstColumn="0" w:lastColumn="0" w:noHBand="0" w:noVBand="0"/>
                  </w:tblPr>
                  <w:tblGrid>
                    <w:gridCol w:w="5529"/>
                    <w:gridCol w:w="851"/>
                    <w:gridCol w:w="1134"/>
                    <w:gridCol w:w="1559"/>
                  </w:tblGrid>
                  <w:tr w:rsidR="009B4233">
                    <w:tblPrEx>
                      <w:tblCellMar>
                        <w:top w:w="0" w:type="dxa"/>
                        <w:bottom w:w="0" w:type="dxa"/>
                      </w:tblCellMar>
                    </w:tblPrEx>
                    <w:tc>
                      <w:tcPr>
                        <w:tcW w:w="55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pStyle w:val="Prrafodelista"/>
                          <w:autoSpaceDE w:val="0"/>
                          <w:spacing w:line="276" w:lineRule="auto"/>
                          <w:ind w:left="0"/>
                          <w:jc w:val="both"/>
                          <w:rPr>
                            <w:rFonts w:ascii="Arial" w:hAnsi="Arial" w:cs="Arial"/>
                            <w:b/>
                            <w:sz w:val="22"/>
                            <w:szCs w:val="22"/>
                          </w:rPr>
                        </w:pPr>
                        <w:r>
                          <w:rPr>
                            <w:rFonts w:ascii="Arial" w:hAnsi="Arial" w:cs="Arial"/>
                            <w:b/>
                            <w:sz w:val="22"/>
                            <w:szCs w:val="22"/>
                          </w:rPr>
                          <w:t>CONCEPTO</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pStyle w:val="Textoindependiente"/>
                          <w:jc w:val="both"/>
                          <w:rPr>
                            <w:rFonts w:cs="Arial"/>
                            <w:b/>
                            <w:szCs w:val="22"/>
                          </w:rPr>
                        </w:pPr>
                        <w:r>
                          <w:rPr>
                            <w:rFonts w:cs="Arial"/>
                            <w:b/>
                            <w:szCs w:val="22"/>
                          </w:rPr>
                          <w:t>PRECIO</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pStyle w:val="Textoindependiente"/>
                          <w:jc w:val="both"/>
                          <w:rPr>
                            <w:rFonts w:cs="Arial"/>
                            <w:b/>
                            <w:szCs w:val="22"/>
                          </w:rPr>
                        </w:pPr>
                        <w:r>
                          <w:rPr>
                            <w:rFonts w:cs="Arial"/>
                            <w:b/>
                            <w:szCs w:val="22"/>
                          </w:rPr>
                          <w:t>CANTIDAD</w:t>
                        </w:r>
                      </w:p>
                    </w:tc>
                    <w:tc>
                      <w:tcPr>
                        <w:tcW w:w="155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9B4233" w:rsidRDefault="006B08B9">
                        <w:pPr>
                          <w:pStyle w:val="Textoindependiente"/>
                          <w:jc w:val="both"/>
                          <w:rPr>
                            <w:rFonts w:cs="Arial"/>
                            <w:b/>
                            <w:szCs w:val="22"/>
                          </w:rPr>
                        </w:pPr>
                        <w:r>
                          <w:rPr>
                            <w:rFonts w:cs="Arial"/>
                            <w:b/>
                            <w:szCs w:val="22"/>
                          </w:rPr>
                          <w:t>IMPORTE</w:t>
                        </w:r>
                      </w:p>
                    </w:tc>
                  </w:tr>
                  <w:tr w:rsidR="009B4233">
                    <w:tblPrEx>
                      <w:tblCellMar>
                        <w:top w:w="0" w:type="dxa"/>
                        <w:bottom w:w="0" w:type="dxa"/>
                      </w:tblCellMar>
                    </w:tblPrEx>
                    <w:tc>
                      <w:tcPr>
                        <w:tcW w:w="55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pStyle w:val="Prrafodelista"/>
                          <w:autoSpaceDE w:val="0"/>
                          <w:spacing w:line="276" w:lineRule="auto"/>
                          <w:ind w:left="0"/>
                          <w:jc w:val="both"/>
                          <w:rPr>
                            <w:rFonts w:ascii="Arial" w:hAnsi="Arial" w:cs="Arial"/>
                            <w:sz w:val="22"/>
                            <w:szCs w:val="22"/>
                          </w:rPr>
                        </w:pPr>
                        <w:r>
                          <w:rPr>
                            <w:rFonts w:ascii="Arial" w:hAnsi="Arial" w:cs="Arial"/>
                            <w:sz w:val="22"/>
                            <w:szCs w:val="22"/>
                          </w:rPr>
                          <w:t>Acoples a la red, por concesión de la licencia de acometida a la red general de agua para abonados con uso doméstico</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pStyle w:val="Textoindependiente"/>
                          <w:jc w:val="both"/>
                          <w:rPr>
                            <w:rFonts w:cs="Arial"/>
                            <w:szCs w:val="22"/>
                          </w:rPr>
                        </w:pPr>
                        <w:r>
                          <w:rPr>
                            <w:rFonts w:cs="Arial"/>
                            <w:szCs w:val="22"/>
                          </w:rPr>
                          <w:t>42,37</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pStyle w:val="Textoindependiente"/>
                          <w:jc w:val="both"/>
                          <w:rPr>
                            <w:rFonts w:cs="Arial"/>
                            <w:szCs w:val="22"/>
                          </w:rPr>
                        </w:pPr>
                        <w:r>
                          <w:rPr>
                            <w:rFonts w:cs="Arial"/>
                            <w:szCs w:val="22"/>
                          </w:rPr>
                          <w:t>50</w:t>
                        </w:r>
                      </w:p>
                    </w:tc>
                    <w:tc>
                      <w:tcPr>
                        <w:tcW w:w="155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9B4233" w:rsidRDefault="006B08B9">
                        <w:pPr>
                          <w:pStyle w:val="Textoindependiente"/>
                          <w:jc w:val="both"/>
                          <w:rPr>
                            <w:rFonts w:cs="Arial"/>
                            <w:szCs w:val="22"/>
                          </w:rPr>
                        </w:pPr>
                        <w:r>
                          <w:rPr>
                            <w:rFonts w:cs="Arial"/>
                            <w:szCs w:val="22"/>
                          </w:rPr>
                          <w:t>2.118,50 €</w:t>
                        </w:r>
                      </w:p>
                    </w:tc>
                  </w:tr>
                  <w:tr w:rsidR="009B4233">
                    <w:tblPrEx>
                      <w:tblCellMar>
                        <w:top w:w="0" w:type="dxa"/>
                        <w:bottom w:w="0" w:type="dxa"/>
                      </w:tblCellMar>
                    </w:tblPrEx>
                    <w:tc>
                      <w:tcPr>
                        <w:tcW w:w="55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pStyle w:val="Prrafodelista"/>
                          <w:autoSpaceDE w:val="0"/>
                          <w:spacing w:line="276" w:lineRule="auto"/>
                          <w:ind w:left="0"/>
                          <w:jc w:val="both"/>
                          <w:rPr>
                            <w:rFonts w:ascii="Arial" w:hAnsi="Arial" w:cs="Arial"/>
                            <w:sz w:val="22"/>
                            <w:szCs w:val="22"/>
                          </w:rPr>
                        </w:pPr>
                        <w:r>
                          <w:rPr>
                            <w:rFonts w:ascii="Arial" w:hAnsi="Arial" w:cs="Arial"/>
                            <w:sz w:val="22"/>
                            <w:szCs w:val="22"/>
                          </w:rPr>
                          <w:t>Acoples a la red, por concesión</w:t>
                        </w:r>
                        <w:r>
                          <w:rPr>
                            <w:rFonts w:ascii="Arial" w:hAnsi="Arial" w:cs="Arial"/>
                            <w:sz w:val="22"/>
                            <w:szCs w:val="22"/>
                          </w:rPr>
                          <w:t xml:space="preserve"> de la licencia de acometida a la red general de agua para abonados con uso industrial o comercial</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pStyle w:val="Textoindependiente"/>
                          <w:jc w:val="both"/>
                          <w:rPr>
                            <w:rFonts w:cs="Arial"/>
                            <w:szCs w:val="22"/>
                          </w:rPr>
                        </w:pPr>
                        <w:r>
                          <w:rPr>
                            <w:rFonts w:cs="Arial"/>
                            <w:szCs w:val="22"/>
                          </w:rPr>
                          <w:t>63,56</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pStyle w:val="Textoindependiente"/>
                          <w:jc w:val="both"/>
                          <w:rPr>
                            <w:rFonts w:cs="Arial"/>
                            <w:szCs w:val="22"/>
                          </w:rPr>
                        </w:pPr>
                        <w:r>
                          <w:rPr>
                            <w:rFonts w:cs="Arial"/>
                            <w:szCs w:val="22"/>
                          </w:rPr>
                          <w:t>44</w:t>
                        </w:r>
                      </w:p>
                    </w:tc>
                    <w:tc>
                      <w:tcPr>
                        <w:tcW w:w="155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9B4233" w:rsidRDefault="006B08B9">
                        <w:pPr>
                          <w:pStyle w:val="Textoindependiente"/>
                          <w:jc w:val="both"/>
                          <w:rPr>
                            <w:rFonts w:cs="Arial"/>
                            <w:szCs w:val="22"/>
                          </w:rPr>
                        </w:pPr>
                        <w:r>
                          <w:rPr>
                            <w:rFonts w:cs="Arial"/>
                            <w:szCs w:val="22"/>
                          </w:rPr>
                          <w:t>2.796,64 €</w:t>
                        </w:r>
                      </w:p>
                    </w:tc>
                  </w:tr>
                  <w:tr w:rsidR="009B4233">
                    <w:tblPrEx>
                      <w:tblCellMar>
                        <w:top w:w="0" w:type="dxa"/>
                        <w:bottom w:w="0" w:type="dxa"/>
                      </w:tblCellMar>
                    </w:tblPrEx>
                    <w:tc>
                      <w:tcPr>
                        <w:tcW w:w="55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pStyle w:val="Textoindependiente"/>
                          <w:jc w:val="both"/>
                          <w:rPr>
                            <w:rFonts w:cs="Arial"/>
                            <w:szCs w:val="22"/>
                          </w:rPr>
                        </w:pPr>
                        <w:r>
                          <w:rPr>
                            <w:rFonts w:cs="Arial"/>
                            <w:szCs w:val="22"/>
                          </w:rPr>
                          <w:t xml:space="preserve">Acoples a la red por unidad de ejecución de nueva acometida desde la red municipal de abastecimiento hasta la llave de registro, </w:t>
                        </w:r>
                        <w:r>
                          <w:rPr>
                            <w:rFonts w:cs="Arial"/>
                            <w:szCs w:val="22"/>
                          </w:rPr>
                          <w:t>derivada de cualquier red y longitud hasta 20 metros lineales. DN 13-15 mm</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pStyle w:val="Textoindependiente"/>
                          <w:jc w:val="both"/>
                          <w:rPr>
                            <w:rFonts w:cs="Arial"/>
                            <w:szCs w:val="22"/>
                          </w:rPr>
                        </w:pPr>
                        <w:r>
                          <w:rPr>
                            <w:rFonts w:cs="Arial"/>
                            <w:szCs w:val="22"/>
                          </w:rPr>
                          <w:t>159,30</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pStyle w:val="Textoindependiente"/>
                          <w:jc w:val="both"/>
                          <w:rPr>
                            <w:rFonts w:cs="Arial"/>
                            <w:szCs w:val="22"/>
                          </w:rPr>
                        </w:pPr>
                        <w:r>
                          <w:rPr>
                            <w:rFonts w:cs="Arial"/>
                            <w:szCs w:val="22"/>
                          </w:rPr>
                          <w:t>35</w:t>
                        </w:r>
                      </w:p>
                    </w:tc>
                    <w:tc>
                      <w:tcPr>
                        <w:tcW w:w="155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9B4233" w:rsidRDefault="006B08B9">
                        <w:pPr>
                          <w:pStyle w:val="Textoindependiente"/>
                          <w:jc w:val="both"/>
                          <w:rPr>
                            <w:rFonts w:cs="Arial"/>
                            <w:szCs w:val="22"/>
                          </w:rPr>
                        </w:pPr>
                        <w:r>
                          <w:rPr>
                            <w:rFonts w:cs="Arial"/>
                            <w:szCs w:val="22"/>
                          </w:rPr>
                          <w:t>5.575,50 €</w:t>
                        </w:r>
                      </w:p>
                    </w:tc>
                  </w:tr>
                  <w:tr w:rsidR="009B4233">
                    <w:tblPrEx>
                      <w:tblCellMar>
                        <w:top w:w="0" w:type="dxa"/>
                        <w:bottom w:w="0" w:type="dxa"/>
                      </w:tblCellMar>
                    </w:tblPrEx>
                    <w:tc>
                      <w:tcPr>
                        <w:tcW w:w="55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pStyle w:val="Textoindependiente"/>
                          <w:jc w:val="both"/>
                          <w:rPr>
                            <w:rFonts w:cs="Arial"/>
                            <w:szCs w:val="22"/>
                          </w:rPr>
                        </w:pPr>
                        <w:r>
                          <w:rPr>
                            <w:rFonts w:cs="Arial"/>
                            <w:szCs w:val="22"/>
                          </w:rPr>
                          <w:t>Acoples a la red por unidad de ejecución de nueva acometida desde la red municipal de abastecimiento hasta la llave de registro, derivada de cualquier red y lo</w:t>
                        </w:r>
                        <w:r>
                          <w:rPr>
                            <w:rFonts w:cs="Arial"/>
                            <w:szCs w:val="22"/>
                          </w:rPr>
                          <w:t>ngitud hasta 20 metros lineales. DN 20-25 mm</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pStyle w:val="Textoindependiente"/>
                          <w:jc w:val="both"/>
                          <w:rPr>
                            <w:rFonts w:cs="Arial"/>
                            <w:szCs w:val="22"/>
                          </w:rPr>
                        </w:pPr>
                        <w:r>
                          <w:rPr>
                            <w:rFonts w:cs="Arial"/>
                            <w:szCs w:val="22"/>
                          </w:rPr>
                          <w:t>189,16</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pStyle w:val="Textoindependiente"/>
                          <w:jc w:val="both"/>
                          <w:rPr>
                            <w:rFonts w:cs="Arial"/>
                            <w:szCs w:val="22"/>
                          </w:rPr>
                        </w:pPr>
                        <w:r>
                          <w:rPr>
                            <w:rFonts w:cs="Arial"/>
                            <w:szCs w:val="22"/>
                          </w:rPr>
                          <w:t>4</w:t>
                        </w:r>
                      </w:p>
                    </w:tc>
                    <w:tc>
                      <w:tcPr>
                        <w:tcW w:w="155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9B4233" w:rsidRDefault="006B08B9">
                        <w:pPr>
                          <w:pStyle w:val="Textoindependiente"/>
                          <w:jc w:val="both"/>
                          <w:rPr>
                            <w:rFonts w:cs="Arial"/>
                            <w:szCs w:val="22"/>
                          </w:rPr>
                        </w:pPr>
                        <w:r>
                          <w:rPr>
                            <w:rFonts w:cs="Arial"/>
                            <w:szCs w:val="22"/>
                          </w:rPr>
                          <w:t>756,64</w:t>
                        </w:r>
                      </w:p>
                    </w:tc>
                  </w:tr>
                  <w:tr w:rsidR="009B4233">
                    <w:tblPrEx>
                      <w:tblCellMar>
                        <w:top w:w="0" w:type="dxa"/>
                        <w:bottom w:w="0" w:type="dxa"/>
                      </w:tblCellMar>
                    </w:tblPrEx>
                    <w:tc>
                      <w:tcPr>
                        <w:tcW w:w="55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pStyle w:val="Textoindependiente"/>
                          <w:jc w:val="both"/>
                          <w:rPr>
                            <w:rFonts w:cs="Arial"/>
                            <w:szCs w:val="22"/>
                          </w:rPr>
                        </w:pPr>
                        <w:r>
                          <w:rPr>
                            <w:rFonts w:cs="Arial"/>
                            <w:szCs w:val="22"/>
                          </w:rPr>
                          <w:t>Acoples a la red por unidad de ejecución de nueva acometida desde la red municipal de abastecimiento hasta la llave de registro, derivada de cualquier red y longitud hasta 20 metros lineales. DN</w:t>
                        </w:r>
                        <w:r>
                          <w:rPr>
                            <w:rFonts w:cs="Arial"/>
                            <w:szCs w:val="22"/>
                          </w:rPr>
                          <w:t xml:space="preserve"> 30-32 mm</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pStyle w:val="Textoindependiente"/>
                          <w:jc w:val="both"/>
                          <w:rPr>
                            <w:rFonts w:cs="Arial"/>
                            <w:szCs w:val="22"/>
                          </w:rPr>
                        </w:pPr>
                        <w:r>
                          <w:rPr>
                            <w:rFonts w:cs="Arial"/>
                            <w:szCs w:val="22"/>
                          </w:rPr>
                          <w:t>257,20</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pStyle w:val="Textoindependiente"/>
                          <w:jc w:val="both"/>
                          <w:rPr>
                            <w:rFonts w:cs="Arial"/>
                            <w:szCs w:val="22"/>
                          </w:rPr>
                        </w:pPr>
                        <w:r>
                          <w:rPr>
                            <w:rFonts w:cs="Arial"/>
                            <w:szCs w:val="22"/>
                          </w:rPr>
                          <w:t>3</w:t>
                        </w:r>
                      </w:p>
                    </w:tc>
                    <w:tc>
                      <w:tcPr>
                        <w:tcW w:w="155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9B4233" w:rsidRDefault="006B08B9">
                        <w:pPr>
                          <w:pStyle w:val="Textoindependiente"/>
                          <w:jc w:val="both"/>
                          <w:rPr>
                            <w:rFonts w:cs="Arial"/>
                            <w:szCs w:val="22"/>
                          </w:rPr>
                        </w:pPr>
                        <w:r>
                          <w:rPr>
                            <w:rFonts w:cs="Arial"/>
                            <w:szCs w:val="22"/>
                          </w:rPr>
                          <w:t>771,60 €</w:t>
                        </w:r>
                      </w:p>
                    </w:tc>
                  </w:tr>
                  <w:tr w:rsidR="009B4233">
                    <w:tblPrEx>
                      <w:tblCellMar>
                        <w:top w:w="0" w:type="dxa"/>
                        <w:bottom w:w="0" w:type="dxa"/>
                      </w:tblCellMar>
                    </w:tblPrEx>
                    <w:tc>
                      <w:tcPr>
                        <w:tcW w:w="55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pStyle w:val="Textoindependiente"/>
                          <w:jc w:val="both"/>
                          <w:rPr>
                            <w:rFonts w:cs="Arial"/>
                            <w:szCs w:val="22"/>
                          </w:rPr>
                        </w:pPr>
                        <w:r>
                          <w:rPr>
                            <w:rFonts w:cs="Arial"/>
                            <w:szCs w:val="22"/>
                          </w:rPr>
                          <w:t>Acoples a la red por unidad de ejecución de nueva acometida desde la red municipal de abastecimiento hasta la llave de registro, derivada de cualquier red y longitud hasta 20 metros lineales. DN 40 mm</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pStyle w:val="Textoindependiente"/>
                          <w:jc w:val="both"/>
                          <w:rPr>
                            <w:rFonts w:cs="Arial"/>
                            <w:szCs w:val="22"/>
                          </w:rPr>
                        </w:pPr>
                        <w:r>
                          <w:rPr>
                            <w:rFonts w:cs="Arial"/>
                            <w:szCs w:val="22"/>
                          </w:rPr>
                          <w:t>359,18</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pStyle w:val="Textoindependiente"/>
                          <w:jc w:val="both"/>
                          <w:rPr>
                            <w:rFonts w:cs="Arial"/>
                            <w:szCs w:val="22"/>
                          </w:rPr>
                        </w:pPr>
                        <w:r>
                          <w:rPr>
                            <w:rFonts w:cs="Arial"/>
                            <w:szCs w:val="22"/>
                          </w:rPr>
                          <w:t>1</w:t>
                        </w:r>
                      </w:p>
                    </w:tc>
                    <w:tc>
                      <w:tcPr>
                        <w:tcW w:w="155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9B4233" w:rsidRDefault="006B08B9">
                        <w:pPr>
                          <w:pStyle w:val="Textoindependiente"/>
                          <w:jc w:val="both"/>
                          <w:rPr>
                            <w:rFonts w:cs="Arial"/>
                            <w:szCs w:val="22"/>
                          </w:rPr>
                        </w:pPr>
                        <w:r>
                          <w:rPr>
                            <w:rFonts w:cs="Arial"/>
                            <w:szCs w:val="22"/>
                          </w:rPr>
                          <w:t>359.18  €</w:t>
                        </w:r>
                      </w:p>
                    </w:tc>
                  </w:tr>
                  <w:tr w:rsidR="009B4233">
                    <w:tblPrEx>
                      <w:tblCellMar>
                        <w:top w:w="0" w:type="dxa"/>
                        <w:bottom w:w="0" w:type="dxa"/>
                      </w:tblCellMar>
                    </w:tblPrEx>
                    <w:tc>
                      <w:tcPr>
                        <w:tcW w:w="55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pStyle w:val="Textoindependiente"/>
                          <w:jc w:val="both"/>
                          <w:rPr>
                            <w:rFonts w:cs="Arial"/>
                            <w:szCs w:val="22"/>
                          </w:rPr>
                        </w:pPr>
                        <w:r>
                          <w:rPr>
                            <w:rFonts w:cs="Arial"/>
                            <w:szCs w:val="22"/>
                          </w:rPr>
                          <w:t>Acoples a la red por unidad de ejecución de nueva acometida desde la red municipal de abastecimiento hasta la llave de registro, derivada de cualquier red y longitud hasta 20 metros lineales. DN 50 mm</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pStyle w:val="Textoindependiente"/>
                          <w:jc w:val="both"/>
                          <w:rPr>
                            <w:rFonts w:cs="Arial"/>
                            <w:szCs w:val="22"/>
                          </w:rPr>
                        </w:pPr>
                        <w:r>
                          <w:rPr>
                            <w:rFonts w:cs="Arial"/>
                            <w:szCs w:val="22"/>
                          </w:rPr>
                          <w:t>359,18</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pStyle w:val="Textoindependiente"/>
                          <w:jc w:val="both"/>
                          <w:rPr>
                            <w:rFonts w:cs="Arial"/>
                            <w:szCs w:val="22"/>
                          </w:rPr>
                        </w:pPr>
                        <w:r>
                          <w:rPr>
                            <w:rFonts w:cs="Arial"/>
                            <w:szCs w:val="22"/>
                          </w:rPr>
                          <w:t>0</w:t>
                        </w:r>
                      </w:p>
                    </w:tc>
                    <w:tc>
                      <w:tcPr>
                        <w:tcW w:w="155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9B4233" w:rsidRDefault="006B08B9">
                        <w:pPr>
                          <w:pStyle w:val="Textoindependiente"/>
                          <w:jc w:val="both"/>
                          <w:rPr>
                            <w:rFonts w:cs="Arial"/>
                            <w:szCs w:val="22"/>
                          </w:rPr>
                        </w:pPr>
                        <w:r>
                          <w:rPr>
                            <w:rFonts w:cs="Arial"/>
                            <w:szCs w:val="22"/>
                          </w:rPr>
                          <w:t>0,00</w:t>
                        </w:r>
                      </w:p>
                    </w:tc>
                  </w:tr>
                  <w:tr w:rsidR="009B4233">
                    <w:tblPrEx>
                      <w:tblCellMar>
                        <w:top w:w="0" w:type="dxa"/>
                        <w:bottom w:w="0" w:type="dxa"/>
                      </w:tblCellMar>
                    </w:tblPrEx>
                    <w:tc>
                      <w:tcPr>
                        <w:tcW w:w="55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pStyle w:val="Textoindependiente"/>
                          <w:jc w:val="both"/>
                          <w:rPr>
                            <w:rFonts w:cs="Arial"/>
                            <w:szCs w:val="22"/>
                          </w:rPr>
                        </w:pPr>
                        <w:r>
                          <w:rPr>
                            <w:rFonts w:cs="Arial"/>
                            <w:szCs w:val="22"/>
                          </w:rPr>
                          <w:t>Acoples a la red por unidad de ejecución</w:t>
                        </w:r>
                        <w:r>
                          <w:rPr>
                            <w:rFonts w:cs="Arial"/>
                            <w:szCs w:val="22"/>
                          </w:rPr>
                          <w:t xml:space="preserve"> de nueva acometida desde la red municipal de abastecimiento hasta la llave de registro, derivada de cualquier red y longitud hasta 20 metros lineales. DN 65 mm</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pStyle w:val="Textoindependiente"/>
                          <w:jc w:val="both"/>
                          <w:rPr>
                            <w:rFonts w:cs="Arial"/>
                            <w:szCs w:val="22"/>
                          </w:rPr>
                        </w:pPr>
                        <w:r>
                          <w:rPr>
                            <w:rFonts w:cs="Arial"/>
                            <w:szCs w:val="22"/>
                          </w:rPr>
                          <w:t>533,85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pStyle w:val="Textoindependiente"/>
                          <w:jc w:val="both"/>
                          <w:rPr>
                            <w:rFonts w:cs="Arial"/>
                            <w:szCs w:val="22"/>
                          </w:rPr>
                        </w:pPr>
                        <w:r>
                          <w:rPr>
                            <w:rFonts w:cs="Arial"/>
                            <w:szCs w:val="22"/>
                          </w:rPr>
                          <w:t>0</w:t>
                        </w:r>
                      </w:p>
                    </w:tc>
                    <w:tc>
                      <w:tcPr>
                        <w:tcW w:w="155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9B4233" w:rsidRDefault="006B08B9">
                        <w:pPr>
                          <w:pStyle w:val="Textoindependiente"/>
                          <w:jc w:val="both"/>
                          <w:rPr>
                            <w:rFonts w:cs="Arial"/>
                            <w:szCs w:val="22"/>
                          </w:rPr>
                        </w:pPr>
                        <w:r>
                          <w:rPr>
                            <w:rFonts w:cs="Arial"/>
                            <w:szCs w:val="22"/>
                          </w:rPr>
                          <w:t>0,00</w:t>
                        </w:r>
                      </w:p>
                    </w:tc>
                  </w:tr>
                  <w:tr w:rsidR="009B4233">
                    <w:tblPrEx>
                      <w:tblCellMar>
                        <w:top w:w="0" w:type="dxa"/>
                        <w:bottom w:w="0" w:type="dxa"/>
                      </w:tblCellMar>
                    </w:tblPrEx>
                    <w:tc>
                      <w:tcPr>
                        <w:tcW w:w="55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pStyle w:val="Textoindependiente"/>
                          <w:jc w:val="both"/>
                          <w:rPr>
                            <w:rFonts w:cs="Arial"/>
                            <w:szCs w:val="22"/>
                          </w:rPr>
                        </w:pPr>
                        <w:r>
                          <w:rPr>
                            <w:rFonts w:cs="Arial"/>
                            <w:szCs w:val="22"/>
                          </w:rPr>
                          <w:t xml:space="preserve">Acoples a la red por unidad de ejecución de nueva acometida desde la red </w:t>
                        </w:r>
                        <w:r>
                          <w:rPr>
                            <w:rFonts w:cs="Arial"/>
                            <w:szCs w:val="22"/>
                          </w:rPr>
                          <w:t>municipal de abastecimiento hasta la llave de registro, derivada de cualquier red y longitud hasta 20 metros lineales. DN 80 mm</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pStyle w:val="Textoindependiente"/>
                          <w:jc w:val="both"/>
                          <w:rPr>
                            <w:rFonts w:cs="Arial"/>
                            <w:szCs w:val="22"/>
                          </w:rPr>
                        </w:pPr>
                        <w:r>
                          <w:rPr>
                            <w:rFonts w:cs="Arial"/>
                            <w:szCs w:val="22"/>
                          </w:rPr>
                          <w:t>775,36</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pStyle w:val="Textoindependiente"/>
                          <w:jc w:val="both"/>
                          <w:rPr>
                            <w:rFonts w:cs="Arial"/>
                            <w:szCs w:val="22"/>
                          </w:rPr>
                        </w:pPr>
                        <w:r>
                          <w:rPr>
                            <w:rFonts w:cs="Arial"/>
                            <w:szCs w:val="22"/>
                          </w:rPr>
                          <w:t>0</w:t>
                        </w:r>
                      </w:p>
                    </w:tc>
                    <w:tc>
                      <w:tcPr>
                        <w:tcW w:w="155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9B4233" w:rsidRDefault="006B08B9">
                        <w:pPr>
                          <w:pStyle w:val="Textoindependiente"/>
                          <w:jc w:val="both"/>
                          <w:rPr>
                            <w:rFonts w:cs="Arial"/>
                            <w:szCs w:val="22"/>
                          </w:rPr>
                        </w:pPr>
                        <w:r>
                          <w:rPr>
                            <w:rFonts w:cs="Arial"/>
                            <w:szCs w:val="22"/>
                          </w:rPr>
                          <w:t>0,00</w:t>
                        </w:r>
                      </w:p>
                    </w:tc>
                  </w:tr>
                  <w:tr w:rsidR="009B4233">
                    <w:tblPrEx>
                      <w:tblCellMar>
                        <w:top w:w="0" w:type="dxa"/>
                        <w:bottom w:w="0" w:type="dxa"/>
                      </w:tblCellMar>
                    </w:tblPrEx>
                    <w:tc>
                      <w:tcPr>
                        <w:tcW w:w="55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pStyle w:val="Textoindependiente"/>
                          <w:jc w:val="both"/>
                          <w:rPr>
                            <w:rFonts w:cs="Arial"/>
                            <w:szCs w:val="22"/>
                          </w:rPr>
                        </w:pPr>
                        <w:r>
                          <w:rPr>
                            <w:rFonts w:cs="Arial"/>
                            <w:szCs w:val="22"/>
                          </w:rPr>
                          <w:t>Acoples a la red por unidad de ejecución de nueva acometida desde la red municipal de abastecimiento hasta la lla</w:t>
                        </w:r>
                        <w:r>
                          <w:rPr>
                            <w:rFonts w:cs="Arial"/>
                            <w:szCs w:val="22"/>
                          </w:rPr>
                          <w:t>ve de registro, derivada de cualquier red y longitud hasta 20 metros lineales. DN = ó &gt; 100 mm</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pStyle w:val="Textoindependiente"/>
                          <w:jc w:val="both"/>
                          <w:rPr>
                            <w:rFonts w:cs="Arial"/>
                            <w:szCs w:val="22"/>
                          </w:rPr>
                        </w:pPr>
                        <w:r>
                          <w:rPr>
                            <w:rFonts w:cs="Arial"/>
                            <w:szCs w:val="22"/>
                          </w:rPr>
                          <w:t>1.123,50</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pStyle w:val="Textoindependiente"/>
                          <w:jc w:val="both"/>
                          <w:rPr>
                            <w:rFonts w:cs="Arial"/>
                            <w:szCs w:val="22"/>
                          </w:rPr>
                        </w:pPr>
                        <w:r>
                          <w:rPr>
                            <w:rFonts w:cs="Arial"/>
                            <w:szCs w:val="22"/>
                          </w:rPr>
                          <w:t>0</w:t>
                        </w:r>
                      </w:p>
                    </w:tc>
                    <w:tc>
                      <w:tcPr>
                        <w:tcW w:w="155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9B4233" w:rsidRDefault="006B08B9">
                        <w:pPr>
                          <w:pStyle w:val="Textoindependiente"/>
                          <w:jc w:val="both"/>
                          <w:rPr>
                            <w:rFonts w:cs="Arial"/>
                            <w:szCs w:val="22"/>
                          </w:rPr>
                        </w:pPr>
                        <w:r>
                          <w:rPr>
                            <w:rFonts w:cs="Arial"/>
                            <w:szCs w:val="22"/>
                          </w:rPr>
                          <w:t>0,00</w:t>
                        </w:r>
                      </w:p>
                    </w:tc>
                  </w:tr>
                  <w:tr w:rsidR="009B4233">
                    <w:tblPrEx>
                      <w:tblCellMar>
                        <w:top w:w="0" w:type="dxa"/>
                        <w:bottom w:w="0" w:type="dxa"/>
                      </w:tblCellMar>
                    </w:tblPrEx>
                    <w:tc>
                      <w:tcPr>
                        <w:tcW w:w="55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pStyle w:val="Textoindependiente"/>
                          <w:jc w:val="both"/>
                          <w:rPr>
                            <w:rFonts w:cs="Arial"/>
                            <w:szCs w:val="22"/>
                          </w:rPr>
                        </w:pPr>
                        <w:r>
                          <w:rPr>
                            <w:rFonts w:cs="Arial"/>
                            <w:szCs w:val="22"/>
                          </w:rPr>
                          <w:t>Instalación en batería de contadores de equipo de medida, cuando se trate de un edificio de varias viviendas DN 13-15 mm</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pStyle w:val="Textoindependiente"/>
                          <w:jc w:val="both"/>
                          <w:rPr>
                            <w:rFonts w:cs="Arial"/>
                            <w:szCs w:val="22"/>
                          </w:rPr>
                        </w:pPr>
                        <w:r>
                          <w:rPr>
                            <w:rFonts w:cs="Arial"/>
                            <w:szCs w:val="22"/>
                          </w:rPr>
                          <w:t>72,84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pStyle w:val="Textoindependiente"/>
                          <w:jc w:val="both"/>
                          <w:rPr>
                            <w:rFonts w:cs="Arial"/>
                            <w:szCs w:val="22"/>
                          </w:rPr>
                        </w:pPr>
                        <w:r>
                          <w:rPr>
                            <w:rFonts w:cs="Arial"/>
                            <w:szCs w:val="22"/>
                          </w:rPr>
                          <w:t>48</w:t>
                        </w:r>
                      </w:p>
                    </w:tc>
                    <w:tc>
                      <w:tcPr>
                        <w:tcW w:w="155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9B4233" w:rsidRDefault="006B08B9">
                        <w:pPr>
                          <w:pStyle w:val="Textoindependiente"/>
                          <w:jc w:val="both"/>
                          <w:rPr>
                            <w:rFonts w:cs="Arial"/>
                            <w:szCs w:val="22"/>
                          </w:rPr>
                        </w:pPr>
                        <w:r>
                          <w:rPr>
                            <w:rFonts w:cs="Arial"/>
                            <w:szCs w:val="22"/>
                          </w:rPr>
                          <w:t>3.496,32 €</w:t>
                        </w:r>
                      </w:p>
                    </w:tc>
                  </w:tr>
                  <w:tr w:rsidR="009B4233">
                    <w:tblPrEx>
                      <w:tblCellMar>
                        <w:top w:w="0" w:type="dxa"/>
                        <w:bottom w:w="0" w:type="dxa"/>
                      </w:tblCellMar>
                    </w:tblPrEx>
                    <w:tc>
                      <w:tcPr>
                        <w:tcW w:w="55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pStyle w:val="Textoindependiente"/>
                          <w:jc w:val="both"/>
                          <w:rPr>
                            <w:rFonts w:cs="Arial"/>
                            <w:szCs w:val="22"/>
                          </w:rPr>
                        </w:pPr>
                        <w:r>
                          <w:rPr>
                            <w:rFonts w:cs="Arial"/>
                            <w:szCs w:val="22"/>
                          </w:rPr>
                          <w:t>Instalación en batería de contadores de equipo de medida, cuando se trate de un edificio de varias viviendas DN 20-25 mm</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pStyle w:val="Textoindependiente"/>
                          <w:jc w:val="both"/>
                          <w:rPr>
                            <w:rFonts w:cs="Arial"/>
                            <w:szCs w:val="22"/>
                          </w:rPr>
                        </w:pPr>
                        <w:r>
                          <w:rPr>
                            <w:rFonts w:cs="Arial"/>
                            <w:szCs w:val="22"/>
                          </w:rPr>
                          <w:t>102,25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pStyle w:val="Textoindependiente"/>
                          <w:jc w:val="both"/>
                          <w:rPr>
                            <w:rFonts w:cs="Arial"/>
                            <w:szCs w:val="22"/>
                          </w:rPr>
                        </w:pPr>
                        <w:r>
                          <w:rPr>
                            <w:rFonts w:cs="Arial"/>
                            <w:szCs w:val="22"/>
                          </w:rPr>
                          <w:t>3</w:t>
                        </w:r>
                      </w:p>
                    </w:tc>
                    <w:tc>
                      <w:tcPr>
                        <w:tcW w:w="155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9B4233" w:rsidRDefault="006B08B9">
                        <w:pPr>
                          <w:pStyle w:val="Textoindependiente"/>
                          <w:jc w:val="both"/>
                          <w:rPr>
                            <w:rFonts w:cs="Arial"/>
                            <w:szCs w:val="22"/>
                          </w:rPr>
                        </w:pPr>
                        <w:r>
                          <w:rPr>
                            <w:rFonts w:cs="Arial"/>
                            <w:szCs w:val="22"/>
                          </w:rPr>
                          <w:t>306,75 €</w:t>
                        </w:r>
                      </w:p>
                    </w:tc>
                  </w:tr>
                  <w:tr w:rsidR="009B4233">
                    <w:tblPrEx>
                      <w:tblCellMar>
                        <w:top w:w="0" w:type="dxa"/>
                        <w:bottom w:w="0" w:type="dxa"/>
                      </w:tblCellMar>
                    </w:tblPrEx>
                    <w:tc>
                      <w:tcPr>
                        <w:tcW w:w="55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pStyle w:val="Textoindependiente"/>
                          <w:jc w:val="both"/>
                          <w:rPr>
                            <w:rFonts w:cs="Arial"/>
                            <w:szCs w:val="22"/>
                          </w:rPr>
                        </w:pPr>
                        <w:r>
                          <w:rPr>
                            <w:rFonts w:cs="Arial"/>
                            <w:szCs w:val="22"/>
                          </w:rPr>
                          <w:t>Instalación en la caja de armario, cuando se trate de una vivienda individual, local comercial o suministro para obr</w:t>
                        </w:r>
                        <w:r>
                          <w:rPr>
                            <w:rFonts w:cs="Arial"/>
                            <w:szCs w:val="22"/>
                          </w:rPr>
                          <w:t>as DN 13-15 mm</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pStyle w:val="Textoindependiente"/>
                          <w:jc w:val="both"/>
                          <w:rPr>
                            <w:rFonts w:cs="Arial"/>
                            <w:szCs w:val="22"/>
                          </w:rPr>
                        </w:pPr>
                        <w:r>
                          <w:rPr>
                            <w:rFonts w:cs="Arial"/>
                            <w:szCs w:val="22"/>
                          </w:rPr>
                          <w:t>169,56</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pStyle w:val="Textoindependiente"/>
                          <w:jc w:val="both"/>
                          <w:rPr>
                            <w:rFonts w:cs="Arial"/>
                            <w:szCs w:val="22"/>
                          </w:rPr>
                        </w:pPr>
                        <w:r>
                          <w:rPr>
                            <w:rFonts w:cs="Arial"/>
                            <w:szCs w:val="22"/>
                          </w:rPr>
                          <w:t>35</w:t>
                        </w:r>
                      </w:p>
                    </w:tc>
                    <w:tc>
                      <w:tcPr>
                        <w:tcW w:w="155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9B4233" w:rsidRDefault="006B08B9">
                        <w:pPr>
                          <w:pStyle w:val="Textoindependiente"/>
                          <w:jc w:val="both"/>
                          <w:rPr>
                            <w:rFonts w:cs="Arial"/>
                            <w:szCs w:val="22"/>
                          </w:rPr>
                        </w:pPr>
                        <w:r>
                          <w:rPr>
                            <w:rFonts w:cs="Arial"/>
                            <w:szCs w:val="22"/>
                          </w:rPr>
                          <w:t>5.934,60 €</w:t>
                        </w:r>
                      </w:p>
                    </w:tc>
                  </w:tr>
                  <w:tr w:rsidR="009B4233">
                    <w:tblPrEx>
                      <w:tblCellMar>
                        <w:top w:w="0" w:type="dxa"/>
                        <w:bottom w:w="0" w:type="dxa"/>
                      </w:tblCellMar>
                    </w:tblPrEx>
                    <w:tc>
                      <w:tcPr>
                        <w:tcW w:w="55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pStyle w:val="Textoindependiente"/>
                          <w:jc w:val="both"/>
                          <w:rPr>
                            <w:rFonts w:cs="Arial"/>
                            <w:szCs w:val="22"/>
                          </w:rPr>
                        </w:pPr>
                        <w:r>
                          <w:rPr>
                            <w:rFonts w:cs="Arial"/>
                            <w:szCs w:val="22"/>
                          </w:rPr>
                          <w:t>Instalación en la caja de armario, cuando se trate de una vivienda individual, local comercial o suministro para obras DN 20-25 mm</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pStyle w:val="Textoindependiente"/>
                          <w:jc w:val="both"/>
                          <w:rPr>
                            <w:rFonts w:cs="Arial"/>
                            <w:szCs w:val="22"/>
                          </w:rPr>
                        </w:pPr>
                        <w:r>
                          <w:rPr>
                            <w:rFonts w:cs="Arial"/>
                            <w:szCs w:val="22"/>
                          </w:rPr>
                          <w:t>221,84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pStyle w:val="Textoindependiente"/>
                          <w:jc w:val="both"/>
                          <w:rPr>
                            <w:rFonts w:cs="Arial"/>
                            <w:szCs w:val="22"/>
                          </w:rPr>
                        </w:pPr>
                        <w:r>
                          <w:rPr>
                            <w:rFonts w:cs="Arial"/>
                            <w:szCs w:val="22"/>
                          </w:rPr>
                          <w:t>4</w:t>
                        </w:r>
                      </w:p>
                    </w:tc>
                    <w:tc>
                      <w:tcPr>
                        <w:tcW w:w="155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9B4233" w:rsidRDefault="006B08B9">
                        <w:pPr>
                          <w:pStyle w:val="Textoindependiente"/>
                          <w:jc w:val="both"/>
                          <w:rPr>
                            <w:rFonts w:cs="Arial"/>
                            <w:szCs w:val="22"/>
                          </w:rPr>
                        </w:pPr>
                        <w:r>
                          <w:rPr>
                            <w:rFonts w:cs="Arial"/>
                            <w:szCs w:val="22"/>
                          </w:rPr>
                          <w:t>887,36 €</w:t>
                        </w:r>
                      </w:p>
                    </w:tc>
                  </w:tr>
                  <w:tr w:rsidR="009B4233">
                    <w:tblPrEx>
                      <w:tblCellMar>
                        <w:top w:w="0" w:type="dxa"/>
                        <w:bottom w:w="0" w:type="dxa"/>
                      </w:tblCellMar>
                    </w:tblPrEx>
                    <w:tc>
                      <w:tcPr>
                        <w:tcW w:w="55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pStyle w:val="Textoindependiente"/>
                          <w:jc w:val="both"/>
                          <w:rPr>
                            <w:rFonts w:cs="Arial"/>
                            <w:szCs w:val="22"/>
                          </w:rPr>
                        </w:pPr>
                        <w:r>
                          <w:rPr>
                            <w:rFonts w:cs="Arial"/>
                            <w:szCs w:val="22"/>
                          </w:rPr>
                          <w:t xml:space="preserve">Instalación en la caja de armario, cuando se trate de una vivienda </w:t>
                        </w:r>
                        <w:r>
                          <w:rPr>
                            <w:rFonts w:cs="Arial"/>
                            <w:szCs w:val="22"/>
                          </w:rPr>
                          <w:t>individual, local comercial o suministro para obras DN 30-32 mm</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pStyle w:val="Textoindependiente"/>
                          <w:jc w:val="both"/>
                          <w:rPr>
                            <w:rFonts w:cs="Arial"/>
                            <w:szCs w:val="22"/>
                          </w:rPr>
                        </w:pPr>
                        <w:r>
                          <w:rPr>
                            <w:rFonts w:cs="Arial"/>
                            <w:szCs w:val="22"/>
                          </w:rPr>
                          <w:t>416,02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pStyle w:val="Textoindependiente"/>
                          <w:jc w:val="both"/>
                          <w:rPr>
                            <w:rFonts w:cs="Arial"/>
                            <w:szCs w:val="22"/>
                          </w:rPr>
                        </w:pPr>
                        <w:r>
                          <w:rPr>
                            <w:rFonts w:cs="Arial"/>
                            <w:szCs w:val="22"/>
                          </w:rPr>
                          <w:t>3</w:t>
                        </w:r>
                      </w:p>
                    </w:tc>
                    <w:tc>
                      <w:tcPr>
                        <w:tcW w:w="155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9B4233" w:rsidRDefault="006B08B9">
                        <w:pPr>
                          <w:pStyle w:val="Textoindependiente"/>
                          <w:jc w:val="both"/>
                          <w:rPr>
                            <w:rFonts w:cs="Arial"/>
                            <w:szCs w:val="22"/>
                          </w:rPr>
                        </w:pPr>
                        <w:r>
                          <w:rPr>
                            <w:rFonts w:cs="Arial"/>
                            <w:szCs w:val="22"/>
                          </w:rPr>
                          <w:t>1.248,06 €</w:t>
                        </w:r>
                      </w:p>
                    </w:tc>
                  </w:tr>
                  <w:tr w:rsidR="009B4233">
                    <w:tblPrEx>
                      <w:tblCellMar>
                        <w:top w:w="0" w:type="dxa"/>
                        <w:bottom w:w="0" w:type="dxa"/>
                      </w:tblCellMar>
                    </w:tblPrEx>
                    <w:tc>
                      <w:tcPr>
                        <w:tcW w:w="55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pStyle w:val="Textoindependiente"/>
                          <w:jc w:val="both"/>
                          <w:rPr>
                            <w:rFonts w:cs="Arial"/>
                            <w:szCs w:val="22"/>
                          </w:rPr>
                        </w:pPr>
                        <w:r>
                          <w:rPr>
                            <w:rFonts w:cs="Arial"/>
                            <w:szCs w:val="22"/>
                          </w:rPr>
                          <w:t>Instalación en la caja de armario, cuando se trate de una vivienda individual, local comercial o suministro para obras DN 40 mm</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pStyle w:val="Textoindependiente"/>
                          <w:jc w:val="both"/>
                          <w:rPr>
                            <w:rFonts w:cs="Arial"/>
                            <w:szCs w:val="22"/>
                          </w:rPr>
                        </w:pPr>
                        <w:r>
                          <w:rPr>
                            <w:rFonts w:cs="Arial"/>
                            <w:szCs w:val="22"/>
                          </w:rPr>
                          <w:t>626,64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pStyle w:val="Textoindependiente"/>
                          <w:jc w:val="both"/>
                          <w:rPr>
                            <w:rFonts w:cs="Arial"/>
                            <w:szCs w:val="22"/>
                          </w:rPr>
                        </w:pPr>
                        <w:r>
                          <w:rPr>
                            <w:rFonts w:cs="Arial"/>
                            <w:szCs w:val="22"/>
                          </w:rPr>
                          <w:t>0</w:t>
                        </w:r>
                      </w:p>
                    </w:tc>
                    <w:tc>
                      <w:tcPr>
                        <w:tcW w:w="155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9B4233" w:rsidRDefault="006B08B9">
                        <w:pPr>
                          <w:pStyle w:val="Textoindependiente"/>
                          <w:jc w:val="both"/>
                          <w:rPr>
                            <w:rFonts w:cs="Arial"/>
                            <w:szCs w:val="22"/>
                          </w:rPr>
                        </w:pPr>
                        <w:r>
                          <w:rPr>
                            <w:rFonts w:cs="Arial"/>
                            <w:szCs w:val="22"/>
                          </w:rPr>
                          <w:t>626,64 €</w:t>
                        </w:r>
                      </w:p>
                    </w:tc>
                  </w:tr>
                  <w:tr w:rsidR="009B4233">
                    <w:tblPrEx>
                      <w:tblCellMar>
                        <w:top w:w="0" w:type="dxa"/>
                        <w:bottom w:w="0" w:type="dxa"/>
                      </w:tblCellMar>
                    </w:tblPrEx>
                    <w:tc>
                      <w:tcPr>
                        <w:tcW w:w="55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pStyle w:val="Textoindependiente"/>
                          <w:jc w:val="both"/>
                          <w:rPr>
                            <w:rFonts w:cs="Arial"/>
                            <w:szCs w:val="22"/>
                          </w:rPr>
                        </w:pPr>
                        <w:r>
                          <w:rPr>
                            <w:rFonts w:cs="Arial"/>
                            <w:szCs w:val="22"/>
                          </w:rPr>
                          <w:t xml:space="preserve">Instalación en la caja </w:t>
                        </w:r>
                        <w:r>
                          <w:rPr>
                            <w:rFonts w:cs="Arial"/>
                            <w:szCs w:val="22"/>
                          </w:rPr>
                          <w:t>de armario, cuando se trate de una vivienda individual, local comercial o suministro para obras DN 50 mm</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pStyle w:val="Textoindependiente"/>
                          <w:jc w:val="both"/>
                          <w:rPr>
                            <w:rFonts w:cs="Arial"/>
                            <w:szCs w:val="22"/>
                          </w:rPr>
                        </w:pPr>
                        <w:r>
                          <w:rPr>
                            <w:rFonts w:cs="Arial"/>
                            <w:szCs w:val="22"/>
                          </w:rPr>
                          <w:t>1.265,42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pStyle w:val="Textoindependiente"/>
                          <w:jc w:val="both"/>
                          <w:rPr>
                            <w:rFonts w:cs="Arial"/>
                            <w:szCs w:val="22"/>
                          </w:rPr>
                        </w:pPr>
                        <w:r>
                          <w:rPr>
                            <w:rFonts w:cs="Arial"/>
                            <w:szCs w:val="22"/>
                          </w:rPr>
                          <w:t>0</w:t>
                        </w:r>
                      </w:p>
                    </w:tc>
                    <w:tc>
                      <w:tcPr>
                        <w:tcW w:w="155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9B4233" w:rsidRDefault="006B08B9">
                        <w:pPr>
                          <w:pStyle w:val="Textoindependiente"/>
                          <w:jc w:val="both"/>
                          <w:rPr>
                            <w:rFonts w:cs="Arial"/>
                            <w:szCs w:val="22"/>
                          </w:rPr>
                        </w:pPr>
                        <w:r>
                          <w:rPr>
                            <w:rFonts w:cs="Arial"/>
                            <w:szCs w:val="22"/>
                          </w:rPr>
                          <w:t>0,00</w:t>
                        </w:r>
                      </w:p>
                    </w:tc>
                  </w:tr>
                  <w:tr w:rsidR="009B4233">
                    <w:tblPrEx>
                      <w:tblCellMar>
                        <w:top w:w="0" w:type="dxa"/>
                        <w:bottom w:w="0" w:type="dxa"/>
                      </w:tblCellMar>
                    </w:tblPrEx>
                    <w:tc>
                      <w:tcPr>
                        <w:tcW w:w="55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pStyle w:val="Textoindependiente"/>
                          <w:jc w:val="both"/>
                          <w:rPr>
                            <w:rFonts w:cs="Arial"/>
                            <w:szCs w:val="22"/>
                          </w:rPr>
                        </w:pPr>
                        <w:r>
                          <w:rPr>
                            <w:rFonts w:cs="Arial"/>
                            <w:szCs w:val="22"/>
                          </w:rPr>
                          <w:t>Instalación en la caja de armario, cuando se trate de una vivienda individual, local comercial o suministro para obras DN 65 mm</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pStyle w:val="Textoindependiente"/>
                          <w:jc w:val="both"/>
                          <w:rPr>
                            <w:rFonts w:cs="Arial"/>
                            <w:szCs w:val="22"/>
                          </w:rPr>
                        </w:pPr>
                        <w:r>
                          <w:rPr>
                            <w:rFonts w:cs="Arial"/>
                            <w:szCs w:val="22"/>
                          </w:rPr>
                          <w:t>1.569,92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pStyle w:val="Textoindependiente"/>
                          <w:jc w:val="both"/>
                          <w:rPr>
                            <w:rFonts w:cs="Arial"/>
                            <w:szCs w:val="22"/>
                          </w:rPr>
                        </w:pPr>
                        <w:r>
                          <w:rPr>
                            <w:rFonts w:cs="Arial"/>
                            <w:szCs w:val="22"/>
                          </w:rPr>
                          <w:t>0</w:t>
                        </w:r>
                      </w:p>
                    </w:tc>
                    <w:tc>
                      <w:tcPr>
                        <w:tcW w:w="155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9B4233" w:rsidRDefault="006B08B9">
                        <w:pPr>
                          <w:pStyle w:val="Textoindependiente"/>
                          <w:jc w:val="both"/>
                          <w:rPr>
                            <w:rFonts w:cs="Arial"/>
                            <w:szCs w:val="22"/>
                          </w:rPr>
                        </w:pPr>
                        <w:r>
                          <w:rPr>
                            <w:rFonts w:cs="Arial"/>
                            <w:szCs w:val="22"/>
                          </w:rPr>
                          <w:t>0,00</w:t>
                        </w:r>
                      </w:p>
                    </w:tc>
                  </w:tr>
                  <w:tr w:rsidR="009B4233">
                    <w:tblPrEx>
                      <w:tblCellMar>
                        <w:top w:w="0" w:type="dxa"/>
                        <w:bottom w:w="0" w:type="dxa"/>
                      </w:tblCellMar>
                    </w:tblPrEx>
                    <w:tc>
                      <w:tcPr>
                        <w:tcW w:w="55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pStyle w:val="Textoindependiente"/>
                          <w:jc w:val="both"/>
                          <w:rPr>
                            <w:rFonts w:cs="Arial"/>
                            <w:szCs w:val="22"/>
                          </w:rPr>
                        </w:pPr>
                        <w:r>
                          <w:rPr>
                            <w:rFonts w:cs="Arial"/>
                            <w:szCs w:val="22"/>
                          </w:rPr>
                          <w:t>Instalación en la caja de armario, cuando se trate de una vivienda individual, local comercial o suministro para obras DN 80 mm</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pStyle w:val="Textoindependiente"/>
                          <w:jc w:val="both"/>
                          <w:rPr>
                            <w:rFonts w:cs="Arial"/>
                            <w:szCs w:val="22"/>
                          </w:rPr>
                        </w:pPr>
                        <w:r>
                          <w:rPr>
                            <w:rFonts w:cs="Arial"/>
                            <w:szCs w:val="22"/>
                          </w:rPr>
                          <w:t>2.032,29</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pStyle w:val="Textoindependiente"/>
                          <w:jc w:val="both"/>
                          <w:rPr>
                            <w:rFonts w:cs="Arial"/>
                            <w:szCs w:val="22"/>
                          </w:rPr>
                        </w:pPr>
                        <w:r>
                          <w:rPr>
                            <w:rFonts w:cs="Arial"/>
                            <w:szCs w:val="22"/>
                          </w:rPr>
                          <w:t>0</w:t>
                        </w:r>
                      </w:p>
                    </w:tc>
                    <w:tc>
                      <w:tcPr>
                        <w:tcW w:w="155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9B4233" w:rsidRDefault="006B08B9">
                        <w:pPr>
                          <w:pStyle w:val="Textoindependiente"/>
                          <w:jc w:val="both"/>
                          <w:rPr>
                            <w:rFonts w:cs="Arial"/>
                            <w:szCs w:val="22"/>
                          </w:rPr>
                        </w:pPr>
                        <w:r>
                          <w:rPr>
                            <w:rFonts w:cs="Arial"/>
                            <w:szCs w:val="22"/>
                          </w:rPr>
                          <w:t>0,00</w:t>
                        </w:r>
                      </w:p>
                    </w:tc>
                  </w:tr>
                  <w:tr w:rsidR="009B4233">
                    <w:tblPrEx>
                      <w:tblCellMar>
                        <w:top w:w="0" w:type="dxa"/>
                        <w:bottom w:w="0" w:type="dxa"/>
                      </w:tblCellMar>
                    </w:tblPrEx>
                    <w:tc>
                      <w:tcPr>
                        <w:tcW w:w="55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pStyle w:val="Textoindependiente"/>
                          <w:jc w:val="both"/>
                          <w:rPr>
                            <w:rFonts w:cs="Arial"/>
                            <w:szCs w:val="22"/>
                          </w:rPr>
                        </w:pPr>
                        <w:r>
                          <w:rPr>
                            <w:rFonts w:cs="Arial"/>
                            <w:szCs w:val="22"/>
                          </w:rPr>
                          <w:t>Instalación en la caja de armario, cuando se trate de una vivienda individual, local comercial</w:t>
                        </w:r>
                        <w:r>
                          <w:rPr>
                            <w:rFonts w:cs="Arial"/>
                            <w:szCs w:val="22"/>
                          </w:rPr>
                          <w:t xml:space="preserve"> o suministro para obras DN = ó &gt; 100 mm</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pStyle w:val="Textoindependiente"/>
                          <w:jc w:val="both"/>
                          <w:rPr>
                            <w:rFonts w:cs="Arial"/>
                            <w:szCs w:val="22"/>
                          </w:rPr>
                        </w:pPr>
                        <w:r>
                          <w:rPr>
                            <w:rFonts w:cs="Arial"/>
                            <w:szCs w:val="22"/>
                          </w:rPr>
                          <w:t>2.525,80</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pStyle w:val="Textoindependiente"/>
                          <w:jc w:val="both"/>
                          <w:rPr>
                            <w:rFonts w:cs="Arial"/>
                            <w:szCs w:val="22"/>
                          </w:rPr>
                        </w:pPr>
                        <w:r>
                          <w:rPr>
                            <w:rFonts w:cs="Arial"/>
                            <w:szCs w:val="22"/>
                          </w:rPr>
                          <w:t>0</w:t>
                        </w:r>
                      </w:p>
                    </w:tc>
                    <w:tc>
                      <w:tcPr>
                        <w:tcW w:w="155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9B4233" w:rsidRDefault="006B08B9">
                        <w:pPr>
                          <w:pStyle w:val="Textoindependiente"/>
                          <w:jc w:val="both"/>
                          <w:rPr>
                            <w:rFonts w:cs="Arial"/>
                            <w:szCs w:val="22"/>
                          </w:rPr>
                        </w:pPr>
                        <w:r>
                          <w:rPr>
                            <w:rFonts w:cs="Arial"/>
                            <w:szCs w:val="22"/>
                          </w:rPr>
                          <w:t>0,00</w:t>
                        </w:r>
                      </w:p>
                    </w:tc>
                  </w:tr>
                  <w:tr w:rsidR="009B4233">
                    <w:tblPrEx>
                      <w:tblCellMar>
                        <w:top w:w="0" w:type="dxa"/>
                        <w:bottom w:w="0" w:type="dxa"/>
                      </w:tblCellMar>
                    </w:tblPrEx>
                    <w:tc>
                      <w:tcPr>
                        <w:tcW w:w="55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pStyle w:val="Textoindependiente"/>
                          <w:jc w:val="both"/>
                          <w:rPr>
                            <w:rFonts w:cs="Arial"/>
                            <w:szCs w:val="22"/>
                          </w:rPr>
                        </w:pPr>
                        <w:r>
                          <w:rPr>
                            <w:rFonts w:cs="Arial"/>
                            <w:szCs w:val="22"/>
                          </w:rPr>
                          <w:t>Cambio titularidad en un contrato o póliza con uso doméstico</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pStyle w:val="Textoindependiente"/>
                          <w:jc w:val="both"/>
                          <w:rPr>
                            <w:rFonts w:cs="Arial"/>
                            <w:szCs w:val="22"/>
                          </w:rPr>
                        </w:pPr>
                        <w:r>
                          <w:rPr>
                            <w:rFonts w:cs="Arial"/>
                            <w:szCs w:val="22"/>
                          </w:rPr>
                          <w:t>10,60</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pStyle w:val="Textoindependiente"/>
                          <w:jc w:val="both"/>
                          <w:rPr>
                            <w:rFonts w:cs="Arial"/>
                            <w:szCs w:val="22"/>
                          </w:rPr>
                        </w:pPr>
                        <w:r>
                          <w:rPr>
                            <w:rFonts w:cs="Arial"/>
                            <w:szCs w:val="22"/>
                          </w:rPr>
                          <w:t>348</w:t>
                        </w:r>
                      </w:p>
                    </w:tc>
                    <w:tc>
                      <w:tcPr>
                        <w:tcW w:w="155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9B4233" w:rsidRDefault="006B08B9">
                        <w:pPr>
                          <w:pStyle w:val="Textoindependiente"/>
                          <w:jc w:val="both"/>
                          <w:rPr>
                            <w:rFonts w:cs="Arial"/>
                            <w:szCs w:val="22"/>
                          </w:rPr>
                        </w:pPr>
                        <w:r>
                          <w:rPr>
                            <w:rFonts w:cs="Arial"/>
                            <w:szCs w:val="22"/>
                          </w:rPr>
                          <w:t>3.688,80 €</w:t>
                        </w:r>
                      </w:p>
                    </w:tc>
                  </w:tr>
                  <w:tr w:rsidR="009B4233">
                    <w:tblPrEx>
                      <w:tblCellMar>
                        <w:top w:w="0" w:type="dxa"/>
                        <w:bottom w:w="0" w:type="dxa"/>
                      </w:tblCellMar>
                    </w:tblPrEx>
                    <w:tc>
                      <w:tcPr>
                        <w:tcW w:w="55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widowControl/>
                          <w:suppressAutoHyphens w:val="0"/>
                          <w:jc w:val="both"/>
                        </w:pPr>
                        <w:r>
                          <w:rPr>
                            <w:rFonts w:ascii="Arial" w:hAnsi="Arial" w:cs="Arial"/>
                            <w:color w:val="000000"/>
                            <w:sz w:val="22"/>
                            <w:szCs w:val="22"/>
                          </w:rPr>
                          <w:t>Cambio titularidad en un contrato o póliza con uso industrial o comercial</w:t>
                        </w:r>
                      </w:p>
                      <w:p w:rsidR="009B4233" w:rsidRDefault="009B4233">
                        <w:pPr>
                          <w:pStyle w:val="Textoindependiente"/>
                          <w:jc w:val="both"/>
                          <w:rPr>
                            <w:rFonts w:cs="Arial"/>
                            <w:szCs w:val="22"/>
                          </w:rPr>
                        </w:pP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pStyle w:val="Textoindependiente"/>
                          <w:jc w:val="both"/>
                          <w:rPr>
                            <w:rFonts w:cs="Arial"/>
                            <w:szCs w:val="22"/>
                          </w:rPr>
                        </w:pPr>
                        <w:r>
                          <w:rPr>
                            <w:rFonts w:cs="Arial"/>
                            <w:szCs w:val="22"/>
                          </w:rPr>
                          <w:t>14,45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pStyle w:val="Textoindependiente"/>
                          <w:jc w:val="both"/>
                          <w:rPr>
                            <w:rFonts w:cs="Arial"/>
                            <w:szCs w:val="22"/>
                          </w:rPr>
                        </w:pPr>
                        <w:r>
                          <w:rPr>
                            <w:rFonts w:cs="Arial"/>
                            <w:szCs w:val="22"/>
                          </w:rPr>
                          <w:t>22</w:t>
                        </w:r>
                      </w:p>
                    </w:tc>
                    <w:tc>
                      <w:tcPr>
                        <w:tcW w:w="155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9B4233" w:rsidRDefault="006B08B9">
                        <w:pPr>
                          <w:pStyle w:val="Textoindependiente"/>
                          <w:jc w:val="both"/>
                          <w:rPr>
                            <w:rFonts w:cs="Arial"/>
                            <w:szCs w:val="22"/>
                          </w:rPr>
                        </w:pPr>
                        <w:r>
                          <w:rPr>
                            <w:rFonts w:cs="Arial"/>
                            <w:szCs w:val="22"/>
                          </w:rPr>
                          <w:t>317,90 €</w:t>
                        </w:r>
                      </w:p>
                    </w:tc>
                  </w:tr>
                  <w:tr w:rsidR="009B4233">
                    <w:tblPrEx>
                      <w:tblCellMar>
                        <w:top w:w="0" w:type="dxa"/>
                        <w:bottom w:w="0" w:type="dxa"/>
                      </w:tblCellMar>
                    </w:tblPrEx>
                    <w:tc>
                      <w:tcPr>
                        <w:tcW w:w="55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widowControl/>
                          <w:suppressAutoHyphens w:val="0"/>
                          <w:jc w:val="both"/>
                        </w:pPr>
                        <w:r>
                          <w:rPr>
                            <w:rFonts w:ascii="Arial" w:hAnsi="Arial" w:cs="Arial"/>
                            <w:color w:val="000000"/>
                            <w:sz w:val="22"/>
                            <w:szCs w:val="22"/>
                          </w:rPr>
                          <w:t>Reenganche por impago</w:t>
                        </w:r>
                        <w:r>
                          <w:rPr>
                            <w:rFonts w:ascii="Arial" w:hAnsi="Arial" w:cs="Arial"/>
                            <w:color w:val="000000"/>
                            <w:sz w:val="22"/>
                            <w:szCs w:val="22"/>
                          </w:rPr>
                          <w:t xml:space="preserve"> en la suspensión de suministro </w:t>
                        </w:r>
                      </w:p>
                      <w:p w:rsidR="009B4233" w:rsidRDefault="009B4233">
                        <w:pPr>
                          <w:pStyle w:val="Textoindependiente"/>
                          <w:jc w:val="both"/>
                          <w:rPr>
                            <w:rFonts w:cs="Arial"/>
                            <w:szCs w:val="22"/>
                          </w:rPr>
                        </w:pP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pStyle w:val="Textoindependiente"/>
                          <w:jc w:val="both"/>
                          <w:rPr>
                            <w:rFonts w:cs="Arial"/>
                            <w:szCs w:val="22"/>
                          </w:rPr>
                        </w:pPr>
                        <w:r>
                          <w:rPr>
                            <w:rFonts w:cs="Arial"/>
                            <w:szCs w:val="22"/>
                          </w:rPr>
                          <w:t>62,70</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pStyle w:val="Textoindependiente"/>
                          <w:jc w:val="both"/>
                          <w:rPr>
                            <w:rFonts w:cs="Arial"/>
                            <w:szCs w:val="22"/>
                          </w:rPr>
                        </w:pPr>
                        <w:r>
                          <w:rPr>
                            <w:rFonts w:cs="Arial"/>
                            <w:szCs w:val="22"/>
                          </w:rPr>
                          <w:t>55</w:t>
                        </w:r>
                      </w:p>
                    </w:tc>
                    <w:tc>
                      <w:tcPr>
                        <w:tcW w:w="155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9B4233" w:rsidRDefault="006B08B9">
                        <w:pPr>
                          <w:pStyle w:val="Textoindependiente"/>
                          <w:jc w:val="both"/>
                          <w:rPr>
                            <w:rFonts w:cs="Arial"/>
                            <w:szCs w:val="22"/>
                          </w:rPr>
                        </w:pPr>
                        <w:r>
                          <w:rPr>
                            <w:rFonts w:cs="Arial"/>
                            <w:szCs w:val="22"/>
                          </w:rPr>
                          <w:t>3.448,50 €</w:t>
                        </w:r>
                      </w:p>
                    </w:tc>
                  </w:tr>
                  <w:tr w:rsidR="009B4233">
                    <w:tblPrEx>
                      <w:tblCellMar>
                        <w:top w:w="0" w:type="dxa"/>
                        <w:bottom w:w="0" w:type="dxa"/>
                      </w:tblCellMar>
                    </w:tblPrEx>
                    <w:tc>
                      <w:tcPr>
                        <w:tcW w:w="55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6B08B9">
                        <w:pPr>
                          <w:pStyle w:val="Textoindependiente"/>
                          <w:jc w:val="both"/>
                          <w:rPr>
                            <w:rFonts w:cs="Arial"/>
                            <w:b/>
                            <w:szCs w:val="22"/>
                          </w:rPr>
                        </w:pPr>
                        <w:r>
                          <w:rPr>
                            <w:rFonts w:cs="Arial"/>
                            <w:b/>
                            <w:szCs w:val="22"/>
                          </w:rPr>
                          <w:t>TOTAL</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9B4233">
                        <w:pPr>
                          <w:pStyle w:val="Textoindependiente"/>
                          <w:jc w:val="both"/>
                          <w:rPr>
                            <w:rFonts w:cs="Arial"/>
                            <w:b/>
                            <w:szCs w:val="22"/>
                          </w:rPr>
                        </w:pP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B4233" w:rsidRDefault="009B4233">
                        <w:pPr>
                          <w:pStyle w:val="Textoindependiente"/>
                          <w:jc w:val="both"/>
                          <w:rPr>
                            <w:rFonts w:cs="Arial"/>
                            <w:b/>
                            <w:szCs w:val="22"/>
                          </w:rPr>
                        </w:pPr>
                      </w:p>
                    </w:tc>
                    <w:tc>
                      <w:tcPr>
                        <w:tcW w:w="155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9B4233" w:rsidRDefault="006B08B9">
                        <w:pPr>
                          <w:pStyle w:val="Textoindependiente"/>
                          <w:jc w:val="both"/>
                          <w:rPr>
                            <w:rFonts w:cs="Arial"/>
                            <w:b/>
                            <w:szCs w:val="22"/>
                          </w:rPr>
                        </w:pPr>
                        <w:r>
                          <w:rPr>
                            <w:rFonts w:cs="Arial"/>
                            <w:b/>
                            <w:szCs w:val="22"/>
                          </w:rPr>
                          <w:t>32.332,99 €</w:t>
                        </w:r>
                      </w:p>
                    </w:tc>
                  </w:tr>
                </w:tbl>
                <w:p w:rsidR="009B4233" w:rsidRDefault="009B4233">
                  <w:pPr>
                    <w:pStyle w:val="Textoindependiente"/>
                    <w:jc w:val="both"/>
                    <w:rPr>
                      <w:rFonts w:cs="Arial"/>
                      <w:b/>
                      <w:szCs w:val="22"/>
                    </w:rPr>
                  </w:pPr>
                </w:p>
                <w:p w:rsidR="009B4233" w:rsidRDefault="006B08B9">
                  <w:pPr>
                    <w:pStyle w:val="Prrafodelista"/>
                    <w:autoSpaceDE w:val="0"/>
                    <w:spacing w:line="276" w:lineRule="auto"/>
                    <w:ind w:left="0"/>
                    <w:jc w:val="both"/>
                    <w:rPr>
                      <w:rFonts w:ascii="Arial" w:hAnsi="Arial" w:cs="Arial"/>
                      <w:sz w:val="22"/>
                      <w:szCs w:val="22"/>
                    </w:rPr>
                  </w:pPr>
                  <w:r>
                    <w:rPr>
                      <w:rFonts w:ascii="Arial" w:hAnsi="Arial" w:cs="Arial"/>
                      <w:sz w:val="22"/>
                      <w:szCs w:val="22"/>
                    </w:rPr>
                    <w:t xml:space="preserve"> “</w:t>
                  </w:r>
                </w:p>
                <w:p w:rsidR="009B4233" w:rsidRDefault="009B4233">
                  <w:pPr>
                    <w:pStyle w:val="Prrafodelista"/>
                    <w:autoSpaceDE w:val="0"/>
                    <w:spacing w:line="276" w:lineRule="auto"/>
                    <w:ind w:left="0"/>
                    <w:jc w:val="both"/>
                    <w:rPr>
                      <w:rFonts w:ascii="Arial" w:hAnsi="Arial" w:cs="Arial"/>
                      <w:sz w:val="22"/>
                      <w:szCs w:val="22"/>
                    </w:rPr>
                  </w:pPr>
                </w:p>
                <w:p w:rsidR="009B4233" w:rsidRDefault="009B4233">
                  <w:pPr>
                    <w:pStyle w:val="Prrafodelista"/>
                    <w:autoSpaceDE w:val="0"/>
                    <w:spacing w:line="276" w:lineRule="auto"/>
                    <w:ind w:left="0"/>
                    <w:jc w:val="both"/>
                    <w:rPr>
                      <w:rFonts w:ascii="Arial" w:hAnsi="Arial" w:cs="Arial"/>
                      <w:sz w:val="22"/>
                      <w:szCs w:val="22"/>
                    </w:rPr>
                  </w:pPr>
                </w:p>
                <w:p w:rsidR="009B4233" w:rsidRDefault="009B4233">
                  <w:pPr>
                    <w:pStyle w:val="Textoindependiente"/>
                    <w:jc w:val="both"/>
                    <w:rPr>
                      <w:rFonts w:cs="Arial"/>
                      <w:szCs w:val="22"/>
                    </w:rPr>
                  </w:pPr>
                </w:p>
                <w:p w:rsidR="009B4233" w:rsidRDefault="009B4233">
                  <w:pPr>
                    <w:pStyle w:val="Textoindependiente"/>
                    <w:jc w:val="both"/>
                    <w:rPr>
                      <w:rFonts w:cs="Arial"/>
                      <w:szCs w:val="22"/>
                    </w:rPr>
                  </w:pPr>
                </w:p>
                <w:p w:rsidR="009B4233" w:rsidRDefault="009B4233">
                  <w:pPr>
                    <w:pStyle w:val="Textoindependiente"/>
                    <w:jc w:val="both"/>
                    <w:rPr>
                      <w:rFonts w:cs="Arial"/>
                      <w:szCs w:val="22"/>
                    </w:rPr>
                  </w:pPr>
                </w:p>
                <w:p w:rsidR="009B4233" w:rsidRDefault="009B4233">
                  <w:pPr>
                    <w:jc w:val="both"/>
                    <w:rPr>
                      <w:rFonts w:ascii="Arial" w:hAnsi="Arial" w:cs="Arial"/>
                      <w:sz w:val="22"/>
                      <w:szCs w:val="22"/>
                    </w:rPr>
                  </w:pPr>
                </w:p>
                <w:p w:rsidR="009B4233" w:rsidRDefault="009B4233">
                  <w:pPr>
                    <w:jc w:val="both"/>
                    <w:rPr>
                      <w:rFonts w:ascii="Arial" w:hAnsi="Arial" w:cs="Arial"/>
                      <w:sz w:val="22"/>
                      <w:szCs w:val="22"/>
                    </w:rPr>
                  </w:pPr>
                </w:p>
                <w:p w:rsidR="009B4233" w:rsidRDefault="009B4233">
                  <w:pPr>
                    <w:jc w:val="both"/>
                    <w:rPr>
                      <w:rFonts w:ascii="Arial" w:hAnsi="Arial" w:cs="Arial"/>
                      <w:sz w:val="22"/>
                      <w:szCs w:val="22"/>
                    </w:rPr>
                  </w:pPr>
                </w:p>
                <w:p w:rsidR="009B4233" w:rsidRDefault="009B4233">
                  <w:pPr>
                    <w:jc w:val="both"/>
                    <w:rPr>
                      <w:rFonts w:ascii="Arial" w:hAnsi="Arial" w:cs="Arial"/>
                      <w:sz w:val="22"/>
                      <w:szCs w:val="22"/>
                    </w:rPr>
                  </w:pPr>
                </w:p>
                <w:p w:rsidR="009B4233" w:rsidRDefault="009B4233">
                  <w:pPr>
                    <w:jc w:val="both"/>
                    <w:rPr>
                      <w:rFonts w:ascii="Arial" w:hAnsi="Arial" w:cs="Arial"/>
                      <w:sz w:val="22"/>
                      <w:szCs w:val="22"/>
                    </w:rPr>
                  </w:pPr>
                </w:p>
                <w:p w:rsidR="009B4233" w:rsidRDefault="009B4233">
                  <w:pPr>
                    <w:jc w:val="both"/>
                    <w:rPr>
                      <w:rFonts w:ascii="Arial" w:hAnsi="Arial" w:cs="Arial"/>
                      <w:sz w:val="22"/>
                      <w:szCs w:val="22"/>
                    </w:rPr>
                  </w:pPr>
                </w:p>
                <w:p w:rsidR="009B4233" w:rsidRDefault="009B4233">
                  <w:pPr>
                    <w:jc w:val="both"/>
                    <w:rPr>
                      <w:rFonts w:ascii="Arial" w:hAnsi="Arial" w:cs="Arial"/>
                      <w:sz w:val="22"/>
                      <w:szCs w:val="22"/>
                    </w:rPr>
                  </w:pPr>
                </w:p>
                <w:p w:rsidR="009B4233" w:rsidRDefault="009B4233">
                  <w:pPr>
                    <w:jc w:val="both"/>
                    <w:rPr>
                      <w:rFonts w:ascii="Arial" w:hAnsi="Arial" w:cs="Arial"/>
                      <w:sz w:val="22"/>
                      <w:szCs w:val="22"/>
                    </w:rPr>
                  </w:pPr>
                </w:p>
                <w:p w:rsidR="009B4233" w:rsidRDefault="009B4233">
                  <w:pPr>
                    <w:jc w:val="both"/>
                    <w:rPr>
                      <w:rFonts w:ascii="Arial" w:hAnsi="Arial" w:cs="Arial"/>
                      <w:sz w:val="22"/>
                      <w:szCs w:val="22"/>
                    </w:rPr>
                  </w:pPr>
                </w:p>
                <w:p w:rsidR="009B4233" w:rsidRDefault="009B4233">
                  <w:pPr>
                    <w:jc w:val="both"/>
                    <w:rPr>
                      <w:rFonts w:ascii="Arial" w:hAnsi="Arial" w:cs="Arial"/>
                      <w:sz w:val="22"/>
                      <w:szCs w:val="22"/>
                    </w:rPr>
                  </w:pPr>
                </w:p>
                <w:p w:rsidR="009B4233" w:rsidRDefault="009B4233">
                  <w:pPr>
                    <w:jc w:val="both"/>
                    <w:rPr>
                      <w:rFonts w:ascii="Arial" w:hAnsi="Arial" w:cs="Arial"/>
                      <w:sz w:val="22"/>
                      <w:szCs w:val="22"/>
                    </w:rPr>
                  </w:pPr>
                </w:p>
                <w:p w:rsidR="009B4233" w:rsidRDefault="009B4233">
                  <w:pPr>
                    <w:jc w:val="both"/>
                    <w:rPr>
                      <w:rFonts w:ascii="Arial" w:hAnsi="Arial" w:cs="Arial"/>
                      <w:sz w:val="22"/>
                      <w:szCs w:val="22"/>
                    </w:rPr>
                  </w:pPr>
                </w:p>
                <w:p w:rsidR="009B4233" w:rsidRDefault="009B4233">
                  <w:pPr>
                    <w:jc w:val="both"/>
                    <w:rPr>
                      <w:rFonts w:ascii="Arial" w:hAnsi="Arial" w:cs="Arial"/>
                      <w:sz w:val="22"/>
                      <w:szCs w:val="22"/>
                    </w:rPr>
                  </w:pPr>
                </w:p>
                <w:p w:rsidR="009B4233" w:rsidRDefault="009B4233">
                  <w:pPr>
                    <w:jc w:val="both"/>
                    <w:rPr>
                      <w:rFonts w:ascii="Arial" w:hAnsi="Arial" w:cs="Arial"/>
                      <w:sz w:val="22"/>
                      <w:szCs w:val="22"/>
                    </w:rPr>
                  </w:pPr>
                </w:p>
              </w:tc>
            </w:tr>
            <w:tr w:rsidR="009B4233">
              <w:tblPrEx>
                <w:tblCellMar>
                  <w:top w:w="0" w:type="dxa"/>
                  <w:bottom w:w="0" w:type="dxa"/>
                </w:tblCellMar>
              </w:tblPrEx>
              <w:trPr>
                <w:trHeight w:val="65"/>
              </w:trPr>
              <w:tc>
                <w:tcPr>
                  <w:tcW w:w="9310" w:type="dxa"/>
                  <w:shd w:val="clear" w:color="auto" w:fill="auto"/>
                  <w:tcMar>
                    <w:top w:w="28" w:type="dxa"/>
                    <w:left w:w="28" w:type="dxa"/>
                    <w:bottom w:w="28" w:type="dxa"/>
                    <w:right w:w="28" w:type="dxa"/>
                  </w:tcMar>
                </w:tcPr>
                <w:p w:rsidR="009B4233" w:rsidRDefault="009B4233">
                  <w:pPr>
                    <w:pStyle w:val="NormalWeb"/>
                    <w:jc w:val="center"/>
                    <w:rPr>
                      <w:rFonts w:ascii="Arial" w:hAnsi="Arial" w:cs="Arial"/>
                      <w:sz w:val="22"/>
                      <w:szCs w:val="22"/>
                    </w:rPr>
                  </w:pPr>
                </w:p>
                <w:p w:rsidR="009B4233" w:rsidRDefault="009B4233">
                  <w:pPr>
                    <w:pStyle w:val="NormalWeb"/>
                    <w:jc w:val="center"/>
                    <w:rPr>
                      <w:rFonts w:ascii="Arial" w:hAnsi="Arial" w:cs="Arial"/>
                      <w:sz w:val="22"/>
                      <w:szCs w:val="22"/>
                    </w:rPr>
                  </w:pPr>
                </w:p>
              </w:tc>
            </w:tr>
          </w:tbl>
          <w:p w:rsidR="009B4233" w:rsidRDefault="009B4233">
            <w:pPr>
              <w:jc w:val="both"/>
              <w:rPr>
                <w:rFonts w:ascii="Arial" w:hAnsi="Arial" w:cs="Arial"/>
                <w:b/>
                <w:bCs/>
                <w:sz w:val="22"/>
                <w:szCs w:val="22"/>
                <w:lang w:eastAsia="ar-SA"/>
              </w:rPr>
            </w:pPr>
          </w:p>
        </w:tc>
      </w:tr>
    </w:tbl>
    <w:p w:rsidR="009B4233" w:rsidRDefault="006B08B9">
      <w:pPr>
        <w:jc w:val="both"/>
        <w:rPr>
          <w:rFonts w:ascii="Arial" w:hAnsi="Arial" w:cs="Arial"/>
          <w:b/>
          <w:sz w:val="22"/>
          <w:szCs w:val="22"/>
        </w:rPr>
      </w:pPr>
      <w:r>
        <w:rPr>
          <w:rFonts w:ascii="Arial" w:hAnsi="Arial" w:cs="Arial"/>
          <w:b/>
          <w:sz w:val="22"/>
          <w:szCs w:val="22"/>
        </w:rPr>
        <w:t xml:space="preserve">   </w:t>
      </w: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6B08B9">
      <w:pPr>
        <w:jc w:val="both"/>
        <w:rPr>
          <w:rFonts w:ascii="Arial" w:hAnsi="Arial" w:cs="Arial"/>
          <w:b/>
          <w:sz w:val="22"/>
          <w:szCs w:val="22"/>
        </w:rPr>
      </w:pPr>
      <w:r>
        <w:rPr>
          <w:rFonts w:ascii="Arial" w:hAnsi="Arial" w:cs="Arial"/>
          <w:b/>
          <w:sz w:val="22"/>
          <w:szCs w:val="22"/>
        </w:rPr>
        <w:t xml:space="preserve">Consta en el expediente propuesta del Concejal delegado de Hacienda, D. Airam Pérez Chinea, de fecha 17 de septiembre de </w:t>
      </w:r>
      <w:r>
        <w:rPr>
          <w:rFonts w:ascii="Arial" w:hAnsi="Arial" w:cs="Arial"/>
          <w:b/>
          <w:sz w:val="22"/>
          <w:szCs w:val="22"/>
        </w:rPr>
        <w:t>2025, que transcrito literalmente dice:</w:t>
      </w:r>
    </w:p>
    <w:p w:rsidR="009B4233" w:rsidRDefault="009B4233">
      <w:pPr>
        <w:pStyle w:val="Textoindependiente"/>
        <w:rPr>
          <w:rFonts w:cs="Arial"/>
          <w:bCs/>
          <w:szCs w:val="22"/>
        </w:rPr>
      </w:pPr>
    </w:p>
    <w:p w:rsidR="009B4233" w:rsidRDefault="006B08B9">
      <w:pPr>
        <w:pStyle w:val="Ttulo1"/>
        <w:rPr>
          <w:rFonts w:ascii="Arial" w:hAnsi="Arial" w:cs="Arial"/>
          <w:sz w:val="22"/>
          <w:szCs w:val="22"/>
        </w:rPr>
      </w:pPr>
      <w:r>
        <w:rPr>
          <w:rFonts w:ascii="Arial" w:hAnsi="Arial" w:cs="Arial"/>
          <w:sz w:val="22"/>
          <w:szCs w:val="22"/>
        </w:rPr>
        <w:t xml:space="preserve">        “PROPUESTA DE CONCEJALÍA DELEGADA DE HACIENDA</w:t>
      </w:r>
    </w:p>
    <w:p w:rsidR="009B4233" w:rsidRDefault="006B08B9">
      <w:pPr>
        <w:ind w:left="-5" w:right="3"/>
        <w:jc w:val="both"/>
        <w:rPr>
          <w:rFonts w:ascii="Arial" w:hAnsi="Arial" w:cs="Arial"/>
          <w:sz w:val="22"/>
          <w:szCs w:val="22"/>
        </w:rPr>
      </w:pPr>
      <w:r>
        <w:rPr>
          <w:rFonts w:ascii="Arial" w:hAnsi="Arial" w:cs="Arial"/>
          <w:sz w:val="22"/>
          <w:szCs w:val="22"/>
        </w:rPr>
        <w:t xml:space="preserve">APROBACIÓN DE LA MODIFICACIÓN DE LA ORDENANZA REGULADORA DE LA </w:t>
      </w:r>
    </w:p>
    <w:p w:rsidR="009B4233" w:rsidRDefault="006B08B9">
      <w:pPr>
        <w:ind w:left="-5" w:right="3"/>
        <w:jc w:val="both"/>
        <w:rPr>
          <w:rFonts w:ascii="Arial" w:hAnsi="Arial" w:cs="Arial"/>
          <w:sz w:val="22"/>
          <w:szCs w:val="22"/>
        </w:rPr>
      </w:pPr>
      <w:r>
        <w:rPr>
          <w:rFonts w:ascii="Arial" w:hAnsi="Arial" w:cs="Arial"/>
          <w:sz w:val="22"/>
          <w:szCs w:val="22"/>
        </w:rPr>
        <w:t xml:space="preserve">PRESTACIÓN PATRIMONIAL DE CARÁCTER PÚBLICO NO TRIBUTARIO DE LOS </w:t>
      </w:r>
    </w:p>
    <w:p w:rsidR="009B4233" w:rsidRDefault="006B08B9">
      <w:pPr>
        <w:spacing w:after="496"/>
        <w:ind w:left="-5" w:right="3"/>
        <w:jc w:val="both"/>
        <w:rPr>
          <w:rFonts w:ascii="Arial" w:hAnsi="Arial" w:cs="Arial"/>
          <w:sz w:val="22"/>
          <w:szCs w:val="22"/>
        </w:rPr>
      </w:pPr>
      <w:r>
        <w:rPr>
          <w:rFonts w:ascii="Arial" w:hAnsi="Arial" w:cs="Arial"/>
          <w:sz w:val="22"/>
          <w:szCs w:val="22"/>
        </w:rPr>
        <w:t>SERVICIOS MUNICIPALES DE GESTIÓN</w:t>
      </w:r>
      <w:r>
        <w:rPr>
          <w:rFonts w:ascii="Arial" w:hAnsi="Arial" w:cs="Arial"/>
          <w:sz w:val="22"/>
          <w:szCs w:val="22"/>
        </w:rPr>
        <w:t xml:space="preserve"> DEL CICLO INTEGRAL DEL AGUA DEL AYUNTAMIENTO DE LA VILLA DE CANDELARIA</w:t>
      </w:r>
    </w:p>
    <w:p w:rsidR="009B4233" w:rsidRDefault="006B08B9">
      <w:pPr>
        <w:spacing w:after="506"/>
        <w:ind w:left="-15" w:right="3" w:firstLine="708"/>
        <w:jc w:val="both"/>
        <w:rPr>
          <w:rFonts w:ascii="Arial" w:hAnsi="Arial" w:cs="Arial"/>
          <w:sz w:val="22"/>
          <w:szCs w:val="22"/>
        </w:rPr>
      </w:pPr>
      <w:r>
        <w:rPr>
          <w:rFonts w:ascii="Arial" w:hAnsi="Arial" w:cs="Arial"/>
          <w:sz w:val="22"/>
          <w:szCs w:val="22"/>
        </w:rPr>
        <w:t xml:space="preserve">Visto el escrito, presentado por parte de la empresa AQUALIA SA, de solicitud de revisión de tarifas de agua potable de abastecimiento y saneamiento, para la anualidad de 2026, lo que </w:t>
      </w:r>
      <w:r>
        <w:rPr>
          <w:rFonts w:ascii="Arial" w:hAnsi="Arial" w:cs="Arial"/>
          <w:sz w:val="22"/>
          <w:szCs w:val="22"/>
        </w:rPr>
        <w:t>obliga a modificar la correspondiente Ordenanza, únicamente en lo que se refiere a las tarifas de abastecimiento y saneamiento, es decir, en los artículos 7.1.1.4.1., 7.1.1.4.2., 7.2.2.1. y 7.2.2.2.</w:t>
      </w:r>
    </w:p>
    <w:p w:rsidR="009B4233" w:rsidRDefault="006B08B9">
      <w:pPr>
        <w:ind w:left="-15" w:right="3" w:firstLine="708"/>
        <w:jc w:val="both"/>
        <w:rPr>
          <w:rFonts w:ascii="Arial" w:hAnsi="Arial" w:cs="Arial"/>
          <w:sz w:val="22"/>
          <w:szCs w:val="22"/>
        </w:rPr>
      </w:pPr>
      <w:r>
        <w:rPr>
          <w:rFonts w:ascii="Arial" w:hAnsi="Arial" w:cs="Arial"/>
          <w:sz w:val="22"/>
          <w:szCs w:val="22"/>
        </w:rPr>
        <w:t xml:space="preserve">Considerando que con fecha 28 de noviembre de 2024, se </w:t>
      </w:r>
      <w:r>
        <w:rPr>
          <w:rFonts w:ascii="Arial" w:hAnsi="Arial" w:cs="Arial"/>
          <w:sz w:val="22"/>
          <w:szCs w:val="22"/>
        </w:rPr>
        <w:t xml:space="preserve">adoptó el acuerdo de Aprobación definitiva de la ORDENANZA REGULADORA DE LA PRESTACIÓN PATRIMONIAL DE CARÁCTER PÚBLICO NO TRIBUTARIO DE LOS SERVICIOS </w:t>
      </w:r>
    </w:p>
    <w:p w:rsidR="009B4233" w:rsidRDefault="006B08B9">
      <w:pPr>
        <w:spacing w:after="486"/>
        <w:ind w:left="-5" w:right="3"/>
        <w:jc w:val="both"/>
        <w:rPr>
          <w:rFonts w:ascii="Arial" w:hAnsi="Arial" w:cs="Arial"/>
          <w:sz w:val="22"/>
          <w:szCs w:val="22"/>
        </w:rPr>
      </w:pPr>
      <w:r>
        <w:rPr>
          <w:rFonts w:ascii="Arial" w:hAnsi="Arial" w:cs="Arial"/>
          <w:sz w:val="22"/>
          <w:szCs w:val="22"/>
        </w:rPr>
        <w:t xml:space="preserve">MUNICIPALES DE GESTIÓN DEL CICLO INTEGRAL DEL AGUA DEL AYUNTAMIENTO DE LA VILLA DE CANDELARIA, adoptando </w:t>
      </w:r>
      <w:r>
        <w:rPr>
          <w:rFonts w:ascii="Arial" w:hAnsi="Arial" w:cs="Arial"/>
          <w:sz w:val="22"/>
          <w:szCs w:val="22"/>
        </w:rPr>
        <w:t>la aplicación de las siguientes tarifas:</w:t>
      </w:r>
    </w:p>
    <w:p w:rsidR="009B4233" w:rsidRDefault="006B08B9">
      <w:pPr>
        <w:widowControl/>
        <w:numPr>
          <w:ilvl w:val="0"/>
          <w:numId w:val="54"/>
        </w:numPr>
        <w:suppressAutoHyphens w:val="0"/>
        <w:spacing w:after="9" w:line="242" w:lineRule="auto"/>
        <w:ind w:left="1021" w:hanging="360"/>
        <w:jc w:val="both"/>
        <w:textAlignment w:val="auto"/>
        <w:rPr>
          <w:rFonts w:ascii="Arial" w:hAnsi="Arial" w:cs="Arial"/>
          <w:sz w:val="22"/>
          <w:szCs w:val="22"/>
        </w:rPr>
      </w:pPr>
      <w:r>
        <w:rPr>
          <w:rFonts w:ascii="Arial" w:hAnsi="Arial" w:cs="Arial"/>
          <w:sz w:val="22"/>
          <w:szCs w:val="22"/>
        </w:rPr>
        <w:t>ABASTECIMIENTO:</w:t>
      </w:r>
    </w:p>
    <w:tbl>
      <w:tblPr>
        <w:tblW w:w="6106" w:type="dxa"/>
        <w:tblInd w:w="1410" w:type="dxa"/>
        <w:tblCellMar>
          <w:left w:w="10" w:type="dxa"/>
          <w:right w:w="10" w:type="dxa"/>
        </w:tblCellMar>
        <w:tblLook w:val="0000" w:firstRow="0" w:lastRow="0" w:firstColumn="0" w:lastColumn="0" w:noHBand="0" w:noVBand="0"/>
      </w:tblPr>
      <w:tblGrid>
        <w:gridCol w:w="2836"/>
        <w:gridCol w:w="3270"/>
      </w:tblGrid>
      <w:tr w:rsidR="009B4233">
        <w:tblPrEx>
          <w:tblCellMar>
            <w:top w:w="0" w:type="dxa"/>
            <w:bottom w:w="0" w:type="dxa"/>
          </w:tblCellMar>
        </w:tblPrEx>
        <w:trPr>
          <w:trHeight w:val="382"/>
        </w:trPr>
        <w:tc>
          <w:tcPr>
            <w:tcW w:w="2836" w:type="dxa"/>
            <w:tcBorders>
              <w:top w:val="single" w:sz="4" w:space="0" w:color="000000"/>
              <w:left w:val="single" w:sz="4" w:space="0" w:color="000000"/>
              <w:bottom w:val="single" w:sz="4" w:space="0" w:color="000000"/>
              <w:right w:val="single" w:sz="4" w:space="0" w:color="000000"/>
            </w:tcBorders>
            <w:shd w:val="clear" w:color="auto" w:fill="auto"/>
            <w:tcMar>
              <w:top w:w="12" w:type="dxa"/>
              <w:left w:w="115" w:type="dxa"/>
              <w:bottom w:w="0" w:type="dxa"/>
              <w:right w:w="115" w:type="dxa"/>
            </w:tcMar>
          </w:tcPr>
          <w:p w:rsidR="009B4233" w:rsidRDefault="006B08B9">
            <w:pPr>
              <w:spacing w:line="249" w:lineRule="auto"/>
              <w:ind w:right="33"/>
              <w:jc w:val="both"/>
            </w:pPr>
            <w:r>
              <w:rPr>
                <w:rFonts w:ascii="Arial" w:eastAsia="Arial" w:hAnsi="Arial" w:cs="Arial"/>
                <w:b/>
                <w:sz w:val="22"/>
                <w:szCs w:val="22"/>
              </w:rPr>
              <w:t>TARIFAS</w:t>
            </w:r>
          </w:p>
        </w:tc>
        <w:tc>
          <w:tcPr>
            <w:tcW w:w="3270" w:type="dxa"/>
            <w:tcBorders>
              <w:top w:val="single" w:sz="4" w:space="0" w:color="000000"/>
              <w:left w:val="single" w:sz="4" w:space="0" w:color="000000"/>
              <w:bottom w:val="single" w:sz="4" w:space="0" w:color="000000"/>
              <w:right w:val="single" w:sz="4" w:space="0" w:color="000000"/>
            </w:tcBorders>
            <w:shd w:val="clear" w:color="auto" w:fill="auto"/>
            <w:tcMar>
              <w:top w:w="12" w:type="dxa"/>
              <w:left w:w="115" w:type="dxa"/>
              <w:bottom w:w="0" w:type="dxa"/>
              <w:right w:w="115" w:type="dxa"/>
            </w:tcMar>
          </w:tcPr>
          <w:p w:rsidR="009B4233" w:rsidRDefault="006B08B9">
            <w:pPr>
              <w:spacing w:line="249" w:lineRule="auto"/>
              <w:ind w:right="35"/>
              <w:jc w:val="both"/>
            </w:pPr>
            <w:r>
              <w:rPr>
                <w:rFonts w:ascii="Arial" w:eastAsia="Arial" w:hAnsi="Arial" w:cs="Arial"/>
                <w:b/>
                <w:sz w:val="22"/>
                <w:szCs w:val="22"/>
              </w:rPr>
              <w:t>PROPUESTAS VIGENTES</w:t>
            </w:r>
          </w:p>
        </w:tc>
      </w:tr>
      <w:tr w:rsidR="009B4233">
        <w:tblPrEx>
          <w:tblCellMar>
            <w:top w:w="0" w:type="dxa"/>
            <w:bottom w:w="0" w:type="dxa"/>
          </w:tblCellMar>
        </w:tblPrEx>
        <w:trPr>
          <w:trHeight w:val="384"/>
        </w:trPr>
        <w:tc>
          <w:tcPr>
            <w:tcW w:w="2836" w:type="dxa"/>
            <w:tcBorders>
              <w:top w:val="single" w:sz="4" w:space="0" w:color="000000"/>
              <w:left w:val="single" w:sz="4" w:space="0" w:color="000000"/>
              <w:bottom w:val="single" w:sz="4" w:space="0" w:color="000000"/>
              <w:right w:val="single" w:sz="4" w:space="0" w:color="000000"/>
            </w:tcBorders>
            <w:shd w:val="clear" w:color="auto" w:fill="auto"/>
            <w:tcMar>
              <w:top w:w="12" w:type="dxa"/>
              <w:left w:w="115" w:type="dxa"/>
              <w:bottom w:w="0" w:type="dxa"/>
              <w:right w:w="115" w:type="dxa"/>
            </w:tcMar>
          </w:tcPr>
          <w:p w:rsidR="009B4233" w:rsidRDefault="006B08B9">
            <w:pPr>
              <w:spacing w:line="249" w:lineRule="auto"/>
              <w:jc w:val="both"/>
            </w:pPr>
            <w:r>
              <w:rPr>
                <w:rFonts w:ascii="Arial" w:eastAsia="Arial" w:hAnsi="Arial" w:cs="Arial"/>
                <w:b/>
                <w:sz w:val="22"/>
                <w:szCs w:val="22"/>
              </w:rPr>
              <w:t>CONSUMO DOMÉSTICO</w:t>
            </w:r>
          </w:p>
        </w:tc>
        <w:tc>
          <w:tcPr>
            <w:tcW w:w="3270" w:type="dxa"/>
            <w:tcBorders>
              <w:top w:val="single" w:sz="4" w:space="0" w:color="000000"/>
              <w:left w:val="single" w:sz="4" w:space="0" w:color="000000"/>
              <w:bottom w:val="single" w:sz="4" w:space="0" w:color="000000"/>
              <w:right w:val="single" w:sz="4" w:space="0" w:color="000000"/>
            </w:tcBorders>
            <w:shd w:val="clear" w:color="auto" w:fill="auto"/>
            <w:tcMar>
              <w:top w:w="12" w:type="dxa"/>
              <w:left w:w="115" w:type="dxa"/>
              <w:bottom w:w="0" w:type="dxa"/>
              <w:right w:w="115" w:type="dxa"/>
            </w:tcMar>
          </w:tcPr>
          <w:p w:rsidR="009B4233" w:rsidRDefault="009B4233">
            <w:pPr>
              <w:spacing w:after="160" w:line="249" w:lineRule="auto"/>
              <w:jc w:val="both"/>
              <w:rPr>
                <w:rFonts w:ascii="Arial" w:hAnsi="Arial" w:cs="Arial"/>
                <w:sz w:val="22"/>
                <w:szCs w:val="22"/>
              </w:rPr>
            </w:pPr>
          </w:p>
        </w:tc>
      </w:tr>
      <w:tr w:rsidR="009B4233">
        <w:tblPrEx>
          <w:tblCellMar>
            <w:top w:w="0" w:type="dxa"/>
            <w:bottom w:w="0" w:type="dxa"/>
          </w:tblCellMar>
        </w:tblPrEx>
        <w:trPr>
          <w:trHeight w:val="382"/>
        </w:trPr>
        <w:tc>
          <w:tcPr>
            <w:tcW w:w="2836" w:type="dxa"/>
            <w:tcBorders>
              <w:top w:val="single" w:sz="4" w:space="0" w:color="000000"/>
              <w:left w:val="single" w:sz="4" w:space="0" w:color="000000"/>
              <w:bottom w:val="single" w:sz="4" w:space="0" w:color="000000"/>
              <w:right w:val="single" w:sz="4" w:space="0" w:color="000000"/>
            </w:tcBorders>
            <w:shd w:val="clear" w:color="auto" w:fill="auto"/>
            <w:tcMar>
              <w:top w:w="12" w:type="dxa"/>
              <w:left w:w="115" w:type="dxa"/>
              <w:bottom w:w="0" w:type="dxa"/>
              <w:right w:w="115" w:type="dxa"/>
            </w:tcMar>
          </w:tcPr>
          <w:p w:rsidR="009B4233" w:rsidRDefault="006B08B9">
            <w:pPr>
              <w:spacing w:line="249" w:lineRule="auto"/>
              <w:ind w:right="31"/>
              <w:jc w:val="both"/>
              <w:rPr>
                <w:rFonts w:ascii="Arial" w:hAnsi="Arial" w:cs="Arial"/>
                <w:sz w:val="22"/>
                <w:szCs w:val="22"/>
              </w:rPr>
            </w:pPr>
            <w:r>
              <w:rPr>
                <w:rFonts w:ascii="Arial" w:hAnsi="Arial" w:cs="Arial"/>
                <w:sz w:val="22"/>
                <w:szCs w:val="22"/>
              </w:rPr>
              <w:t>CUOTA FIJA</w:t>
            </w:r>
          </w:p>
        </w:tc>
        <w:tc>
          <w:tcPr>
            <w:tcW w:w="3270" w:type="dxa"/>
            <w:tcBorders>
              <w:top w:val="single" w:sz="4" w:space="0" w:color="000000"/>
              <w:left w:val="single" w:sz="4" w:space="0" w:color="000000"/>
              <w:bottom w:val="single" w:sz="4" w:space="0" w:color="000000"/>
              <w:right w:val="single" w:sz="4" w:space="0" w:color="000000"/>
            </w:tcBorders>
            <w:shd w:val="clear" w:color="auto" w:fill="auto"/>
            <w:tcMar>
              <w:top w:w="12" w:type="dxa"/>
              <w:left w:w="115" w:type="dxa"/>
              <w:bottom w:w="0" w:type="dxa"/>
              <w:right w:w="115" w:type="dxa"/>
            </w:tcMar>
          </w:tcPr>
          <w:p w:rsidR="009B4233" w:rsidRDefault="006B08B9">
            <w:pPr>
              <w:spacing w:line="249" w:lineRule="auto"/>
              <w:ind w:right="30"/>
              <w:jc w:val="both"/>
              <w:rPr>
                <w:rFonts w:ascii="Arial" w:hAnsi="Arial" w:cs="Arial"/>
                <w:sz w:val="22"/>
                <w:szCs w:val="22"/>
              </w:rPr>
            </w:pPr>
            <w:r>
              <w:rPr>
                <w:rFonts w:ascii="Arial" w:hAnsi="Arial" w:cs="Arial"/>
                <w:sz w:val="22"/>
                <w:szCs w:val="22"/>
              </w:rPr>
              <w:t>13,85 €</w:t>
            </w:r>
          </w:p>
        </w:tc>
      </w:tr>
      <w:tr w:rsidR="009B4233">
        <w:tblPrEx>
          <w:tblCellMar>
            <w:top w:w="0" w:type="dxa"/>
            <w:bottom w:w="0" w:type="dxa"/>
          </w:tblCellMar>
        </w:tblPrEx>
        <w:trPr>
          <w:trHeight w:val="384"/>
        </w:trPr>
        <w:tc>
          <w:tcPr>
            <w:tcW w:w="2836" w:type="dxa"/>
            <w:tcBorders>
              <w:top w:val="single" w:sz="4" w:space="0" w:color="000000"/>
              <w:left w:val="single" w:sz="4" w:space="0" w:color="000000"/>
              <w:bottom w:val="single" w:sz="4" w:space="0" w:color="000000"/>
              <w:right w:val="single" w:sz="4" w:space="0" w:color="000000"/>
            </w:tcBorders>
            <w:shd w:val="clear" w:color="auto" w:fill="auto"/>
            <w:tcMar>
              <w:top w:w="12" w:type="dxa"/>
              <w:left w:w="115" w:type="dxa"/>
              <w:bottom w:w="0" w:type="dxa"/>
              <w:right w:w="115" w:type="dxa"/>
            </w:tcMar>
          </w:tcPr>
          <w:p w:rsidR="009B4233" w:rsidRDefault="006B08B9">
            <w:pPr>
              <w:spacing w:line="249" w:lineRule="auto"/>
              <w:ind w:right="31"/>
              <w:jc w:val="both"/>
              <w:rPr>
                <w:rFonts w:ascii="Arial" w:hAnsi="Arial" w:cs="Arial"/>
                <w:sz w:val="22"/>
                <w:szCs w:val="22"/>
              </w:rPr>
            </w:pPr>
            <w:r>
              <w:rPr>
                <w:rFonts w:ascii="Arial" w:hAnsi="Arial" w:cs="Arial"/>
                <w:sz w:val="22"/>
                <w:szCs w:val="22"/>
              </w:rPr>
              <w:t>De 1 a 10 m3</w:t>
            </w:r>
          </w:p>
        </w:tc>
        <w:tc>
          <w:tcPr>
            <w:tcW w:w="3270" w:type="dxa"/>
            <w:tcBorders>
              <w:top w:val="single" w:sz="4" w:space="0" w:color="000000"/>
              <w:left w:val="single" w:sz="4" w:space="0" w:color="000000"/>
              <w:bottom w:val="single" w:sz="4" w:space="0" w:color="000000"/>
              <w:right w:val="single" w:sz="4" w:space="0" w:color="000000"/>
            </w:tcBorders>
            <w:shd w:val="clear" w:color="auto" w:fill="auto"/>
            <w:tcMar>
              <w:top w:w="12" w:type="dxa"/>
              <w:left w:w="115" w:type="dxa"/>
              <w:bottom w:w="0" w:type="dxa"/>
              <w:right w:w="115" w:type="dxa"/>
            </w:tcMar>
          </w:tcPr>
          <w:p w:rsidR="009B4233" w:rsidRDefault="006B08B9">
            <w:pPr>
              <w:spacing w:line="249" w:lineRule="auto"/>
              <w:ind w:right="31"/>
              <w:jc w:val="both"/>
              <w:rPr>
                <w:rFonts w:ascii="Arial" w:hAnsi="Arial" w:cs="Arial"/>
                <w:sz w:val="22"/>
                <w:szCs w:val="22"/>
              </w:rPr>
            </w:pPr>
            <w:r>
              <w:rPr>
                <w:rFonts w:ascii="Arial" w:hAnsi="Arial" w:cs="Arial"/>
                <w:sz w:val="22"/>
                <w:szCs w:val="22"/>
              </w:rPr>
              <w:t>0,58 €/m3</w:t>
            </w:r>
          </w:p>
        </w:tc>
      </w:tr>
      <w:tr w:rsidR="009B4233">
        <w:tblPrEx>
          <w:tblCellMar>
            <w:top w:w="0" w:type="dxa"/>
            <w:bottom w:w="0" w:type="dxa"/>
          </w:tblCellMar>
        </w:tblPrEx>
        <w:trPr>
          <w:trHeight w:val="382"/>
        </w:trPr>
        <w:tc>
          <w:tcPr>
            <w:tcW w:w="2836" w:type="dxa"/>
            <w:tcBorders>
              <w:top w:val="single" w:sz="4" w:space="0" w:color="000000"/>
              <w:left w:val="single" w:sz="4" w:space="0" w:color="000000"/>
              <w:bottom w:val="single" w:sz="4" w:space="0" w:color="000000"/>
              <w:right w:val="single" w:sz="4" w:space="0" w:color="000000"/>
            </w:tcBorders>
            <w:shd w:val="clear" w:color="auto" w:fill="auto"/>
            <w:tcMar>
              <w:top w:w="12" w:type="dxa"/>
              <w:left w:w="115" w:type="dxa"/>
              <w:bottom w:w="0" w:type="dxa"/>
              <w:right w:w="115" w:type="dxa"/>
            </w:tcMar>
          </w:tcPr>
          <w:p w:rsidR="009B4233" w:rsidRDefault="006B08B9">
            <w:pPr>
              <w:spacing w:line="249" w:lineRule="auto"/>
              <w:ind w:right="43"/>
              <w:jc w:val="both"/>
              <w:rPr>
                <w:rFonts w:ascii="Arial" w:hAnsi="Arial" w:cs="Arial"/>
                <w:sz w:val="22"/>
                <w:szCs w:val="22"/>
              </w:rPr>
            </w:pPr>
            <w:r>
              <w:rPr>
                <w:rFonts w:ascii="Arial" w:hAnsi="Arial" w:cs="Arial"/>
                <w:sz w:val="22"/>
                <w:szCs w:val="22"/>
              </w:rPr>
              <w:t>De 11 a 30 m3</w:t>
            </w:r>
          </w:p>
        </w:tc>
        <w:tc>
          <w:tcPr>
            <w:tcW w:w="3270" w:type="dxa"/>
            <w:tcBorders>
              <w:top w:val="single" w:sz="4" w:space="0" w:color="000000"/>
              <w:left w:val="single" w:sz="4" w:space="0" w:color="000000"/>
              <w:bottom w:val="single" w:sz="4" w:space="0" w:color="000000"/>
              <w:right w:val="single" w:sz="4" w:space="0" w:color="000000"/>
            </w:tcBorders>
            <w:shd w:val="clear" w:color="auto" w:fill="auto"/>
            <w:tcMar>
              <w:top w:w="12" w:type="dxa"/>
              <w:left w:w="115" w:type="dxa"/>
              <w:bottom w:w="0" w:type="dxa"/>
              <w:right w:w="115" w:type="dxa"/>
            </w:tcMar>
          </w:tcPr>
          <w:p w:rsidR="009B4233" w:rsidRDefault="006B08B9">
            <w:pPr>
              <w:spacing w:line="249" w:lineRule="auto"/>
              <w:ind w:right="31"/>
              <w:jc w:val="both"/>
              <w:rPr>
                <w:rFonts w:ascii="Arial" w:hAnsi="Arial" w:cs="Arial"/>
                <w:sz w:val="22"/>
                <w:szCs w:val="22"/>
              </w:rPr>
            </w:pPr>
            <w:r>
              <w:rPr>
                <w:rFonts w:ascii="Arial" w:hAnsi="Arial" w:cs="Arial"/>
                <w:sz w:val="22"/>
                <w:szCs w:val="22"/>
              </w:rPr>
              <w:t>1,17 €/m3</w:t>
            </w:r>
          </w:p>
        </w:tc>
      </w:tr>
      <w:tr w:rsidR="009B4233">
        <w:tblPrEx>
          <w:tblCellMar>
            <w:top w:w="0" w:type="dxa"/>
            <w:bottom w:w="0" w:type="dxa"/>
          </w:tblCellMar>
        </w:tblPrEx>
        <w:trPr>
          <w:trHeight w:val="384"/>
        </w:trPr>
        <w:tc>
          <w:tcPr>
            <w:tcW w:w="2836" w:type="dxa"/>
            <w:tcBorders>
              <w:top w:val="single" w:sz="4" w:space="0" w:color="000000"/>
              <w:left w:val="single" w:sz="4" w:space="0" w:color="000000"/>
              <w:bottom w:val="single" w:sz="4" w:space="0" w:color="000000"/>
              <w:right w:val="single" w:sz="4" w:space="0" w:color="000000"/>
            </w:tcBorders>
            <w:shd w:val="clear" w:color="auto" w:fill="auto"/>
            <w:tcMar>
              <w:top w:w="12" w:type="dxa"/>
              <w:left w:w="115" w:type="dxa"/>
              <w:bottom w:w="0" w:type="dxa"/>
              <w:right w:w="115" w:type="dxa"/>
            </w:tcMar>
          </w:tcPr>
          <w:p w:rsidR="009B4233" w:rsidRDefault="006B08B9">
            <w:pPr>
              <w:spacing w:line="249" w:lineRule="auto"/>
              <w:ind w:right="43"/>
              <w:jc w:val="both"/>
              <w:rPr>
                <w:rFonts w:ascii="Arial" w:hAnsi="Arial" w:cs="Arial"/>
                <w:sz w:val="22"/>
                <w:szCs w:val="22"/>
              </w:rPr>
            </w:pPr>
            <w:r>
              <w:rPr>
                <w:rFonts w:ascii="Arial" w:hAnsi="Arial" w:cs="Arial"/>
                <w:sz w:val="22"/>
                <w:szCs w:val="22"/>
              </w:rPr>
              <w:t>De 31 a 60 m3</w:t>
            </w:r>
          </w:p>
        </w:tc>
        <w:tc>
          <w:tcPr>
            <w:tcW w:w="3270" w:type="dxa"/>
            <w:tcBorders>
              <w:top w:val="single" w:sz="4" w:space="0" w:color="000000"/>
              <w:left w:val="single" w:sz="4" w:space="0" w:color="000000"/>
              <w:bottom w:val="single" w:sz="4" w:space="0" w:color="000000"/>
              <w:right w:val="single" w:sz="4" w:space="0" w:color="000000"/>
            </w:tcBorders>
            <w:shd w:val="clear" w:color="auto" w:fill="auto"/>
            <w:tcMar>
              <w:top w:w="12" w:type="dxa"/>
              <w:left w:w="115" w:type="dxa"/>
              <w:bottom w:w="0" w:type="dxa"/>
              <w:right w:w="115" w:type="dxa"/>
            </w:tcMar>
          </w:tcPr>
          <w:p w:rsidR="009B4233" w:rsidRDefault="006B08B9">
            <w:pPr>
              <w:spacing w:line="249" w:lineRule="auto"/>
              <w:ind w:right="31"/>
              <w:jc w:val="both"/>
              <w:rPr>
                <w:rFonts w:ascii="Arial" w:hAnsi="Arial" w:cs="Arial"/>
                <w:sz w:val="22"/>
                <w:szCs w:val="22"/>
              </w:rPr>
            </w:pPr>
            <w:r>
              <w:rPr>
                <w:rFonts w:ascii="Arial" w:hAnsi="Arial" w:cs="Arial"/>
                <w:sz w:val="22"/>
                <w:szCs w:val="22"/>
              </w:rPr>
              <w:t>2,14 €/m3</w:t>
            </w:r>
          </w:p>
        </w:tc>
      </w:tr>
      <w:tr w:rsidR="009B4233">
        <w:tblPrEx>
          <w:tblCellMar>
            <w:top w:w="0" w:type="dxa"/>
            <w:bottom w:w="0" w:type="dxa"/>
          </w:tblCellMar>
        </w:tblPrEx>
        <w:trPr>
          <w:trHeight w:val="382"/>
        </w:trPr>
        <w:tc>
          <w:tcPr>
            <w:tcW w:w="2836" w:type="dxa"/>
            <w:tcBorders>
              <w:top w:val="single" w:sz="4" w:space="0" w:color="000000"/>
              <w:left w:val="single" w:sz="4" w:space="0" w:color="000000"/>
              <w:bottom w:val="single" w:sz="4" w:space="0" w:color="000000"/>
              <w:right w:val="single" w:sz="4" w:space="0" w:color="000000"/>
            </w:tcBorders>
            <w:shd w:val="clear" w:color="auto" w:fill="auto"/>
            <w:tcMar>
              <w:top w:w="12" w:type="dxa"/>
              <w:left w:w="115" w:type="dxa"/>
              <w:bottom w:w="0" w:type="dxa"/>
              <w:right w:w="115" w:type="dxa"/>
            </w:tcMar>
          </w:tcPr>
          <w:p w:rsidR="009B4233" w:rsidRDefault="006B08B9">
            <w:pPr>
              <w:spacing w:line="249" w:lineRule="auto"/>
              <w:ind w:right="43"/>
              <w:jc w:val="both"/>
              <w:rPr>
                <w:rFonts w:ascii="Arial" w:hAnsi="Arial" w:cs="Arial"/>
                <w:sz w:val="22"/>
                <w:szCs w:val="22"/>
              </w:rPr>
            </w:pPr>
            <w:r>
              <w:rPr>
                <w:rFonts w:ascii="Arial" w:hAnsi="Arial" w:cs="Arial"/>
                <w:sz w:val="22"/>
                <w:szCs w:val="22"/>
              </w:rPr>
              <w:t>Más de 60 m3</w:t>
            </w:r>
          </w:p>
        </w:tc>
        <w:tc>
          <w:tcPr>
            <w:tcW w:w="3270" w:type="dxa"/>
            <w:tcBorders>
              <w:top w:val="single" w:sz="4" w:space="0" w:color="000000"/>
              <w:left w:val="single" w:sz="4" w:space="0" w:color="000000"/>
              <w:bottom w:val="single" w:sz="4" w:space="0" w:color="000000"/>
              <w:right w:val="single" w:sz="4" w:space="0" w:color="000000"/>
            </w:tcBorders>
            <w:shd w:val="clear" w:color="auto" w:fill="auto"/>
            <w:tcMar>
              <w:top w:w="12" w:type="dxa"/>
              <w:left w:w="115" w:type="dxa"/>
              <w:bottom w:w="0" w:type="dxa"/>
              <w:right w:w="115" w:type="dxa"/>
            </w:tcMar>
          </w:tcPr>
          <w:p w:rsidR="009B4233" w:rsidRDefault="006B08B9">
            <w:pPr>
              <w:spacing w:line="249" w:lineRule="auto"/>
              <w:ind w:right="31"/>
              <w:jc w:val="both"/>
              <w:rPr>
                <w:rFonts w:ascii="Arial" w:hAnsi="Arial" w:cs="Arial"/>
                <w:sz w:val="22"/>
                <w:szCs w:val="22"/>
              </w:rPr>
            </w:pPr>
            <w:r>
              <w:rPr>
                <w:rFonts w:ascii="Arial" w:hAnsi="Arial" w:cs="Arial"/>
                <w:sz w:val="22"/>
                <w:szCs w:val="22"/>
              </w:rPr>
              <w:t>3,40 €/m3</w:t>
            </w:r>
          </w:p>
        </w:tc>
      </w:tr>
      <w:tr w:rsidR="009B4233">
        <w:tblPrEx>
          <w:tblCellMar>
            <w:top w:w="0" w:type="dxa"/>
            <w:bottom w:w="0" w:type="dxa"/>
          </w:tblCellMar>
        </w:tblPrEx>
        <w:trPr>
          <w:trHeight w:val="384"/>
        </w:trPr>
        <w:tc>
          <w:tcPr>
            <w:tcW w:w="2836" w:type="dxa"/>
            <w:tcBorders>
              <w:top w:val="single" w:sz="4" w:space="0" w:color="000000"/>
              <w:left w:val="single" w:sz="4" w:space="0" w:color="000000"/>
              <w:bottom w:val="single" w:sz="4" w:space="0" w:color="000000"/>
              <w:right w:val="single" w:sz="4" w:space="0" w:color="000000"/>
            </w:tcBorders>
            <w:shd w:val="clear" w:color="auto" w:fill="auto"/>
            <w:tcMar>
              <w:top w:w="12" w:type="dxa"/>
              <w:left w:w="115" w:type="dxa"/>
              <w:bottom w:w="0" w:type="dxa"/>
              <w:right w:w="115" w:type="dxa"/>
            </w:tcMar>
          </w:tcPr>
          <w:p w:rsidR="009B4233" w:rsidRDefault="006B08B9">
            <w:pPr>
              <w:spacing w:line="249" w:lineRule="auto"/>
              <w:jc w:val="both"/>
            </w:pPr>
            <w:r>
              <w:rPr>
                <w:rFonts w:ascii="Arial" w:eastAsia="Arial" w:hAnsi="Arial" w:cs="Arial"/>
                <w:b/>
                <w:sz w:val="22"/>
                <w:szCs w:val="22"/>
              </w:rPr>
              <w:t>CONSUMO INDUSTRIAL</w:t>
            </w:r>
          </w:p>
        </w:tc>
        <w:tc>
          <w:tcPr>
            <w:tcW w:w="3270" w:type="dxa"/>
            <w:tcBorders>
              <w:top w:val="single" w:sz="4" w:space="0" w:color="000000"/>
              <w:left w:val="single" w:sz="4" w:space="0" w:color="000000"/>
              <w:bottom w:val="single" w:sz="4" w:space="0" w:color="000000"/>
              <w:right w:val="single" w:sz="4" w:space="0" w:color="000000"/>
            </w:tcBorders>
            <w:shd w:val="clear" w:color="auto" w:fill="auto"/>
            <w:tcMar>
              <w:top w:w="12" w:type="dxa"/>
              <w:left w:w="115" w:type="dxa"/>
              <w:bottom w:w="0" w:type="dxa"/>
              <w:right w:w="115" w:type="dxa"/>
            </w:tcMar>
          </w:tcPr>
          <w:p w:rsidR="009B4233" w:rsidRDefault="009B4233">
            <w:pPr>
              <w:spacing w:after="160" w:line="249" w:lineRule="auto"/>
              <w:jc w:val="both"/>
              <w:rPr>
                <w:rFonts w:ascii="Arial" w:hAnsi="Arial" w:cs="Arial"/>
                <w:sz w:val="22"/>
                <w:szCs w:val="22"/>
              </w:rPr>
            </w:pPr>
          </w:p>
        </w:tc>
      </w:tr>
      <w:tr w:rsidR="009B4233">
        <w:tblPrEx>
          <w:tblCellMar>
            <w:top w:w="0" w:type="dxa"/>
            <w:bottom w:w="0" w:type="dxa"/>
          </w:tblCellMar>
        </w:tblPrEx>
        <w:trPr>
          <w:trHeight w:val="382"/>
        </w:trPr>
        <w:tc>
          <w:tcPr>
            <w:tcW w:w="2836" w:type="dxa"/>
            <w:tcBorders>
              <w:top w:val="single" w:sz="4" w:space="0" w:color="000000"/>
              <w:left w:val="single" w:sz="4" w:space="0" w:color="000000"/>
              <w:bottom w:val="single" w:sz="4" w:space="0" w:color="000000"/>
              <w:right w:val="single" w:sz="4" w:space="0" w:color="000000"/>
            </w:tcBorders>
            <w:shd w:val="clear" w:color="auto" w:fill="auto"/>
            <w:tcMar>
              <w:top w:w="12" w:type="dxa"/>
              <w:left w:w="115" w:type="dxa"/>
              <w:bottom w:w="0" w:type="dxa"/>
              <w:right w:w="115" w:type="dxa"/>
            </w:tcMar>
          </w:tcPr>
          <w:p w:rsidR="009B4233" w:rsidRDefault="006B08B9">
            <w:pPr>
              <w:spacing w:line="249" w:lineRule="auto"/>
              <w:ind w:right="31"/>
              <w:jc w:val="both"/>
              <w:rPr>
                <w:rFonts w:ascii="Arial" w:hAnsi="Arial" w:cs="Arial"/>
                <w:sz w:val="22"/>
                <w:szCs w:val="22"/>
              </w:rPr>
            </w:pPr>
            <w:r>
              <w:rPr>
                <w:rFonts w:ascii="Arial" w:hAnsi="Arial" w:cs="Arial"/>
                <w:sz w:val="22"/>
                <w:szCs w:val="22"/>
              </w:rPr>
              <w:t>CUOTA FIJA</w:t>
            </w:r>
          </w:p>
        </w:tc>
        <w:tc>
          <w:tcPr>
            <w:tcW w:w="3270" w:type="dxa"/>
            <w:tcBorders>
              <w:top w:val="single" w:sz="4" w:space="0" w:color="000000"/>
              <w:left w:val="single" w:sz="4" w:space="0" w:color="000000"/>
              <w:bottom w:val="single" w:sz="4" w:space="0" w:color="000000"/>
              <w:right w:val="single" w:sz="4" w:space="0" w:color="000000"/>
            </w:tcBorders>
            <w:shd w:val="clear" w:color="auto" w:fill="auto"/>
            <w:tcMar>
              <w:top w:w="12" w:type="dxa"/>
              <w:left w:w="115" w:type="dxa"/>
              <w:bottom w:w="0" w:type="dxa"/>
              <w:right w:w="115" w:type="dxa"/>
            </w:tcMar>
          </w:tcPr>
          <w:p w:rsidR="009B4233" w:rsidRDefault="006B08B9">
            <w:pPr>
              <w:spacing w:line="249" w:lineRule="auto"/>
              <w:ind w:right="30"/>
              <w:jc w:val="both"/>
              <w:rPr>
                <w:rFonts w:ascii="Arial" w:hAnsi="Arial" w:cs="Arial"/>
                <w:sz w:val="22"/>
                <w:szCs w:val="22"/>
              </w:rPr>
            </w:pPr>
            <w:r>
              <w:rPr>
                <w:rFonts w:ascii="Arial" w:hAnsi="Arial" w:cs="Arial"/>
                <w:sz w:val="22"/>
                <w:szCs w:val="22"/>
              </w:rPr>
              <w:t>20,66 €</w:t>
            </w:r>
          </w:p>
        </w:tc>
      </w:tr>
      <w:tr w:rsidR="009B4233">
        <w:tblPrEx>
          <w:tblCellMar>
            <w:top w:w="0" w:type="dxa"/>
            <w:bottom w:w="0" w:type="dxa"/>
          </w:tblCellMar>
        </w:tblPrEx>
        <w:trPr>
          <w:trHeight w:val="384"/>
        </w:trPr>
        <w:tc>
          <w:tcPr>
            <w:tcW w:w="2836" w:type="dxa"/>
            <w:tcBorders>
              <w:top w:val="single" w:sz="4" w:space="0" w:color="000000"/>
              <w:left w:val="single" w:sz="4" w:space="0" w:color="000000"/>
              <w:bottom w:val="single" w:sz="4" w:space="0" w:color="000000"/>
              <w:right w:val="single" w:sz="4" w:space="0" w:color="000000"/>
            </w:tcBorders>
            <w:shd w:val="clear" w:color="auto" w:fill="auto"/>
            <w:tcMar>
              <w:top w:w="12" w:type="dxa"/>
              <w:left w:w="115" w:type="dxa"/>
              <w:bottom w:w="0" w:type="dxa"/>
              <w:right w:w="115" w:type="dxa"/>
            </w:tcMar>
          </w:tcPr>
          <w:p w:rsidR="009B4233" w:rsidRDefault="006B08B9">
            <w:pPr>
              <w:spacing w:line="249" w:lineRule="auto"/>
              <w:ind w:right="31"/>
              <w:jc w:val="both"/>
              <w:rPr>
                <w:rFonts w:ascii="Arial" w:hAnsi="Arial" w:cs="Arial"/>
                <w:sz w:val="22"/>
                <w:szCs w:val="22"/>
              </w:rPr>
            </w:pPr>
            <w:r>
              <w:rPr>
                <w:rFonts w:ascii="Arial" w:hAnsi="Arial" w:cs="Arial"/>
                <w:sz w:val="22"/>
                <w:szCs w:val="22"/>
              </w:rPr>
              <w:t>De 1 a 10 m3</w:t>
            </w:r>
          </w:p>
        </w:tc>
        <w:tc>
          <w:tcPr>
            <w:tcW w:w="3270" w:type="dxa"/>
            <w:tcBorders>
              <w:top w:val="single" w:sz="4" w:space="0" w:color="000000"/>
              <w:left w:val="single" w:sz="4" w:space="0" w:color="000000"/>
              <w:bottom w:val="single" w:sz="4" w:space="0" w:color="000000"/>
              <w:right w:val="single" w:sz="4" w:space="0" w:color="000000"/>
            </w:tcBorders>
            <w:shd w:val="clear" w:color="auto" w:fill="auto"/>
            <w:tcMar>
              <w:top w:w="12" w:type="dxa"/>
              <w:left w:w="115" w:type="dxa"/>
              <w:bottom w:w="0" w:type="dxa"/>
              <w:right w:w="115" w:type="dxa"/>
            </w:tcMar>
          </w:tcPr>
          <w:p w:rsidR="009B4233" w:rsidRDefault="006B08B9">
            <w:pPr>
              <w:spacing w:line="249" w:lineRule="auto"/>
              <w:ind w:right="31"/>
              <w:jc w:val="both"/>
              <w:rPr>
                <w:rFonts w:ascii="Arial" w:hAnsi="Arial" w:cs="Arial"/>
                <w:sz w:val="22"/>
                <w:szCs w:val="22"/>
              </w:rPr>
            </w:pPr>
            <w:r>
              <w:rPr>
                <w:rFonts w:ascii="Arial" w:hAnsi="Arial" w:cs="Arial"/>
                <w:sz w:val="22"/>
                <w:szCs w:val="22"/>
              </w:rPr>
              <w:t>0,87 €/m3</w:t>
            </w:r>
          </w:p>
        </w:tc>
      </w:tr>
      <w:tr w:rsidR="009B4233">
        <w:tblPrEx>
          <w:tblCellMar>
            <w:top w:w="0" w:type="dxa"/>
            <w:bottom w:w="0" w:type="dxa"/>
          </w:tblCellMar>
        </w:tblPrEx>
        <w:trPr>
          <w:trHeight w:val="382"/>
        </w:trPr>
        <w:tc>
          <w:tcPr>
            <w:tcW w:w="2836" w:type="dxa"/>
            <w:tcBorders>
              <w:top w:val="single" w:sz="4" w:space="0" w:color="000000"/>
              <w:left w:val="single" w:sz="4" w:space="0" w:color="000000"/>
              <w:bottom w:val="single" w:sz="4" w:space="0" w:color="000000"/>
              <w:right w:val="single" w:sz="4" w:space="0" w:color="000000"/>
            </w:tcBorders>
            <w:shd w:val="clear" w:color="auto" w:fill="auto"/>
            <w:tcMar>
              <w:top w:w="12" w:type="dxa"/>
              <w:left w:w="115" w:type="dxa"/>
              <w:bottom w:w="0" w:type="dxa"/>
              <w:right w:w="115" w:type="dxa"/>
            </w:tcMar>
          </w:tcPr>
          <w:p w:rsidR="009B4233" w:rsidRDefault="006B08B9">
            <w:pPr>
              <w:spacing w:line="249" w:lineRule="auto"/>
              <w:ind w:right="43"/>
              <w:jc w:val="both"/>
              <w:rPr>
                <w:rFonts w:ascii="Arial" w:hAnsi="Arial" w:cs="Arial"/>
                <w:sz w:val="22"/>
                <w:szCs w:val="22"/>
              </w:rPr>
            </w:pPr>
            <w:r>
              <w:rPr>
                <w:rFonts w:ascii="Arial" w:hAnsi="Arial" w:cs="Arial"/>
                <w:sz w:val="22"/>
                <w:szCs w:val="22"/>
              </w:rPr>
              <w:t>De 11 a 30 m3</w:t>
            </w:r>
          </w:p>
        </w:tc>
        <w:tc>
          <w:tcPr>
            <w:tcW w:w="3270" w:type="dxa"/>
            <w:tcBorders>
              <w:top w:val="single" w:sz="4" w:space="0" w:color="000000"/>
              <w:left w:val="single" w:sz="4" w:space="0" w:color="000000"/>
              <w:bottom w:val="single" w:sz="4" w:space="0" w:color="000000"/>
              <w:right w:val="single" w:sz="4" w:space="0" w:color="000000"/>
            </w:tcBorders>
            <w:shd w:val="clear" w:color="auto" w:fill="auto"/>
            <w:tcMar>
              <w:top w:w="12" w:type="dxa"/>
              <w:left w:w="115" w:type="dxa"/>
              <w:bottom w:w="0" w:type="dxa"/>
              <w:right w:w="115" w:type="dxa"/>
            </w:tcMar>
          </w:tcPr>
          <w:p w:rsidR="009B4233" w:rsidRDefault="006B08B9">
            <w:pPr>
              <w:spacing w:line="249" w:lineRule="auto"/>
              <w:ind w:right="31"/>
              <w:jc w:val="both"/>
              <w:rPr>
                <w:rFonts w:ascii="Arial" w:hAnsi="Arial" w:cs="Arial"/>
                <w:sz w:val="22"/>
                <w:szCs w:val="22"/>
              </w:rPr>
            </w:pPr>
            <w:r>
              <w:rPr>
                <w:rFonts w:ascii="Arial" w:hAnsi="Arial" w:cs="Arial"/>
                <w:sz w:val="22"/>
                <w:szCs w:val="22"/>
              </w:rPr>
              <w:t>1,80 €/m3</w:t>
            </w:r>
          </w:p>
        </w:tc>
      </w:tr>
      <w:tr w:rsidR="009B4233">
        <w:tblPrEx>
          <w:tblCellMar>
            <w:top w:w="0" w:type="dxa"/>
            <w:bottom w:w="0" w:type="dxa"/>
          </w:tblCellMar>
        </w:tblPrEx>
        <w:trPr>
          <w:trHeight w:val="382"/>
        </w:trPr>
        <w:tc>
          <w:tcPr>
            <w:tcW w:w="2836" w:type="dxa"/>
            <w:tcBorders>
              <w:top w:val="single" w:sz="4" w:space="0" w:color="000000"/>
              <w:left w:val="single" w:sz="4" w:space="0" w:color="000000"/>
              <w:bottom w:val="single" w:sz="4" w:space="0" w:color="000000"/>
              <w:right w:val="single" w:sz="4" w:space="0" w:color="000000"/>
            </w:tcBorders>
            <w:shd w:val="clear" w:color="auto" w:fill="auto"/>
            <w:tcMar>
              <w:top w:w="12" w:type="dxa"/>
              <w:left w:w="115" w:type="dxa"/>
              <w:bottom w:w="0" w:type="dxa"/>
              <w:right w:w="115" w:type="dxa"/>
            </w:tcMar>
          </w:tcPr>
          <w:p w:rsidR="009B4233" w:rsidRDefault="006B08B9">
            <w:pPr>
              <w:spacing w:line="249" w:lineRule="auto"/>
              <w:ind w:right="8"/>
              <w:jc w:val="both"/>
              <w:rPr>
                <w:rFonts w:ascii="Arial" w:hAnsi="Arial" w:cs="Arial"/>
                <w:sz w:val="22"/>
                <w:szCs w:val="22"/>
              </w:rPr>
            </w:pPr>
            <w:r>
              <w:rPr>
                <w:rFonts w:ascii="Arial" w:hAnsi="Arial" w:cs="Arial"/>
                <w:sz w:val="22"/>
                <w:szCs w:val="22"/>
              </w:rPr>
              <w:t>De 31 a 60 m3</w:t>
            </w:r>
          </w:p>
        </w:tc>
        <w:tc>
          <w:tcPr>
            <w:tcW w:w="3270" w:type="dxa"/>
            <w:tcBorders>
              <w:top w:val="single" w:sz="4" w:space="0" w:color="000000"/>
              <w:left w:val="single" w:sz="4" w:space="0" w:color="000000"/>
              <w:bottom w:val="single" w:sz="4" w:space="0" w:color="000000"/>
              <w:right w:val="single" w:sz="4" w:space="0" w:color="000000"/>
            </w:tcBorders>
            <w:shd w:val="clear" w:color="auto" w:fill="auto"/>
            <w:tcMar>
              <w:top w:w="12" w:type="dxa"/>
              <w:left w:w="115" w:type="dxa"/>
              <w:bottom w:w="0" w:type="dxa"/>
              <w:right w:w="115" w:type="dxa"/>
            </w:tcMar>
          </w:tcPr>
          <w:p w:rsidR="009B4233" w:rsidRDefault="006B08B9">
            <w:pPr>
              <w:spacing w:line="249" w:lineRule="auto"/>
              <w:ind w:left="4"/>
              <w:jc w:val="both"/>
              <w:rPr>
                <w:rFonts w:ascii="Arial" w:hAnsi="Arial" w:cs="Arial"/>
                <w:sz w:val="22"/>
                <w:szCs w:val="22"/>
              </w:rPr>
            </w:pPr>
            <w:r>
              <w:rPr>
                <w:rFonts w:ascii="Arial" w:hAnsi="Arial" w:cs="Arial"/>
                <w:sz w:val="22"/>
                <w:szCs w:val="22"/>
              </w:rPr>
              <w:t>2,77 €/m3</w:t>
            </w:r>
          </w:p>
        </w:tc>
      </w:tr>
      <w:tr w:rsidR="009B4233">
        <w:tblPrEx>
          <w:tblCellMar>
            <w:top w:w="0" w:type="dxa"/>
            <w:bottom w:w="0" w:type="dxa"/>
          </w:tblCellMar>
        </w:tblPrEx>
        <w:trPr>
          <w:trHeight w:val="384"/>
        </w:trPr>
        <w:tc>
          <w:tcPr>
            <w:tcW w:w="2836" w:type="dxa"/>
            <w:tcBorders>
              <w:top w:val="single" w:sz="4" w:space="0" w:color="000000"/>
              <w:left w:val="single" w:sz="4" w:space="0" w:color="000000"/>
              <w:bottom w:val="single" w:sz="4" w:space="0" w:color="000000"/>
              <w:right w:val="single" w:sz="4" w:space="0" w:color="000000"/>
            </w:tcBorders>
            <w:shd w:val="clear" w:color="auto" w:fill="auto"/>
            <w:tcMar>
              <w:top w:w="12" w:type="dxa"/>
              <w:left w:w="115" w:type="dxa"/>
              <w:bottom w:w="0" w:type="dxa"/>
              <w:right w:w="115" w:type="dxa"/>
            </w:tcMar>
          </w:tcPr>
          <w:p w:rsidR="009B4233" w:rsidRDefault="006B08B9">
            <w:pPr>
              <w:spacing w:line="249" w:lineRule="auto"/>
              <w:ind w:right="8"/>
              <w:jc w:val="both"/>
              <w:rPr>
                <w:rFonts w:ascii="Arial" w:hAnsi="Arial" w:cs="Arial"/>
                <w:sz w:val="22"/>
                <w:szCs w:val="22"/>
              </w:rPr>
            </w:pPr>
            <w:r>
              <w:rPr>
                <w:rFonts w:ascii="Arial" w:hAnsi="Arial" w:cs="Arial"/>
                <w:sz w:val="22"/>
                <w:szCs w:val="22"/>
              </w:rPr>
              <w:t>Más de 60 m3</w:t>
            </w:r>
          </w:p>
        </w:tc>
        <w:tc>
          <w:tcPr>
            <w:tcW w:w="3270" w:type="dxa"/>
            <w:tcBorders>
              <w:top w:val="single" w:sz="4" w:space="0" w:color="000000"/>
              <w:left w:val="single" w:sz="4" w:space="0" w:color="000000"/>
              <w:bottom w:val="single" w:sz="4" w:space="0" w:color="000000"/>
              <w:right w:val="single" w:sz="4" w:space="0" w:color="000000"/>
            </w:tcBorders>
            <w:shd w:val="clear" w:color="auto" w:fill="auto"/>
            <w:tcMar>
              <w:top w:w="12" w:type="dxa"/>
              <w:left w:w="115" w:type="dxa"/>
              <w:bottom w:w="0" w:type="dxa"/>
              <w:right w:w="115" w:type="dxa"/>
            </w:tcMar>
          </w:tcPr>
          <w:p w:rsidR="009B4233" w:rsidRDefault="006B08B9">
            <w:pPr>
              <w:spacing w:line="249" w:lineRule="auto"/>
              <w:ind w:left="4"/>
              <w:jc w:val="both"/>
              <w:rPr>
                <w:rFonts w:ascii="Arial" w:hAnsi="Arial" w:cs="Arial"/>
                <w:sz w:val="22"/>
                <w:szCs w:val="22"/>
              </w:rPr>
            </w:pPr>
            <w:r>
              <w:rPr>
                <w:rFonts w:ascii="Arial" w:hAnsi="Arial" w:cs="Arial"/>
                <w:sz w:val="22"/>
                <w:szCs w:val="22"/>
              </w:rPr>
              <w:t>3,84 €/m3</w:t>
            </w:r>
          </w:p>
        </w:tc>
      </w:tr>
    </w:tbl>
    <w:p w:rsidR="009B4233" w:rsidRDefault="006B08B9">
      <w:pPr>
        <w:widowControl/>
        <w:numPr>
          <w:ilvl w:val="0"/>
          <w:numId w:val="54"/>
        </w:numPr>
        <w:suppressAutoHyphens w:val="0"/>
        <w:spacing w:after="80" w:line="249" w:lineRule="auto"/>
        <w:ind w:left="1021" w:hanging="360"/>
        <w:jc w:val="both"/>
        <w:textAlignment w:val="auto"/>
      </w:pPr>
      <w:r>
        <w:rPr>
          <w:rFonts w:ascii="Arial" w:eastAsia="Arial" w:hAnsi="Arial" w:cs="Arial"/>
          <w:b/>
          <w:sz w:val="22"/>
          <w:szCs w:val="22"/>
        </w:rPr>
        <w:t>SANEAMIENTO:</w:t>
      </w:r>
    </w:p>
    <w:p w:rsidR="009B4233" w:rsidRDefault="006B08B9">
      <w:pPr>
        <w:pStyle w:val="Ttulo2"/>
        <w:ind w:left="1144"/>
        <w:jc w:val="both"/>
        <w:rPr>
          <w:rFonts w:ascii="Arial" w:hAnsi="Arial" w:cs="Arial"/>
          <w:sz w:val="22"/>
          <w:szCs w:val="22"/>
        </w:rPr>
      </w:pPr>
      <w:r>
        <w:rPr>
          <w:rFonts w:ascii="Arial" w:hAnsi="Arial" w:cs="Arial"/>
          <w:sz w:val="22"/>
          <w:szCs w:val="22"/>
        </w:rPr>
        <w:t>1.- Consumo Doméstico</w:t>
      </w:r>
    </w:p>
    <w:tbl>
      <w:tblPr>
        <w:tblW w:w="6430" w:type="dxa"/>
        <w:tblInd w:w="2714" w:type="dxa"/>
        <w:tblCellMar>
          <w:left w:w="10" w:type="dxa"/>
          <w:right w:w="10" w:type="dxa"/>
        </w:tblCellMar>
        <w:tblLook w:val="0000" w:firstRow="0" w:lastRow="0" w:firstColumn="0" w:lastColumn="0" w:noHBand="0" w:noVBand="0"/>
      </w:tblPr>
      <w:tblGrid>
        <w:gridCol w:w="3210"/>
        <w:gridCol w:w="3220"/>
      </w:tblGrid>
      <w:tr w:rsidR="009B4233">
        <w:tblPrEx>
          <w:tblCellMar>
            <w:top w:w="0" w:type="dxa"/>
            <w:bottom w:w="0" w:type="dxa"/>
          </w:tblCellMar>
        </w:tblPrEx>
        <w:trPr>
          <w:trHeight w:val="300"/>
        </w:trPr>
        <w:tc>
          <w:tcPr>
            <w:tcW w:w="3210" w:type="dxa"/>
            <w:tcBorders>
              <w:top w:val="single" w:sz="4" w:space="0" w:color="000000"/>
              <w:left w:val="single" w:sz="4" w:space="0" w:color="000000"/>
              <w:bottom w:val="single" w:sz="4" w:space="0" w:color="000000"/>
              <w:right w:val="single" w:sz="4" w:space="0" w:color="000000"/>
            </w:tcBorders>
            <w:shd w:val="clear" w:color="auto" w:fill="auto"/>
            <w:tcMar>
              <w:top w:w="12" w:type="dxa"/>
              <w:left w:w="110" w:type="dxa"/>
              <w:bottom w:w="0" w:type="dxa"/>
              <w:right w:w="106" w:type="dxa"/>
            </w:tcMar>
          </w:tcPr>
          <w:p w:rsidR="009B4233" w:rsidRDefault="006B08B9">
            <w:pPr>
              <w:spacing w:line="249" w:lineRule="auto"/>
              <w:jc w:val="both"/>
            </w:pPr>
            <w:r>
              <w:rPr>
                <w:rFonts w:ascii="Arial" w:eastAsia="Arial" w:hAnsi="Arial" w:cs="Arial"/>
                <w:b/>
                <w:sz w:val="22"/>
                <w:szCs w:val="22"/>
              </w:rPr>
              <w:t xml:space="preserve">Bloque de Consumo </w:t>
            </w:r>
          </w:p>
        </w:tc>
        <w:tc>
          <w:tcPr>
            <w:tcW w:w="3220" w:type="dxa"/>
            <w:tcBorders>
              <w:top w:val="single" w:sz="4" w:space="0" w:color="000000"/>
              <w:left w:val="single" w:sz="4" w:space="0" w:color="000000"/>
              <w:bottom w:val="single" w:sz="4" w:space="0" w:color="000000"/>
              <w:right w:val="single" w:sz="4" w:space="0" w:color="000000"/>
            </w:tcBorders>
            <w:shd w:val="clear" w:color="auto" w:fill="auto"/>
            <w:tcMar>
              <w:top w:w="12" w:type="dxa"/>
              <w:left w:w="110" w:type="dxa"/>
              <w:bottom w:w="0" w:type="dxa"/>
              <w:right w:w="106" w:type="dxa"/>
            </w:tcMar>
          </w:tcPr>
          <w:p w:rsidR="009B4233" w:rsidRDefault="006B08B9">
            <w:pPr>
              <w:spacing w:line="249" w:lineRule="auto"/>
              <w:ind w:right="1"/>
              <w:jc w:val="both"/>
            </w:pPr>
            <w:r>
              <w:rPr>
                <w:rFonts w:ascii="Arial" w:eastAsia="Arial" w:hAnsi="Arial" w:cs="Arial"/>
                <w:b/>
                <w:sz w:val="22"/>
                <w:szCs w:val="22"/>
              </w:rPr>
              <w:t>Importe</w:t>
            </w:r>
          </w:p>
        </w:tc>
      </w:tr>
      <w:tr w:rsidR="009B4233">
        <w:tblPrEx>
          <w:tblCellMar>
            <w:top w:w="0" w:type="dxa"/>
            <w:bottom w:w="0" w:type="dxa"/>
          </w:tblCellMar>
        </w:tblPrEx>
        <w:trPr>
          <w:trHeight w:val="264"/>
        </w:trPr>
        <w:tc>
          <w:tcPr>
            <w:tcW w:w="3210" w:type="dxa"/>
            <w:tcBorders>
              <w:top w:val="single" w:sz="4" w:space="0" w:color="000000"/>
              <w:left w:val="single" w:sz="4" w:space="0" w:color="000000"/>
              <w:bottom w:val="single" w:sz="4" w:space="0" w:color="000000"/>
              <w:right w:val="single" w:sz="4" w:space="0" w:color="000000"/>
            </w:tcBorders>
            <w:shd w:val="clear" w:color="auto" w:fill="auto"/>
            <w:tcMar>
              <w:top w:w="12" w:type="dxa"/>
              <w:left w:w="110" w:type="dxa"/>
              <w:bottom w:w="0" w:type="dxa"/>
              <w:right w:w="106" w:type="dxa"/>
            </w:tcMar>
          </w:tcPr>
          <w:p w:rsidR="009B4233" w:rsidRDefault="006B08B9">
            <w:pPr>
              <w:spacing w:line="249" w:lineRule="auto"/>
              <w:jc w:val="both"/>
              <w:rPr>
                <w:rFonts w:ascii="Arial" w:hAnsi="Arial" w:cs="Arial"/>
                <w:sz w:val="22"/>
                <w:szCs w:val="22"/>
              </w:rPr>
            </w:pPr>
            <w:r>
              <w:rPr>
                <w:rFonts w:ascii="Arial" w:hAnsi="Arial" w:cs="Arial"/>
                <w:sz w:val="22"/>
                <w:szCs w:val="22"/>
              </w:rPr>
              <w:t>Mínimo de 10 m3</w:t>
            </w:r>
          </w:p>
        </w:tc>
        <w:tc>
          <w:tcPr>
            <w:tcW w:w="3220" w:type="dxa"/>
            <w:tcBorders>
              <w:top w:val="single" w:sz="4" w:space="0" w:color="000000"/>
              <w:left w:val="single" w:sz="4" w:space="0" w:color="000000"/>
              <w:bottom w:val="single" w:sz="4" w:space="0" w:color="000000"/>
              <w:right w:val="single" w:sz="4" w:space="0" w:color="000000"/>
            </w:tcBorders>
            <w:shd w:val="clear" w:color="auto" w:fill="auto"/>
            <w:tcMar>
              <w:top w:w="12" w:type="dxa"/>
              <w:left w:w="110" w:type="dxa"/>
              <w:bottom w:w="0" w:type="dxa"/>
              <w:right w:w="106" w:type="dxa"/>
            </w:tcMar>
          </w:tcPr>
          <w:p w:rsidR="009B4233" w:rsidRDefault="006B08B9">
            <w:pPr>
              <w:spacing w:line="249" w:lineRule="auto"/>
              <w:jc w:val="both"/>
              <w:rPr>
                <w:rFonts w:ascii="Arial" w:hAnsi="Arial" w:cs="Arial"/>
                <w:sz w:val="22"/>
                <w:szCs w:val="22"/>
              </w:rPr>
            </w:pPr>
            <w:r>
              <w:rPr>
                <w:rFonts w:ascii="Arial" w:hAnsi="Arial" w:cs="Arial"/>
                <w:sz w:val="22"/>
                <w:szCs w:val="22"/>
              </w:rPr>
              <w:t>1,76  euros</w:t>
            </w:r>
          </w:p>
        </w:tc>
      </w:tr>
      <w:tr w:rsidR="009B4233">
        <w:tblPrEx>
          <w:tblCellMar>
            <w:top w:w="0" w:type="dxa"/>
            <w:bottom w:w="0" w:type="dxa"/>
          </w:tblCellMar>
        </w:tblPrEx>
        <w:trPr>
          <w:trHeight w:val="262"/>
        </w:trPr>
        <w:tc>
          <w:tcPr>
            <w:tcW w:w="3210" w:type="dxa"/>
            <w:tcBorders>
              <w:top w:val="single" w:sz="4" w:space="0" w:color="000000"/>
              <w:left w:val="single" w:sz="4" w:space="0" w:color="000000"/>
              <w:bottom w:val="single" w:sz="4" w:space="0" w:color="000000"/>
              <w:right w:val="single" w:sz="4" w:space="0" w:color="000000"/>
            </w:tcBorders>
            <w:shd w:val="clear" w:color="auto" w:fill="auto"/>
            <w:tcMar>
              <w:top w:w="12" w:type="dxa"/>
              <w:left w:w="110" w:type="dxa"/>
              <w:bottom w:w="0" w:type="dxa"/>
              <w:right w:w="106" w:type="dxa"/>
            </w:tcMar>
          </w:tcPr>
          <w:p w:rsidR="009B4233" w:rsidRDefault="006B08B9">
            <w:pPr>
              <w:spacing w:line="249" w:lineRule="auto"/>
              <w:jc w:val="both"/>
              <w:rPr>
                <w:rFonts w:ascii="Arial" w:hAnsi="Arial" w:cs="Arial"/>
                <w:sz w:val="22"/>
                <w:szCs w:val="22"/>
              </w:rPr>
            </w:pPr>
            <w:r>
              <w:rPr>
                <w:rFonts w:ascii="Arial" w:hAnsi="Arial" w:cs="Arial"/>
                <w:sz w:val="22"/>
                <w:szCs w:val="22"/>
              </w:rPr>
              <w:t>Mas de 10 m3</w:t>
            </w:r>
          </w:p>
        </w:tc>
        <w:tc>
          <w:tcPr>
            <w:tcW w:w="3220" w:type="dxa"/>
            <w:tcBorders>
              <w:top w:val="single" w:sz="4" w:space="0" w:color="000000"/>
              <w:left w:val="single" w:sz="4" w:space="0" w:color="000000"/>
              <w:bottom w:val="single" w:sz="4" w:space="0" w:color="000000"/>
              <w:right w:val="single" w:sz="4" w:space="0" w:color="000000"/>
            </w:tcBorders>
            <w:shd w:val="clear" w:color="auto" w:fill="auto"/>
            <w:tcMar>
              <w:top w:w="12" w:type="dxa"/>
              <w:left w:w="110" w:type="dxa"/>
              <w:bottom w:w="0" w:type="dxa"/>
              <w:right w:w="106" w:type="dxa"/>
            </w:tcMar>
          </w:tcPr>
          <w:p w:rsidR="009B4233" w:rsidRDefault="006B08B9">
            <w:pPr>
              <w:spacing w:line="249" w:lineRule="auto"/>
              <w:jc w:val="both"/>
              <w:rPr>
                <w:rFonts w:ascii="Arial" w:hAnsi="Arial" w:cs="Arial"/>
                <w:sz w:val="22"/>
                <w:szCs w:val="22"/>
              </w:rPr>
            </w:pPr>
            <w:r>
              <w:rPr>
                <w:rFonts w:ascii="Arial" w:hAnsi="Arial" w:cs="Arial"/>
                <w:sz w:val="22"/>
                <w:szCs w:val="22"/>
              </w:rPr>
              <w:t>0,176 euros/m3</w:t>
            </w:r>
          </w:p>
        </w:tc>
      </w:tr>
    </w:tbl>
    <w:p w:rsidR="009B4233" w:rsidRDefault="006B08B9">
      <w:pPr>
        <w:pStyle w:val="Ttulo2"/>
        <w:ind w:left="1144"/>
        <w:jc w:val="both"/>
        <w:rPr>
          <w:rFonts w:ascii="Arial" w:hAnsi="Arial" w:cs="Arial"/>
          <w:sz w:val="22"/>
          <w:szCs w:val="22"/>
        </w:rPr>
      </w:pPr>
      <w:r>
        <w:rPr>
          <w:rFonts w:ascii="Arial" w:hAnsi="Arial" w:cs="Arial"/>
          <w:sz w:val="22"/>
          <w:szCs w:val="22"/>
        </w:rPr>
        <w:t>2.- Consumo Industrial</w:t>
      </w:r>
    </w:p>
    <w:tbl>
      <w:tblPr>
        <w:tblW w:w="6430" w:type="dxa"/>
        <w:tblInd w:w="2714" w:type="dxa"/>
        <w:tblCellMar>
          <w:left w:w="10" w:type="dxa"/>
          <w:right w:w="10" w:type="dxa"/>
        </w:tblCellMar>
        <w:tblLook w:val="0000" w:firstRow="0" w:lastRow="0" w:firstColumn="0" w:lastColumn="0" w:noHBand="0" w:noVBand="0"/>
      </w:tblPr>
      <w:tblGrid>
        <w:gridCol w:w="3210"/>
        <w:gridCol w:w="3220"/>
      </w:tblGrid>
      <w:tr w:rsidR="009B4233">
        <w:tblPrEx>
          <w:tblCellMar>
            <w:top w:w="0" w:type="dxa"/>
            <w:bottom w:w="0" w:type="dxa"/>
          </w:tblCellMar>
        </w:tblPrEx>
        <w:trPr>
          <w:trHeight w:val="300"/>
        </w:trPr>
        <w:tc>
          <w:tcPr>
            <w:tcW w:w="3210" w:type="dxa"/>
            <w:tcBorders>
              <w:top w:val="single" w:sz="4" w:space="0" w:color="000000"/>
              <w:left w:val="single" w:sz="4" w:space="0" w:color="000000"/>
              <w:bottom w:val="single" w:sz="4" w:space="0" w:color="000000"/>
              <w:right w:val="single" w:sz="4" w:space="0" w:color="000000"/>
            </w:tcBorders>
            <w:shd w:val="clear" w:color="auto" w:fill="auto"/>
            <w:tcMar>
              <w:top w:w="12" w:type="dxa"/>
              <w:left w:w="110" w:type="dxa"/>
              <w:bottom w:w="0" w:type="dxa"/>
              <w:right w:w="106" w:type="dxa"/>
            </w:tcMar>
          </w:tcPr>
          <w:p w:rsidR="009B4233" w:rsidRDefault="006B08B9">
            <w:pPr>
              <w:spacing w:line="249" w:lineRule="auto"/>
              <w:jc w:val="both"/>
            </w:pPr>
            <w:r>
              <w:rPr>
                <w:rFonts w:ascii="Arial" w:eastAsia="Arial" w:hAnsi="Arial" w:cs="Arial"/>
                <w:b/>
                <w:sz w:val="22"/>
                <w:szCs w:val="22"/>
              </w:rPr>
              <w:t xml:space="preserve">Bloque de Consumo </w:t>
            </w:r>
          </w:p>
        </w:tc>
        <w:tc>
          <w:tcPr>
            <w:tcW w:w="3220" w:type="dxa"/>
            <w:tcBorders>
              <w:top w:val="single" w:sz="4" w:space="0" w:color="000000"/>
              <w:left w:val="single" w:sz="4" w:space="0" w:color="000000"/>
              <w:bottom w:val="single" w:sz="4" w:space="0" w:color="000000"/>
              <w:right w:val="single" w:sz="4" w:space="0" w:color="000000"/>
            </w:tcBorders>
            <w:shd w:val="clear" w:color="auto" w:fill="auto"/>
            <w:tcMar>
              <w:top w:w="12" w:type="dxa"/>
              <w:left w:w="110" w:type="dxa"/>
              <w:bottom w:w="0" w:type="dxa"/>
              <w:right w:w="106" w:type="dxa"/>
            </w:tcMar>
          </w:tcPr>
          <w:p w:rsidR="009B4233" w:rsidRDefault="006B08B9">
            <w:pPr>
              <w:spacing w:line="249" w:lineRule="auto"/>
              <w:ind w:right="1"/>
              <w:jc w:val="both"/>
            </w:pPr>
            <w:r>
              <w:rPr>
                <w:rFonts w:ascii="Arial" w:eastAsia="Arial" w:hAnsi="Arial" w:cs="Arial"/>
                <w:b/>
                <w:sz w:val="22"/>
                <w:szCs w:val="22"/>
              </w:rPr>
              <w:t>Importe</w:t>
            </w:r>
          </w:p>
        </w:tc>
      </w:tr>
      <w:tr w:rsidR="009B4233">
        <w:tblPrEx>
          <w:tblCellMar>
            <w:top w:w="0" w:type="dxa"/>
            <w:bottom w:w="0" w:type="dxa"/>
          </w:tblCellMar>
        </w:tblPrEx>
        <w:trPr>
          <w:trHeight w:val="262"/>
        </w:trPr>
        <w:tc>
          <w:tcPr>
            <w:tcW w:w="3210" w:type="dxa"/>
            <w:tcBorders>
              <w:top w:val="single" w:sz="4" w:space="0" w:color="000000"/>
              <w:left w:val="single" w:sz="4" w:space="0" w:color="000000"/>
              <w:bottom w:val="single" w:sz="4" w:space="0" w:color="000000"/>
              <w:right w:val="single" w:sz="4" w:space="0" w:color="000000"/>
            </w:tcBorders>
            <w:shd w:val="clear" w:color="auto" w:fill="auto"/>
            <w:tcMar>
              <w:top w:w="12" w:type="dxa"/>
              <w:left w:w="110" w:type="dxa"/>
              <w:bottom w:w="0" w:type="dxa"/>
              <w:right w:w="106" w:type="dxa"/>
            </w:tcMar>
          </w:tcPr>
          <w:p w:rsidR="009B4233" w:rsidRDefault="006B08B9">
            <w:pPr>
              <w:spacing w:line="249" w:lineRule="auto"/>
              <w:jc w:val="both"/>
              <w:rPr>
                <w:rFonts w:ascii="Arial" w:hAnsi="Arial" w:cs="Arial"/>
                <w:sz w:val="22"/>
                <w:szCs w:val="22"/>
              </w:rPr>
            </w:pPr>
            <w:r>
              <w:rPr>
                <w:rFonts w:ascii="Arial" w:hAnsi="Arial" w:cs="Arial"/>
                <w:sz w:val="22"/>
                <w:szCs w:val="22"/>
              </w:rPr>
              <w:t>Mínimo de 10 m3</w:t>
            </w:r>
          </w:p>
        </w:tc>
        <w:tc>
          <w:tcPr>
            <w:tcW w:w="3220" w:type="dxa"/>
            <w:tcBorders>
              <w:top w:val="single" w:sz="4" w:space="0" w:color="000000"/>
              <w:left w:val="single" w:sz="4" w:space="0" w:color="000000"/>
              <w:bottom w:val="single" w:sz="4" w:space="0" w:color="000000"/>
              <w:right w:val="single" w:sz="4" w:space="0" w:color="000000"/>
            </w:tcBorders>
            <w:shd w:val="clear" w:color="auto" w:fill="auto"/>
            <w:tcMar>
              <w:top w:w="12" w:type="dxa"/>
              <w:left w:w="110" w:type="dxa"/>
              <w:bottom w:w="0" w:type="dxa"/>
              <w:right w:w="106" w:type="dxa"/>
            </w:tcMar>
          </w:tcPr>
          <w:p w:rsidR="009B4233" w:rsidRDefault="006B08B9">
            <w:pPr>
              <w:spacing w:line="249" w:lineRule="auto"/>
              <w:jc w:val="both"/>
              <w:rPr>
                <w:rFonts w:ascii="Arial" w:hAnsi="Arial" w:cs="Arial"/>
                <w:sz w:val="22"/>
                <w:szCs w:val="22"/>
              </w:rPr>
            </w:pPr>
            <w:r>
              <w:rPr>
                <w:rFonts w:ascii="Arial" w:hAnsi="Arial" w:cs="Arial"/>
                <w:sz w:val="22"/>
                <w:szCs w:val="22"/>
              </w:rPr>
              <w:t>2,02 euros</w:t>
            </w:r>
          </w:p>
        </w:tc>
      </w:tr>
      <w:tr w:rsidR="009B4233">
        <w:tblPrEx>
          <w:tblCellMar>
            <w:top w:w="0" w:type="dxa"/>
            <w:bottom w:w="0" w:type="dxa"/>
          </w:tblCellMar>
        </w:tblPrEx>
        <w:trPr>
          <w:trHeight w:val="264"/>
        </w:trPr>
        <w:tc>
          <w:tcPr>
            <w:tcW w:w="3210" w:type="dxa"/>
            <w:tcBorders>
              <w:top w:val="single" w:sz="4" w:space="0" w:color="000000"/>
              <w:left w:val="single" w:sz="4" w:space="0" w:color="000000"/>
              <w:bottom w:val="single" w:sz="4" w:space="0" w:color="000000"/>
              <w:right w:val="single" w:sz="4" w:space="0" w:color="000000"/>
            </w:tcBorders>
            <w:shd w:val="clear" w:color="auto" w:fill="auto"/>
            <w:tcMar>
              <w:top w:w="12" w:type="dxa"/>
              <w:left w:w="110" w:type="dxa"/>
              <w:bottom w:w="0" w:type="dxa"/>
              <w:right w:w="106" w:type="dxa"/>
            </w:tcMar>
          </w:tcPr>
          <w:p w:rsidR="009B4233" w:rsidRDefault="006B08B9">
            <w:pPr>
              <w:spacing w:line="249" w:lineRule="auto"/>
              <w:jc w:val="both"/>
              <w:rPr>
                <w:rFonts w:ascii="Arial" w:hAnsi="Arial" w:cs="Arial"/>
                <w:sz w:val="22"/>
                <w:szCs w:val="22"/>
              </w:rPr>
            </w:pPr>
            <w:r>
              <w:rPr>
                <w:rFonts w:ascii="Arial" w:hAnsi="Arial" w:cs="Arial"/>
                <w:sz w:val="22"/>
                <w:szCs w:val="22"/>
              </w:rPr>
              <w:t>Mas de 10 m3</w:t>
            </w:r>
          </w:p>
        </w:tc>
        <w:tc>
          <w:tcPr>
            <w:tcW w:w="3220" w:type="dxa"/>
            <w:tcBorders>
              <w:top w:val="single" w:sz="4" w:space="0" w:color="000000"/>
              <w:left w:val="single" w:sz="4" w:space="0" w:color="000000"/>
              <w:bottom w:val="single" w:sz="4" w:space="0" w:color="000000"/>
              <w:right w:val="single" w:sz="4" w:space="0" w:color="000000"/>
            </w:tcBorders>
            <w:shd w:val="clear" w:color="auto" w:fill="auto"/>
            <w:tcMar>
              <w:top w:w="12" w:type="dxa"/>
              <w:left w:w="110" w:type="dxa"/>
              <w:bottom w:w="0" w:type="dxa"/>
              <w:right w:w="106" w:type="dxa"/>
            </w:tcMar>
          </w:tcPr>
          <w:p w:rsidR="009B4233" w:rsidRDefault="006B08B9">
            <w:pPr>
              <w:spacing w:line="249" w:lineRule="auto"/>
              <w:jc w:val="both"/>
              <w:rPr>
                <w:rFonts w:ascii="Arial" w:hAnsi="Arial" w:cs="Arial"/>
                <w:sz w:val="22"/>
                <w:szCs w:val="22"/>
              </w:rPr>
            </w:pPr>
            <w:r>
              <w:rPr>
                <w:rFonts w:ascii="Arial" w:hAnsi="Arial" w:cs="Arial"/>
                <w:sz w:val="22"/>
                <w:szCs w:val="22"/>
              </w:rPr>
              <w:t>0,201 euros/m3</w:t>
            </w:r>
          </w:p>
        </w:tc>
      </w:tr>
    </w:tbl>
    <w:p w:rsidR="009B4233" w:rsidRDefault="009B4233">
      <w:pPr>
        <w:ind w:left="1144" w:right="3"/>
        <w:jc w:val="both"/>
        <w:rPr>
          <w:rFonts w:ascii="Arial" w:hAnsi="Arial" w:cs="Arial"/>
          <w:sz w:val="22"/>
          <w:szCs w:val="22"/>
        </w:rPr>
      </w:pPr>
    </w:p>
    <w:p w:rsidR="009B4233" w:rsidRDefault="006B08B9">
      <w:pPr>
        <w:ind w:left="1144" w:right="3"/>
        <w:jc w:val="both"/>
        <w:rPr>
          <w:rFonts w:ascii="Arial" w:hAnsi="Arial" w:cs="Arial"/>
          <w:sz w:val="22"/>
          <w:szCs w:val="22"/>
        </w:rPr>
      </w:pPr>
      <w:r>
        <w:rPr>
          <w:rFonts w:ascii="Arial" w:hAnsi="Arial" w:cs="Arial"/>
          <w:sz w:val="22"/>
          <w:szCs w:val="22"/>
        </w:rPr>
        <w:t xml:space="preserve">Visto el informe de la intervención de fondos que, en las tarifas de </w:t>
      </w:r>
    </w:p>
    <w:p w:rsidR="009B4233" w:rsidRDefault="006B08B9">
      <w:pPr>
        <w:spacing w:after="110"/>
        <w:ind w:left="-5" w:right="3"/>
        <w:jc w:val="both"/>
        <w:rPr>
          <w:rFonts w:ascii="Arial" w:hAnsi="Arial" w:cs="Arial"/>
          <w:sz w:val="22"/>
          <w:szCs w:val="22"/>
        </w:rPr>
      </w:pPr>
      <w:r>
        <w:rPr>
          <w:rFonts w:ascii="Arial" w:hAnsi="Arial" w:cs="Arial"/>
          <w:sz w:val="22"/>
          <w:szCs w:val="22"/>
        </w:rPr>
        <w:t xml:space="preserve">abastecimiento, reduce el déficit al 8,60 %, al no tener en cuenta el coste del agua de consumo </w:t>
      </w:r>
      <w:r>
        <w:rPr>
          <w:rFonts w:ascii="Arial" w:hAnsi="Arial" w:cs="Arial"/>
          <w:sz w:val="22"/>
          <w:szCs w:val="22"/>
        </w:rPr>
        <w:t>municipal, los costes financieros y las tasas e impuestos, una menor subida de algunos costes y una mayor estimación de ingresos. En las tarifas de saneamiento, reduce el déficit al 7,33 %, al eliminar de la estructura de costes, la contratación de un nuev</w:t>
      </w:r>
      <w:r>
        <w:rPr>
          <w:rFonts w:ascii="Arial" w:hAnsi="Arial" w:cs="Arial"/>
          <w:sz w:val="22"/>
          <w:szCs w:val="22"/>
        </w:rPr>
        <w:t>o trabajador y una menor subida de algunos conceptos de costes.</w:t>
      </w:r>
    </w:p>
    <w:p w:rsidR="009B4233" w:rsidRDefault="006B08B9">
      <w:pPr>
        <w:ind w:left="1144" w:right="3"/>
        <w:jc w:val="both"/>
        <w:rPr>
          <w:rFonts w:ascii="Arial" w:hAnsi="Arial" w:cs="Arial"/>
          <w:sz w:val="22"/>
          <w:szCs w:val="22"/>
        </w:rPr>
      </w:pPr>
      <w:r>
        <w:rPr>
          <w:rFonts w:ascii="Arial" w:hAnsi="Arial" w:cs="Arial"/>
          <w:sz w:val="22"/>
          <w:szCs w:val="22"/>
        </w:rPr>
        <w:t xml:space="preserve">Consecuencia de lo anterior, las tarifas propuestas quedarían del </w:t>
      </w:r>
    </w:p>
    <w:p w:rsidR="009B4233" w:rsidRDefault="006B08B9">
      <w:pPr>
        <w:spacing w:after="486"/>
        <w:ind w:left="-5" w:right="3"/>
        <w:jc w:val="both"/>
        <w:rPr>
          <w:rFonts w:ascii="Arial" w:hAnsi="Arial" w:cs="Arial"/>
          <w:sz w:val="22"/>
          <w:szCs w:val="22"/>
        </w:rPr>
      </w:pPr>
      <w:r>
        <w:rPr>
          <w:rFonts w:ascii="Arial" w:hAnsi="Arial" w:cs="Arial"/>
          <w:sz w:val="22"/>
          <w:szCs w:val="22"/>
        </w:rPr>
        <w:t>siguiente modo, en la modificación de la Ordenanza reguladora de las tarifas de abastecimiento y saneamiento:</w:t>
      </w:r>
    </w:p>
    <w:p w:rsidR="009B4233" w:rsidRDefault="006B08B9">
      <w:pPr>
        <w:spacing w:after="9"/>
        <w:ind w:left="1144"/>
        <w:jc w:val="both"/>
        <w:rPr>
          <w:rFonts w:ascii="Arial" w:hAnsi="Arial" w:cs="Arial"/>
          <w:sz w:val="22"/>
          <w:szCs w:val="22"/>
        </w:rPr>
      </w:pPr>
      <w:r>
        <w:rPr>
          <w:rFonts w:ascii="Arial" w:hAnsi="Arial" w:cs="Arial"/>
          <w:sz w:val="22"/>
          <w:szCs w:val="22"/>
        </w:rPr>
        <w:t>TARIFAS DE ABAS</w:t>
      </w:r>
      <w:r>
        <w:rPr>
          <w:rFonts w:ascii="Arial" w:hAnsi="Arial" w:cs="Arial"/>
          <w:sz w:val="22"/>
          <w:szCs w:val="22"/>
        </w:rPr>
        <w:t>TECIMIENTO</w:t>
      </w:r>
    </w:p>
    <w:tbl>
      <w:tblPr>
        <w:tblW w:w="6106" w:type="dxa"/>
        <w:tblInd w:w="1410" w:type="dxa"/>
        <w:tblCellMar>
          <w:left w:w="10" w:type="dxa"/>
          <w:right w:w="10" w:type="dxa"/>
        </w:tblCellMar>
        <w:tblLook w:val="0000" w:firstRow="0" w:lastRow="0" w:firstColumn="0" w:lastColumn="0" w:noHBand="0" w:noVBand="0"/>
      </w:tblPr>
      <w:tblGrid>
        <w:gridCol w:w="2836"/>
        <w:gridCol w:w="3270"/>
      </w:tblGrid>
      <w:tr w:rsidR="009B4233">
        <w:tblPrEx>
          <w:tblCellMar>
            <w:top w:w="0" w:type="dxa"/>
            <w:bottom w:w="0" w:type="dxa"/>
          </w:tblCellMar>
        </w:tblPrEx>
        <w:trPr>
          <w:trHeight w:val="382"/>
        </w:trPr>
        <w:tc>
          <w:tcPr>
            <w:tcW w:w="2836" w:type="dxa"/>
            <w:tcBorders>
              <w:top w:val="single" w:sz="4" w:space="0" w:color="000000"/>
              <w:left w:val="single" w:sz="4" w:space="0" w:color="000000"/>
              <w:bottom w:val="single" w:sz="4" w:space="0" w:color="000000"/>
              <w:right w:val="single" w:sz="4" w:space="0" w:color="000000"/>
            </w:tcBorders>
            <w:shd w:val="clear" w:color="auto" w:fill="auto"/>
            <w:tcMar>
              <w:top w:w="12" w:type="dxa"/>
              <w:left w:w="115" w:type="dxa"/>
              <w:bottom w:w="0" w:type="dxa"/>
              <w:right w:w="115" w:type="dxa"/>
            </w:tcMar>
          </w:tcPr>
          <w:p w:rsidR="009B4233" w:rsidRDefault="006B08B9">
            <w:pPr>
              <w:spacing w:line="249" w:lineRule="auto"/>
              <w:ind w:right="33"/>
              <w:jc w:val="both"/>
            </w:pPr>
            <w:r>
              <w:rPr>
                <w:rFonts w:ascii="Arial" w:eastAsia="Arial" w:hAnsi="Arial" w:cs="Arial"/>
                <w:b/>
                <w:sz w:val="22"/>
                <w:szCs w:val="22"/>
              </w:rPr>
              <w:t>TARIFAS</w:t>
            </w:r>
          </w:p>
        </w:tc>
        <w:tc>
          <w:tcPr>
            <w:tcW w:w="3270" w:type="dxa"/>
            <w:tcBorders>
              <w:top w:val="single" w:sz="4" w:space="0" w:color="000000"/>
              <w:left w:val="single" w:sz="4" w:space="0" w:color="000000"/>
              <w:bottom w:val="single" w:sz="4" w:space="0" w:color="000000"/>
              <w:right w:val="single" w:sz="4" w:space="0" w:color="000000"/>
            </w:tcBorders>
            <w:shd w:val="clear" w:color="auto" w:fill="auto"/>
            <w:tcMar>
              <w:top w:w="12" w:type="dxa"/>
              <w:left w:w="115" w:type="dxa"/>
              <w:bottom w:w="0" w:type="dxa"/>
              <w:right w:w="115" w:type="dxa"/>
            </w:tcMar>
          </w:tcPr>
          <w:p w:rsidR="009B4233" w:rsidRDefault="006B08B9">
            <w:pPr>
              <w:spacing w:line="249" w:lineRule="auto"/>
              <w:ind w:right="35"/>
              <w:jc w:val="both"/>
            </w:pPr>
            <w:r>
              <w:rPr>
                <w:rFonts w:ascii="Arial" w:eastAsia="Arial" w:hAnsi="Arial" w:cs="Arial"/>
                <w:b/>
                <w:sz w:val="22"/>
                <w:szCs w:val="22"/>
              </w:rPr>
              <w:t>PROPUESTAS AL PLENO</w:t>
            </w:r>
          </w:p>
        </w:tc>
      </w:tr>
      <w:tr w:rsidR="009B4233">
        <w:tblPrEx>
          <w:tblCellMar>
            <w:top w:w="0" w:type="dxa"/>
            <w:bottom w:w="0" w:type="dxa"/>
          </w:tblCellMar>
        </w:tblPrEx>
        <w:trPr>
          <w:trHeight w:val="384"/>
        </w:trPr>
        <w:tc>
          <w:tcPr>
            <w:tcW w:w="2836" w:type="dxa"/>
            <w:tcBorders>
              <w:top w:val="single" w:sz="4" w:space="0" w:color="000000"/>
              <w:left w:val="single" w:sz="4" w:space="0" w:color="000000"/>
              <w:bottom w:val="single" w:sz="4" w:space="0" w:color="000000"/>
              <w:right w:val="single" w:sz="4" w:space="0" w:color="000000"/>
            </w:tcBorders>
            <w:shd w:val="clear" w:color="auto" w:fill="auto"/>
            <w:tcMar>
              <w:top w:w="12" w:type="dxa"/>
              <w:left w:w="115" w:type="dxa"/>
              <w:bottom w:w="0" w:type="dxa"/>
              <w:right w:w="115" w:type="dxa"/>
            </w:tcMar>
          </w:tcPr>
          <w:p w:rsidR="009B4233" w:rsidRDefault="006B08B9">
            <w:pPr>
              <w:spacing w:line="249" w:lineRule="auto"/>
              <w:jc w:val="both"/>
            </w:pPr>
            <w:r>
              <w:rPr>
                <w:rFonts w:ascii="Arial" w:eastAsia="Arial" w:hAnsi="Arial" w:cs="Arial"/>
                <w:b/>
                <w:sz w:val="22"/>
                <w:szCs w:val="22"/>
              </w:rPr>
              <w:t>CONSUMO DOMÉSTICO</w:t>
            </w:r>
          </w:p>
        </w:tc>
        <w:tc>
          <w:tcPr>
            <w:tcW w:w="3270" w:type="dxa"/>
            <w:tcBorders>
              <w:top w:val="single" w:sz="4" w:space="0" w:color="000000"/>
              <w:left w:val="single" w:sz="4" w:space="0" w:color="000000"/>
              <w:bottom w:val="single" w:sz="4" w:space="0" w:color="000000"/>
              <w:right w:val="single" w:sz="4" w:space="0" w:color="000000"/>
            </w:tcBorders>
            <w:shd w:val="clear" w:color="auto" w:fill="auto"/>
            <w:tcMar>
              <w:top w:w="12" w:type="dxa"/>
              <w:left w:w="115" w:type="dxa"/>
              <w:bottom w:w="0" w:type="dxa"/>
              <w:right w:w="115" w:type="dxa"/>
            </w:tcMar>
          </w:tcPr>
          <w:p w:rsidR="009B4233" w:rsidRDefault="009B4233">
            <w:pPr>
              <w:spacing w:after="160" w:line="249" w:lineRule="auto"/>
              <w:jc w:val="both"/>
              <w:rPr>
                <w:rFonts w:ascii="Arial" w:hAnsi="Arial" w:cs="Arial"/>
                <w:sz w:val="22"/>
                <w:szCs w:val="22"/>
              </w:rPr>
            </w:pPr>
          </w:p>
        </w:tc>
      </w:tr>
      <w:tr w:rsidR="009B4233">
        <w:tblPrEx>
          <w:tblCellMar>
            <w:top w:w="0" w:type="dxa"/>
            <w:bottom w:w="0" w:type="dxa"/>
          </w:tblCellMar>
        </w:tblPrEx>
        <w:trPr>
          <w:trHeight w:val="382"/>
        </w:trPr>
        <w:tc>
          <w:tcPr>
            <w:tcW w:w="2836" w:type="dxa"/>
            <w:tcBorders>
              <w:top w:val="single" w:sz="4" w:space="0" w:color="000000"/>
              <w:left w:val="single" w:sz="4" w:space="0" w:color="000000"/>
              <w:bottom w:val="single" w:sz="4" w:space="0" w:color="000000"/>
              <w:right w:val="single" w:sz="4" w:space="0" w:color="000000"/>
            </w:tcBorders>
            <w:shd w:val="clear" w:color="auto" w:fill="auto"/>
            <w:tcMar>
              <w:top w:w="12" w:type="dxa"/>
              <w:left w:w="115" w:type="dxa"/>
              <w:bottom w:w="0" w:type="dxa"/>
              <w:right w:w="115" w:type="dxa"/>
            </w:tcMar>
          </w:tcPr>
          <w:p w:rsidR="009B4233" w:rsidRDefault="006B08B9">
            <w:pPr>
              <w:spacing w:line="249" w:lineRule="auto"/>
              <w:ind w:right="31"/>
              <w:jc w:val="both"/>
              <w:rPr>
                <w:rFonts w:ascii="Arial" w:hAnsi="Arial" w:cs="Arial"/>
                <w:sz w:val="22"/>
                <w:szCs w:val="22"/>
              </w:rPr>
            </w:pPr>
            <w:r>
              <w:rPr>
                <w:rFonts w:ascii="Arial" w:hAnsi="Arial" w:cs="Arial"/>
                <w:sz w:val="22"/>
                <w:szCs w:val="22"/>
              </w:rPr>
              <w:t>CUOTA FIJA</w:t>
            </w:r>
          </w:p>
        </w:tc>
        <w:tc>
          <w:tcPr>
            <w:tcW w:w="3270" w:type="dxa"/>
            <w:tcBorders>
              <w:top w:val="single" w:sz="4" w:space="0" w:color="000000"/>
              <w:left w:val="single" w:sz="4" w:space="0" w:color="000000"/>
              <w:bottom w:val="single" w:sz="4" w:space="0" w:color="000000"/>
              <w:right w:val="single" w:sz="4" w:space="0" w:color="000000"/>
            </w:tcBorders>
            <w:shd w:val="clear" w:color="auto" w:fill="auto"/>
            <w:tcMar>
              <w:top w:w="12" w:type="dxa"/>
              <w:left w:w="115" w:type="dxa"/>
              <w:bottom w:w="0" w:type="dxa"/>
              <w:right w:w="115" w:type="dxa"/>
            </w:tcMar>
          </w:tcPr>
          <w:p w:rsidR="009B4233" w:rsidRDefault="006B08B9">
            <w:pPr>
              <w:spacing w:line="249" w:lineRule="auto"/>
              <w:ind w:right="30"/>
              <w:jc w:val="both"/>
              <w:rPr>
                <w:rFonts w:ascii="Arial" w:hAnsi="Arial" w:cs="Arial"/>
                <w:sz w:val="22"/>
                <w:szCs w:val="22"/>
              </w:rPr>
            </w:pPr>
            <w:r>
              <w:rPr>
                <w:rFonts w:ascii="Arial" w:hAnsi="Arial" w:cs="Arial"/>
                <w:sz w:val="22"/>
                <w:szCs w:val="22"/>
              </w:rPr>
              <w:t>15,41 €</w:t>
            </w:r>
          </w:p>
        </w:tc>
      </w:tr>
      <w:tr w:rsidR="009B4233">
        <w:tblPrEx>
          <w:tblCellMar>
            <w:top w:w="0" w:type="dxa"/>
            <w:bottom w:w="0" w:type="dxa"/>
          </w:tblCellMar>
        </w:tblPrEx>
        <w:trPr>
          <w:trHeight w:val="384"/>
        </w:trPr>
        <w:tc>
          <w:tcPr>
            <w:tcW w:w="2836" w:type="dxa"/>
            <w:tcBorders>
              <w:top w:val="single" w:sz="4" w:space="0" w:color="000000"/>
              <w:left w:val="single" w:sz="4" w:space="0" w:color="000000"/>
              <w:bottom w:val="single" w:sz="4" w:space="0" w:color="000000"/>
              <w:right w:val="single" w:sz="4" w:space="0" w:color="000000"/>
            </w:tcBorders>
            <w:shd w:val="clear" w:color="auto" w:fill="auto"/>
            <w:tcMar>
              <w:top w:w="12" w:type="dxa"/>
              <w:left w:w="115" w:type="dxa"/>
              <w:bottom w:w="0" w:type="dxa"/>
              <w:right w:w="115" w:type="dxa"/>
            </w:tcMar>
          </w:tcPr>
          <w:p w:rsidR="009B4233" w:rsidRDefault="006B08B9">
            <w:pPr>
              <w:spacing w:line="249" w:lineRule="auto"/>
              <w:ind w:right="31"/>
              <w:jc w:val="both"/>
              <w:rPr>
                <w:rFonts w:ascii="Arial" w:hAnsi="Arial" w:cs="Arial"/>
                <w:sz w:val="22"/>
                <w:szCs w:val="22"/>
              </w:rPr>
            </w:pPr>
            <w:r>
              <w:rPr>
                <w:rFonts w:ascii="Arial" w:hAnsi="Arial" w:cs="Arial"/>
                <w:sz w:val="22"/>
                <w:szCs w:val="22"/>
              </w:rPr>
              <w:t>De 1 a 10 m3</w:t>
            </w:r>
          </w:p>
        </w:tc>
        <w:tc>
          <w:tcPr>
            <w:tcW w:w="3270" w:type="dxa"/>
            <w:tcBorders>
              <w:top w:val="single" w:sz="4" w:space="0" w:color="000000"/>
              <w:left w:val="single" w:sz="4" w:space="0" w:color="000000"/>
              <w:bottom w:val="single" w:sz="4" w:space="0" w:color="000000"/>
              <w:right w:val="single" w:sz="4" w:space="0" w:color="000000"/>
            </w:tcBorders>
            <w:shd w:val="clear" w:color="auto" w:fill="auto"/>
            <w:tcMar>
              <w:top w:w="12" w:type="dxa"/>
              <w:left w:w="115" w:type="dxa"/>
              <w:bottom w:w="0" w:type="dxa"/>
              <w:right w:w="115" w:type="dxa"/>
            </w:tcMar>
          </w:tcPr>
          <w:p w:rsidR="009B4233" w:rsidRDefault="006B08B9">
            <w:pPr>
              <w:spacing w:line="249" w:lineRule="auto"/>
              <w:ind w:right="31"/>
              <w:jc w:val="both"/>
              <w:rPr>
                <w:rFonts w:ascii="Arial" w:hAnsi="Arial" w:cs="Arial"/>
                <w:sz w:val="22"/>
                <w:szCs w:val="22"/>
              </w:rPr>
            </w:pPr>
            <w:r>
              <w:rPr>
                <w:rFonts w:ascii="Arial" w:hAnsi="Arial" w:cs="Arial"/>
                <w:sz w:val="22"/>
                <w:szCs w:val="22"/>
              </w:rPr>
              <w:t>0,64 €/m3</w:t>
            </w:r>
          </w:p>
        </w:tc>
      </w:tr>
      <w:tr w:rsidR="009B4233">
        <w:tblPrEx>
          <w:tblCellMar>
            <w:top w:w="0" w:type="dxa"/>
            <w:bottom w:w="0" w:type="dxa"/>
          </w:tblCellMar>
        </w:tblPrEx>
        <w:trPr>
          <w:trHeight w:val="382"/>
        </w:trPr>
        <w:tc>
          <w:tcPr>
            <w:tcW w:w="2836" w:type="dxa"/>
            <w:tcBorders>
              <w:top w:val="single" w:sz="4" w:space="0" w:color="000000"/>
              <w:left w:val="single" w:sz="4" w:space="0" w:color="000000"/>
              <w:bottom w:val="single" w:sz="4" w:space="0" w:color="000000"/>
              <w:right w:val="single" w:sz="4" w:space="0" w:color="000000"/>
            </w:tcBorders>
            <w:shd w:val="clear" w:color="auto" w:fill="auto"/>
            <w:tcMar>
              <w:top w:w="12" w:type="dxa"/>
              <w:left w:w="115" w:type="dxa"/>
              <w:bottom w:w="0" w:type="dxa"/>
              <w:right w:w="115" w:type="dxa"/>
            </w:tcMar>
          </w:tcPr>
          <w:p w:rsidR="009B4233" w:rsidRDefault="006B08B9">
            <w:pPr>
              <w:spacing w:line="249" w:lineRule="auto"/>
              <w:ind w:right="43"/>
              <w:jc w:val="both"/>
              <w:rPr>
                <w:rFonts w:ascii="Arial" w:hAnsi="Arial" w:cs="Arial"/>
                <w:sz w:val="22"/>
                <w:szCs w:val="22"/>
              </w:rPr>
            </w:pPr>
            <w:r>
              <w:rPr>
                <w:rFonts w:ascii="Arial" w:hAnsi="Arial" w:cs="Arial"/>
                <w:sz w:val="22"/>
                <w:szCs w:val="22"/>
              </w:rPr>
              <w:t>De 11 a 30 m3</w:t>
            </w:r>
          </w:p>
        </w:tc>
        <w:tc>
          <w:tcPr>
            <w:tcW w:w="3270" w:type="dxa"/>
            <w:tcBorders>
              <w:top w:val="single" w:sz="4" w:space="0" w:color="000000"/>
              <w:left w:val="single" w:sz="4" w:space="0" w:color="000000"/>
              <w:bottom w:val="single" w:sz="4" w:space="0" w:color="000000"/>
              <w:right w:val="single" w:sz="4" w:space="0" w:color="000000"/>
            </w:tcBorders>
            <w:shd w:val="clear" w:color="auto" w:fill="auto"/>
            <w:tcMar>
              <w:top w:w="12" w:type="dxa"/>
              <w:left w:w="115" w:type="dxa"/>
              <w:bottom w:w="0" w:type="dxa"/>
              <w:right w:w="115" w:type="dxa"/>
            </w:tcMar>
          </w:tcPr>
          <w:p w:rsidR="009B4233" w:rsidRDefault="006B08B9">
            <w:pPr>
              <w:spacing w:line="249" w:lineRule="auto"/>
              <w:ind w:right="31"/>
              <w:jc w:val="both"/>
              <w:rPr>
                <w:rFonts w:ascii="Arial" w:hAnsi="Arial" w:cs="Arial"/>
                <w:sz w:val="22"/>
                <w:szCs w:val="22"/>
              </w:rPr>
            </w:pPr>
            <w:r>
              <w:rPr>
                <w:rFonts w:ascii="Arial" w:hAnsi="Arial" w:cs="Arial"/>
                <w:sz w:val="22"/>
                <w:szCs w:val="22"/>
              </w:rPr>
              <w:t>1,30 €/m3</w:t>
            </w:r>
          </w:p>
        </w:tc>
      </w:tr>
      <w:tr w:rsidR="009B4233">
        <w:tblPrEx>
          <w:tblCellMar>
            <w:top w:w="0" w:type="dxa"/>
            <w:bottom w:w="0" w:type="dxa"/>
          </w:tblCellMar>
        </w:tblPrEx>
        <w:trPr>
          <w:trHeight w:val="384"/>
        </w:trPr>
        <w:tc>
          <w:tcPr>
            <w:tcW w:w="2836" w:type="dxa"/>
            <w:tcBorders>
              <w:top w:val="single" w:sz="4" w:space="0" w:color="000000"/>
              <w:left w:val="single" w:sz="4" w:space="0" w:color="000000"/>
              <w:bottom w:val="single" w:sz="4" w:space="0" w:color="000000"/>
              <w:right w:val="single" w:sz="4" w:space="0" w:color="000000"/>
            </w:tcBorders>
            <w:shd w:val="clear" w:color="auto" w:fill="auto"/>
            <w:tcMar>
              <w:top w:w="12" w:type="dxa"/>
              <w:left w:w="115" w:type="dxa"/>
              <w:bottom w:w="0" w:type="dxa"/>
              <w:right w:w="115" w:type="dxa"/>
            </w:tcMar>
          </w:tcPr>
          <w:p w:rsidR="009B4233" w:rsidRDefault="006B08B9">
            <w:pPr>
              <w:spacing w:line="249" w:lineRule="auto"/>
              <w:ind w:right="43"/>
              <w:jc w:val="both"/>
              <w:rPr>
                <w:rFonts w:ascii="Arial" w:hAnsi="Arial" w:cs="Arial"/>
                <w:sz w:val="22"/>
                <w:szCs w:val="22"/>
              </w:rPr>
            </w:pPr>
            <w:r>
              <w:rPr>
                <w:rFonts w:ascii="Arial" w:hAnsi="Arial" w:cs="Arial"/>
                <w:sz w:val="22"/>
                <w:szCs w:val="22"/>
              </w:rPr>
              <w:t>De 31 a 60 m3</w:t>
            </w:r>
          </w:p>
        </w:tc>
        <w:tc>
          <w:tcPr>
            <w:tcW w:w="3270" w:type="dxa"/>
            <w:tcBorders>
              <w:top w:val="single" w:sz="4" w:space="0" w:color="000000"/>
              <w:left w:val="single" w:sz="4" w:space="0" w:color="000000"/>
              <w:bottom w:val="single" w:sz="4" w:space="0" w:color="000000"/>
              <w:right w:val="single" w:sz="4" w:space="0" w:color="000000"/>
            </w:tcBorders>
            <w:shd w:val="clear" w:color="auto" w:fill="auto"/>
            <w:tcMar>
              <w:top w:w="12" w:type="dxa"/>
              <w:left w:w="115" w:type="dxa"/>
              <w:bottom w:w="0" w:type="dxa"/>
              <w:right w:w="115" w:type="dxa"/>
            </w:tcMar>
          </w:tcPr>
          <w:p w:rsidR="009B4233" w:rsidRDefault="006B08B9">
            <w:pPr>
              <w:spacing w:line="249" w:lineRule="auto"/>
              <w:ind w:right="31"/>
              <w:jc w:val="both"/>
              <w:rPr>
                <w:rFonts w:ascii="Arial" w:hAnsi="Arial" w:cs="Arial"/>
                <w:sz w:val="22"/>
                <w:szCs w:val="22"/>
              </w:rPr>
            </w:pPr>
            <w:r>
              <w:rPr>
                <w:rFonts w:ascii="Arial" w:hAnsi="Arial" w:cs="Arial"/>
                <w:sz w:val="22"/>
                <w:szCs w:val="22"/>
              </w:rPr>
              <w:t>2,38 €/m3</w:t>
            </w:r>
          </w:p>
        </w:tc>
      </w:tr>
      <w:tr w:rsidR="009B4233">
        <w:tblPrEx>
          <w:tblCellMar>
            <w:top w:w="0" w:type="dxa"/>
            <w:bottom w:w="0" w:type="dxa"/>
          </w:tblCellMar>
        </w:tblPrEx>
        <w:trPr>
          <w:trHeight w:val="382"/>
        </w:trPr>
        <w:tc>
          <w:tcPr>
            <w:tcW w:w="2836" w:type="dxa"/>
            <w:tcBorders>
              <w:top w:val="single" w:sz="4" w:space="0" w:color="000000"/>
              <w:left w:val="single" w:sz="4" w:space="0" w:color="000000"/>
              <w:bottom w:val="single" w:sz="4" w:space="0" w:color="000000"/>
              <w:right w:val="single" w:sz="4" w:space="0" w:color="000000"/>
            </w:tcBorders>
            <w:shd w:val="clear" w:color="auto" w:fill="auto"/>
            <w:tcMar>
              <w:top w:w="12" w:type="dxa"/>
              <w:left w:w="115" w:type="dxa"/>
              <w:bottom w:w="0" w:type="dxa"/>
              <w:right w:w="115" w:type="dxa"/>
            </w:tcMar>
          </w:tcPr>
          <w:p w:rsidR="009B4233" w:rsidRDefault="006B08B9">
            <w:pPr>
              <w:spacing w:line="249" w:lineRule="auto"/>
              <w:ind w:right="43"/>
              <w:jc w:val="both"/>
              <w:rPr>
                <w:rFonts w:ascii="Arial" w:hAnsi="Arial" w:cs="Arial"/>
                <w:sz w:val="22"/>
                <w:szCs w:val="22"/>
              </w:rPr>
            </w:pPr>
            <w:r>
              <w:rPr>
                <w:rFonts w:ascii="Arial" w:hAnsi="Arial" w:cs="Arial"/>
                <w:sz w:val="22"/>
                <w:szCs w:val="22"/>
              </w:rPr>
              <w:t>Más de 60 m3</w:t>
            </w:r>
          </w:p>
        </w:tc>
        <w:tc>
          <w:tcPr>
            <w:tcW w:w="3270" w:type="dxa"/>
            <w:tcBorders>
              <w:top w:val="single" w:sz="4" w:space="0" w:color="000000"/>
              <w:left w:val="single" w:sz="4" w:space="0" w:color="000000"/>
              <w:bottom w:val="single" w:sz="4" w:space="0" w:color="000000"/>
              <w:right w:val="single" w:sz="4" w:space="0" w:color="000000"/>
            </w:tcBorders>
            <w:shd w:val="clear" w:color="auto" w:fill="auto"/>
            <w:tcMar>
              <w:top w:w="12" w:type="dxa"/>
              <w:left w:w="115" w:type="dxa"/>
              <w:bottom w:w="0" w:type="dxa"/>
              <w:right w:w="115" w:type="dxa"/>
            </w:tcMar>
          </w:tcPr>
          <w:p w:rsidR="009B4233" w:rsidRDefault="006B08B9">
            <w:pPr>
              <w:spacing w:line="249" w:lineRule="auto"/>
              <w:ind w:right="31"/>
              <w:jc w:val="both"/>
              <w:rPr>
                <w:rFonts w:ascii="Arial" w:hAnsi="Arial" w:cs="Arial"/>
                <w:sz w:val="22"/>
                <w:szCs w:val="22"/>
              </w:rPr>
            </w:pPr>
            <w:r>
              <w:rPr>
                <w:rFonts w:ascii="Arial" w:hAnsi="Arial" w:cs="Arial"/>
                <w:sz w:val="22"/>
                <w:szCs w:val="22"/>
              </w:rPr>
              <w:t>3,78 €/m3</w:t>
            </w:r>
          </w:p>
        </w:tc>
      </w:tr>
      <w:tr w:rsidR="009B4233">
        <w:tblPrEx>
          <w:tblCellMar>
            <w:top w:w="0" w:type="dxa"/>
            <w:bottom w:w="0" w:type="dxa"/>
          </w:tblCellMar>
        </w:tblPrEx>
        <w:trPr>
          <w:trHeight w:val="384"/>
        </w:trPr>
        <w:tc>
          <w:tcPr>
            <w:tcW w:w="2836" w:type="dxa"/>
            <w:tcBorders>
              <w:top w:val="single" w:sz="4" w:space="0" w:color="000000"/>
              <w:left w:val="single" w:sz="4" w:space="0" w:color="000000"/>
              <w:bottom w:val="single" w:sz="4" w:space="0" w:color="000000"/>
              <w:right w:val="single" w:sz="4" w:space="0" w:color="000000"/>
            </w:tcBorders>
            <w:shd w:val="clear" w:color="auto" w:fill="auto"/>
            <w:tcMar>
              <w:top w:w="12" w:type="dxa"/>
              <w:left w:w="115" w:type="dxa"/>
              <w:bottom w:w="0" w:type="dxa"/>
              <w:right w:w="115" w:type="dxa"/>
            </w:tcMar>
          </w:tcPr>
          <w:p w:rsidR="009B4233" w:rsidRDefault="006B08B9">
            <w:pPr>
              <w:spacing w:line="249" w:lineRule="auto"/>
              <w:jc w:val="both"/>
            </w:pPr>
            <w:r>
              <w:rPr>
                <w:rFonts w:ascii="Arial" w:eastAsia="Arial" w:hAnsi="Arial" w:cs="Arial"/>
                <w:b/>
                <w:sz w:val="22"/>
                <w:szCs w:val="22"/>
              </w:rPr>
              <w:t>CONSUMO INDUSTRIAL</w:t>
            </w:r>
          </w:p>
        </w:tc>
        <w:tc>
          <w:tcPr>
            <w:tcW w:w="3270" w:type="dxa"/>
            <w:tcBorders>
              <w:top w:val="single" w:sz="4" w:space="0" w:color="000000"/>
              <w:left w:val="single" w:sz="4" w:space="0" w:color="000000"/>
              <w:bottom w:val="single" w:sz="4" w:space="0" w:color="000000"/>
              <w:right w:val="single" w:sz="4" w:space="0" w:color="000000"/>
            </w:tcBorders>
            <w:shd w:val="clear" w:color="auto" w:fill="auto"/>
            <w:tcMar>
              <w:top w:w="12" w:type="dxa"/>
              <w:left w:w="115" w:type="dxa"/>
              <w:bottom w:w="0" w:type="dxa"/>
              <w:right w:w="115" w:type="dxa"/>
            </w:tcMar>
          </w:tcPr>
          <w:p w:rsidR="009B4233" w:rsidRDefault="009B4233">
            <w:pPr>
              <w:spacing w:after="160" w:line="249" w:lineRule="auto"/>
              <w:jc w:val="both"/>
              <w:rPr>
                <w:rFonts w:ascii="Arial" w:hAnsi="Arial" w:cs="Arial"/>
                <w:sz w:val="22"/>
                <w:szCs w:val="22"/>
              </w:rPr>
            </w:pPr>
          </w:p>
        </w:tc>
      </w:tr>
      <w:tr w:rsidR="009B4233">
        <w:tblPrEx>
          <w:tblCellMar>
            <w:top w:w="0" w:type="dxa"/>
            <w:bottom w:w="0" w:type="dxa"/>
          </w:tblCellMar>
        </w:tblPrEx>
        <w:trPr>
          <w:trHeight w:val="382"/>
        </w:trPr>
        <w:tc>
          <w:tcPr>
            <w:tcW w:w="2836" w:type="dxa"/>
            <w:tcBorders>
              <w:top w:val="single" w:sz="4" w:space="0" w:color="000000"/>
              <w:left w:val="single" w:sz="4" w:space="0" w:color="000000"/>
              <w:bottom w:val="single" w:sz="4" w:space="0" w:color="000000"/>
              <w:right w:val="single" w:sz="4" w:space="0" w:color="000000"/>
            </w:tcBorders>
            <w:shd w:val="clear" w:color="auto" w:fill="auto"/>
            <w:tcMar>
              <w:top w:w="12" w:type="dxa"/>
              <w:left w:w="115" w:type="dxa"/>
              <w:bottom w:w="0" w:type="dxa"/>
              <w:right w:w="115" w:type="dxa"/>
            </w:tcMar>
          </w:tcPr>
          <w:p w:rsidR="009B4233" w:rsidRDefault="006B08B9">
            <w:pPr>
              <w:spacing w:line="249" w:lineRule="auto"/>
              <w:ind w:right="31"/>
              <w:jc w:val="both"/>
              <w:rPr>
                <w:rFonts w:ascii="Arial" w:hAnsi="Arial" w:cs="Arial"/>
                <w:sz w:val="22"/>
                <w:szCs w:val="22"/>
              </w:rPr>
            </w:pPr>
            <w:r>
              <w:rPr>
                <w:rFonts w:ascii="Arial" w:hAnsi="Arial" w:cs="Arial"/>
                <w:sz w:val="22"/>
                <w:szCs w:val="22"/>
              </w:rPr>
              <w:t>CUOTA FIJA</w:t>
            </w:r>
          </w:p>
        </w:tc>
        <w:tc>
          <w:tcPr>
            <w:tcW w:w="3270" w:type="dxa"/>
            <w:tcBorders>
              <w:top w:val="single" w:sz="4" w:space="0" w:color="000000"/>
              <w:left w:val="single" w:sz="4" w:space="0" w:color="000000"/>
              <w:bottom w:val="single" w:sz="4" w:space="0" w:color="000000"/>
              <w:right w:val="single" w:sz="4" w:space="0" w:color="000000"/>
            </w:tcBorders>
            <w:shd w:val="clear" w:color="auto" w:fill="auto"/>
            <w:tcMar>
              <w:top w:w="12" w:type="dxa"/>
              <w:left w:w="115" w:type="dxa"/>
              <w:bottom w:w="0" w:type="dxa"/>
              <w:right w:w="115" w:type="dxa"/>
            </w:tcMar>
          </w:tcPr>
          <w:p w:rsidR="009B4233" w:rsidRDefault="006B08B9">
            <w:pPr>
              <w:spacing w:line="249" w:lineRule="auto"/>
              <w:ind w:right="30"/>
              <w:jc w:val="both"/>
              <w:rPr>
                <w:rFonts w:ascii="Arial" w:hAnsi="Arial" w:cs="Arial"/>
                <w:sz w:val="22"/>
                <w:szCs w:val="22"/>
              </w:rPr>
            </w:pPr>
            <w:r>
              <w:rPr>
                <w:rFonts w:ascii="Arial" w:hAnsi="Arial" w:cs="Arial"/>
                <w:sz w:val="22"/>
                <w:szCs w:val="22"/>
              </w:rPr>
              <w:t>22,99 €</w:t>
            </w:r>
          </w:p>
        </w:tc>
      </w:tr>
      <w:tr w:rsidR="009B4233">
        <w:tblPrEx>
          <w:tblCellMar>
            <w:top w:w="0" w:type="dxa"/>
            <w:bottom w:w="0" w:type="dxa"/>
          </w:tblCellMar>
        </w:tblPrEx>
        <w:trPr>
          <w:trHeight w:val="384"/>
        </w:trPr>
        <w:tc>
          <w:tcPr>
            <w:tcW w:w="2836" w:type="dxa"/>
            <w:tcBorders>
              <w:top w:val="single" w:sz="4" w:space="0" w:color="000000"/>
              <w:left w:val="single" w:sz="4" w:space="0" w:color="000000"/>
              <w:bottom w:val="single" w:sz="4" w:space="0" w:color="000000"/>
              <w:right w:val="single" w:sz="4" w:space="0" w:color="000000"/>
            </w:tcBorders>
            <w:shd w:val="clear" w:color="auto" w:fill="auto"/>
            <w:tcMar>
              <w:top w:w="12" w:type="dxa"/>
              <w:left w:w="115" w:type="dxa"/>
              <w:bottom w:w="0" w:type="dxa"/>
              <w:right w:w="115" w:type="dxa"/>
            </w:tcMar>
          </w:tcPr>
          <w:p w:rsidR="009B4233" w:rsidRDefault="006B08B9">
            <w:pPr>
              <w:spacing w:line="249" w:lineRule="auto"/>
              <w:ind w:right="31"/>
              <w:jc w:val="both"/>
              <w:rPr>
                <w:rFonts w:ascii="Arial" w:hAnsi="Arial" w:cs="Arial"/>
                <w:sz w:val="22"/>
                <w:szCs w:val="22"/>
              </w:rPr>
            </w:pPr>
            <w:r>
              <w:rPr>
                <w:rFonts w:ascii="Arial" w:hAnsi="Arial" w:cs="Arial"/>
                <w:sz w:val="22"/>
                <w:szCs w:val="22"/>
              </w:rPr>
              <w:t>De 1 a 10 m3</w:t>
            </w:r>
          </w:p>
        </w:tc>
        <w:tc>
          <w:tcPr>
            <w:tcW w:w="3270" w:type="dxa"/>
            <w:tcBorders>
              <w:top w:val="single" w:sz="4" w:space="0" w:color="000000"/>
              <w:left w:val="single" w:sz="4" w:space="0" w:color="000000"/>
              <w:bottom w:val="single" w:sz="4" w:space="0" w:color="000000"/>
              <w:right w:val="single" w:sz="4" w:space="0" w:color="000000"/>
            </w:tcBorders>
            <w:shd w:val="clear" w:color="auto" w:fill="auto"/>
            <w:tcMar>
              <w:top w:w="12" w:type="dxa"/>
              <w:left w:w="115" w:type="dxa"/>
              <w:bottom w:w="0" w:type="dxa"/>
              <w:right w:w="115" w:type="dxa"/>
            </w:tcMar>
          </w:tcPr>
          <w:p w:rsidR="009B4233" w:rsidRDefault="006B08B9">
            <w:pPr>
              <w:spacing w:line="249" w:lineRule="auto"/>
              <w:ind w:right="31"/>
              <w:jc w:val="both"/>
              <w:rPr>
                <w:rFonts w:ascii="Arial" w:hAnsi="Arial" w:cs="Arial"/>
                <w:sz w:val="22"/>
                <w:szCs w:val="22"/>
              </w:rPr>
            </w:pPr>
            <w:r>
              <w:rPr>
                <w:rFonts w:ascii="Arial" w:hAnsi="Arial" w:cs="Arial"/>
                <w:sz w:val="22"/>
                <w:szCs w:val="22"/>
              </w:rPr>
              <w:t>0,97 €/m3</w:t>
            </w:r>
          </w:p>
        </w:tc>
      </w:tr>
      <w:tr w:rsidR="009B4233">
        <w:tblPrEx>
          <w:tblCellMar>
            <w:top w:w="0" w:type="dxa"/>
            <w:bottom w:w="0" w:type="dxa"/>
          </w:tblCellMar>
        </w:tblPrEx>
        <w:trPr>
          <w:trHeight w:val="382"/>
        </w:trPr>
        <w:tc>
          <w:tcPr>
            <w:tcW w:w="2836" w:type="dxa"/>
            <w:tcBorders>
              <w:top w:val="single" w:sz="4" w:space="0" w:color="000000"/>
              <w:left w:val="single" w:sz="4" w:space="0" w:color="000000"/>
              <w:bottom w:val="single" w:sz="4" w:space="0" w:color="000000"/>
              <w:right w:val="single" w:sz="4" w:space="0" w:color="000000"/>
            </w:tcBorders>
            <w:shd w:val="clear" w:color="auto" w:fill="auto"/>
            <w:tcMar>
              <w:top w:w="12" w:type="dxa"/>
              <w:left w:w="115" w:type="dxa"/>
              <w:bottom w:w="0" w:type="dxa"/>
              <w:right w:w="115" w:type="dxa"/>
            </w:tcMar>
          </w:tcPr>
          <w:p w:rsidR="009B4233" w:rsidRDefault="006B08B9">
            <w:pPr>
              <w:spacing w:line="249" w:lineRule="auto"/>
              <w:ind w:right="43"/>
              <w:jc w:val="both"/>
              <w:rPr>
                <w:rFonts w:ascii="Arial" w:hAnsi="Arial" w:cs="Arial"/>
                <w:sz w:val="22"/>
                <w:szCs w:val="22"/>
              </w:rPr>
            </w:pPr>
            <w:r>
              <w:rPr>
                <w:rFonts w:ascii="Arial" w:hAnsi="Arial" w:cs="Arial"/>
                <w:sz w:val="22"/>
                <w:szCs w:val="22"/>
              </w:rPr>
              <w:t>De 11 a 30 m3</w:t>
            </w:r>
          </w:p>
        </w:tc>
        <w:tc>
          <w:tcPr>
            <w:tcW w:w="3270" w:type="dxa"/>
            <w:tcBorders>
              <w:top w:val="single" w:sz="4" w:space="0" w:color="000000"/>
              <w:left w:val="single" w:sz="4" w:space="0" w:color="000000"/>
              <w:bottom w:val="single" w:sz="4" w:space="0" w:color="000000"/>
              <w:right w:val="single" w:sz="4" w:space="0" w:color="000000"/>
            </w:tcBorders>
            <w:shd w:val="clear" w:color="auto" w:fill="auto"/>
            <w:tcMar>
              <w:top w:w="12" w:type="dxa"/>
              <w:left w:w="115" w:type="dxa"/>
              <w:bottom w:w="0" w:type="dxa"/>
              <w:right w:w="115" w:type="dxa"/>
            </w:tcMar>
          </w:tcPr>
          <w:p w:rsidR="009B4233" w:rsidRDefault="006B08B9">
            <w:pPr>
              <w:spacing w:line="249" w:lineRule="auto"/>
              <w:ind w:right="31"/>
              <w:jc w:val="both"/>
              <w:rPr>
                <w:rFonts w:ascii="Arial" w:hAnsi="Arial" w:cs="Arial"/>
                <w:sz w:val="22"/>
                <w:szCs w:val="22"/>
              </w:rPr>
            </w:pPr>
            <w:r>
              <w:rPr>
                <w:rFonts w:ascii="Arial" w:hAnsi="Arial" w:cs="Arial"/>
                <w:sz w:val="22"/>
                <w:szCs w:val="22"/>
              </w:rPr>
              <w:t>2.00 €/m3</w:t>
            </w:r>
          </w:p>
        </w:tc>
      </w:tr>
      <w:tr w:rsidR="009B4233">
        <w:tblPrEx>
          <w:tblCellMar>
            <w:top w:w="0" w:type="dxa"/>
            <w:bottom w:w="0" w:type="dxa"/>
          </w:tblCellMar>
        </w:tblPrEx>
        <w:trPr>
          <w:trHeight w:val="382"/>
        </w:trPr>
        <w:tc>
          <w:tcPr>
            <w:tcW w:w="2836" w:type="dxa"/>
            <w:tcBorders>
              <w:top w:val="single" w:sz="4" w:space="0" w:color="000000"/>
              <w:left w:val="single" w:sz="4" w:space="0" w:color="000000"/>
              <w:bottom w:val="single" w:sz="4" w:space="0" w:color="000000"/>
              <w:right w:val="single" w:sz="4" w:space="0" w:color="000000"/>
            </w:tcBorders>
            <w:shd w:val="clear" w:color="auto" w:fill="auto"/>
            <w:tcMar>
              <w:top w:w="12" w:type="dxa"/>
              <w:left w:w="115" w:type="dxa"/>
              <w:bottom w:w="0" w:type="dxa"/>
              <w:right w:w="115" w:type="dxa"/>
            </w:tcMar>
          </w:tcPr>
          <w:p w:rsidR="009B4233" w:rsidRDefault="006B08B9">
            <w:pPr>
              <w:spacing w:line="249" w:lineRule="auto"/>
              <w:ind w:right="8"/>
              <w:jc w:val="both"/>
              <w:rPr>
                <w:rFonts w:ascii="Arial" w:hAnsi="Arial" w:cs="Arial"/>
                <w:sz w:val="22"/>
                <w:szCs w:val="22"/>
              </w:rPr>
            </w:pPr>
            <w:r>
              <w:rPr>
                <w:rFonts w:ascii="Arial" w:hAnsi="Arial" w:cs="Arial"/>
                <w:sz w:val="22"/>
                <w:szCs w:val="22"/>
              </w:rPr>
              <w:t>De 31 a 60 m3</w:t>
            </w:r>
          </w:p>
        </w:tc>
        <w:tc>
          <w:tcPr>
            <w:tcW w:w="3270" w:type="dxa"/>
            <w:tcBorders>
              <w:top w:val="single" w:sz="4" w:space="0" w:color="000000"/>
              <w:left w:val="single" w:sz="4" w:space="0" w:color="000000"/>
              <w:bottom w:val="single" w:sz="4" w:space="0" w:color="000000"/>
              <w:right w:val="single" w:sz="4" w:space="0" w:color="000000"/>
            </w:tcBorders>
            <w:shd w:val="clear" w:color="auto" w:fill="auto"/>
            <w:tcMar>
              <w:top w:w="12" w:type="dxa"/>
              <w:left w:w="115" w:type="dxa"/>
              <w:bottom w:w="0" w:type="dxa"/>
              <w:right w:w="115" w:type="dxa"/>
            </w:tcMar>
          </w:tcPr>
          <w:p w:rsidR="009B4233" w:rsidRDefault="006B08B9">
            <w:pPr>
              <w:spacing w:line="249" w:lineRule="auto"/>
              <w:ind w:left="4"/>
              <w:jc w:val="both"/>
              <w:rPr>
                <w:rFonts w:ascii="Arial" w:hAnsi="Arial" w:cs="Arial"/>
                <w:sz w:val="22"/>
                <w:szCs w:val="22"/>
              </w:rPr>
            </w:pPr>
            <w:r>
              <w:rPr>
                <w:rFonts w:ascii="Arial" w:hAnsi="Arial" w:cs="Arial"/>
                <w:sz w:val="22"/>
                <w:szCs w:val="22"/>
              </w:rPr>
              <w:t>3,08 €/m3</w:t>
            </w:r>
          </w:p>
        </w:tc>
      </w:tr>
      <w:tr w:rsidR="009B4233">
        <w:tblPrEx>
          <w:tblCellMar>
            <w:top w:w="0" w:type="dxa"/>
            <w:bottom w:w="0" w:type="dxa"/>
          </w:tblCellMar>
        </w:tblPrEx>
        <w:trPr>
          <w:trHeight w:val="384"/>
        </w:trPr>
        <w:tc>
          <w:tcPr>
            <w:tcW w:w="2836" w:type="dxa"/>
            <w:tcBorders>
              <w:top w:val="single" w:sz="4" w:space="0" w:color="000000"/>
              <w:left w:val="single" w:sz="4" w:space="0" w:color="000000"/>
              <w:bottom w:val="single" w:sz="4" w:space="0" w:color="000000"/>
              <w:right w:val="single" w:sz="4" w:space="0" w:color="000000"/>
            </w:tcBorders>
            <w:shd w:val="clear" w:color="auto" w:fill="auto"/>
            <w:tcMar>
              <w:top w:w="12" w:type="dxa"/>
              <w:left w:w="115" w:type="dxa"/>
              <w:bottom w:w="0" w:type="dxa"/>
              <w:right w:w="115" w:type="dxa"/>
            </w:tcMar>
          </w:tcPr>
          <w:p w:rsidR="009B4233" w:rsidRDefault="006B08B9">
            <w:pPr>
              <w:spacing w:line="249" w:lineRule="auto"/>
              <w:ind w:right="8"/>
              <w:jc w:val="both"/>
              <w:rPr>
                <w:rFonts w:ascii="Arial" w:hAnsi="Arial" w:cs="Arial"/>
                <w:sz w:val="22"/>
                <w:szCs w:val="22"/>
              </w:rPr>
            </w:pPr>
            <w:r>
              <w:rPr>
                <w:rFonts w:ascii="Arial" w:hAnsi="Arial" w:cs="Arial"/>
                <w:sz w:val="22"/>
                <w:szCs w:val="22"/>
              </w:rPr>
              <w:t>Más de 60 m3</w:t>
            </w:r>
          </w:p>
        </w:tc>
        <w:tc>
          <w:tcPr>
            <w:tcW w:w="3270" w:type="dxa"/>
            <w:tcBorders>
              <w:top w:val="single" w:sz="4" w:space="0" w:color="000000"/>
              <w:left w:val="single" w:sz="4" w:space="0" w:color="000000"/>
              <w:bottom w:val="single" w:sz="4" w:space="0" w:color="000000"/>
              <w:right w:val="single" w:sz="4" w:space="0" w:color="000000"/>
            </w:tcBorders>
            <w:shd w:val="clear" w:color="auto" w:fill="auto"/>
            <w:tcMar>
              <w:top w:w="12" w:type="dxa"/>
              <w:left w:w="115" w:type="dxa"/>
              <w:bottom w:w="0" w:type="dxa"/>
              <w:right w:w="115" w:type="dxa"/>
            </w:tcMar>
          </w:tcPr>
          <w:p w:rsidR="009B4233" w:rsidRDefault="006B08B9">
            <w:pPr>
              <w:spacing w:line="249" w:lineRule="auto"/>
              <w:ind w:left="4"/>
              <w:jc w:val="both"/>
              <w:rPr>
                <w:rFonts w:ascii="Arial" w:hAnsi="Arial" w:cs="Arial"/>
                <w:sz w:val="22"/>
                <w:szCs w:val="22"/>
              </w:rPr>
            </w:pPr>
            <w:r>
              <w:rPr>
                <w:rFonts w:ascii="Arial" w:hAnsi="Arial" w:cs="Arial"/>
                <w:sz w:val="22"/>
                <w:szCs w:val="22"/>
              </w:rPr>
              <w:t>4,28 €/m3</w:t>
            </w:r>
          </w:p>
        </w:tc>
      </w:tr>
    </w:tbl>
    <w:p w:rsidR="009B4233" w:rsidRDefault="009B4233">
      <w:pPr>
        <w:spacing w:after="224" w:line="249" w:lineRule="auto"/>
        <w:ind w:left="1144"/>
        <w:jc w:val="both"/>
        <w:rPr>
          <w:rFonts w:ascii="Arial" w:eastAsia="Arial" w:hAnsi="Arial" w:cs="Arial"/>
          <w:b/>
          <w:sz w:val="22"/>
          <w:szCs w:val="22"/>
        </w:rPr>
      </w:pPr>
    </w:p>
    <w:p w:rsidR="009B4233" w:rsidRDefault="009B4233">
      <w:pPr>
        <w:spacing w:after="224" w:line="249" w:lineRule="auto"/>
        <w:ind w:left="1144"/>
        <w:jc w:val="both"/>
        <w:rPr>
          <w:rFonts w:ascii="Arial" w:eastAsia="Arial" w:hAnsi="Arial" w:cs="Arial"/>
          <w:b/>
          <w:sz w:val="22"/>
          <w:szCs w:val="22"/>
        </w:rPr>
      </w:pPr>
    </w:p>
    <w:p w:rsidR="009B4233" w:rsidRDefault="009B4233">
      <w:pPr>
        <w:spacing w:after="224" w:line="249" w:lineRule="auto"/>
        <w:ind w:left="1144"/>
        <w:jc w:val="both"/>
        <w:rPr>
          <w:rFonts w:ascii="Arial" w:eastAsia="Arial" w:hAnsi="Arial" w:cs="Arial"/>
          <w:b/>
          <w:sz w:val="22"/>
          <w:szCs w:val="22"/>
        </w:rPr>
      </w:pPr>
    </w:p>
    <w:p w:rsidR="009B4233" w:rsidRDefault="009B4233">
      <w:pPr>
        <w:spacing w:after="224" w:line="249" w:lineRule="auto"/>
        <w:ind w:left="1144"/>
        <w:jc w:val="both"/>
        <w:rPr>
          <w:rFonts w:ascii="Arial" w:eastAsia="Arial" w:hAnsi="Arial" w:cs="Arial"/>
          <w:b/>
          <w:sz w:val="22"/>
          <w:szCs w:val="22"/>
        </w:rPr>
      </w:pPr>
    </w:p>
    <w:p w:rsidR="009B4233" w:rsidRDefault="006B08B9">
      <w:pPr>
        <w:spacing w:after="224" w:line="249" w:lineRule="auto"/>
        <w:ind w:left="1144"/>
        <w:jc w:val="both"/>
      </w:pPr>
      <w:r>
        <w:rPr>
          <w:rFonts w:ascii="Arial" w:eastAsia="Arial" w:hAnsi="Arial" w:cs="Arial"/>
          <w:b/>
          <w:sz w:val="22"/>
          <w:szCs w:val="22"/>
        </w:rPr>
        <w:t>TARIFAS DE SANEAMIENTO</w:t>
      </w:r>
    </w:p>
    <w:tbl>
      <w:tblPr>
        <w:tblW w:w="5538" w:type="dxa"/>
        <w:tblInd w:w="1694" w:type="dxa"/>
        <w:tblCellMar>
          <w:left w:w="10" w:type="dxa"/>
          <w:right w:w="10" w:type="dxa"/>
        </w:tblCellMar>
        <w:tblLook w:val="0000" w:firstRow="0" w:lastRow="0" w:firstColumn="0" w:lastColumn="0" w:noHBand="0" w:noVBand="0"/>
      </w:tblPr>
      <w:tblGrid>
        <w:gridCol w:w="3042"/>
        <w:gridCol w:w="2496"/>
      </w:tblGrid>
      <w:tr w:rsidR="009B4233">
        <w:tblPrEx>
          <w:tblCellMar>
            <w:top w:w="0" w:type="dxa"/>
            <w:bottom w:w="0" w:type="dxa"/>
          </w:tblCellMar>
        </w:tblPrEx>
        <w:trPr>
          <w:trHeight w:val="636"/>
        </w:trPr>
        <w:tc>
          <w:tcPr>
            <w:tcW w:w="3042" w:type="dxa"/>
            <w:tcBorders>
              <w:top w:val="single" w:sz="4" w:space="0" w:color="000000"/>
              <w:left w:val="single" w:sz="4" w:space="0" w:color="000000"/>
              <w:bottom w:val="single" w:sz="4" w:space="0" w:color="000000"/>
              <w:right w:val="single" w:sz="4" w:space="0" w:color="000000"/>
            </w:tcBorders>
            <w:shd w:val="clear" w:color="auto" w:fill="auto"/>
            <w:tcMar>
              <w:top w:w="12" w:type="dxa"/>
              <w:left w:w="96" w:type="dxa"/>
              <w:bottom w:w="0" w:type="dxa"/>
              <w:right w:w="162" w:type="dxa"/>
            </w:tcMar>
          </w:tcPr>
          <w:p w:rsidR="009B4233" w:rsidRDefault="006B08B9">
            <w:pPr>
              <w:spacing w:line="249" w:lineRule="auto"/>
              <w:ind w:left="65"/>
              <w:jc w:val="both"/>
            </w:pPr>
            <w:r>
              <w:rPr>
                <w:rFonts w:ascii="Arial" w:eastAsia="Arial" w:hAnsi="Arial" w:cs="Arial"/>
                <w:b/>
                <w:sz w:val="22"/>
                <w:szCs w:val="22"/>
              </w:rPr>
              <w:t>TARIFAS</w:t>
            </w:r>
          </w:p>
        </w:tc>
        <w:tc>
          <w:tcPr>
            <w:tcW w:w="2496" w:type="dxa"/>
            <w:tcBorders>
              <w:top w:val="single" w:sz="4" w:space="0" w:color="000000"/>
              <w:left w:val="single" w:sz="4" w:space="0" w:color="000000"/>
              <w:bottom w:val="single" w:sz="4" w:space="0" w:color="000000"/>
              <w:right w:val="single" w:sz="4" w:space="0" w:color="000000"/>
            </w:tcBorders>
            <w:shd w:val="clear" w:color="auto" w:fill="auto"/>
            <w:tcMar>
              <w:top w:w="12" w:type="dxa"/>
              <w:left w:w="96" w:type="dxa"/>
              <w:bottom w:w="0" w:type="dxa"/>
              <w:right w:w="162" w:type="dxa"/>
            </w:tcMar>
          </w:tcPr>
          <w:p w:rsidR="009B4233" w:rsidRDefault="006B08B9">
            <w:pPr>
              <w:spacing w:line="249" w:lineRule="auto"/>
              <w:jc w:val="both"/>
            </w:pPr>
            <w:r>
              <w:rPr>
                <w:rFonts w:ascii="Arial" w:eastAsia="Arial" w:hAnsi="Arial" w:cs="Arial"/>
                <w:b/>
                <w:sz w:val="22"/>
                <w:szCs w:val="22"/>
              </w:rPr>
              <w:t>PROPUESTAS AL PLENO</w:t>
            </w:r>
          </w:p>
        </w:tc>
      </w:tr>
      <w:tr w:rsidR="009B4233">
        <w:tblPrEx>
          <w:tblCellMar>
            <w:top w:w="0" w:type="dxa"/>
            <w:bottom w:w="0" w:type="dxa"/>
          </w:tblCellMar>
        </w:tblPrEx>
        <w:trPr>
          <w:trHeight w:val="406"/>
        </w:trPr>
        <w:tc>
          <w:tcPr>
            <w:tcW w:w="3042" w:type="dxa"/>
            <w:tcBorders>
              <w:top w:val="single" w:sz="4" w:space="0" w:color="000000"/>
              <w:left w:val="single" w:sz="4" w:space="0" w:color="000000"/>
              <w:bottom w:val="single" w:sz="4" w:space="0" w:color="000000"/>
              <w:right w:val="single" w:sz="4" w:space="0" w:color="000000"/>
            </w:tcBorders>
            <w:shd w:val="clear" w:color="auto" w:fill="auto"/>
            <w:tcMar>
              <w:top w:w="12" w:type="dxa"/>
              <w:left w:w="96" w:type="dxa"/>
              <w:bottom w:w="0" w:type="dxa"/>
              <w:right w:w="162" w:type="dxa"/>
            </w:tcMar>
          </w:tcPr>
          <w:p w:rsidR="009B4233" w:rsidRDefault="006B08B9">
            <w:pPr>
              <w:spacing w:line="249" w:lineRule="auto"/>
              <w:ind w:left="14"/>
              <w:jc w:val="both"/>
            </w:pPr>
            <w:r>
              <w:rPr>
                <w:rFonts w:ascii="Arial" w:eastAsia="Arial" w:hAnsi="Arial" w:cs="Arial"/>
                <w:b/>
                <w:sz w:val="22"/>
                <w:szCs w:val="22"/>
              </w:rPr>
              <w:t>CONSUMO DOMÉSTICO</w:t>
            </w:r>
          </w:p>
        </w:tc>
        <w:tc>
          <w:tcPr>
            <w:tcW w:w="2496" w:type="dxa"/>
            <w:tcBorders>
              <w:top w:val="single" w:sz="4" w:space="0" w:color="000000"/>
              <w:left w:val="single" w:sz="4" w:space="0" w:color="000000"/>
              <w:bottom w:val="single" w:sz="4" w:space="0" w:color="000000"/>
              <w:right w:val="single" w:sz="4" w:space="0" w:color="000000"/>
            </w:tcBorders>
            <w:shd w:val="clear" w:color="auto" w:fill="auto"/>
            <w:tcMar>
              <w:top w:w="12" w:type="dxa"/>
              <w:left w:w="96" w:type="dxa"/>
              <w:bottom w:w="0" w:type="dxa"/>
              <w:right w:w="162" w:type="dxa"/>
            </w:tcMar>
          </w:tcPr>
          <w:p w:rsidR="009B4233" w:rsidRDefault="009B4233">
            <w:pPr>
              <w:spacing w:after="160" w:line="249" w:lineRule="auto"/>
              <w:jc w:val="both"/>
              <w:rPr>
                <w:rFonts w:ascii="Arial" w:hAnsi="Arial" w:cs="Arial"/>
                <w:sz w:val="22"/>
                <w:szCs w:val="22"/>
              </w:rPr>
            </w:pPr>
          </w:p>
        </w:tc>
      </w:tr>
      <w:tr w:rsidR="009B4233">
        <w:tblPrEx>
          <w:tblCellMar>
            <w:top w:w="0" w:type="dxa"/>
            <w:bottom w:w="0" w:type="dxa"/>
          </w:tblCellMar>
        </w:tblPrEx>
        <w:trPr>
          <w:trHeight w:val="406"/>
        </w:trPr>
        <w:tc>
          <w:tcPr>
            <w:tcW w:w="3042" w:type="dxa"/>
            <w:tcBorders>
              <w:top w:val="single" w:sz="4" w:space="0" w:color="000000"/>
              <w:left w:val="single" w:sz="4" w:space="0" w:color="000000"/>
              <w:bottom w:val="single" w:sz="4" w:space="0" w:color="000000"/>
              <w:right w:val="single" w:sz="4" w:space="0" w:color="000000"/>
            </w:tcBorders>
            <w:shd w:val="clear" w:color="auto" w:fill="auto"/>
            <w:tcMar>
              <w:top w:w="12" w:type="dxa"/>
              <w:left w:w="96" w:type="dxa"/>
              <w:bottom w:w="0" w:type="dxa"/>
              <w:right w:w="162" w:type="dxa"/>
            </w:tcMar>
          </w:tcPr>
          <w:p w:rsidR="009B4233" w:rsidRDefault="006B08B9">
            <w:pPr>
              <w:spacing w:line="249" w:lineRule="auto"/>
              <w:ind w:left="14"/>
              <w:jc w:val="both"/>
              <w:rPr>
                <w:rFonts w:ascii="Arial" w:hAnsi="Arial" w:cs="Arial"/>
                <w:sz w:val="22"/>
                <w:szCs w:val="22"/>
              </w:rPr>
            </w:pPr>
            <w:r>
              <w:rPr>
                <w:rFonts w:ascii="Arial" w:hAnsi="Arial" w:cs="Arial"/>
                <w:sz w:val="22"/>
                <w:szCs w:val="22"/>
              </w:rPr>
              <w:t>Mínimo de 10 m3</w:t>
            </w:r>
          </w:p>
        </w:tc>
        <w:tc>
          <w:tcPr>
            <w:tcW w:w="2496" w:type="dxa"/>
            <w:tcBorders>
              <w:top w:val="single" w:sz="4" w:space="0" w:color="000000"/>
              <w:left w:val="single" w:sz="4" w:space="0" w:color="000000"/>
              <w:bottom w:val="single" w:sz="4" w:space="0" w:color="000000"/>
              <w:right w:val="single" w:sz="4" w:space="0" w:color="000000"/>
            </w:tcBorders>
            <w:shd w:val="clear" w:color="auto" w:fill="auto"/>
            <w:tcMar>
              <w:top w:w="12" w:type="dxa"/>
              <w:left w:w="96" w:type="dxa"/>
              <w:bottom w:w="0" w:type="dxa"/>
              <w:right w:w="162" w:type="dxa"/>
            </w:tcMar>
          </w:tcPr>
          <w:p w:rsidR="009B4233" w:rsidRDefault="006B08B9">
            <w:pPr>
              <w:spacing w:line="249" w:lineRule="auto"/>
              <w:ind w:left="14"/>
              <w:jc w:val="both"/>
              <w:rPr>
                <w:rFonts w:ascii="Arial" w:hAnsi="Arial" w:cs="Arial"/>
                <w:sz w:val="22"/>
                <w:szCs w:val="22"/>
              </w:rPr>
            </w:pPr>
            <w:r>
              <w:rPr>
                <w:rFonts w:ascii="Arial" w:hAnsi="Arial" w:cs="Arial"/>
                <w:sz w:val="22"/>
                <w:szCs w:val="22"/>
              </w:rPr>
              <w:t>1,89 €</w:t>
            </w:r>
          </w:p>
        </w:tc>
      </w:tr>
      <w:tr w:rsidR="009B4233">
        <w:tblPrEx>
          <w:tblCellMar>
            <w:top w:w="0" w:type="dxa"/>
            <w:bottom w:w="0" w:type="dxa"/>
          </w:tblCellMar>
        </w:tblPrEx>
        <w:trPr>
          <w:trHeight w:val="406"/>
        </w:trPr>
        <w:tc>
          <w:tcPr>
            <w:tcW w:w="3042" w:type="dxa"/>
            <w:tcBorders>
              <w:top w:val="single" w:sz="4" w:space="0" w:color="000000"/>
              <w:left w:val="single" w:sz="4" w:space="0" w:color="000000"/>
              <w:bottom w:val="single" w:sz="4" w:space="0" w:color="000000"/>
              <w:right w:val="single" w:sz="4" w:space="0" w:color="000000"/>
            </w:tcBorders>
            <w:shd w:val="clear" w:color="auto" w:fill="auto"/>
            <w:tcMar>
              <w:top w:w="12" w:type="dxa"/>
              <w:left w:w="96" w:type="dxa"/>
              <w:bottom w:w="0" w:type="dxa"/>
              <w:right w:w="162" w:type="dxa"/>
            </w:tcMar>
          </w:tcPr>
          <w:p w:rsidR="009B4233" w:rsidRDefault="006B08B9">
            <w:pPr>
              <w:spacing w:line="249" w:lineRule="auto"/>
              <w:jc w:val="both"/>
              <w:rPr>
                <w:rFonts w:ascii="Arial" w:hAnsi="Arial" w:cs="Arial"/>
                <w:sz w:val="22"/>
                <w:szCs w:val="22"/>
              </w:rPr>
            </w:pPr>
            <w:r>
              <w:rPr>
                <w:rFonts w:ascii="Arial" w:hAnsi="Arial" w:cs="Arial"/>
                <w:sz w:val="22"/>
                <w:szCs w:val="22"/>
              </w:rPr>
              <w:t>Más de 10 m3</w:t>
            </w:r>
          </w:p>
        </w:tc>
        <w:tc>
          <w:tcPr>
            <w:tcW w:w="2496" w:type="dxa"/>
            <w:tcBorders>
              <w:top w:val="single" w:sz="4" w:space="0" w:color="000000"/>
              <w:left w:val="single" w:sz="4" w:space="0" w:color="000000"/>
              <w:bottom w:val="single" w:sz="4" w:space="0" w:color="000000"/>
              <w:right w:val="single" w:sz="4" w:space="0" w:color="000000"/>
            </w:tcBorders>
            <w:shd w:val="clear" w:color="auto" w:fill="auto"/>
            <w:tcMar>
              <w:top w:w="12" w:type="dxa"/>
              <w:left w:w="96" w:type="dxa"/>
              <w:bottom w:w="0" w:type="dxa"/>
              <w:right w:w="162" w:type="dxa"/>
            </w:tcMar>
          </w:tcPr>
          <w:p w:rsidR="009B4233" w:rsidRDefault="006B08B9">
            <w:pPr>
              <w:spacing w:line="249" w:lineRule="auto"/>
              <w:ind w:left="14"/>
              <w:jc w:val="both"/>
              <w:rPr>
                <w:rFonts w:ascii="Arial" w:hAnsi="Arial" w:cs="Arial"/>
                <w:sz w:val="22"/>
                <w:szCs w:val="22"/>
              </w:rPr>
            </w:pPr>
            <w:r>
              <w:rPr>
                <w:rFonts w:ascii="Arial" w:hAnsi="Arial" w:cs="Arial"/>
                <w:sz w:val="22"/>
                <w:szCs w:val="22"/>
              </w:rPr>
              <w:t>0,19 €/m3</w:t>
            </w:r>
          </w:p>
        </w:tc>
      </w:tr>
      <w:tr w:rsidR="009B4233">
        <w:tblPrEx>
          <w:tblCellMar>
            <w:top w:w="0" w:type="dxa"/>
            <w:bottom w:w="0" w:type="dxa"/>
          </w:tblCellMar>
        </w:tblPrEx>
        <w:trPr>
          <w:trHeight w:val="406"/>
        </w:trPr>
        <w:tc>
          <w:tcPr>
            <w:tcW w:w="3042" w:type="dxa"/>
            <w:tcBorders>
              <w:top w:val="single" w:sz="4" w:space="0" w:color="000000"/>
              <w:left w:val="single" w:sz="4" w:space="0" w:color="000000"/>
              <w:bottom w:val="single" w:sz="4" w:space="0" w:color="000000"/>
              <w:right w:val="single" w:sz="4" w:space="0" w:color="000000"/>
            </w:tcBorders>
            <w:shd w:val="clear" w:color="auto" w:fill="auto"/>
            <w:tcMar>
              <w:top w:w="12" w:type="dxa"/>
              <w:left w:w="96" w:type="dxa"/>
              <w:bottom w:w="0" w:type="dxa"/>
              <w:right w:w="162" w:type="dxa"/>
            </w:tcMar>
          </w:tcPr>
          <w:p w:rsidR="009B4233" w:rsidRDefault="006B08B9">
            <w:pPr>
              <w:spacing w:line="249" w:lineRule="auto"/>
              <w:ind w:left="14"/>
              <w:jc w:val="both"/>
            </w:pPr>
            <w:r>
              <w:rPr>
                <w:rFonts w:ascii="Arial" w:eastAsia="Arial" w:hAnsi="Arial" w:cs="Arial"/>
                <w:b/>
                <w:sz w:val="22"/>
                <w:szCs w:val="22"/>
              </w:rPr>
              <w:t>CONSUMO INDUSTRIAL</w:t>
            </w:r>
          </w:p>
        </w:tc>
        <w:tc>
          <w:tcPr>
            <w:tcW w:w="2496" w:type="dxa"/>
            <w:tcBorders>
              <w:top w:val="single" w:sz="4" w:space="0" w:color="000000"/>
              <w:left w:val="single" w:sz="4" w:space="0" w:color="000000"/>
              <w:bottom w:val="single" w:sz="4" w:space="0" w:color="000000"/>
              <w:right w:val="single" w:sz="4" w:space="0" w:color="000000"/>
            </w:tcBorders>
            <w:shd w:val="clear" w:color="auto" w:fill="auto"/>
            <w:tcMar>
              <w:top w:w="12" w:type="dxa"/>
              <w:left w:w="96" w:type="dxa"/>
              <w:bottom w:w="0" w:type="dxa"/>
              <w:right w:w="162" w:type="dxa"/>
            </w:tcMar>
          </w:tcPr>
          <w:p w:rsidR="009B4233" w:rsidRDefault="009B4233">
            <w:pPr>
              <w:spacing w:after="160" w:line="249" w:lineRule="auto"/>
              <w:jc w:val="both"/>
              <w:rPr>
                <w:rFonts w:ascii="Arial" w:hAnsi="Arial" w:cs="Arial"/>
                <w:sz w:val="22"/>
                <w:szCs w:val="22"/>
              </w:rPr>
            </w:pPr>
          </w:p>
        </w:tc>
      </w:tr>
      <w:tr w:rsidR="009B4233">
        <w:tblPrEx>
          <w:tblCellMar>
            <w:top w:w="0" w:type="dxa"/>
            <w:bottom w:w="0" w:type="dxa"/>
          </w:tblCellMar>
        </w:tblPrEx>
        <w:trPr>
          <w:trHeight w:val="406"/>
        </w:trPr>
        <w:tc>
          <w:tcPr>
            <w:tcW w:w="3042" w:type="dxa"/>
            <w:tcBorders>
              <w:top w:val="single" w:sz="4" w:space="0" w:color="000000"/>
              <w:left w:val="single" w:sz="4" w:space="0" w:color="000000"/>
              <w:bottom w:val="single" w:sz="4" w:space="0" w:color="000000"/>
              <w:right w:val="single" w:sz="4" w:space="0" w:color="000000"/>
            </w:tcBorders>
            <w:shd w:val="clear" w:color="auto" w:fill="auto"/>
            <w:tcMar>
              <w:top w:w="12" w:type="dxa"/>
              <w:left w:w="96" w:type="dxa"/>
              <w:bottom w:w="0" w:type="dxa"/>
              <w:right w:w="162" w:type="dxa"/>
            </w:tcMar>
          </w:tcPr>
          <w:p w:rsidR="009B4233" w:rsidRDefault="006B08B9">
            <w:pPr>
              <w:spacing w:line="249" w:lineRule="auto"/>
              <w:ind w:left="14"/>
              <w:jc w:val="both"/>
              <w:rPr>
                <w:rFonts w:ascii="Arial" w:hAnsi="Arial" w:cs="Arial"/>
                <w:sz w:val="22"/>
                <w:szCs w:val="22"/>
              </w:rPr>
            </w:pPr>
            <w:r>
              <w:rPr>
                <w:rFonts w:ascii="Arial" w:hAnsi="Arial" w:cs="Arial"/>
                <w:sz w:val="22"/>
                <w:szCs w:val="22"/>
              </w:rPr>
              <w:t>Mínimo 10 m3</w:t>
            </w:r>
          </w:p>
        </w:tc>
        <w:tc>
          <w:tcPr>
            <w:tcW w:w="2496" w:type="dxa"/>
            <w:tcBorders>
              <w:top w:val="single" w:sz="4" w:space="0" w:color="000000"/>
              <w:left w:val="single" w:sz="4" w:space="0" w:color="000000"/>
              <w:bottom w:val="single" w:sz="4" w:space="0" w:color="000000"/>
              <w:right w:val="single" w:sz="4" w:space="0" w:color="000000"/>
            </w:tcBorders>
            <w:shd w:val="clear" w:color="auto" w:fill="auto"/>
            <w:tcMar>
              <w:top w:w="12" w:type="dxa"/>
              <w:left w:w="96" w:type="dxa"/>
              <w:bottom w:w="0" w:type="dxa"/>
              <w:right w:w="162" w:type="dxa"/>
            </w:tcMar>
          </w:tcPr>
          <w:p w:rsidR="009B4233" w:rsidRDefault="006B08B9">
            <w:pPr>
              <w:spacing w:line="249" w:lineRule="auto"/>
              <w:ind w:left="14"/>
              <w:jc w:val="both"/>
              <w:rPr>
                <w:rFonts w:ascii="Arial" w:hAnsi="Arial" w:cs="Arial"/>
                <w:sz w:val="22"/>
                <w:szCs w:val="22"/>
              </w:rPr>
            </w:pPr>
            <w:r>
              <w:rPr>
                <w:rFonts w:ascii="Arial" w:hAnsi="Arial" w:cs="Arial"/>
                <w:sz w:val="22"/>
                <w:szCs w:val="22"/>
              </w:rPr>
              <w:t>2.17 €</w:t>
            </w:r>
          </w:p>
        </w:tc>
      </w:tr>
      <w:tr w:rsidR="009B4233">
        <w:tblPrEx>
          <w:tblCellMar>
            <w:top w:w="0" w:type="dxa"/>
            <w:bottom w:w="0" w:type="dxa"/>
          </w:tblCellMar>
        </w:tblPrEx>
        <w:trPr>
          <w:trHeight w:val="406"/>
        </w:trPr>
        <w:tc>
          <w:tcPr>
            <w:tcW w:w="3042" w:type="dxa"/>
            <w:tcBorders>
              <w:top w:val="single" w:sz="4" w:space="0" w:color="000000"/>
              <w:left w:val="single" w:sz="4" w:space="0" w:color="000000"/>
              <w:bottom w:val="single" w:sz="4" w:space="0" w:color="000000"/>
              <w:right w:val="single" w:sz="4" w:space="0" w:color="000000"/>
            </w:tcBorders>
            <w:shd w:val="clear" w:color="auto" w:fill="auto"/>
            <w:tcMar>
              <w:top w:w="12" w:type="dxa"/>
              <w:left w:w="96" w:type="dxa"/>
              <w:bottom w:w="0" w:type="dxa"/>
              <w:right w:w="162" w:type="dxa"/>
            </w:tcMar>
          </w:tcPr>
          <w:p w:rsidR="009B4233" w:rsidRDefault="006B08B9">
            <w:pPr>
              <w:spacing w:line="249" w:lineRule="auto"/>
              <w:ind w:left="14"/>
              <w:jc w:val="both"/>
              <w:rPr>
                <w:rFonts w:ascii="Arial" w:hAnsi="Arial" w:cs="Arial"/>
                <w:sz w:val="22"/>
                <w:szCs w:val="22"/>
              </w:rPr>
            </w:pPr>
            <w:r>
              <w:rPr>
                <w:rFonts w:ascii="Arial" w:hAnsi="Arial" w:cs="Arial"/>
                <w:sz w:val="22"/>
                <w:szCs w:val="22"/>
              </w:rPr>
              <w:t>Más de 10 m3</w:t>
            </w:r>
          </w:p>
        </w:tc>
        <w:tc>
          <w:tcPr>
            <w:tcW w:w="2496" w:type="dxa"/>
            <w:tcBorders>
              <w:top w:val="single" w:sz="4" w:space="0" w:color="000000"/>
              <w:left w:val="single" w:sz="4" w:space="0" w:color="000000"/>
              <w:bottom w:val="single" w:sz="4" w:space="0" w:color="000000"/>
              <w:right w:val="single" w:sz="4" w:space="0" w:color="000000"/>
            </w:tcBorders>
            <w:shd w:val="clear" w:color="auto" w:fill="auto"/>
            <w:tcMar>
              <w:top w:w="12" w:type="dxa"/>
              <w:left w:w="96" w:type="dxa"/>
              <w:bottom w:w="0" w:type="dxa"/>
              <w:right w:w="162" w:type="dxa"/>
            </w:tcMar>
          </w:tcPr>
          <w:p w:rsidR="009B4233" w:rsidRDefault="006B08B9">
            <w:pPr>
              <w:spacing w:line="249" w:lineRule="auto"/>
              <w:ind w:left="14"/>
              <w:jc w:val="both"/>
              <w:rPr>
                <w:rFonts w:ascii="Arial" w:hAnsi="Arial" w:cs="Arial"/>
                <w:sz w:val="22"/>
                <w:szCs w:val="22"/>
              </w:rPr>
            </w:pPr>
            <w:r>
              <w:rPr>
                <w:rFonts w:ascii="Arial" w:hAnsi="Arial" w:cs="Arial"/>
                <w:sz w:val="22"/>
                <w:szCs w:val="22"/>
              </w:rPr>
              <w:t>0,22 €/m3</w:t>
            </w:r>
          </w:p>
        </w:tc>
      </w:tr>
    </w:tbl>
    <w:p w:rsidR="009B4233" w:rsidRDefault="006B08B9">
      <w:pPr>
        <w:spacing w:line="249" w:lineRule="auto"/>
        <w:ind w:right="13"/>
        <w:jc w:val="both"/>
        <w:rPr>
          <w:rFonts w:ascii="Arial" w:hAnsi="Arial" w:cs="Arial"/>
          <w:sz w:val="22"/>
          <w:szCs w:val="22"/>
        </w:rPr>
      </w:pPr>
      <w:r>
        <w:rPr>
          <w:rFonts w:ascii="Arial" w:hAnsi="Arial" w:cs="Arial"/>
          <w:sz w:val="22"/>
          <w:szCs w:val="22"/>
        </w:rPr>
        <w:t xml:space="preserve">    </w:t>
      </w:r>
    </w:p>
    <w:p w:rsidR="009B4233" w:rsidRDefault="006B08B9">
      <w:pPr>
        <w:spacing w:line="249" w:lineRule="auto"/>
        <w:ind w:right="13"/>
        <w:jc w:val="both"/>
        <w:rPr>
          <w:rFonts w:ascii="Arial" w:hAnsi="Arial" w:cs="Arial"/>
          <w:sz w:val="22"/>
          <w:szCs w:val="22"/>
        </w:rPr>
      </w:pPr>
      <w:r>
        <w:rPr>
          <w:rFonts w:ascii="Arial" w:hAnsi="Arial" w:cs="Arial"/>
          <w:sz w:val="22"/>
          <w:szCs w:val="22"/>
        </w:rPr>
        <w:t xml:space="preserve">     Por ello, este Concejal Delegado de Hacienda PROPONE al Ayuntamiento Pleno, la adopción del siguiente acuerdo:</w:t>
      </w:r>
    </w:p>
    <w:p w:rsidR="009B4233" w:rsidRDefault="006B08B9">
      <w:pPr>
        <w:spacing w:after="9"/>
        <w:ind w:left="-5"/>
        <w:jc w:val="both"/>
      </w:pPr>
      <w:r>
        <w:rPr>
          <w:rFonts w:ascii="Arial" w:eastAsia="Arial" w:hAnsi="Arial" w:cs="Arial"/>
          <w:b/>
          <w:sz w:val="22"/>
          <w:szCs w:val="22"/>
        </w:rPr>
        <w:t>Primero:</w:t>
      </w:r>
      <w:r>
        <w:rPr>
          <w:rFonts w:ascii="Arial" w:hAnsi="Arial" w:cs="Arial"/>
          <w:sz w:val="22"/>
          <w:szCs w:val="22"/>
        </w:rPr>
        <w:t xml:space="preserve"> Aprobación inicial de la Modificación de la ORDENANZA REGULADORA DE </w:t>
      </w:r>
    </w:p>
    <w:p w:rsidR="009B4233" w:rsidRDefault="006B08B9">
      <w:pPr>
        <w:spacing w:after="266"/>
        <w:ind w:left="-5" w:right="3"/>
        <w:jc w:val="both"/>
        <w:rPr>
          <w:rFonts w:ascii="Arial" w:hAnsi="Arial" w:cs="Arial"/>
          <w:sz w:val="22"/>
          <w:szCs w:val="22"/>
        </w:rPr>
      </w:pPr>
      <w:r>
        <w:rPr>
          <w:rFonts w:ascii="Arial" w:hAnsi="Arial" w:cs="Arial"/>
          <w:sz w:val="22"/>
          <w:szCs w:val="22"/>
        </w:rPr>
        <w:t>LA PRESTACIÓN PATRIMONIAL DE CARÁCTER PÚBLICO NO TRIBUTARIO DE</w:t>
      </w:r>
      <w:r>
        <w:rPr>
          <w:rFonts w:ascii="Arial" w:hAnsi="Arial" w:cs="Arial"/>
          <w:sz w:val="22"/>
          <w:szCs w:val="22"/>
        </w:rPr>
        <w:t xml:space="preserve"> LOS SERVICIOS MUNICIPALES DE GESTIÓN DEL CICLO INTEGRAL DEL AGUA DEL AYUNTAMIENTO DE LA VILLA DE CANDELARIA.</w:t>
      </w:r>
    </w:p>
    <w:p w:rsidR="009B4233" w:rsidRDefault="006B08B9">
      <w:pPr>
        <w:spacing w:after="266"/>
        <w:ind w:left="-5" w:right="3"/>
        <w:jc w:val="both"/>
      </w:pPr>
      <w:r>
        <w:rPr>
          <w:rFonts w:ascii="Arial" w:eastAsia="Arial" w:hAnsi="Arial" w:cs="Arial"/>
          <w:b/>
          <w:sz w:val="22"/>
          <w:szCs w:val="22"/>
        </w:rPr>
        <w:t>Segundo:</w:t>
      </w:r>
      <w:r>
        <w:rPr>
          <w:rFonts w:ascii="Arial" w:hAnsi="Arial" w:cs="Arial"/>
          <w:sz w:val="22"/>
          <w:szCs w:val="22"/>
        </w:rPr>
        <w:t xml:space="preserve"> Dar al expediente la tramitación y publicidad preceptiva, mediante exposición del mismo en el tablón de anuncios de este Ayuntamiento y e</w:t>
      </w:r>
      <w:r>
        <w:rPr>
          <w:rFonts w:ascii="Arial" w:hAnsi="Arial" w:cs="Arial"/>
          <w:sz w:val="22"/>
          <w:szCs w:val="22"/>
        </w:rPr>
        <w:t>n el Boletín Oficial de la Provincia, por plazo de treinta días hábiles, dentro de los cuales los interesados podrán examinarlo y plantear las reclamaciones que estimen oportunas.</w:t>
      </w:r>
    </w:p>
    <w:p w:rsidR="009B4233" w:rsidRDefault="006B08B9">
      <w:pPr>
        <w:spacing w:after="266"/>
        <w:ind w:left="-15" w:right="3" w:firstLine="720"/>
        <w:jc w:val="both"/>
      </w:pPr>
      <w:r>
        <w:rPr>
          <w:rFonts w:ascii="Arial" w:hAnsi="Arial" w:cs="Arial"/>
          <w:sz w:val="22"/>
          <w:szCs w:val="22"/>
        </w:rPr>
        <w:t xml:space="preserve">Asimismo, estará a disposición de los interesados en la sede electrónica de </w:t>
      </w:r>
      <w:r>
        <w:rPr>
          <w:rFonts w:ascii="Arial" w:hAnsi="Arial" w:cs="Arial"/>
          <w:sz w:val="22"/>
          <w:szCs w:val="22"/>
        </w:rPr>
        <w:t xml:space="preserve">este Ayuntamiento [ </w:t>
      </w:r>
      <w:hyperlink r:id="rId21" w:history="1">
        <w:r>
          <w:rPr>
            <w:rFonts w:ascii="Arial" w:hAnsi="Arial" w:cs="Arial"/>
            <w:color w:val="000080"/>
            <w:sz w:val="22"/>
            <w:szCs w:val="22"/>
            <w:u w:val="single" w:color="000080"/>
          </w:rPr>
          <w:t>https://www.candelaria.es/sede-electronica/</w:t>
        </w:r>
      </w:hyperlink>
      <w:r>
        <w:rPr>
          <w:rFonts w:ascii="Arial" w:hAnsi="Arial" w:cs="Arial"/>
          <w:sz w:val="22"/>
          <w:szCs w:val="22"/>
        </w:rPr>
        <w:t>].</w:t>
      </w:r>
    </w:p>
    <w:p w:rsidR="009B4233" w:rsidRDefault="006B08B9">
      <w:pPr>
        <w:spacing w:after="266"/>
        <w:ind w:left="-5" w:right="3"/>
        <w:jc w:val="both"/>
      </w:pPr>
      <w:r>
        <w:rPr>
          <w:rFonts w:ascii="Arial" w:eastAsia="Arial" w:hAnsi="Arial" w:cs="Arial"/>
          <w:b/>
          <w:sz w:val="22"/>
          <w:szCs w:val="22"/>
        </w:rPr>
        <w:t xml:space="preserve">Tercero: </w:t>
      </w:r>
      <w:r>
        <w:rPr>
          <w:rFonts w:ascii="Arial" w:hAnsi="Arial" w:cs="Arial"/>
          <w:sz w:val="22"/>
          <w:szCs w:val="22"/>
        </w:rPr>
        <w:t xml:space="preserve">Remitir el acuerdo que se adopte a la Comisión Territorial de precios de la Consejería de Turismo, Industria y Comercio </w:t>
      </w:r>
      <w:r>
        <w:rPr>
          <w:rFonts w:ascii="Arial" w:hAnsi="Arial" w:cs="Arial"/>
          <w:sz w:val="22"/>
          <w:szCs w:val="22"/>
        </w:rPr>
        <w:t>del Gobierno de Canarias a efectos del informe preceptivo en virtud del régimen de precios autorizados de ámbito autonómico, en virtud del Decreto 3173/1983 de 9 de noviembre.</w:t>
      </w:r>
    </w:p>
    <w:p w:rsidR="009B4233" w:rsidRDefault="006B08B9">
      <w:pPr>
        <w:ind w:left="-5" w:right="3"/>
        <w:jc w:val="both"/>
      </w:pPr>
      <w:r>
        <w:rPr>
          <w:rFonts w:ascii="Arial" w:eastAsia="Arial" w:hAnsi="Arial" w:cs="Arial"/>
          <w:b/>
          <w:sz w:val="22"/>
          <w:szCs w:val="22"/>
        </w:rPr>
        <w:t>Cuarto:</w:t>
      </w:r>
      <w:r>
        <w:rPr>
          <w:rFonts w:ascii="Arial" w:hAnsi="Arial" w:cs="Arial"/>
          <w:sz w:val="22"/>
          <w:szCs w:val="22"/>
        </w:rPr>
        <w:t xml:space="preserve"> Considerar, en el supuesto de que no se presentasen reclamaciones al </w:t>
      </w:r>
      <w:r>
        <w:rPr>
          <w:rFonts w:ascii="Arial" w:hAnsi="Arial" w:cs="Arial"/>
          <w:sz w:val="22"/>
          <w:szCs w:val="22"/>
        </w:rPr>
        <w:t>expediente, en el plazo anteriormente indicado, que el Acuerdo es definitivo, de conformidad con el artículo 70.2 de la Ley 7/1985, Reguladora de Bases de Régimen Local.”</w:t>
      </w:r>
    </w:p>
    <w:p w:rsidR="009B4233" w:rsidRDefault="009B4233">
      <w:pPr>
        <w:pStyle w:val="Textoindependiente"/>
        <w:jc w:val="both"/>
        <w:rPr>
          <w:rFonts w:cs="Arial"/>
          <w:bCs/>
          <w:szCs w:val="22"/>
        </w:rPr>
      </w:pPr>
    </w:p>
    <w:p w:rsidR="009B4233" w:rsidRDefault="009B4233">
      <w:pPr>
        <w:pStyle w:val="Textoindependiente"/>
        <w:jc w:val="both"/>
        <w:rPr>
          <w:rFonts w:cs="Arial"/>
          <w:bCs/>
          <w:szCs w:val="22"/>
        </w:rPr>
      </w:pPr>
    </w:p>
    <w:p w:rsidR="009B4233" w:rsidRDefault="009B4233">
      <w:pPr>
        <w:pStyle w:val="Textoindependiente"/>
        <w:jc w:val="both"/>
        <w:rPr>
          <w:rFonts w:cs="Arial"/>
          <w:bCs/>
          <w:szCs w:val="22"/>
        </w:rPr>
      </w:pPr>
    </w:p>
    <w:p w:rsidR="009B4233" w:rsidRDefault="009B4233">
      <w:pPr>
        <w:pStyle w:val="Textoindependiente"/>
        <w:jc w:val="both"/>
        <w:rPr>
          <w:rFonts w:cs="Arial"/>
          <w:bCs/>
          <w:szCs w:val="22"/>
        </w:rPr>
      </w:pPr>
    </w:p>
    <w:p w:rsidR="009B4233" w:rsidRDefault="009B4233">
      <w:pPr>
        <w:pStyle w:val="Textoindependiente"/>
        <w:jc w:val="both"/>
        <w:rPr>
          <w:rFonts w:cs="Arial"/>
          <w:bCs/>
          <w:szCs w:val="22"/>
        </w:rPr>
      </w:pPr>
    </w:p>
    <w:p w:rsidR="009B4233" w:rsidRDefault="009B4233">
      <w:pPr>
        <w:pStyle w:val="Textoindependiente"/>
        <w:jc w:val="both"/>
        <w:rPr>
          <w:rFonts w:cs="Arial"/>
          <w:bCs/>
          <w:szCs w:val="22"/>
        </w:rPr>
      </w:pPr>
    </w:p>
    <w:p w:rsidR="009B4233" w:rsidRDefault="009B4233">
      <w:pPr>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6B08B9">
      <w:pPr>
        <w:jc w:val="both"/>
        <w:rPr>
          <w:rFonts w:ascii="Arial" w:hAnsi="Arial" w:cs="Arial"/>
          <w:b/>
          <w:sz w:val="22"/>
          <w:szCs w:val="22"/>
        </w:rPr>
      </w:pPr>
      <w:r>
        <w:rPr>
          <w:rFonts w:ascii="Arial" w:hAnsi="Arial" w:cs="Arial"/>
          <w:b/>
          <w:sz w:val="22"/>
          <w:szCs w:val="22"/>
        </w:rPr>
        <w:t xml:space="preserve">DICTAMEN FAVORABLE DE LA COMISIÓN INFORMATIVA DE HACIENDA, RECURSOS HUMANOS </w:t>
      </w:r>
      <w:r>
        <w:rPr>
          <w:rFonts w:ascii="Arial" w:hAnsi="Arial" w:cs="Arial"/>
          <w:b/>
          <w:sz w:val="22"/>
          <w:szCs w:val="22"/>
        </w:rPr>
        <w:t xml:space="preserve">Y SERVICIOS GENERALES DE 22 DE SEPTIEMBRE DE 2025. </w:t>
      </w:r>
    </w:p>
    <w:p w:rsidR="009B4233" w:rsidRDefault="009B4233">
      <w:pPr>
        <w:jc w:val="both"/>
        <w:rPr>
          <w:rFonts w:ascii="Arial" w:hAnsi="Arial" w:cs="Arial"/>
          <w:b/>
          <w:sz w:val="22"/>
          <w:szCs w:val="22"/>
        </w:rPr>
      </w:pPr>
    </w:p>
    <w:p w:rsidR="009B4233" w:rsidRDefault="006B08B9">
      <w:pPr>
        <w:rPr>
          <w:rFonts w:ascii="Arial" w:hAnsi="Arial" w:cs="Arial"/>
          <w:sz w:val="22"/>
          <w:szCs w:val="22"/>
        </w:rPr>
      </w:pPr>
      <w:r>
        <w:rPr>
          <w:rFonts w:ascii="Arial" w:hAnsi="Arial" w:cs="Arial"/>
          <w:sz w:val="22"/>
          <w:szCs w:val="22"/>
        </w:rPr>
        <w:t>Votos a favor: 4.</w:t>
      </w:r>
    </w:p>
    <w:p w:rsidR="009B4233" w:rsidRDefault="006B08B9">
      <w:pPr>
        <w:jc w:val="both"/>
        <w:rPr>
          <w:rFonts w:ascii="Arial" w:hAnsi="Arial" w:cs="Arial"/>
          <w:sz w:val="22"/>
          <w:szCs w:val="22"/>
        </w:rPr>
      </w:pPr>
      <w:r>
        <w:rPr>
          <w:rFonts w:ascii="Arial" w:hAnsi="Arial" w:cs="Arial"/>
          <w:sz w:val="22"/>
          <w:szCs w:val="22"/>
        </w:rPr>
        <w:t xml:space="preserve">Los 4 concejales del Grupo Socialista: D. Airam Pérez Chinea, D. José Francisco Pinto Ramos, Doña Margarita Eva Tendero Barroso y Doña Mónica Montserrat Yanes Delgado. </w:t>
      </w:r>
    </w:p>
    <w:p w:rsidR="009B4233" w:rsidRDefault="009B4233">
      <w:pPr>
        <w:jc w:val="both"/>
        <w:rPr>
          <w:rFonts w:ascii="Arial" w:hAnsi="Arial" w:cs="Arial"/>
          <w:sz w:val="22"/>
          <w:szCs w:val="22"/>
        </w:rPr>
      </w:pPr>
    </w:p>
    <w:p w:rsidR="009B4233" w:rsidRDefault="006B08B9">
      <w:pPr>
        <w:jc w:val="both"/>
        <w:rPr>
          <w:rFonts w:ascii="Arial" w:hAnsi="Arial" w:cs="Arial"/>
          <w:sz w:val="22"/>
          <w:szCs w:val="22"/>
        </w:rPr>
      </w:pPr>
      <w:r>
        <w:rPr>
          <w:rFonts w:ascii="Arial" w:hAnsi="Arial" w:cs="Arial"/>
          <w:sz w:val="22"/>
          <w:szCs w:val="22"/>
        </w:rPr>
        <w:t>Votos en contra</w:t>
      </w:r>
      <w:r>
        <w:rPr>
          <w:rFonts w:ascii="Arial" w:hAnsi="Arial" w:cs="Arial"/>
          <w:sz w:val="22"/>
          <w:szCs w:val="22"/>
        </w:rPr>
        <w:t>: 0.</w:t>
      </w:r>
    </w:p>
    <w:p w:rsidR="009B4233" w:rsidRDefault="009B4233">
      <w:pPr>
        <w:jc w:val="both"/>
        <w:rPr>
          <w:rFonts w:ascii="Arial" w:hAnsi="Arial" w:cs="Arial"/>
          <w:sz w:val="22"/>
          <w:szCs w:val="22"/>
        </w:rPr>
      </w:pPr>
    </w:p>
    <w:p w:rsidR="009B4233" w:rsidRDefault="006B08B9">
      <w:pPr>
        <w:jc w:val="both"/>
        <w:rPr>
          <w:rFonts w:ascii="Arial" w:hAnsi="Arial" w:cs="Arial"/>
          <w:sz w:val="22"/>
          <w:szCs w:val="22"/>
        </w:rPr>
      </w:pPr>
      <w:r>
        <w:rPr>
          <w:rFonts w:ascii="Arial" w:hAnsi="Arial" w:cs="Arial"/>
          <w:sz w:val="22"/>
          <w:szCs w:val="22"/>
        </w:rPr>
        <w:t>Abstenciones: 2.</w:t>
      </w:r>
    </w:p>
    <w:p w:rsidR="009B4233" w:rsidRDefault="009B4233">
      <w:pPr>
        <w:rPr>
          <w:rFonts w:ascii="Arial" w:hAnsi="Arial" w:cs="Arial"/>
          <w:sz w:val="22"/>
          <w:szCs w:val="22"/>
        </w:rPr>
      </w:pPr>
    </w:p>
    <w:p w:rsidR="009B4233" w:rsidRDefault="006B08B9">
      <w:pPr>
        <w:jc w:val="both"/>
        <w:rPr>
          <w:rFonts w:ascii="Arial" w:hAnsi="Arial" w:cs="Arial"/>
          <w:sz w:val="22"/>
          <w:szCs w:val="22"/>
        </w:rPr>
      </w:pPr>
      <w:r>
        <w:rPr>
          <w:rFonts w:ascii="Arial" w:hAnsi="Arial" w:cs="Arial"/>
          <w:sz w:val="22"/>
          <w:szCs w:val="22"/>
        </w:rPr>
        <w:t>1 concejal del Grupo Popular: D. Jacobo López Fariña.</w:t>
      </w:r>
    </w:p>
    <w:p w:rsidR="009B4233" w:rsidRDefault="009B4233">
      <w:pPr>
        <w:jc w:val="both"/>
        <w:rPr>
          <w:rFonts w:ascii="Arial" w:hAnsi="Arial" w:cs="Arial"/>
          <w:sz w:val="22"/>
          <w:szCs w:val="22"/>
        </w:rPr>
      </w:pPr>
    </w:p>
    <w:p w:rsidR="009B4233" w:rsidRDefault="006B08B9">
      <w:pPr>
        <w:jc w:val="both"/>
        <w:rPr>
          <w:rFonts w:ascii="Arial" w:hAnsi="Arial" w:cs="Arial"/>
          <w:sz w:val="22"/>
          <w:szCs w:val="22"/>
        </w:rPr>
      </w:pPr>
      <w:r>
        <w:rPr>
          <w:rFonts w:ascii="Arial" w:hAnsi="Arial" w:cs="Arial"/>
          <w:sz w:val="22"/>
          <w:szCs w:val="22"/>
        </w:rPr>
        <w:t>1 del concejal del Grupo Mixto (CC): D. José Yeray Padilla Cruz.</w:t>
      </w:r>
    </w:p>
    <w:p w:rsidR="009B4233" w:rsidRDefault="009B4233">
      <w:pPr>
        <w:jc w:val="both"/>
        <w:rPr>
          <w:rFonts w:ascii="Arial" w:hAnsi="Arial" w:cs="Arial"/>
          <w:sz w:val="22"/>
          <w:szCs w:val="22"/>
        </w:rPr>
      </w:pPr>
    </w:p>
    <w:p w:rsidR="009B4233" w:rsidRDefault="009B4233">
      <w:pPr>
        <w:rPr>
          <w:rFonts w:ascii="Arial" w:hAnsi="Arial" w:cs="Arial"/>
          <w:b/>
          <w:sz w:val="22"/>
          <w:szCs w:val="22"/>
        </w:rPr>
      </w:pPr>
    </w:p>
    <w:p w:rsidR="009B4233" w:rsidRDefault="006B08B9">
      <w:pPr>
        <w:rPr>
          <w:rFonts w:ascii="Arial" w:hAnsi="Arial" w:cs="Arial"/>
          <w:b/>
          <w:sz w:val="22"/>
          <w:szCs w:val="22"/>
        </w:rPr>
      </w:pPr>
      <w:r>
        <w:rPr>
          <w:rFonts w:ascii="Arial" w:hAnsi="Arial" w:cs="Arial"/>
          <w:b/>
          <w:sz w:val="22"/>
          <w:szCs w:val="22"/>
        </w:rPr>
        <w:t>JUNTA DE PORTAVOCES DE 22 DE SEPTIEMBRE DE 2025.</w:t>
      </w:r>
    </w:p>
    <w:p w:rsidR="009B4233" w:rsidRDefault="006B08B9">
      <w:pPr>
        <w:rPr>
          <w:rFonts w:ascii="Arial" w:hAnsi="Arial" w:cs="Arial"/>
          <w:sz w:val="22"/>
          <w:szCs w:val="22"/>
        </w:rPr>
      </w:pPr>
      <w:r>
        <w:rPr>
          <w:rFonts w:ascii="Arial" w:hAnsi="Arial" w:cs="Arial"/>
          <w:sz w:val="22"/>
          <w:szCs w:val="22"/>
        </w:rPr>
        <w:t xml:space="preserve">Quedó oída. </w:t>
      </w:r>
    </w:p>
    <w:p w:rsidR="009B4233" w:rsidRDefault="009B4233">
      <w:pPr>
        <w:rPr>
          <w:rFonts w:ascii="Arial" w:hAnsi="Arial" w:cs="Arial"/>
          <w:b/>
          <w:sz w:val="22"/>
          <w:szCs w:val="22"/>
        </w:rPr>
      </w:pPr>
    </w:p>
    <w:p w:rsidR="009B4233" w:rsidRDefault="006B08B9">
      <w:pPr>
        <w:ind w:left="709" w:firstLine="709"/>
        <w:rPr>
          <w:rFonts w:ascii="Arial" w:hAnsi="Arial" w:cs="Arial"/>
          <w:b/>
          <w:sz w:val="22"/>
          <w:szCs w:val="22"/>
        </w:rPr>
      </w:pPr>
      <w:r>
        <w:rPr>
          <w:rFonts w:ascii="Arial" w:hAnsi="Arial" w:cs="Arial"/>
          <w:b/>
          <w:sz w:val="22"/>
          <w:szCs w:val="22"/>
        </w:rPr>
        <w:t xml:space="preserve">VOTACIÓN EN EL PLENO DE 25 DE SEPTIEMBRE DE </w:t>
      </w:r>
      <w:r>
        <w:rPr>
          <w:rFonts w:ascii="Arial" w:hAnsi="Arial" w:cs="Arial"/>
          <w:b/>
          <w:sz w:val="22"/>
          <w:szCs w:val="22"/>
        </w:rPr>
        <w:t>2025.</w:t>
      </w:r>
    </w:p>
    <w:p w:rsidR="009B4233" w:rsidRDefault="009B4233">
      <w:pPr>
        <w:rPr>
          <w:rFonts w:ascii="Arial" w:hAnsi="Arial" w:cs="Arial"/>
          <w:b/>
          <w:sz w:val="22"/>
          <w:szCs w:val="22"/>
        </w:rPr>
      </w:pPr>
    </w:p>
    <w:p w:rsidR="009B4233" w:rsidRDefault="006B08B9">
      <w:pPr>
        <w:jc w:val="both"/>
        <w:rPr>
          <w:rFonts w:ascii="Arial" w:hAnsi="Arial" w:cs="Arial"/>
          <w:sz w:val="22"/>
          <w:szCs w:val="22"/>
        </w:rPr>
      </w:pPr>
      <w:r>
        <w:rPr>
          <w:rFonts w:ascii="Arial" w:hAnsi="Arial" w:cs="Arial"/>
          <w:sz w:val="22"/>
          <w:szCs w:val="22"/>
        </w:rPr>
        <w:t>Votos a favor: 11.</w:t>
      </w:r>
    </w:p>
    <w:p w:rsidR="009B4233" w:rsidRDefault="009B4233">
      <w:pPr>
        <w:jc w:val="both"/>
        <w:rPr>
          <w:rFonts w:ascii="Arial" w:hAnsi="Arial" w:cs="Arial"/>
          <w:sz w:val="22"/>
          <w:szCs w:val="22"/>
        </w:rPr>
      </w:pPr>
    </w:p>
    <w:p w:rsidR="009B4233" w:rsidRDefault="006B08B9">
      <w:pPr>
        <w:jc w:val="both"/>
        <w:rPr>
          <w:rFonts w:ascii="Arial" w:hAnsi="Arial" w:cs="Arial"/>
          <w:sz w:val="22"/>
          <w:szCs w:val="22"/>
        </w:rPr>
      </w:pPr>
      <w:r>
        <w:rPr>
          <w:rFonts w:ascii="Arial" w:hAnsi="Arial" w:cs="Arial"/>
          <w:sz w:val="22"/>
          <w:szCs w:val="22"/>
        </w:rPr>
        <w:t>11 concejales del Grupo Socialista: Doña María Concepción Brito Núñez, Don Jorge Baute Delgado, Don José Francisco Pinto Ramos, Doña Olivia Concepción Pérez Díaz, Don Reinaldo José Triviño Blanco, Don Manuel Alberto González Pest</w:t>
      </w:r>
      <w:r>
        <w:rPr>
          <w:rFonts w:ascii="Arial" w:hAnsi="Arial" w:cs="Arial"/>
          <w:sz w:val="22"/>
          <w:szCs w:val="22"/>
        </w:rPr>
        <w:t xml:space="preserve">ano, Doña Margarita Eva Tendero Barroso, Don Airam Pérez Chinea, Doña María del Carmen Clemente Díaz, Don Olegario Francisco Alonso Bello, Doña Mónica Monserrat Yanes Delgado. </w:t>
      </w:r>
    </w:p>
    <w:p w:rsidR="009B4233" w:rsidRDefault="009B4233">
      <w:pPr>
        <w:jc w:val="both"/>
        <w:rPr>
          <w:rFonts w:ascii="Arial" w:hAnsi="Arial" w:cs="Arial"/>
          <w:sz w:val="22"/>
          <w:szCs w:val="22"/>
        </w:rPr>
      </w:pPr>
    </w:p>
    <w:p w:rsidR="009B4233" w:rsidRDefault="006B08B9">
      <w:pPr>
        <w:jc w:val="both"/>
        <w:rPr>
          <w:rFonts w:ascii="Arial" w:hAnsi="Arial" w:cs="Arial"/>
          <w:sz w:val="22"/>
          <w:szCs w:val="22"/>
        </w:rPr>
      </w:pPr>
      <w:r>
        <w:rPr>
          <w:rFonts w:ascii="Arial" w:hAnsi="Arial" w:cs="Arial"/>
          <w:sz w:val="22"/>
          <w:szCs w:val="22"/>
        </w:rPr>
        <w:t>Votos en contra: 8.</w:t>
      </w:r>
    </w:p>
    <w:p w:rsidR="009B4233" w:rsidRDefault="009B4233">
      <w:pPr>
        <w:jc w:val="both"/>
        <w:rPr>
          <w:rFonts w:ascii="Arial" w:hAnsi="Arial" w:cs="Arial"/>
          <w:sz w:val="22"/>
          <w:szCs w:val="22"/>
        </w:rPr>
      </w:pPr>
    </w:p>
    <w:p w:rsidR="009B4233" w:rsidRDefault="006B08B9">
      <w:pPr>
        <w:jc w:val="both"/>
        <w:rPr>
          <w:rFonts w:ascii="Arial" w:hAnsi="Arial" w:cs="Arial"/>
          <w:sz w:val="22"/>
          <w:szCs w:val="22"/>
        </w:rPr>
      </w:pPr>
      <w:r>
        <w:rPr>
          <w:rFonts w:ascii="Arial" w:hAnsi="Arial" w:cs="Arial"/>
          <w:sz w:val="22"/>
          <w:szCs w:val="22"/>
        </w:rPr>
        <w:t xml:space="preserve">5 concejales del Grupo Popular: Don Jacobo López Fariña, </w:t>
      </w:r>
      <w:r>
        <w:rPr>
          <w:rFonts w:ascii="Arial" w:hAnsi="Arial" w:cs="Arial"/>
          <w:sz w:val="22"/>
          <w:szCs w:val="22"/>
        </w:rPr>
        <w:t xml:space="preserve">Don Miguel Eduardo Hernández Chitty, Doña María Carlota Díaz González, Don José Daniel Sosa González, y Doña Shaila Castellano Batista. </w:t>
      </w:r>
    </w:p>
    <w:p w:rsidR="009B4233" w:rsidRDefault="009B4233">
      <w:pPr>
        <w:jc w:val="both"/>
        <w:rPr>
          <w:rFonts w:ascii="Arial" w:hAnsi="Arial" w:cs="Arial"/>
          <w:sz w:val="22"/>
          <w:szCs w:val="22"/>
        </w:rPr>
      </w:pPr>
    </w:p>
    <w:p w:rsidR="009B4233" w:rsidRDefault="006B08B9">
      <w:pPr>
        <w:jc w:val="both"/>
        <w:rPr>
          <w:rFonts w:ascii="Arial" w:hAnsi="Arial" w:cs="Arial"/>
          <w:sz w:val="22"/>
          <w:szCs w:val="22"/>
        </w:rPr>
      </w:pPr>
      <w:r>
        <w:rPr>
          <w:rFonts w:ascii="Arial" w:hAnsi="Arial" w:cs="Arial"/>
          <w:sz w:val="22"/>
          <w:szCs w:val="22"/>
        </w:rPr>
        <w:t>2 concejales del Grupo Mixto, Doña Ángela Cruz Perera y Don José Yeray Padilla Cruz (CC).</w:t>
      </w:r>
    </w:p>
    <w:p w:rsidR="009B4233" w:rsidRDefault="009B4233">
      <w:pPr>
        <w:jc w:val="both"/>
        <w:rPr>
          <w:rFonts w:ascii="Arial" w:hAnsi="Arial" w:cs="Arial"/>
          <w:sz w:val="22"/>
          <w:szCs w:val="22"/>
        </w:rPr>
      </w:pPr>
    </w:p>
    <w:p w:rsidR="009B4233" w:rsidRDefault="006B08B9">
      <w:pPr>
        <w:jc w:val="both"/>
      </w:pPr>
      <w:r>
        <w:rPr>
          <w:rFonts w:ascii="Arial" w:hAnsi="Arial" w:cs="Arial"/>
          <w:sz w:val="22"/>
          <w:szCs w:val="22"/>
        </w:rPr>
        <w:t>1 concejal del Grupo Mixto,</w:t>
      </w:r>
      <w:r>
        <w:rPr>
          <w:rFonts w:ascii="Arial" w:hAnsi="Arial" w:cs="Arial"/>
          <w:sz w:val="22"/>
          <w:szCs w:val="22"/>
        </w:rPr>
        <w:t xml:space="preserve"> Doña Violeta López Jiménez (USP)</w:t>
      </w:r>
    </w:p>
    <w:p w:rsidR="009B4233" w:rsidRDefault="006B08B9">
      <w:pPr>
        <w:jc w:val="both"/>
        <w:rPr>
          <w:rFonts w:ascii="Arial" w:hAnsi="Arial" w:cs="Arial"/>
          <w:b/>
          <w:sz w:val="22"/>
          <w:szCs w:val="22"/>
        </w:rPr>
      </w:pPr>
      <w:r>
        <w:rPr>
          <w:rFonts w:ascii="Arial" w:hAnsi="Arial" w:cs="Arial"/>
          <w:b/>
          <w:sz w:val="22"/>
          <w:szCs w:val="22"/>
        </w:rPr>
        <w:t xml:space="preserve">                          </w:t>
      </w:r>
    </w:p>
    <w:p w:rsidR="009B4233" w:rsidRDefault="006B08B9">
      <w:pPr>
        <w:rPr>
          <w:rFonts w:ascii="Arial" w:hAnsi="Arial" w:cs="Arial"/>
          <w:sz w:val="22"/>
          <w:szCs w:val="22"/>
        </w:rPr>
      </w:pPr>
      <w:r>
        <w:rPr>
          <w:rFonts w:ascii="Arial" w:hAnsi="Arial" w:cs="Arial"/>
          <w:sz w:val="22"/>
          <w:szCs w:val="22"/>
        </w:rPr>
        <w:t>Abstenciones: 1.</w:t>
      </w:r>
    </w:p>
    <w:p w:rsidR="009B4233" w:rsidRDefault="006B08B9">
      <w:pPr>
        <w:rPr>
          <w:rFonts w:ascii="Arial" w:hAnsi="Arial" w:cs="Arial"/>
          <w:sz w:val="22"/>
          <w:szCs w:val="22"/>
        </w:rPr>
      </w:pPr>
      <w:r>
        <w:rPr>
          <w:rFonts w:ascii="Arial" w:hAnsi="Arial" w:cs="Arial"/>
          <w:sz w:val="22"/>
          <w:szCs w:val="22"/>
        </w:rPr>
        <w:t>1 concejal del Grupo Mixto (Vox): Don José Tortosa Pallarés.</w:t>
      </w:r>
    </w:p>
    <w:p w:rsidR="009B4233" w:rsidRDefault="009B4233">
      <w:pPr>
        <w:pStyle w:val="Textoindependiente"/>
        <w:jc w:val="both"/>
        <w:rPr>
          <w:rFonts w:cs="Arial"/>
          <w:szCs w:val="22"/>
        </w:rPr>
      </w:pPr>
    </w:p>
    <w:p w:rsidR="009B4233" w:rsidRDefault="006B08B9">
      <w:pPr>
        <w:pStyle w:val="Textoindependiente"/>
        <w:ind w:firstLine="708"/>
        <w:rPr>
          <w:rFonts w:cs="Arial"/>
          <w:b/>
          <w:szCs w:val="22"/>
        </w:rPr>
      </w:pPr>
      <w:r>
        <w:rPr>
          <w:rFonts w:cs="Arial"/>
          <w:b/>
          <w:szCs w:val="22"/>
        </w:rPr>
        <w:t>ACUERDO DEL PLENO DE 25 DE SEPTIEMBRE DE 2025.</w:t>
      </w:r>
    </w:p>
    <w:p w:rsidR="009B4233" w:rsidRDefault="009B4233">
      <w:pPr>
        <w:pStyle w:val="Textoindependiente"/>
        <w:jc w:val="center"/>
        <w:rPr>
          <w:rFonts w:cs="Arial"/>
          <w:b/>
          <w:szCs w:val="22"/>
        </w:rPr>
      </w:pPr>
    </w:p>
    <w:p w:rsidR="009B4233" w:rsidRDefault="006B08B9">
      <w:pPr>
        <w:spacing w:after="9"/>
        <w:ind w:left="-5"/>
        <w:jc w:val="both"/>
      </w:pPr>
      <w:r>
        <w:rPr>
          <w:rFonts w:ascii="Arial" w:eastAsia="Arial" w:hAnsi="Arial" w:cs="Arial"/>
          <w:b/>
          <w:sz w:val="22"/>
          <w:szCs w:val="22"/>
        </w:rPr>
        <w:t>Primero:</w:t>
      </w:r>
      <w:r>
        <w:rPr>
          <w:rFonts w:ascii="Arial" w:hAnsi="Arial" w:cs="Arial"/>
          <w:b/>
          <w:sz w:val="22"/>
          <w:szCs w:val="22"/>
        </w:rPr>
        <w:t xml:space="preserve"> Aprobación inicial de la Modificación de la ORDENANZA REGUL</w:t>
      </w:r>
      <w:r>
        <w:rPr>
          <w:rFonts w:ascii="Arial" w:hAnsi="Arial" w:cs="Arial"/>
          <w:b/>
          <w:sz w:val="22"/>
          <w:szCs w:val="22"/>
        </w:rPr>
        <w:t>ADORA DE LA PRESTACIÓN PATRIMONIAL DE CARÁCTER PÚBLICO NO TRIBUTARIO DE LOS SERVICIOS MUNICIPALES DE GESTIÓN DEL CICLO INTEGRAL DEL AGUA DEL AYUNTAMIENTO DE LA VILLA DE CANDELARIA.</w:t>
      </w:r>
    </w:p>
    <w:p w:rsidR="009B4233" w:rsidRDefault="009B4233">
      <w:pPr>
        <w:spacing w:after="9"/>
        <w:ind w:left="-5"/>
        <w:jc w:val="both"/>
        <w:rPr>
          <w:rFonts w:ascii="Arial" w:hAnsi="Arial" w:cs="Arial"/>
          <w:b/>
          <w:sz w:val="22"/>
          <w:szCs w:val="22"/>
        </w:rPr>
      </w:pPr>
    </w:p>
    <w:p w:rsidR="009B4233" w:rsidRDefault="006B08B9">
      <w:pPr>
        <w:spacing w:after="266"/>
        <w:ind w:left="-5" w:right="3"/>
        <w:jc w:val="both"/>
      </w:pPr>
      <w:r>
        <w:rPr>
          <w:rFonts w:ascii="Arial" w:eastAsia="Arial" w:hAnsi="Arial" w:cs="Arial"/>
          <w:b/>
          <w:sz w:val="22"/>
          <w:szCs w:val="22"/>
        </w:rPr>
        <w:t>Segundo:</w:t>
      </w:r>
      <w:r>
        <w:rPr>
          <w:rFonts w:ascii="Arial" w:hAnsi="Arial" w:cs="Arial"/>
          <w:b/>
          <w:sz w:val="22"/>
          <w:szCs w:val="22"/>
        </w:rPr>
        <w:t xml:space="preserve"> Dar al expediente la tramitación y publicidad preceptiva, </w:t>
      </w:r>
      <w:r>
        <w:rPr>
          <w:rFonts w:ascii="Arial" w:hAnsi="Arial" w:cs="Arial"/>
          <w:b/>
          <w:sz w:val="22"/>
          <w:szCs w:val="22"/>
        </w:rPr>
        <w:t>mediante exposición del mismo en el tablón de anuncios de este Ayuntamiento y en el Boletín Oficial de la Provincia, por plazo de treinta días hábiles, dentro de los cuales los interesados podrán examinarlo y plantear las reclamaciones que estimen oportuna</w:t>
      </w:r>
      <w:r>
        <w:rPr>
          <w:rFonts w:ascii="Arial" w:hAnsi="Arial" w:cs="Arial"/>
          <w:b/>
          <w:sz w:val="22"/>
          <w:szCs w:val="22"/>
        </w:rPr>
        <w:t>s.</w:t>
      </w:r>
    </w:p>
    <w:p w:rsidR="009B4233" w:rsidRDefault="006B08B9">
      <w:pPr>
        <w:spacing w:after="266"/>
        <w:ind w:left="-15" w:right="3" w:firstLine="720"/>
        <w:jc w:val="both"/>
      </w:pPr>
      <w:r>
        <w:rPr>
          <w:rFonts w:ascii="Arial" w:hAnsi="Arial" w:cs="Arial"/>
          <w:b/>
          <w:sz w:val="22"/>
          <w:szCs w:val="22"/>
        </w:rPr>
        <w:t xml:space="preserve">Asimismo, estará a disposición de los interesados en la sede electrónica de este Ayuntamiento [ </w:t>
      </w:r>
      <w:hyperlink r:id="rId22" w:history="1">
        <w:r>
          <w:rPr>
            <w:rFonts w:ascii="Arial" w:hAnsi="Arial" w:cs="Arial"/>
            <w:b/>
            <w:color w:val="000080"/>
            <w:sz w:val="22"/>
            <w:szCs w:val="22"/>
            <w:u w:val="single" w:color="000080"/>
          </w:rPr>
          <w:t>https://www.candelaria.es/sede-electronica/</w:t>
        </w:r>
      </w:hyperlink>
      <w:r>
        <w:rPr>
          <w:rFonts w:ascii="Arial" w:hAnsi="Arial" w:cs="Arial"/>
          <w:b/>
          <w:sz w:val="22"/>
          <w:szCs w:val="22"/>
        </w:rPr>
        <w:t>].</w:t>
      </w:r>
    </w:p>
    <w:p w:rsidR="009B4233" w:rsidRDefault="006B08B9">
      <w:pPr>
        <w:spacing w:after="266"/>
        <w:ind w:left="-5" w:right="3"/>
        <w:jc w:val="both"/>
      </w:pPr>
      <w:r>
        <w:rPr>
          <w:rFonts w:ascii="Arial" w:eastAsia="Arial" w:hAnsi="Arial" w:cs="Arial"/>
          <w:b/>
          <w:sz w:val="22"/>
          <w:szCs w:val="22"/>
        </w:rPr>
        <w:t xml:space="preserve">Tercero: </w:t>
      </w:r>
      <w:r>
        <w:rPr>
          <w:rFonts w:ascii="Arial" w:hAnsi="Arial" w:cs="Arial"/>
          <w:b/>
          <w:sz w:val="22"/>
          <w:szCs w:val="22"/>
        </w:rPr>
        <w:t xml:space="preserve">Remitir el acuerdo que se adopte a la </w:t>
      </w:r>
      <w:r>
        <w:rPr>
          <w:rFonts w:ascii="Arial" w:hAnsi="Arial" w:cs="Arial"/>
          <w:b/>
          <w:sz w:val="22"/>
          <w:szCs w:val="22"/>
        </w:rPr>
        <w:t>Comisión Territorial de precios de la Consejería de Turismo, Industria y Comercio del Gobierno de Canarias a efectos del informe preceptivo en virtud del régimen de precios autorizados de ámbito autonómico, en virtud del Decreto 3173/1983 de 9 de noviembre</w:t>
      </w:r>
      <w:r>
        <w:rPr>
          <w:rFonts w:ascii="Arial" w:hAnsi="Arial" w:cs="Arial"/>
          <w:b/>
          <w:sz w:val="22"/>
          <w:szCs w:val="22"/>
        </w:rPr>
        <w:t>.</w:t>
      </w:r>
    </w:p>
    <w:p w:rsidR="009B4233" w:rsidRDefault="006B08B9">
      <w:pPr>
        <w:ind w:left="-5" w:right="3"/>
        <w:jc w:val="both"/>
      </w:pPr>
      <w:r>
        <w:rPr>
          <w:rFonts w:ascii="Arial" w:eastAsia="Arial" w:hAnsi="Arial" w:cs="Arial"/>
          <w:b/>
          <w:sz w:val="22"/>
          <w:szCs w:val="22"/>
        </w:rPr>
        <w:t>Cuarto:</w:t>
      </w:r>
      <w:r>
        <w:rPr>
          <w:rFonts w:ascii="Arial" w:hAnsi="Arial" w:cs="Arial"/>
          <w:b/>
          <w:sz w:val="22"/>
          <w:szCs w:val="22"/>
        </w:rPr>
        <w:t xml:space="preserve"> Considerar, en el supuesto de que no se presentasen reclamaciones al expediente, en el plazo anteriormente indicado, que el Acuerdo es definitivo, de conformidad con el artículo 70.2 de la Ley 7/1985, Reguladora de Bases de Régimen Local.</w:t>
      </w:r>
    </w:p>
    <w:p w:rsidR="009B4233" w:rsidRDefault="009B4233">
      <w:pPr>
        <w:widowControl/>
        <w:suppressAutoHyphens w:val="0"/>
        <w:autoSpaceDE w:val="0"/>
        <w:jc w:val="both"/>
        <w:textAlignment w:val="auto"/>
        <w:rPr>
          <w:rFonts w:ascii="Arial" w:hAnsi="Arial" w:cs="Arial"/>
          <w:b/>
          <w:sz w:val="22"/>
          <w:szCs w:val="22"/>
        </w:rPr>
      </w:pPr>
    </w:p>
    <w:p w:rsidR="009B4233" w:rsidRDefault="009B4233">
      <w:pPr>
        <w:widowControl/>
        <w:suppressAutoHyphens w:val="0"/>
        <w:autoSpaceDE w:val="0"/>
        <w:jc w:val="both"/>
        <w:textAlignment w:val="auto"/>
        <w:rPr>
          <w:rFonts w:ascii="Arial" w:hAnsi="Arial" w:cs="Arial"/>
          <w:b/>
          <w:sz w:val="22"/>
          <w:szCs w:val="22"/>
        </w:rPr>
      </w:pPr>
    </w:p>
    <w:p w:rsidR="009B4233" w:rsidRDefault="009B4233">
      <w:pPr>
        <w:widowControl/>
        <w:suppressAutoHyphens w:val="0"/>
        <w:autoSpaceDE w:val="0"/>
        <w:jc w:val="both"/>
        <w:textAlignment w:val="auto"/>
        <w:rPr>
          <w:rFonts w:ascii="Arial" w:hAnsi="Arial" w:cs="Arial"/>
          <w:b/>
          <w:sz w:val="22"/>
          <w:szCs w:val="22"/>
        </w:rPr>
      </w:pPr>
    </w:p>
    <w:p w:rsidR="009B4233" w:rsidRDefault="009B4233">
      <w:pPr>
        <w:widowControl/>
        <w:suppressAutoHyphens w:val="0"/>
        <w:autoSpaceDE w:val="0"/>
        <w:jc w:val="both"/>
        <w:textAlignment w:val="auto"/>
        <w:rPr>
          <w:rFonts w:ascii="Arial" w:hAnsi="Arial" w:cs="Arial"/>
          <w:b/>
          <w:sz w:val="22"/>
          <w:szCs w:val="22"/>
        </w:rPr>
      </w:pPr>
    </w:p>
    <w:p w:rsidR="009B4233" w:rsidRDefault="009B4233">
      <w:pPr>
        <w:widowControl/>
        <w:suppressAutoHyphens w:val="0"/>
        <w:autoSpaceDE w:val="0"/>
        <w:jc w:val="both"/>
        <w:textAlignment w:val="auto"/>
        <w:rPr>
          <w:rFonts w:ascii="Arial" w:hAnsi="Arial" w:cs="Arial"/>
          <w:b/>
          <w:sz w:val="22"/>
          <w:szCs w:val="22"/>
        </w:rPr>
      </w:pPr>
    </w:p>
    <w:p w:rsidR="009B4233" w:rsidRDefault="009B4233">
      <w:pPr>
        <w:jc w:val="both"/>
        <w:rPr>
          <w:rFonts w:ascii="Arial" w:hAnsi="Arial" w:cs="Arial"/>
          <w:b/>
        </w:rPr>
      </w:pPr>
    </w:p>
    <w:p w:rsidR="009B4233" w:rsidRDefault="006B08B9">
      <w:pPr>
        <w:jc w:val="both"/>
        <w:rPr>
          <w:rFonts w:ascii="Arial" w:hAnsi="Arial" w:cs="Arial"/>
          <w:b/>
        </w:rPr>
      </w:pPr>
      <w:r>
        <w:rPr>
          <w:rFonts w:ascii="Arial" w:hAnsi="Arial" w:cs="Arial"/>
          <w:b/>
        </w:rPr>
        <w:t>5</w:t>
      </w:r>
      <w:r>
        <w:rPr>
          <w:rFonts w:ascii="Arial" w:hAnsi="Arial" w:cs="Arial"/>
          <w:b/>
        </w:rPr>
        <w:t>.- Expediente 8790/2025.Propuesta del Concejal delegado de Hacienda al Pleno de fecha 17 de septiembre de 2025 de aprobación inicial de la modificación de la Ordenanza fiscal reguladora de la Tasa por la prestación del Servicio de Recogida, Transporte y Tr</w:t>
      </w:r>
      <w:r>
        <w:rPr>
          <w:rFonts w:ascii="Arial" w:hAnsi="Arial" w:cs="Arial"/>
          <w:b/>
        </w:rPr>
        <w:t>atamientos de Residuos Sólidos Urbanos del Ayuntamiento de la Villa de Candelaria.</w:t>
      </w: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6B08B9">
      <w:pPr>
        <w:jc w:val="both"/>
        <w:rPr>
          <w:rFonts w:ascii="Arial" w:hAnsi="Arial" w:cs="Arial"/>
          <w:b/>
          <w:sz w:val="22"/>
          <w:szCs w:val="22"/>
        </w:rPr>
      </w:pPr>
      <w:r>
        <w:rPr>
          <w:rFonts w:ascii="Arial" w:hAnsi="Arial" w:cs="Arial"/>
          <w:b/>
          <w:sz w:val="22"/>
          <w:szCs w:val="22"/>
        </w:rPr>
        <w:t>Consta en el expediente Informe de Intervención emitido por Don Nicolás Rojo Garnica, que desempeña el puesto de trabajo de Interventor Municipal, de 17 de septiembre de 2</w:t>
      </w:r>
      <w:r>
        <w:rPr>
          <w:rFonts w:ascii="Arial" w:hAnsi="Arial" w:cs="Arial"/>
          <w:b/>
          <w:sz w:val="22"/>
          <w:szCs w:val="22"/>
        </w:rPr>
        <w:t>025, del siguiente tenor literal:</w:t>
      </w:r>
    </w:p>
    <w:p w:rsidR="009B4233" w:rsidRDefault="009B4233">
      <w:pPr>
        <w:jc w:val="both"/>
        <w:rPr>
          <w:rFonts w:ascii="Arial" w:hAnsi="Arial" w:cs="Arial"/>
          <w:b/>
          <w:sz w:val="22"/>
          <w:szCs w:val="22"/>
        </w:rPr>
      </w:pPr>
    </w:p>
    <w:p w:rsidR="009B4233" w:rsidRDefault="009B4233">
      <w:pPr>
        <w:spacing w:after="290" w:line="249" w:lineRule="auto"/>
        <w:ind w:right="4"/>
        <w:jc w:val="center"/>
        <w:rPr>
          <w:rFonts w:ascii="Arial" w:eastAsia="Arial" w:hAnsi="Arial" w:cs="Arial"/>
          <w:b/>
          <w:sz w:val="22"/>
          <w:szCs w:val="22"/>
        </w:rPr>
      </w:pPr>
    </w:p>
    <w:p w:rsidR="009B4233" w:rsidRDefault="006B08B9">
      <w:pPr>
        <w:spacing w:after="290" w:line="249" w:lineRule="auto"/>
        <w:ind w:right="4"/>
        <w:jc w:val="center"/>
        <w:rPr>
          <w:rFonts w:ascii="Arial" w:eastAsia="Arial" w:hAnsi="Arial" w:cs="Arial"/>
          <w:b/>
          <w:sz w:val="22"/>
          <w:szCs w:val="22"/>
        </w:rPr>
      </w:pPr>
      <w:r>
        <w:rPr>
          <w:rFonts w:ascii="Arial" w:eastAsia="Arial" w:hAnsi="Arial" w:cs="Arial"/>
          <w:b/>
          <w:sz w:val="22"/>
          <w:szCs w:val="22"/>
        </w:rPr>
        <w:t>“INFORME DE INTERVENCIÓN</w:t>
      </w:r>
    </w:p>
    <w:p w:rsidR="009B4233" w:rsidRDefault="006B08B9">
      <w:pPr>
        <w:spacing w:after="290" w:line="249" w:lineRule="auto"/>
        <w:ind w:right="4"/>
        <w:jc w:val="both"/>
      </w:pPr>
      <w:r>
        <w:rPr>
          <w:rFonts w:ascii="Arial" w:hAnsi="Arial" w:cs="Arial"/>
          <w:sz w:val="22"/>
          <w:szCs w:val="22"/>
        </w:rPr>
        <w:t xml:space="preserve">Estudio Económico de la Modificación de la </w:t>
      </w:r>
      <w:r>
        <w:rPr>
          <w:rFonts w:ascii="Arial" w:hAnsi="Arial" w:cs="Arial"/>
          <w:color w:val="404040"/>
          <w:sz w:val="22"/>
          <w:szCs w:val="22"/>
        </w:rPr>
        <w:t xml:space="preserve">Ordenanza Fiscal de la Tasa por la Prestación del Servicio de Recogida, Transporte y </w:t>
      </w:r>
      <w:r>
        <w:rPr>
          <w:rFonts w:ascii="Arial" w:hAnsi="Arial" w:cs="Arial"/>
          <w:sz w:val="22"/>
          <w:szCs w:val="22"/>
        </w:rPr>
        <w:t>Tratamiento de Residuos Sólidos Urbanos</w:t>
      </w:r>
    </w:p>
    <w:p w:rsidR="009B4233" w:rsidRDefault="009B4233">
      <w:pPr>
        <w:rPr>
          <w:rFonts w:ascii="Arial" w:hAnsi="Arial" w:cs="Arial"/>
          <w:sz w:val="22"/>
          <w:szCs w:val="22"/>
          <w:lang w:eastAsia="es-ES"/>
        </w:rPr>
      </w:pPr>
    </w:p>
    <w:p w:rsidR="009B4233" w:rsidRDefault="006B08B9">
      <w:pPr>
        <w:ind w:left="-15"/>
        <w:jc w:val="both"/>
        <w:rPr>
          <w:rFonts w:ascii="Arial" w:hAnsi="Arial" w:cs="Arial"/>
          <w:sz w:val="22"/>
          <w:szCs w:val="22"/>
        </w:rPr>
      </w:pPr>
      <w:r>
        <w:rPr>
          <w:rFonts w:ascii="Arial" w:hAnsi="Arial" w:cs="Arial"/>
          <w:sz w:val="22"/>
          <w:szCs w:val="22"/>
        </w:rPr>
        <w:t xml:space="preserve">La actualización y/o </w:t>
      </w:r>
      <w:r>
        <w:rPr>
          <w:rFonts w:ascii="Arial" w:hAnsi="Arial" w:cs="Arial"/>
          <w:sz w:val="22"/>
          <w:szCs w:val="22"/>
        </w:rPr>
        <w:t>modificación de dicha tasa viene fundamentada en aras del equilibrio económico y la autonomía y suficiencia financieras de esta entidad, completar el esquema básico de tributación e implementar la capacidad de consecución de recursos por parte de la misma.</w:t>
      </w:r>
    </w:p>
    <w:p w:rsidR="009B4233" w:rsidRDefault="009B4233">
      <w:pPr>
        <w:ind w:left="-15"/>
        <w:jc w:val="both"/>
        <w:rPr>
          <w:rFonts w:ascii="Arial" w:hAnsi="Arial" w:cs="Arial"/>
          <w:sz w:val="22"/>
          <w:szCs w:val="22"/>
        </w:rPr>
      </w:pPr>
    </w:p>
    <w:p w:rsidR="009B4233" w:rsidRDefault="006B08B9">
      <w:pPr>
        <w:spacing w:line="249" w:lineRule="auto"/>
        <w:ind w:left="10" w:right="1" w:hanging="10"/>
        <w:jc w:val="both"/>
        <w:rPr>
          <w:rFonts w:ascii="Arial" w:hAnsi="Arial" w:cs="Arial"/>
          <w:sz w:val="22"/>
          <w:szCs w:val="22"/>
        </w:rPr>
      </w:pPr>
      <w:r>
        <w:rPr>
          <w:rFonts w:ascii="Arial" w:hAnsi="Arial" w:cs="Arial"/>
          <w:sz w:val="22"/>
          <w:szCs w:val="22"/>
        </w:rPr>
        <w:t xml:space="preserve">El presente informe se elabora al amparo de lo previsto en el artículo 24.1 del Texto Refundido de la Ley Reguladora de las Haciendas Locales, aprobado por Real Decreto Legislativo 2/2004, de 5 de marzo (en adelante TRLRHL), al establecer que el importe </w:t>
      </w:r>
      <w:r>
        <w:rPr>
          <w:rFonts w:ascii="Arial" w:hAnsi="Arial" w:cs="Arial"/>
          <w:sz w:val="22"/>
          <w:szCs w:val="22"/>
        </w:rPr>
        <w:t>de la tasa no podrá exceder, en su conjunto, del coste real o previsible del servicio o actividad de que se trate o, en su defecto, el valor de la prestación recibida (principio de equivalencia).</w:t>
      </w:r>
    </w:p>
    <w:p w:rsidR="009B4233" w:rsidRDefault="009B4233">
      <w:pPr>
        <w:spacing w:line="249" w:lineRule="auto"/>
        <w:ind w:left="10" w:right="1" w:hanging="10"/>
        <w:jc w:val="both"/>
        <w:rPr>
          <w:rFonts w:ascii="Arial" w:hAnsi="Arial" w:cs="Arial"/>
          <w:sz w:val="22"/>
          <w:szCs w:val="22"/>
        </w:rPr>
      </w:pPr>
    </w:p>
    <w:p w:rsidR="009B4233" w:rsidRDefault="006B08B9">
      <w:pPr>
        <w:ind w:left="-15"/>
        <w:jc w:val="both"/>
        <w:rPr>
          <w:rFonts w:ascii="Arial" w:hAnsi="Arial" w:cs="Arial"/>
          <w:sz w:val="22"/>
          <w:szCs w:val="22"/>
        </w:rPr>
      </w:pPr>
      <w:r>
        <w:rPr>
          <w:rFonts w:ascii="Arial" w:hAnsi="Arial" w:cs="Arial"/>
          <w:sz w:val="22"/>
          <w:szCs w:val="22"/>
        </w:rPr>
        <w:t>Junto a este principio general de las tasas locales, como n</w:t>
      </w:r>
      <w:r>
        <w:rPr>
          <w:rFonts w:ascii="Arial" w:hAnsi="Arial" w:cs="Arial"/>
          <w:sz w:val="22"/>
          <w:szCs w:val="22"/>
        </w:rPr>
        <w:t>ovedad, la LRSCEC establece que la Tasa por la prestación del servicio de recogida, transporte y tratamiento de residuos no sea deficitaria.</w:t>
      </w:r>
    </w:p>
    <w:p w:rsidR="009B4233" w:rsidRDefault="009B4233">
      <w:pPr>
        <w:ind w:left="-15"/>
        <w:jc w:val="both"/>
        <w:rPr>
          <w:rFonts w:ascii="Arial" w:hAnsi="Arial" w:cs="Arial"/>
          <w:sz w:val="22"/>
          <w:szCs w:val="22"/>
        </w:rPr>
      </w:pPr>
    </w:p>
    <w:p w:rsidR="009B4233" w:rsidRDefault="006B08B9">
      <w:pPr>
        <w:ind w:left="-15"/>
        <w:jc w:val="both"/>
        <w:rPr>
          <w:rFonts w:ascii="Arial" w:hAnsi="Arial" w:cs="Arial"/>
          <w:sz w:val="22"/>
          <w:szCs w:val="22"/>
        </w:rPr>
      </w:pPr>
      <w:r>
        <w:rPr>
          <w:rFonts w:ascii="Arial" w:hAnsi="Arial" w:cs="Arial"/>
          <w:sz w:val="22"/>
          <w:szCs w:val="22"/>
        </w:rPr>
        <w:t xml:space="preserve">Conforme a ello, el citado documento “Cuestiones relevantes en relación con el establecimiento y la gestión de la </w:t>
      </w:r>
      <w:r>
        <w:rPr>
          <w:rFonts w:ascii="Arial" w:hAnsi="Arial" w:cs="Arial"/>
          <w:sz w:val="22"/>
          <w:szCs w:val="22"/>
        </w:rPr>
        <w:t>tasa local de residuos sólidos urbanos”, establece, en relación con la determinación de los costes netos del servicio, lo siguiente:</w:t>
      </w:r>
    </w:p>
    <w:p w:rsidR="009B4233" w:rsidRDefault="009B4233">
      <w:pPr>
        <w:ind w:left="-15"/>
        <w:jc w:val="both"/>
        <w:rPr>
          <w:rFonts w:ascii="Arial" w:hAnsi="Arial" w:cs="Arial"/>
          <w:sz w:val="22"/>
          <w:szCs w:val="22"/>
        </w:rPr>
      </w:pPr>
    </w:p>
    <w:p w:rsidR="009B4233" w:rsidRDefault="006B08B9">
      <w:pPr>
        <w:ind w:left="-15"/>
        <w:jc w:val="both"/>
        <w:rPr>
          <w:rFonts w:ascii="Arial" w:hAnsi="Arial" w:cs="Arial"/>
          <w:sz w:val="22"/>
          <w:szCs w:val="22"/>
        </w:rPr>
      </w:pPr>
      <w:r>
        <w:rPr>
          <w:rFonts w:ascii="Arial" w:hAnsi="Arial" w:cs="Arial"/>
          <w:sz w:val="22"/>
          <w:szCs w:val="22"/>
        </w:rPr>
        <w:t xml:space="preserve">“La Ley 7/2022 señala en su artículo 11.3 que la cuantía global de la Tasa/PPPNT habrá de reflejar el coste real, directo </w:t>
      </w:r>
      <w:r>
        <w:rPr>
          <w:rFonts w:ascii="Arial" w:hAnsi="Arial" w:cs="Arial"/>
          <w:sz w:val="22"/>
          <w:szCs w:val="22"/>
        </w:rPr>
        <w:t xml:space="preserve">o indirecto, de las operaciones de recogida, transporte y tratamiento de los residuos, incluyendo las campañas de concienciación y comunicación, así como los ingresos derivados de la aplicación de la responsabilidad ampliada del productor y de la venta de </w:t>
      </w:r>
      <w:r>
        <w:rPr>
          <w:rFonts w:ascii="Arial" w:hAnsi="Arial" w:cs="Arial"/>
          <w:sz w:val="22"/>
          <w:szCs w:val="22"/>
        </w:rPr>
        <w:t>materiales y energía.</w:t>
      </w:r>
    </w:p>
    <w:p w:rsidR="009B4233" w:rsidRDefault="009B4233">
      <w:pPr>
        <w:ind w:left="-15"/>
        <w:jc w:val="both"/>
        <w:rPr>
          <w:rFonts w:ascii="Arial" w:hAnsi="Arial" w:cs="Arial"/>
          <w:sz w:val="22"/>
          <w:szCs w:val="22"/>
        </w:rPr>
      </w:pPr>
    </w:p>
    <w:p w:rsidR="009B4233" w:rsidRDefault="006B08B9">
      <w:pPr>
        <w:ind w:left="-15"/>
        <w:jc w:val="both"/>
        <w:rPr>
          <w:rFonts w:ascii="Arial" w:hAnsi="Arial" w:cs="Arial"/>
          <w:sz w:val="22"/>
          <w:szCs w:val="22"/>
        </w:rPr>
      </w:pPr>
      <w:r>
        <w:rPr>
          <w:rFonts w:ascii="Arial" w:hAnsi="Arial" w:cs="Arial"/>
          <w:sz w:val="22"/>
          <w:szCs w:val="22"/>
        </w:rPr>
        <w:t>Por consiguiente, el importe de la tasa debe reflejar los costes y los ingresos a que se refiere la Ley 7/2022, pero ello no supone la obligatoriedad de actualizar cada año el informe económico-financiero ni las tarifas correspondien</w:t>
      </w:r>
      <w:r>
        <w:rPr>
          <w:rFonts w:ascii="Arial" w:hAnsi="Arial" w:cs="Arial"/>
          <w:sz w:val="22"/>
          <w:szCs w:val="22"/>
        </w:rPr>
        <w:t>tes, salvo que exista una variación sustancial en el coste neto del servicio o en el régimen de prestación del servicio en cualquiera de sus operaciones, que así lo exija.”</w:t>
      </w:r>
    </w:p>
    <w:p w:rsidR="009B4233" w:rsidRDefault="009B4233">
      <w:pPr>
        <w:ind w:left="-15"/>
        <w:jc w:val="both"/>
        <w:rPr>
          <w:rFonts w:ascii="Arial" w:hAnsi="Arial" w:cs="Arial"/>
          <w:sz w:val="22"/>
          <w:szCs w:val="22"/>
        </w:rPr>
      </w:pPr>
    </w:p>
    <w:p w:rsidR="009B4233" w:rsidRDefault="006B08B9">
      <w:pPr>
        <w:ind w:left="-15"/>
        <w:jc w:val="both"/>
        <w:rPr>
          <w:rFonts w:ascii="Arial" w:hAnsi="Arial" w:cs="Arial"/>
          <w:sz w:val="22"/>
          <w:szCs w:val="22"/>
        </w:rPr>
      </w:pPr>
      <w:r>
        <w:rPr>
          <w:rFonts w:ascii="Arial" w:hAnsi="Arial" w:cs="Arial"/>
          <w:sz w:val="22"/>
          <w:szCs w:val="22"/>
        </w:rPr>
        <w:t xml:space="preserve">En consecuencia y, a tenor de lo expuesto, para la determinación del coste real o </w:t>
      </w:r>
      <w:r>
        <w:rPr>
          <w:rFonts w:ascii="Arial" w:hAnsi="Arial" w:cs="Arial"/>
          <w:sz w:val="22"/>
          <w:szCs w:val="22"/>
        </w:rPr>
        <w:t>previsible del servicio se tomarán en consideración los costes directos y costes indirectos inclusive, en su caso, los de carácter financiero, amortización del inmovilizado, así como los costes necesarios para garantizar el mantenimiento y desarrollo razon</w:t>
      </w:r>
      <w:r>
        <w:rPr>
          <w:rFonts w:ascii="Arial" w:hAnsi="Arial" w:cs="Arial"/>
          <w:sz w:val="22"/>
          <w:szCs w:val="22"/>
        </w:rPr>
        <w:t>able del servicio o actividad.</w:t>
      </w:r>
    </w:p>
    <w:p w:rsidR="009B4233" w:rsidRDefault="006B08B9">
      <w:pPr>
        <w:pStyle w:val="Ttulo2"/>
        <w:rPr>
          <w:rFonts w:ascii="Arial" w:hAnsi="Arial" w:cs="Arial"/>
          <w:sz w:val="22"/>
          <w:szCs w:val="22"/>
        </w:rPr>
      </w:pPr>
      <w:r>
        <w:rPr>
          <w:rFonts w:ascii="Arial" w:hAnsi="Arial" w:cs="Arial"/>
          <w:sz w:val="22"/>
          <w:szCs w:val="22"/>
        </w:rPr>
        <w:t>1. Situación actual de la ordenanza fiscal reguladora de la tasa por servicio de recogida de basuras y residuos sólidos urbanos</w:t>
      </w:r>
    </w:p>
    <w:p w:rsidR="009B4233" w:rsidRDefault="006B08B9">
      <w:pPr>
        <w:ind w:left="-15"/>
        <w:rPr>
          <w:rFonts w:ascii="Arial" w:hAnsi="Arial" w:cs="Arial"/>
          <w:sz w:val="22"/>
          <w:szCs w:val="22"/>
        </w:rPr>
      </w:pPr>
      <w:r>
        <w:rPr>
          <w:rFonts w:ascii="Arial" w:hAnsi="Arial" w:cs="Arial"/>
          <w:sz w:val="22"/>
          <w:szCs w:val="22"/>
        </w:rPr>
        <w:t xml:space="preserve">En uso de las competencias locales reconocidas por los artículos 133.2 y 142 de la Constitución, </w:t>
      </w:r>
      <w:r>
        <w:rPr>
          <w:rFonts w:ascii="Arial" w:hAnsi="Arial" w:cs="Arial"/>
          <w:sz w:val="22"/>
          <w:szCs w:val="22"/>
        </w:rPr>
        <w:t>contempladas en el art. 106 de la Ley 7/1985, de 2 de abril, Reguladora de las Bases del Régimen Local y de conformidad con lo dispuesto en el artículo 20, en relación con los artículos 15 a 19 del TRLRHL, el Ayuntamiento de Candelaria estableció la tasa p</w:t>
      </w:r>
      <w:r>
        <w:rPr>
          <w:rFonts w:ascii="Arial" w:hAnsi="Arial" w:cs="Arial"/>
          <w:sz w:val="22"/>
          <w:szCs w:val="22"/>
        </w:rPr>
        <w:t>or la prestación del servicio de recogida, transporte y tratamiento de los residuos domésticos en la Ordenanza Fiscal reguladora de la tasa por servicio de Recogida, Transporte y Tratamiento de Residuos Domésticos y que, con carácter general, las tarifas c</w:t>
      </w:r>
      <w:r>
        <w:rPr>
          <w:rFonts w:ascii="Arial" w:hAnsi="Arial" w:cs="Arial"/>
          <w:sz w:val="22"/>
          <w:szCs w:val="22"/>
        </w:rPr>
        <w:t>ontempladas en la misma no han sido revisadas desde su última modificación (Acuerdo plenario en sesión de fecha 30 de marzo de 2016 y publicada en el Boletín Oficial de la Provincia de Santa Cruz de Tenerife núm. 68, de 6 de junio de 2016).</w:t>
      </w:r>
    </w:p>
    <w:p w:rsidR="009B4233" w:rsidRDefault="009B4233">
      <w:pPr>
        <w:ind w:left="-15"/>
        <w:rPr>
          <w:rFonts w:ascii="Arial" w:hAnsi="Arial" w:cs="Arial"/>
          <w:sz w:val="22"/>
          <w:szCs w:val="22"/>
        </w:rPr>
      </w:pPr>
    </w:p>
    <w:p w:rsidR="009B4233" w:rsidRDefault="006B08B9">
      <w:pPr>
        <w:spacing w:after="11"/>
        <w:ind w:left="-15"/>
        <w:rPr>
          <w:rFonts w:ascii="Arial" w:hAnsi="Arial" w:cs="Arial"/>
          <w:sz w:val="22"/>
          <w:szCs w:val="22"/>
        </w:rPr>
      </w:pPr>
      <w:r>
        <w:rPr>
          <w:rFonts w:ascii="Arial" w:hAnsi="Arial" w:cs="Arial"/>
          <w:sz w:val="22"/>
          <w:szCs w:val="22"/>
        </w:rPr>
        <w:t>Actualmente, l</w:t>
      </w:r>
      <w:r>
        <w:rPr>
          <w:rFonts w:ascii="Arial" w:hAnsi="Arial" w:cs="Arial"/>
          <w:sz w:val="22"/>
          <w:szCs w:val="22"/>
        </w:rPr>
        <w:t xml:space="preserve">as tarifas se diferencian en 2: </w:t>
      </w:r>
    </w:p>
    <w:p w:rsidR="009B4233" w:rsidRDefault="009B4233">
      <w:pPr>
        <w:spacing w:after="11"/>
        <w:ind w:left="-15"/>
        <w:rPr>
          <w:rFonts w:ascii="Arial" w:hAnsi="Arial" w:cs="Arial"/>
          <w:sz w:val="22"/>
          <w:szCs w:val="22"/>
        </w:rPr>
      </w:pPr>
    </w:p>
    <w:p w:rsidR="009B4233" w:rsidRDefault="006B08B9">
      <w:pPr>
        <w:widowControl/>
        <w:numPr>
          <w:ilvl w:val="0"/>
          <w:numId w:val="55"/>
        </w:numPr>
        <w:suppressAutoHyphens w:val="0"/>
        <w:spacing w:after="7" w:line="242" w:lineRule="auto"/>
        <w:ind w:right="-1" w:hanging="360"/>
        <w:jc w:val="both"/>
        <w:textAlignment w:val="auto"/>
      </w:pPr>
      <w:r>
        <w:rPr>
          <w:rFonts w:ascii="Arial" w:eastAsia="Calibri" w:hAnsi="Arial" w:cs="Arial"/>
          <w:sz w:val="22"/>
          <w:szCs w:val="22"/>
        </w:rPr>
        <w:t xml:space="preserve">La tarifa para inmuebles destinados a vivienda, que asciende a 11.90 € por cada bimestre y unidad de inmueble. </w:t>
      </w:r>
    </w:p>
    <w:p w:rsidR="009B4233" w:rsidRDefault="006B08B9">
      <w:pPr>
        <w:widowControl/>
        <w:numPr>
          <w:ilvl w:val="0"/>
          <w:numId w:val="55"/>
        </w:numPr>
        <w:suppressAutoHyphens w:val="0"/>
        <w:spacing w:after="7" w:line="242" w:lineRule="auto"/>
        <w:ind w:right="-1" w:hanging="360"/>
        <w:jc w:val="both"/>
        <w:textAlignment w:val="auto"/>
      </w:pPr>
      <w:r>
        <w:rPr>
          <w:rFonts w:ascii="Arial" w:eastAsia="Calibri" w:hAnsi="Arial" w:cs="Arial"/>
          <w:sz w:val="22"/>
          <w:szCs w:val="22"/>
        </w:rPr>
        <w:t>La tarifa para inmuebles destinados a uso económico, o no, que dependerá de la superficie y actividad realizad</w:t>
      </w:r>
      <w:r>
        <w:rPr>
          <w:rFonts w:ascii="Arial" w:eastAsia="Calibri" w:hAnsi="Arial" w:cs="Arial"/>
          <w:sz w:val="22"/>
          <w:szCs w:val="22"/>
        </w:rPr>
        <w:t>a, según la tabla que se anexa y que fue extraída de la ordenanza en vigor.</w:t>
      </w:r>
    </w:p>
    <w:p w:rsidR="009B4233" w:rsidRDefault="009B4233">
      <w:pPr>
        <w:widowControl/>
        <w:suppressAutoHyphens w:val="0"/>
        <w:spacing w:after="7" w:line="242" w:lineRule="auto"/>
        <w:ind w:right="-1"/>
        <w:jc w:val="both"/>
        <w:rPr>
          <w:rFonts w:ascii="Arial" w:hAnsi="Arial" w:cs="Arial"/>
          <w:sz w:val="22"/>
          <w:szCs w:val="22"/>
        </w:rPr>
      </w:pPr>
    </w:p>
    <w:tbl>
      <w:tblPr>
        <w:tblW w:w="9220" w:type="dxa"/>
        <w:tblInd w:w="-78" w:type="dxa"/>
        <w:tblCellMar>
          <w:left w:w="10" w:type="dxa"/>
          <w:right w:w="10" w:type="dxa"/>
        </w:tblCellMar>
        <w:tblLook w:val="0000" w:firstRow="0" w:lastRow="0" w:firstColumn="0" w:lastColumn="0" w:noHBand="0" w:noVBand="0"/>
      </w:tblPr>
      <w:tblGrid>
        <w:gridCol w:w="1003"/>
        <w:gridCol w:w="3454"/>
        <w:gridCol w:w="1541"/>
        <w:gridCol w:w="1536"/>
        <w:gridCol w:w="1686"/>
      </w:tblGrid>
      <w:tr w:rsidR="009B4233">
        <w:tblPrEx>
          <w:tblCellMar>
            <w:top w:w="0" w:type="dxa"/>
            <w:bottom w:w="0" w:type="dxa"/>
          </w:tblCellMar>
        </w:tblPrEx>
        <w:trPr>
          <w:trHeight w:val="548"/>
        </w:trPr>
        <w:tc>
          <w:tcPr>
            <w:tcW w:w="1003" w:type="dxa"/>
            <w:tcBorders>
              <w:top w:val="single" w:sz="4" w:space="0" w:color="000000"/>
              <w:left w:val="single" w:sz="4" w:space="0" w:color="000000"/>
              <w:bottom w:val="single" w:sz="4" w:space="0" w:color="000000"/>
              <w:right w:val="single" w:sz="4" w:space="0" w:color="000000"/>
            </w:tcBorders>
            <w:shd w:val="clear" w:color="auto" w:fill="auto"/>
            <w:tcMar>
              <w:top w:w="54" w:type="dxa"/>
              <w:left w:w="72" w:type="dxa"/>
              <w:bottom w:w="0" w:type="dxa"/>
              <w:right w:w="44" w:type="dxa"/>
            </w:tcMar>
            <w:vAlign w:val="center"/>
          </w:tcPr>
          <w:p w:rsidR="009B4233" w:rsidRDefault="006B08B9">
            <w:pPr>
              <w:spacing w:line="249" w:lineRule="auto"/>
              <w:ind w:left="6"/>
            </w:pPr>
            <w:r>
              <w:rPr>
                <w:rFonts w:ascii="Arial" w:eastAsia="Calibri" w:hAnsi="Arial" w:cs="Arial"/>
                <w:b/>
                <w:sz w:val="22"/>
                <w:szCs w:val="22"/>
              </w:rPr>
              <w:t>Epígrafe</w:t>
            </w:r>
          </w:p>
        </w:tc>
        <w:tc>
          <w:tcPr>
            <w:tcW w:w="3454" w:type="dxa"/>
            <w:tcBorders>
              <w:top w:val="single" w:sz="4" w:space="0" w:color="000000"/>
              <w:left w:val="single" w:sz="4" w:space="0" w:color="000000"/>
              <w:bottom w:val="single" w:sz="4" w:space="0" w:color="000000"/>
              <w:right w:val="single" w:sz="4" w:space="0" w:color="000000"/>
            </w:tcBorders>
            <w:shd w:val="clear" w:color="auto" w:fill="auto"/>
            <w:tcMar>
              <w:top w:w="54" w:type="dxa"/>
              <w:left w:w="72" w:type="dxa"/>
              <w:bottom w:w="0" w:type="dxa"/>
              <w:right w:w="44" w:type="dxa"/>
            </w:tcMar>
            <w:vAlign w:val="center"/>
          </w:tcPr>
          <w:p w:rsidR="009B4233" w:rsidRDefault="006B08B9">
            <w:pPr>
              <w:spacing w:line="249" w:lineRule="auto"/>
              <w:ind w:right="26"/>
              <w:jc w:val="center"/>
            </w:pPr>
            <w:r>
              <w:rPr>
                <w:rFonts w:ascii="Arial" w:eastAsia="Calibri" w:hAnsi="Arial" w:cs="Arial"/>
                <w:b/>
                <w:sz w:val="22"/>
                <w:szCs w:val="22"/>
              </w:rPr>
              <w:t>Actividad</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54" w:type="dxa"/>
              <w:left w:w="72" w:type="dxa"/>
              <w:bottom w:w="0" w:type="dxa"/>
              <w:right w:w="44" w:type="dxa"/>
            </w:tcMar>
          </w:tcPr>
          <w:p w:rsidR="009B4233" w:rsidRDefault="006B08B9">
            <w:pPr>
              <w:spacing w:line="249" w:lineRule="auto"/>
              <w:jc w:val="center"/>
            </w:pPr>
            <w:r>
              <w:rPr>
                <w:rFonts w:ascii="Arial" w:eastAsia="Calibri" w:hAnsi="Arial" w:cs="Arial"/>
                <w:b/>
                <w:sz w:val="22"/>
                <w:szCs w:val="22"/>
              </w:rPr>
              <w:t>Sup. menor de 50 m²</w:t>
            </w:r>
          </w:p>
        </w:tc>
        <w:tc>
          <w:tcPr>
            <w:tcW w:w="1536" w:type="dxa"/>
            <w:tcBorders>
              <w:top w:val="single" w:sz="4" w:space="0" w:color="000000"/>
              <w:left w:val="single" w:sz="4" w:space="0" w:color="000000"/>
              <w:bottom w:val="single" w:sz="4" w:space="0" w:color="000000"/>
              <w:right w:val="single" w:sz="4" w:space="0" w:color="000000"/>
            </w:tcBorders>
            <w:shd w:val="clear" w:color="auto" w:fill="auto"/>
            <w:tcMar>
              <w:top w:w="54" w:type="dxa"/>
              <w:left w:w="72" w:type="dxa"/>
              <w:bottom w:w="0" w:type="dxa"/>
              <w:right w:w="44" w:type="dxa"/>
            </w:tcMar>
          </w:tcPr>
          <w:p w:rsidR="009B4233" w:rsidRDefault="006B08B9">
            <w:pPr>
              <w:spacing w:line="249" w:lineRule="auto"/>
              <w:jc w:val="center"/>
            </w:pPr>
            <w:r>
              <w:rPr>
                <w:rFonts w:ascii="Arial" w:eastAsia="Calibri" w:hAnsi="Arial" w:cs="Arial"/>
                <w:b/>
                <w:sz w:val="22"/>
                <w:szCs w:val="22"/>
              </w:rPr>
              <w:t>Sup. entre 50 y 100 m²</w:t>
            </w:r>
          </w:p>
        </w:tc>
        <w:tc>
          <w:tcPr>
            <w:tcW w:w="1686" w:type="dxa"/>
            <w:tcBorders>
              <w:top w:val="single" w:sz="4" w:space="0" w:color="000000"/>
              <w:left w:val="single" w:sz="4" w:space="0" w:color="000000"/>
              <w:bottom w:val="single" w:sz="4" w:space="0" w:color="000000"/>
              <w:right w:val="single" w:sz="4" w:space="0" w:color="000000"/>
            </w:tcBorders>
            <w:shd w:val="clear" w:color="auto" w:fill="auto"/>
            <w:tcMar>
              <w:top w:w="54" w:type="dxa"/>
              <w:left w:w="72" w:type="dxa"/>
              <w:bottom w:w="0" w:type="dxa"/>
              <w:right w:w="44" w:type="dxa"/>
            </w:tcMar>
          </w:tcPr>
          <w:p w:rsidR="009B4233" w:rsidRDefault="006B08B9">
            <w:pPr>
              <w:spacing w:line="249" w:lineRule="auto"/>
              <w:jc w:val="center"/>
            </w:pPr>
            <w:r>
              <w:rPr>
                <w:rFonts w:ascii="Arial" w:eastAsia="Calibri" w:hAnsi="Arial" w:cs="Arial"/>
                <w:b/>
                <w:sz w:val="22"/>
                <w:szCs w:val="22"/>
              </w:rPr>
              <w:t>Cada m² a partir de 100 m²</w:t>
            </w:r>
          </w:p>
        </w:tc>
      </w:tr>
      <w:tr w:rsidR="009B4233">
        <w:tblPrEx>
          <w:tblCellMar>
            <w:top w:w="0" w:type="dxa"/>
            <w:bottom w:w="0" w:type="dxa"/>
          </w:tblCellMar>
        </w:tblPrEx>
        <w:trPr>
          <w:trHeight w:val="562"/>
        </w:trPr>
        <w:tc>
          <w:tcPr>
            <w:tcW w:w="1003" w:type="dxa"/>
            <w:tcBorders>
              <w:top w:val="single" w:sz="4" w:space="0" w:color="000000"/>
              <w:left w:val="single" w:sz="4" w:space="0" w:color="000000"/>
              <w:bottom w:val="single" w:sz="4" w:space="0" w:color="000000"/>
              <w:right w:val="single" w:sz="4" w:space="0" w:color="000000"/>
            </w:tcBorders>
            <w:shd w:val="clear" w:color="auto" w:fill="auto"/>
            <w:tcMar>
              <w:top w:w="54" w:type="dxa"/>
              <w:left w:w="72" w:type="dxa"/>
              <w:bottom w:w="0" w:type="dxa"/>
              <w:right w:w="44" w:type="dxa"/>
            </w:tcMar>
            <w:vAlign w:val="center"/>
          </w:tcPr>
          <w:p w:rsidR="009B4233" w:rsidRDefault="006B08B9">
            <w:pPr>
              <w:spacing w:line="249" w:lineRule="auto"/>
              <w:ind w:right="24"/>
              <w:jc w:val="center"/>
            </w:pPr>
            <w:r>
              <w:rPr>
                <w:rFonts w:ascii="Arial" w:eastAsia="Calibri" w:hAnsi="Arial" w:cs="Arial"/>
                <w:sz w:val="22"/>
                <w:szCs w:val="22"/>
              </w:rPr>
              <w:t>1</w:t>
            </w:r>
          </w:p>
        </w:tc>
        <w:tc>
          <w:tcPr>
            <w:tcW w:w="3454" w:type="dxa"/>
            <w:tcBorders>
              <w:top w:val="single" w:sz="4" w:space="0" w:color="000000"/>
              <w:left w:val="single" w:sz="4" w:space="0" w:color="000000"/>
              <w:bottom w:val="single" w:sz="4" w:space="0" w:color="000000"/>
              <w:right w:val="single" w:sz="4" w:space="0" w:color="000000"/>
            </w:tcBorders>
            <w:shd w:val="clear" w:color="auto" w:fill="auto"/>
            <w:tcMar>
              <w:top w:w="54" w:type="dxa"/>
              <w:left w:w="72" w:type="dxa"/>
              <w:bottom w:w="0" w:type="dxa"/>
              <w:right w:w="44" w:type="dxa"/>
            </w:tcMar>
          </w:tcPr>
          <w:p w:rsidR="009B4233" w:rsidRDefault="006B08B9">
            <w:pPr>
              <w:spacing w:line="249" w:lineRule="auto"/>
            </w:pPr>
            <w:r>
              <w:rPr>
                <w:rFonts w:ascii="Arial" w:eastAsia="Calibri" w:hAnsi="Arial" w:cs="Arial"/>
                <w:sz w:val="22"/>
                <w:szCs w:val="22"/>
              </w:rPr>
              <w:t>Actividades ind., fabriles, mineras y extractivas</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54" w:type="dxa"/>
              <w:left w:w="72" w:type="dxa"/>
              <w:bottom w:w="0" w:type="dxa"/>
              <w:right w:w="44" w:type="dxa"/>
            </w:tcMar>
            <w:vAlign w:val="center"/>
          </w:tcPr>
          <w:p w:rsidR="009B4233" w:rsidRDefault="006B08B9">
            <w:pPr>
              <w:spacing w:line="249" w:lineRule="auto"/>
              <w:ind w:right="25"/>
              <w:jc w:val="center"/>
            </w:pPr>
            <w:r>
              <w:rPr>
                <w:rFonts w:ascii="Arial" w:eastAsia="Calibri" w:hAnsi="Arial" w:cs="Arial"/>
                <w:sz w:val="22"/>
                <w:szCs w:val="22"/>
              </w:rPr>
              <w:t>22,95</w:t>
            </w:r>
          </w:p>
        </w:tc>
        <w:tc>
          <w:tcPr>
            <w:tcW w:w="1536" w:type="dxa"/>
            <w:tcBorders>
              <w:top w:val="single" w:sz="4" w:space="0" w:color="000000"/>
              <w:left w:val="single" w:sz="4" w:space="0" w:color="000000"/>
              <w:bottom w:val="single" w:sz="4" w:space="0" w:color="000000"/>
              <w:right w:val="single" w:sz="4" w:space="0" w:color="000000"/>
            </w:tcBorders>
            <w:shd w:val="clear" w:color="auto" w:fill="auto"/>
            <w:tcMar>
              <w:top w:w="54" w:type="dxa"/>
              <w:left w:w="72" w:type="dxa"/>
              <w:bottom w:w="0" w:type="dxa"/>
              <w:right w:w="44" w:type="dxa"/>
            </w:tcMar>
            <w:vAlign w:val="center"/>
          </w:tcPr>
          <w:p w:rsidR="009B4233" w:rsidRDefault="006B08B9">
            <w:pPr>
              <w:spacing w:line="249" w:lineRule="auto"/>
              <w:ind w:right="25"/>
              <w:jc w:val="center"/>
            </w:pPr>
            <w:r>
              <w:rPr>
                <w:rFonts w:ascii="Arial" w:eastAsia="Calibri" w:hAnsi="Arial" w:cs="Arial"/>
                <w:sz w:val="22"/>
                <w:szCs w:val="22"/>
              </w:rPr>
              <w:t>41,33</w:t>
            </w:r>
          </w:p>
        </w:tc>
        <w:tc>
          <w:tcPr>
            <w:tcW w:w="1686" w:type="dxa"/>
            <w:tcBorders>
              <w:top w:val="single" w:sz="4" w:space="0" w:color="000000"/>
              <w:left w:val="single" w:sz="4" w:space="0" w:color="000000"/>
              <w:bottom w:val="single" w:sz="4" w:space="0" w:color="000000"/>
              <w:right w:val="single" w:sz="4" w:space="0" w:color="000000"/>
            </w:tcBorders>
            <w:shd w:val="clear" w:color="auto" w:fill="auto"/>
            <w:tcMar>
              <w:top w:w="54" w:type="dxa"/>
              <w:left w:w="72" w:type="dxa"/>
              <w:bottom w:w="0" w:type="dxa"/>
              <w:right w:w="44" w:type="dxa"/>
            </w:tcMar>
            <w:vAlign w:val="center"/>
          </w:tcPr>
          <w:p w:rsidR="009B4233" w:rsidRDefault="006B08B9">
            <w:pPr>
              <w:spacing w:line="249" w:lineRule="auto"/>
              <w:ind w:right="23"/>
              <w:jc w:val="center"/>
            </w:pPr>
            <w:r>
              <w:rPr>
                <w:rFonts w:ascii="Arial" w:eastAsia="Calibri" w:hAnsi="Arial" w:cs="Arial"/>
                <w:sz w:val="22"/>
                <w:szCs w:val="22"/>
              </w:rPr>
              <w:t>0,5</w:t>
            </w:r>
          </w:p>
        </w:tc>
      </w:tr>
      <w:tr w:rsidR="009B4233">
        <w:tblPrEx>
          <w:tblCellMar>
            <w:top w:w="0" w:type="dxa"/>
            <w:bottom w:w="0" w:type="dxa"/>
          </w:tblCellMar>
        </w:tblPrEx>
        <w:trPr>
          <w:trHeight w:val="1086"/>
        </w:trPr>
        <w:tc>
          <w:tcPr>
            <w:tcW w:w="1003" w:type="dxa"/>
            <w:tcBorders>
              <w:top w:val="single" w:sz="4" w:space="0" w:color="000000"/>
              <w:left w:val="single" w:sz="4" w:space="0" w:color="000000"/>
              <w:bottom w:val="single" w:sz="4" w:space="0" w:color="000000"/>
              <w:right w:val="single" w:sz="4" w:space="0" w:color="000000"/>
            </w:tcBorders>
            <w:shd w:val="clear" w:color="auto" w:fill="auto"/>
            <w:tcMar>
              <w:top w:w="54" w:type="dxa"/>
              <w:left w:w="72" w:type="dxa"/>
              <w:bottom w:w="0" w:type="dxa"/>
              <w:right w:w="44" w:type="dxa"/>
            </w:tcMar>
            <w:vAlign w:val="center"/>
          </w:tcPr>
          <w:p w:rsidR="009B4233" w:rsidRDefault="006B08B9">
            <w:pPr>
              <w:spacing w:line="249" w:lineRule="auto"/>
              <w:ind w:right="24"/>
              <w:jc w:val="center"/>
            </w:pPr>
            <w:r>
              <w:rPr>
                <w:rFonts w:ascii="Arial" w:eastAsia="Calibri" w:hAnsi="Arial" w:cs="Arial"/>
                <w:sz w:val="22"/>
                <w:szCs w:val="22"/>
              </w:rPr>
              <w:t>2</w:t>
            </w:r>
          </w:p>
        </w:tc>
        <w:tc>
          <w:tcPr>
            <w:tcW w:w="3454" w:type="dxa"/>
            <w:tcBorders>
              <w:top w:val="single" w:sz="4" w:space="0" w:color="000000"/>
              <w:left w:val="single" w:sz="4" w:space="0" w:color="000000"/>
              <w:bottom w:val="single" w:sz="4" w:space="0" w:color="000000"/>
              <w:right w:val="single" w:sz="4" w:space="0" w:color="000000"/>
            </w:tcBorders>
            <w:shd w:val="clear" w:color="auto" w:fill="auto"/>
            <w:tcMar>
              <w:top w:w="54" w:type="dxa"/>
              <w:left w:w="72" w:type="dxa"/>
              <w:bottom w:w="0" w:type="dxa"/>
              <w:right w:w="44" w:type="dxa"/>
            </w:tcMar>
          </w:tcPr>
          <w:p w:rsidR="009B4233" w:rsidRDefault="006B08B9">
            <w:pPr>
              <w:spacing w:line="249" w:lineRule="auto"/>
            </w:pPr>
            <w:r>
              <w:rPr>
                <w:rFonts w:ascii="Arial" w:eastAsia="Calibri" w:hAnsi="Arial" w:cs="Arial"/>
                <w:sz w:val="22"/>
                <w:szCs w:val="22"/>
              </w:rPr>
              <w:t xml:space="preserve">Comercio al por </w:t>
            </w:r>
            <w:r>
              <w:rPr>
                <w:rFonts w:ascii="Arial" w:eastAsia="Calibri" w:hAnsi="Arial" w:cs="Arial"/>
                <w:sz w:val="22"/>
                <w:szCs w:val="22"/>
              </w:rPr>
              <w:t>mayor e intermediarios del comercio Comercio menor productos no alimenticios</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54" w:type="dxa"/>
              <w:left w:w="72" w:type="dxa"/>
              <w:bottom w:w="0" w:type="dxa"/>
              <w:right w:w="44" w:type="dxa"/>
            </w:tcMar>
            <w:vAlign w:val="center"/>
          </w:tcPr>
          <w:p w:rsidR="009B4233" w:rsidRDefault="006B08B9">
            <w:pPr>
              <w:spacing w:line="249" w:lineRule="auto"/>
              <w:ind w:right="25"/>
              <w:jc w:val="center"/>
            </w:pPr>
            <w:r>
              <w:rPr>
                <w:rFonts w:ascii="Arial" w:eastAsia="Calibri" w:hAnsi="Arial" w:cs="Arial"/>
                <w:sz w:val="22"/>
                <w:szCs w:val="22"/>
              </w:rPr>
              <w:t>18,46</w:t>
            </w:r>
          </w:p>
        </w:tc>
        <w:tc>
          <w:tcPr>
            <w:tcW w:w="1536" w:type="dxa"/>
            <w:tcBorders>
              <w:top w:val="single" w:sz="4" w:space="0" w:color="000000"/>
              <w:left w:val="single" w:sz="4" w:space="0" w:color="000000"/>
              <w:bottom w:val="single" w:sz="4" w:space="0" w:color="000000"/>
              <w:right w:val="single" w:sz="4" w:space="0" w:color="000000"/>
            </w:tcBorders>
            <w:shd w:val="clear" w:color="auto" w:fill="auto"/>
            <w:tcMar>
              <w:top w:w="54" w:type="dxa"/>
              <w:left w:w="72" w:type="dxa"/>
              <w:bottom w:w="0" w:type="dxa"/>
              <w:right w:w="44" w:type="dxa"/>
            </w:tcMar>
            <w:vAlign w:val="center"/>
          </w:tcPr>
          <w:p w:rsidR="009B4233" w:rsidRDefault="006B08B9">
            <w:pPr>
              <w:spacing w:line="249" w:lineRule="auto"/>
              <w:ind w:right="25"/>
              <w:jc w:val="center"/>
            </w:pPr>
            <w:r>
              <w:rPr>
                <w:rFonts w:ascii="Arial" w:eastAsia="Calibri" w:hAnsi="Arial" w:cs="Arial"/>
                <w:sz w:val="22"/>
                <w:szCs w:val="22"/>
              </w:rPr>
              <w:t>32,8</w:t>
            </w:r>
          </w:p>
        </w:tc>
        <w:tc>
          <w:tcPr>
            <w:tcW w:w="1686" w:type="dxa"/>
            <w:tcBorders>
              <w:top w:val="single" w:sz="4" w:space="0" w:color="000000"/>
              <w:left w:val="single" w:sz="4" w:space="0" w:color="000000"/>
              <w:bottom w:val="single" w:sz="4" w:space="0" w:color="000000"/>
              <w:right w:val="single" w:sz="4" w:space="0" w:color="000000"/>
            </w:tcBorders>
            <w:shd w:val="clear" w:color="auto" w:fill="auto"/>
            <w:tcMar>
              <w:top w:w="54" w:type="dxa"/>
              <w:left w:w="72" w:type="dxa"/>
              <w:bottom w:w="0" w:type="dxa"/>
              <w:right w:w="44" w:type="dxa"/>
            </w:tcMar>
            <w:vAlign w:val="center"/>
          </w:tcPr>
          <w:p w:rsidR="009B4233" w:rsidRDefault="006B08B9">
            <w:pPr>
              <w:spacing w:line="249" w:lineRule="auto"/>
              <w:ind w:right="25"/>
              <w:jc w:val="center"/>
            </w:pPr>
            <w:r>
              <w:rPr>
                <w:rFonts w:ascii="Arial" w:eastAsia="Calibri" w:hAnsi="Arial" w:cs="Arial"/>
                <w:sz w:val="22"/>
                <w:szCs w:val="22"/>
              </w:rPr>
              <w:t>0,37</w:t>
            </w:r>
          </w:p>
        </w:tc>
      </w:tr>
      <w:tr w:rsidR="009B4233">
        <w:tblPrEx>
          <w:tblCellMar>
            <w:top w:w="0" w:type="dxa"/>
            <w:bottom w:w="0" w:type="dxa"/>
          </w:tblCellMar>
        </w:tblPrEx>
        <w:trPr>
          <w:trHeight w:val="1086"/>
        </w:trPr>
        <w:tc>
          <w:tcPr>
            <w:tcW w:w="1003" w:type="dxa"/>
            <w:tcBorders>
              <w:top w:val="single" w:sz="4" w:space="0" w:color="000000"/>
              <w:left w:val="single" w:sz="4" w:space="0" w:color="000000"/>
              <w:bottom w:val="single" w:sz="4" w:space="0" w:color="000000"/>
              <w:right w:val="single" w:sz="4" w:space="0" w:color="000000"/>
            </w:tcBorders>
            <w:shd w:val="clear" w:color="auto" w:fill="auto"/>
            <w:tcMar>
              <w:top w:w="54" w:type="dxa"/>
              <w:left w:w="72" w:type="dxa"/>
              <w:bottom w:w="0" w:type="dxa"/>
              <w:right w:w="44" w:type="dxa"/>
            </w:tcMar>
            <w:vAlign w:val="center"/>
          </w:tcPr>
          <w:p w:rsidR="009B4233" w:rsidRDefault="006B08B9">
            <w:pPr>
              <w:spacing w:line="249" w:lineRule="auto"/>
              <w:ind w:right="24"/>
              <w:jc w:val="center"/>
            </w:pPr>
            <w:r>
              <w:rPr>
                <w:rFonts w:ascii="Arial" w:eastAsia="Calibri" w:hAnsi="Arial" w:cs="Arial"/>
                <w:sz w:val="22"/>
                <w:szCs w:val="22"/>
              </w:rPr>
              <w:t>3</w:t>
            </w:r>
          </w:p>
        </w:tc>
        <w:tc>
          <w:tcPr>
            <w:tcW w:w="3454" w:type="dxa"/>
            <w:tcBorders>
              <w:top w:val="single" w:sz="4" w:space="0" w:color="000000"/>
              <w:left w:val="single" w:sz="4" w:space="0" w:color="000000"/>
              <w:bottom w:val="single" w:sz="4" w:space="0" w:color="000000"/>
              <w:right w:val="single" w:sz="4" w:space="0" w:color="000000"/>
            </w:tcBorders>
            <w:shd w:val="clear" w:color="auto" w:fill="auto"/>
            <w:tcMar>
              <w:top w:w="54" w:type="dxa"/>
              <w:left w:w="72" w:type="dxa"/>
              <w:bottom w:w="0" w:type="dxa"/>
              <w:right w:w="44" w:type="dxa"/>
            </w:tcMar>
          </w:tcPr>
          <w:p w:rsidR="009B4233" w:rsidRDefault="006B08B9">
            <w:pPr>
              <w:spacing w:line="249" w:lineRule="auto"/>
            </w:pPr>
            <w:r>
              <w:rPr>
                <w:rFonts w:ascii="Arial" w:eastAsia="Calibri" w:hAnsi="Arial" w:cs="Arial"/>
                <w:sz w:val="22"/>
                <w:szCs w:val="22"/>
              </w:rPr>
              <w:t>Comercio al menor productos alimenticios, bebidas y tabaco excepto los prestados en reg. de autoservicio</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54" w:type="dxa"/>
              <w:left w:w="72" w:type="dxa"/>
              <w:bottom w:w="0" w:type="dxa"/>
              <w:right w:w="44" w:type="dxa"/>
            </w:tcMar>
            <w:vAlign w:val="center"/>
          </w:tcPr>
          <w:p w:rsidR="009B4233" w:rsidRDefault="006B08B9">
            <w:pPr>
              <w:spacing w:line="249" w:lineRule="auto"/>
              <w:ind w:right="25"/>
              <w:jc w:val="center"/>
            </w:pPr>
            <w:r>
              <w:rPr>
                <w:rFonts w:ascii="Arial" w:eastAsia="Calibri" w:hAnsi="Arial" w:cs="Arial"/>
                <w:sz w:val="22"/>
                <w:szCs w:val="22"/>
              </w:rPr>
              <w:t>19,68</w:t>
            </w:r>
          </w:p>
        </w:tc>
        <w:tc>
          <w:tcPr>
            <w:tcW w:w="1536" w:type="dxa"/>
            <w:tcBorders>
              <w:top w:val="single" w:sz="4" w:space="0" w:color="000000"/>
              <w:left w:val="single" w:sz="4" w:space="0" w:color="000000"/>
              <w:bottom w:val="single" w:sz="4" w:space="0" w:color="000000"/>
              <w:right w:val="single" w:sz="4" w:space="0" w:color="000000"/>
            </w:tcBorders>
            <w:shd w:val="clear" w:color="auto" w:fill="auto"/>
            <w:tcMar>
              <w:top w:w="54" w:type="dxa"/>
              <w:left w:w="72" w:type="dxa"/>
              <w:bottom w:w="0" w:type="dxa"/>
              <w:right w:w="44" w:type="dxa"/>
            </w:tcMar>
            <w:vAlign w:val="center"/>
          </w:tcPr>
          <w:p w:rsidR="009B4233" w:rsidRDefault="006B08B9">
            <w:pPr>
              <w:spacing w:line="249" w:lineRule="auto"/>
              <w:ind w:right="25"/>
              <w:jc w:val="center"/>
            </w:pPr>
            <w:r>
              <w:rPr>
                <w:rFonts w:ascii="Arial" w:eastAsia="Calibri" w:hAnsi="Arial" w:cs="Arial"/>
                <w:sz w:val="22"/>
                <w:szCs w:val="22"/>
              </w:rPr>
              <w:t>35,42</w:t>
            </w:r>
          </w:p>
        </w:tc>
        <w:tc>
          <w:tcPr>
            <w:tcW w:w="1686" w:type="dxa"/>
            <w:tcBorders>
              <w:top w:val="single" w:sz="4" w:space="0" w:color="000000"/>
              <w:left w:val="single" w:sz="4" w:space="0" w:color="000000"/>
              <w:bottom w:val="single" w:sz="4" w:space="0" w:color="000000"/>
              <w:right w:val="single" w:sz="4" w:space="0" w:color="000000"/>
            </w:tcBorders>
            <w:shd w:val="clear" w:color="auto" w:fill="auto"/>
            <w:tcMar>
              <w:top w:w="54" w:type="dxa"/>
              <w:left w:w="72" w:type="dxa"/>
              <w:bottom w:w="0" w:type="dxa"/>
              <w:right w:w="44" w:type="dxa"/>
            </w:tcMar>
            <w:vAlign w:val="center"/>
          </w:tcPr>
          <w:p w:rsidR="009B4233" w:rsidRDefault="006B08B9">
            <w:pPr>
              <w:spacing w:line="249" w:lineRule="auto"/>
              <w:ind w:right="25"/>
              <w:jc w:val="center"/>
            </w:pPr>
            <w:r>
              <w:rPr>
                <w:rFonts w:ascii="Arial" w:eastAsia="Calibri" w:hAnsi="Arial" w:cs="Arial"/>
                <w:sz w:val="22"/>
                <w:szCs w:val="22"/>
              </w:rPr>
              <w:t>0,39</w:t>
            </w:r>
          </w:p>
        </w:tc>
      </w:tr>
      <w:tr w:rsidR="009B4233">
        <w:tblPrEx>
          <w:tblCellMar>
            <w:top w:w="0" w:type="dxa"/>
            <w:bottom w:w="0" w:type="dxa"/>
          </w:tblCellMar>
        </w:tblPrEx>
        <w:trPr>
          <w:trHeight w:val="844"/>
        </w:trPr>
        <w:tc>
          <w:tcPr>
            <w:tcW w:w="1003" w:type="dxa"/>
            <w:tcBorders>
              <w:top w:val="single" w:sz="4" w:space="0" w:color="000000"/>
              <w:left w:val="single" w:sz="4" w:space="0" w:color="000000"/>
              <w:bottom w:val="single" w:sz="4" w:space="0" w:color="000000"/>
              <w:right w:val="single" w:sz="4" w:space="0" w:color="000000"/>
            </w:tcBorders>
            <w:shd w:val="clear" w:color="auto" w:fill="auto"/>
            <w:tcMar>
              <w:top w:w="54" w:type="dxa"/>
              <w:left w:w="72" w:type="dxa"/>
              <w:bottom w:w="0" w:type="dxa"/>
              <w:right w:w="44" w:type="dxa"/>
            </w:tcMar>
            <w:vAlign w:val="center"/>
          </w:tcPr>
          <w:p w:rsidR="009B4233" w:rsidRDefault="006B08B9">
            <w:pPr>
              <w:spacing w:line="249" w:lineRule="auto"/>
              <w:ind w:right="24"/>
              <w:jc w:val="center"/>
            </w:pPr>
            <w:r>
              <w:rPr>
                <w:rFonts w:ascii="Arial" w:eastAsia="Calibri" w:hAnsi="Arial" w:cs="Arial"/>
                <w:sz w:val="22"/>
                <w:szCs w:val="22"/>
              </w:rPr>
              <w:t>4</w:t>
            </w:r>
          </w:p>
        </w:tc>
        <w:tc>
          <w:tcPr>
            <w:tcW w:w="3454" w:type="dxa"/>
            <w:tcBorders>
              <w:top w:val="single" w:sz="4" w:space="0" w:color="000000"/>
              <w:left w:val="single" w:sz="4" w:space="0" w:color="000000"/>
              <w:bottom w:val="single" w:sz="4" w:space="0" w:color="000000"/>
              <w:right w:val="single" w:sz="4" w:space="0" w:color="000000"/>
            </w:tcBorders>
            <w:shd w:val="clear" w:color="auto" w:fill="auto"/>
            <w:tcMar>
              <w:top w:w="54" w:type="dxa"/>
              <w:left w:w="72" w:type="dxa"/>
              <w:bottom w:w="0" w:type="dxa"/>
              <w:right w:w="44" w:type="dxa"/>
            </w:tcMar>
          </w:tcPr>
          <w:p w:rsidR="009B4233" w:rsidRDefault="006B08B9">
            <w:pPr>
              <w:spacing w:line="249" w:lineRule="auto"/>
            </w:pPr>
            <w:r>
              <w:rPr>
                <w:rFonts w:ascii="Arial" w:eastAsia="Calibri" w:hAnsi="Arial" w:cs="Arial"/>
                <w:sz w:val="22"/>
                <w:szCs w:val="22"/>
              </w:rPr>
              <w:t xml:space="preserve">Comercio al menor productos </w:t>
            </w:r>
            <w:r>
              <w:rPr>
                <w:rFonts w:ascii="Arial" w:eastAsia="Calibri" w:hAnsi="Arial" w:cs="Arial"/>
                <w:sz w:val="22"/>
                <w:szCs w:val="22"/>
              </w:rPr>
              <w:t>alimenticios, bebidas y tabaco prestados en reg. de autoservicio</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54" w:type="dxa"/>
              <w:left w:w="72" w:type="dxa"/>
              <w:bottom w:w="0" w:type="dxa"/>
              <w:right w:w="44" w:type="dxa"/>
            </w:tcMar>
            <w:vAlign w:val="center"/>
          </w:tcPr>
          <w:p w:rsidR="009B4233" w:rsidRDefault="006B08B9">
            <w:pPr>
              <w:spacing w:line="249" w:lineRule="auto"/>
              <w:ind w:right="25"/>
              <w:jc w:val="center"/>
            </w:pPr>
            <w:r>
              <w:rPr>
                <w:rFonts w:ascii="Arial" w:eastAsia="Calibri" w:hAnsi="Arial" w:cs="Arial"/>
                <w:sz w:val="22"/>
                <w:szCs w:val="22"/>
              </w:rPr>
              <w:t>32,8</w:t>
            </w:r>
          </w:p>
        </w:tc>
        <w:tc>
          <w:tcPr>
            <w:tcW w:w="1536" w:type="dxa"/>
            <w:tcBorders>
              <w:top w:val="single" w:sz="4" w:space="0" w:color="000000"/>
              <w:left w:val="single" w:sz="4" w:space="0" w:color="000000"/>
              <w:bottom w:val="single" w:sz="4" w:space="0" w:color="000000"/>
              <w:right w:val="single" w:sz="4" w:space="0" w:color="000000"/>
            </w:tcBorders>
            <w:shd w:val="clear" w:color="auto" w:fill="auto"/>
            <w:tcMar>
              <w:top w:w="54" w:type="dxa"/>
              <w:left w:w="72" w:type="dxa"/>
              <w:bottom w:w="0" w:type="dxa"/>
              <w:right w:w="44" w:type="dxa"/>
            </w:tcMar>
            <w:vAlign w:val="center"/>
          </w:tcPr>
          <w:p w:rsidR="009B4233" w:rsidRDefault="006B08B9">
            <w:pPr>
              <w:spacing w:line="249" w:lineRule="auto"/>
              <w:ind w:right="25"/>
              <w:jc w:val="center"/>
            </w:pPr>
            <w:r>
              <w:rPr>
                <w:rFonts w:ascii="Arial" w:eastAsia="Calibri" w:hAnsi="Arial" w:cs="Arial"/>
                <w:sz w:val="22"/>
                <w:szCs w:val="22"/>
              </w:rPr>
              <w:t>59,05</w:t>
            </w:r>
          </w:p>
        </w:tc>
        <w:tc>
          <w:tcPr>
            <w:tcW w:w="1686" w:type="dxa"/>
            <w:tcBorders>
              <w:top w:val="single" w:sz="4" w:space="0" w:color="000000"/>
              <w:left w:val="single" w:sz="4" w:space="0" w:color="000000"/>
              <w:bottom w:val="single" w:sz="4" w:space="0" w:color="000000"/>
              <w:right w:val="single" w:sz="4" w:space="0" w:color="000000"/>
            </w:tcBorders>
            <w:shd w:val="clear" w:color="auto" w:fill="auto"/>
            <w:tcMar>
              <w:top w:w="54" w:type="dxa"/>
              <w:left w:w="72" w:type="dxa"/>
              <w:bottom w:w="0" w:type="dxa"/>
              <w:right w:w="44" w:type="dxa"/>
            </w:tcMar>
            <w:vAlign w:val="center"/>
          </w:tcPr>
          <w:p w:rsidR="009B4233" w:rsidRDefault="006B08B9">
            <w:pPr>
              <w:spacing w:line="249" w:lineRule="auto"/>
              <w:ind w:right="25"/>
              <w:jc w:val="center"/>
            </w:pPr>
            <w:r>
              <w:rPr>
                <w:rFonts w:ascii="Arial" w:eastAsia="Calibri" w:hAnsi="Arial" w:cs="Arial"/>
                <w:sz w:val="22"/>
                <w:szCs w:val="22"/>
              </w:rPr>
              <w:t>0,39</w:t>
            </w:r>
          </w:p>
        </w:tc>
      </w:tr>
      <w:tr w:rsidR="009B4233">
        <w:tblPrEx>
          <w:tblCellMar>
            <w:top w:w="0" w:type="dxa"/>
            <w:bottom w:w="0" w:type="dxa"/>
          </w:tblCellMar>
        </w:tblPrEx>
        <w:trPr>
          <w:trHeight w:val="816"/>
        </w:trPr>
        <w:tc>
          <w:tcPr>
            <w:tcW w:w="1003" w:type="dxa"/>
            <w:tcBorders>
              <w:top w:val="single" w:sz="4" w:space="0" w:color="000000"/>
              <w:left w:val="single" w:sz="4" w:space="0" w:color="000000"/>
              <w:bottom w:val="single" w:sz="4" w:space="0" w:color="000000"/>
              <w:right w:val="single" w:sz="4" w:space="0" w:color="000000"/>
            </w:tcBorders>
            <w:shd w:val="clear" w:color="auto" w:fill="auto"/>
            <w:tcMar>
              <w:top w:w="54" w:type="dxa"/>
              <w:left w:w="72" w:type="dxa"/>
              <w:bottom w:w="0" w:type="dxa"/>
              <w:right w:w="44" w:type="dxa"/>
            </w:tcMar>
            <w:vAlign w:val="center"/>
          </w:tcPr>
          <w:p w:rsidR="009B4233" w:rsidRDefault="006B08B9">
            <w:pPr>
              <w:spacing w:line="249" w:lineRule="auto"/>
              <w:ind w:right="24"/>
              <w:jc w:val="center"/>
            </w:pPr>
            <w:r>
              <w:rPr>
                <w:rFonts w:ascii="Arial" w:eastAsia="Calibri" w:hAnsi="Arial" w:cs="Arial"/>
                <w:sz w:val="22"/>
                <w:szCs w:val="22"/>
              </w:rPr>
              <w:t>5</w:t>
            </w:r>
          </w:p>
        </w:tc>
        <w:tc>
          <w:tcPr>
            <w:tcW w:w="3454" w:type="dxa"/>
            <w:tcBorders>
              <w:top w:val="single" w:sz="4" w:space="0" w:color="000000"/>
              <w:left w:val="single" w:sz="4" w:space="0" w:color="000000"/>
              <w:bottom w:val="single" w:sz="4" w:space="0" w:color="000000"/>
              <w:right w:val="single" w:sz="4" w:space="0" w:color="000000"/>
            </w:tcBorders>
            <w:shd w:val="clear" w:color="auto" w:fill="auto"/>
            <w:tcMar>
              <w:top w:w="54" w:type="dxa"/>
              <w:left w:w="72" w:type="dxa"/>
              <w:bottom w:w="0" w:type="dxa"/>
              <w:right w:w="44" w:type="dxa"/>
            </w:tcMar>
          </w:tcPr>
          <w:p w:rsidR="009B4233" w:rsidRDefault="006B08B9">
            <w:pPr>
              <w:spacing w:after="2"/>
            </w:pPr>
            <w:r>
              <w:rPr>
                <w:rFonts w:ascii="Arial" w:eastAsia="Calibri" w:hAnsi="Arial" w:cs="Arial"/>
                <w:sz w:val="22"/>
                <w:szCs w:val="22"/>
              </w:rPr>
              <w:t xml:space="preserve">Restauración y otros serv. de alimentación, servicios en </w:t>
            </w:r>
          </w:p>
          <w:p w:rsidR="009B4233" w:rsidRDefault="006B08B9">
            <w:pPr>
              <w:spacing w:line="249" w:lineRule="auto"/>
            </w:pPr>
            <w:r>
              <w:rPr>
                <w:rFonts w:ascii="Arial" w:eastAsia="Calibri" w:hAnsi="Arial" w:cs="Arial"/>
                <w:sz w:val="22"/>
                <w:szCs w:val="22"/>
              </w:rPr>
              <w:t>restaurantes</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54" w:type="dxa"/>
              <w:left w:w="72" w:type="dxa"/>
              <w:bottom w:w="0" w:type="dxa"/>
              <w:right w:w="44" w:type="dxa"/>
            </w:tcMar>
            <w:vAlign w:val="center"/>
          </w:tcPr>
          <w:p w:rsidR="009B4233" w:rsidRDefault="006B08B9">
            <w:pPr>
              <w:spacing w:line="249" w:lineRule="auto"/>
              <w:ind w:right="25"/>
              <w:jc w:val="center"/>
            </w:pPr>
            <w:r>
              <w:rPr>
                <w:rFonts w:ascii="Arial" w:eastAsia="Calibri" w:hAnsi="Arial" w:cs="Arial"/>
                <w:sz w:val="22"/>
                <w:szCs w:val="22"/>
              </w:rPr>
              <w:t>65,52</w:t>
            </w:r>
          </w:p>
        </w:tc>
        <w:tc>
          <w:tcPr>
            <w:tcW w:w="1536" w:type="dxa"/>
            <w:tcBorders>
              <w:top w:val="single" w:sz="4" w:space="0" w:color="000000"/>
              <w:left w:val="single" w:sz="4" w:space="0" w:color="000000"/>
              <w:bottom w:val="single" w:sz="4" w:space="0" w:color="000000"/>
              <w:right w:val="single" w:sz="4" w:space="0" w:color="000000"/>
            </w:tcBorders>
            <w:shd w:val="clear" w:color="auto" w:fill="auto"/>
            <w:tcMar>
              <w:top w:w="54" w:type="dxa"/>
              <w:left w:w="72" w:type="dxa"/>
              <w:bottom w:w="0" w:type="dxa"/>
              <w:right w:w="44" w:type="dxa"/>
            </w:tcMar>
            <w:vAlign w:val="center"/>
          </w:tcPr>
          <w:p w:rsidR="009B4233" w:rsidRDefault="006B08B9">
            <w:pPr>
              <w:spacing w:line="249" w:lineRule="auto"/>
              <w:ind w:right="25"/>
              <w:jc w:val="center"/>
            </w:pPr>
            <w:r>
              <w:rPr>
                <w:rFonts w:ascii="Arial" w:eastAsia="Calibri" w:hAnsi="Arial" w:cs="Arial"/>
                <w:sz w:val="22"/>
                <w:szCs w:val="22"/>
              </w:rPr>
              <w:t>90,21</w:t>
            </w:r>
          </w:p>
        </w:tc>
        <w:tc>
          <w:tcPr>
            <w:tcW w:w="1686" w:type="dxa"/>
            <w:tcBorders>
              <w:top w:val="single" w:sz="4" w:space="0" w:color="000000"/>
              <w:left w:val="single" w:sz="4" w:space="0" w:color="000000"/>
              <w:bottom w:val="single" w:sz="4" w:space="0" w:color="000000"/>
              <w:right w:val="single" w:sz="4" w:space="0" w:color="000000"/>
            </w:tcBorders>
            <w:shd w:val="clear" w:color="auto" w:fill="auto"/>
            <w:tcMar>
              <w:top w:w="54" w:type="dxa"/>
              <w:left w:w="72" w:type="dxa"/>
              <w:bottom w:w="0" w:type="dxa"/>
              <w:right w:w="44" w:type="dxa"/>
            </w:tcMar>
            <w:vAlign w:val="center"/>
          </w:tcPr>
          <w:p w:rsidR="009B4233" w:rsidRDefault="006B08B9">
            <w:pPr>
              <w:spacing w:line="249" w:lineRule="auto"/>
              <w:ind w:right="23"/>
              <w:jc w:val="center"/>
            </w:pPr>
            <w:r>
              <w:rPr>
                <w:rFonts w:ascii="Arial" w:eastAsia="Calibri" w:hAnsi="Arial" w:cs="Arial"/>
                <w:sz w:val="22"/>
                <w:szCs w:val="22"/>
              </w:rPr>
              <w:t>0,4</w:t>
            </w:r>
          </w:p>
        </w:tc>
      </w:tr>
      <w:tr w:rsidR="009B4233">
        <w:tblPrEx>
          <w:tblCellMar>
            <w:top w:w="0" w:type="dxa"/>
            <w:bottom w:w="0" w:type="dxa"/>
          </w:tblCellMar>
        </w:tblPrEx>
        <w:trPr>
          <w:trHeight w:val="844"/>
        </w:trPr>
        <w:tc>
          <w:tcPr>
            <w:tcW w:w="1003" w:type="dxa"/>
            <w:tcBorders>
              <w:top w:val="single" w:sz="4" w:space="0" w:color="000000"/>
              <w:left w:val="single" w:sz="4" w:space="0" w:color="000000"/>
              <w:bottom w:val="single" w:sz="4" w:space="0" w:color="000000"/>
              <w:right w:val="single" w:sz="4" w:space="0" w:color="000000"/>
            </w:tcBorders>
            <w:shd w:val="clear" w:color="auto" w:fill="auto"/>
            <w:tcMar>
              <w:top w:w="54" w:type="dxa"/>
              <w:left w:w="72" w:type="dxa"/>
              <w:bottom w:w="0" w:type="dxa"/>
              <w:right w:w="44" w:type="dxa"/>
            </w:tcMar>
            <w:vAlign w:val="center"/>
          </w:tcPr>
          <w:p w:rsidR="009B4233" w:rsidRDefault="006B08B9">
            <w:pPr>
              <w:spacing w:line="249" w:lineRule="auto"/>
              <w:ind w:right="24"/>
              <w:jc w:val="center"/>
            </w:pPr>
            <w:r>
              <w:rPr>
                <w:rFonts w:ascii="Arial" w:eastAsia="Calibri" w:hAnsi="Arial" w:cs="Arial"/>
                <w:sz w:val="22"/>
                <w:szCs w:val="22"/>
              </w:rPr>
              <w:t>6</w:t>
            </w:r>
          </w:p>
        </w:tc>
        <w:tc>
          <w:tcPr>
            <w:tcW w:w="3454" w:type="dxa"/>
            <w:tcBorders>
              <w:top w:val="single" w:sz="4" w:space="0" w:color="000000"/>
              <w:left w:val="single" w:sz="4" w:space="0" w:color="000000"/>
              <w:bottom w:val="single" w:sz="4" w:space="0" w:color="000000"/>
              <w:right w:val="single" w:sz="4" w:space="0" w:color="000000"/>
            </w:tcBorders>
            <w:shd w:val="clear" w:color="auto" w:fill="auto"/>
            <w:tcMar>
              <w:top w:w="54" w:type="dxa"/>
              <w:left w:w="72" w:type="dxa"/>
              <w:bottom w:w="0" w:type="dxa"/>
              <w:right w:w="44" w:type="dxa"/>
            </w:tcMar>
          </w:tcPr>
          <w:p w:rsidR="009B4233" w:rsidRDefault="006B08B9">
            <w:pPr>
              <w:spacing w:line="249" w:lineRule="auto"/>
            </w:pPr>
            <w:r>
              <w:rPr>
                <w:rFonts w:ascii="Arial" w:eastAsia="Calibri" w:hAnsi="Arial" w:cs="Arial"/>
                <w:sz w:val="22"/>
                <w:szCs w:val="22"/>
              </w:rPr>
              <w:t>Restauración y otros serv. de alimentación, excepto serv. de restaurantes</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54" w:type="dxa"/>
              <w:left w:w="72" w:type="dxa"/>
              <w:bottom w:w="0" w:type="dxa"/>
              <w:right w:w="44" w:type="dxa"/>
            </w:tcMar>
            <w:vAlign w:val="center"/>
          </w:tcPr>
          <w:p w:rsidR="009B4233" w:rsidRDefault="006B08B9">
            <w:pPr>
              <w:spacing w:line="249" w:lineRule="auto"/>
              <w:ind w:right="25"/>
              <w:jc w:val="center"/>
            </w:pPr>
            <w:r>
              <w:rPr>
                <w:rFonts w:ascii="Arial" w:eastAsia="Calibri" w:hAnsi="Arial" w:cs="Arial"/>
                <w:sz w:val="22"/>
                <w:szCs w:val="22"/>
              </w:rPr>
              <w:t>32,77</w:t>
            </w:r>
          </w:p>
        </w:tc>
        <w:tc>
          <w:tcPr>
            <w:tcW w:w="1536" w:type="dxa"/>
            <w:tcBorders>
              <w:top w:val="single" w:sz="4" w:space="0" w:color="000000"/>
              <w:left w:val="single" w:sz="4" w:space="0" w:color="000000"/>
              <w:bottom w:val="single" w:sz="4" w:space="0" w:color="000000"/>
              <w:right w:val="single" w:sz="4" w:space="0" w:color="000000"/>
            </w:tcBorders>
            <w:shd w:val="clear" w:color="auto" w:fill="auto"/>
            <w:tcMar>
              <w:top w:w="54" w:type="dxa"/>
              <w:left w:w="72" w:type="dxa"/>
              <w:bottom w:w="0" w:type="dxa"/>
              <w:right w:w="44" w:type="dxa"/>
            </w:tcMar>
            <w:vAlign w:val="center"/>
          </w:tcPr>
          <w:p w:rsidR="009B4233" w:rsidRDefault="006B08B9">
            <w:pPr>
              <w:spacing w:line="249" w:lineRule="auto"/>
              <w:ind w:right="25"/>
              <w:jc w:val="center"/>
            </w:pPr>
            <w:r>
              <w:rPr>
                <w:rFonts w:ascii="Arial" w:eastAsia="Calibri" w:hAnsi="Arial" w:cs="Arial"/>
                <w:sz w:val="22"/>
                <w:szCs w:val="22"/>
              </w:rPr>
              <w:t>45,1</w:t>
            </w:r>
          </w:p>
        </w:tc>
        <w:tc>
          <w:tcPr>
            <w:tcW w:w="1686" w:type="dxa"/>
            <w:tcBorders>
              <w:top w:val="single" w:sz="4" w:space="0" w:color="000000"/>
              <w:left w:val="single" w:sz="4" w:space="0" w:color="000000"/>
              <w:bottom w:val="single" w:sz="4" w:space="0" w:color="000000"/>
              <w:right w:val="single" w:sz="4" w:space="0" w:color="000000"/>
            </w:tcBorders>
            <w:shd w:val="clear" w:color="auto" w:fill="auto"/>
            <w:tcMar>
              <w:top w:w="54" w:type="dxa"/>
              <w:left w:w="72" w:type="dxa"/>
              <w:bottom w:w="0" w:type="dxa"/>
              <w:right w:w="44" w:type="dxa"/>
            </w:tcMar>
            <w:vAlign w:val="center"/>
          </w:tcPr>
          <w:p w:rsidR="009B4233" w:rsidRDefault="006B08B9">
            <w:pPr>
              <w:spacing w:line="249" w:lineRule="auto"/>
              <w:ind w:right="23"/>
              <w:jc w:val="center"/>
            </w:pPr>
            <w:r>
              <w:rPr>
                <w:rFonts w:ascii="Arial" w:eastAsia="Calibri" w:hAnsi="Arial" w:cs="Arial"/>
                <w:sz w:val="22"/>
                <w:szCs w:val="22"/>
              </w:rPr>
              <w:t>0,4</w:t>
            </w:r>
          </w:p>
        </w:tc>
      </w:tr>
      <w:tr w:rsidR="009B4233">
        <w:tblPrEx>
          <w:tblCellMar>
            <w:top w:w="0" w:type="dxa"/>
            <w:bottom w:w="0" w:type="dxa"/>
          </w:tblCellMar>
        </w:tblPrEx>
        <w:trPr>
          <w:trHeight w:val="282"/>
        </w:trPr>
        <w:tc>
          <w:tcPr>
            <w:tcW w:w="1003" w:type="dxa"/>
            <w:tcBorders>
              <w:top w:val="single" w:sz="4" w:space="0" w:color="000000"/>
              <w:left w:val="single" w:sz="4" w:space="0" w:color="000000"/>
              <w:bottom w:val="single" w:sz="4" w:space="0" w:color="000000"/>
              <w:right w:val="single" w:sz="4" w:space="0" w:color="000000"/>
            </w:tcBorders>
            <w:shd w:val="clear" w:color="auto" w:fill="auto"/>
            <w:tcMar>
              <w:top w:w="54" w:type="dxa"/>
              <w:left w:w="72" w:type="dxa"/>
              <w:bottom w:w="0" w:type="dxa"/>
              <w:right w:w="44" w:type="dxa"/>
            </w:tcMar>
          </w:tcPr>
          <w:p w:rsidR="009B4233" w:rsidRDefault="006B08B9">
            <w:pPr>
              <w:spacing w:line="249" w:lineRule="auto"/>
              <w:ind w:right="24"/>
              <w:jc w:val="center"/>
            </w:pPr>
            <w:r>
              <w:rPr>
                <w:rFonts w:ascii="Arial" w:eastAsia="Calibri" w:hAnsi="Arial" w:cs="Arial"/>
                <w:sz w:val="22"/>
                <w:szCs w:val="22"/>
              </w:rPr>
              <w:t>7</w:t>
            </w:r>
          </w:p>
        </w:tc>
        <w:tc>
          <w:tcPr>
            <w:tcW w:w="3454" w:type="dxa"/>
            <w:tcBorders>
              <w:top w:val="single" w:sz="4" w:space="0" w:color="000000"/>
              <w:left w:val="single" w:sz="4" w:space="0" w:color="000000"/>
              <w:bottom w:val="single" w:sz="4" w:space="0" w:color="000000"/>
              <w:right w:val="single" w:sz="4" w:space="0" w:color="000000"/>
            </w:tcBorders>
            <w:shd w:val="clear" w:color="auto" w:fill="auto"/>
            <w:tcMar>
              <w:top w:w="54" w:type="dxa"/>
              <w:left w:w="72" w:type="dxa"/>
              <w:bottom w:w="0" w:type="dxa"/>
              <w:right w:w="44" w:type="dxa"/>
            </w:tcMar>
          </w:tcPr>
          <w:p w:rsidR="009B4233" w:rsidRDefault="006B08B9">
            <w:pPr>
              <w:spacing w:line="249" w:lineRule="auto"/>
            </w:pPr>
            <w:r>
              <w:rPr>
                <w:rFonts w:ascii="Arial" w:eastAsia="Calibri" w:hAnsi="Arial" w:cs="Arial"/>
                <w:sz w:val="22"/>
                <w:szCs w:val="22"/>
              </w:rPr>
              <w:t>Hospedaje y actividades hoteleras</w:t>
            </w:r>
          </w:p>
        </w:tc>
        <w:tc>
          <w:tcPr>
            <w:tcW w:w="1541" w:type="dxa"/>
            <w:tcBorders>
              <w:top w:val="single" w:sz="4" w:space="0" w:color="000000"/>
              <w:left w:val="single" w:sz="4" w:space="0" w:color="000000"/>
              <w:bottom w:val="single" w:sz="4" w:space="0" w:color="000000"/>
            </w:tcBorders>
            <w:shd w:val="clear" w:color="auto" w:fill="auto"/>
            <w:tcMar>
              <w:top w:w="54" w:type="dxa"/>
              <w:left w:w="72" w:type="dxa"/>
              <w:bottom w:w="0" w:type="dxa"/>
              <w:right w:w="44" w:type="dxa"/>
            </w:tcMar>
          </w:tcPr>
          <w:p w:rsidR="009B4233" w:rsidRDefault="009B4233">
            <w:pPr>
              <w:spacing w:after="160" w:line="249" w:lineRule="auto"/>
              <w:rPr>
                <w:rFonts w:ascii="Arial" w:hAnsi="Arial" w:cs="Arial"/>
                <w:sz w:val="22"/>
                <w:szCs w:val="22"/>
              </w:rPr>
            </w:pPr>
          </w:p>
        </w:tc>
        <w:tc>
          <w:tcPr>
            <w:tcW w:w="1536" w:type="dxa"/>
            <w:tcBorders>
              <w:top w:val="single" w:sz="4" w:space="0" w:color="000000"/>
              <w:bottom w:val="single" w:sz="4" w:space="0" w:color="000000"/>
            </w:tcBorders>
            <w:shd w:val="clear" w:color="auto" w:fill="auto"/>
            <w:tcMar>
              <w:top w:w="54" w:type="dxa"/>
              <w:left w:w="72" w:type="dxa"/>
              <w:bottom w:w="0" w:type="dxa"/>
              <w:right w:w="44" w:type="dxa"/>
            </w:tcMar>
          </w:tcPr>
          <w:p w:rsidR="009B4233" w:rsidRDefault="006B08B9">
            <w:pPr>
              <w:spacing w:line="249" w:lineRule="auto"/>
              <w:ind w:right="22"/>
              <w:jc w:val="right"/>
            </w:pPr>
            <w:r>
              <w:rPr>
                <w:rFonts w:ascii="Arial" w:eastAsia="Calibri" w:hAnsi="Arial" w:cs="Arial"/>
                <w:sz w:val="22"/>
                <w:szCs w:val="22"/>
              </w:rPr>
              <w:t>6,88 por cama</w:t>
            </w:r>
          </w:p>
        </w:tc>
        <w:tc>
          <w:tcPr>
            <w:tcW w:w="1686" w:type="dxa"/>
            <w:tcBorders>
              <w:top w:val="single" w:sz="4" w:space="0" w:color="000000"/>
              <w:bottom w:val="single" w:sz="4" w:space="0" w:color="000000"/>
              <w:right w:val="single" w:sz="4" w:space="0" w:color="000000"/>
            </w:tcBorders>
            <w:shd w:val="clear" w:color="auto" w:fill="auto"/>
            <w:tcMar>
              <w:top w:w="54" w:type="dxa"/>
              <w:left w:w="72" w:type="dxa"/>
              <w:bottom w:w="0" w:type="dxa"/>
              <w:right w:w="44" w:type="dxa"/>
            </w:tcMar>
          </w:tcPr>
          <w:p w:rsidR="009B4233" w:rsidRDefault="009B4233">
            <w:pPr>
              <w:spacing w:after="160" w:line="249" w:lineRule="auto"/>
              <w:rPr>
                <w:rFonts w:ascii="Arial" w:hAnsi="Arial" w:cs="Arial"/>
                <w:sz w:val="22"/>
                <w:szCs w:val="22"/>
              </w:rPr>
            </w:pPr>
          </w:p>
        </w:tc>
      </w:tr>
      <w:tr w:rsidR="009B4233">
        <w:tblPrEx>
          <w:tblCellMar>
            <w:top w:w="0" w:type="dxa"/>
            <w:bottom w:w="0" w:type="dxa"/>
          </w:tblCellMar>
        </w:tblPrEx>
        <w:trPr>
          <w:trHeight w:val="280"/>
        </w:trPr>
        <w:tc>
          <w:tcPr>
            <w:tcW w:w="1003" w:type="dxa"/>
            <w:tcBorders>
              <w:top w:val="single" w:sz="4" w:space="0" w:color="000000"/>
              <w:left w:val="single" w:sz="4" w:space="0" w:color="000000"/>
              <w:bottom w:val="single" w:sz="4" w:space="0" w:color="000000"/>
              <w:right w:val="single" w:sz="4" w:space="0" w:color="000000"/>
            </w:tcBorders>
            <w:shd w:val="clear" w:color="auto" w:fill="auto"/>
            <w:tcMar>
              <w:top w:w="54" w:type="dxa"/>
              <w:left w:w="72" w:type="dxa"/>
              <w:bottom w:w="0" w:type="dxa"/>
              <w:right w:w="44" w:type="dxa"/>
            </w:tcMar>
          </w:tcPr>
          <w:p w:rsidR="009B4233" w:rsidRDefault="006B08B9">
            <w:pPr>
              <w:spacing w:line="249" w:lineRule="auto"/>
              <w:ind w:right="24"/>
              <w:jc w:val="center"/>
            </w:pPr>
            <w:r>
              <w:rPr>
                <w:rFonts w:ascii="Arial" w:eastAsia="Calibri" w:hAnsi="Arial" w:cs="Arial"/>
                <w:sz w:val="22"/>
                <w:szCs w:val="22"/>
              </w:rPr>
              <w:t>8</w:t>
            </w:r>
          </w:p>
        </w:tc>
        <w:tc>
          <w:tcPr>
            <w:tcW w:w="3454" w:type="dxa"/>
            <w:tcBorders>
              <w:top w:val="single" w:sz="4" w:space="0" w:color="000000"/>
              <w:left w:val="single" w:sz="4" w:space="0" w:color="000000"/>
              <w:bottom w:val="single" w:sz="4" w:space="0" w:color="000000"/>
              <w:right w:val="single" w:sz="4" w:space="0" w:color="000000"/>
            </w:tcBorders>
            <w:shd w:val="clear" w:color="auto" w:fill="auto"/>
            <w:tcMar>
              <w:top w:w="54" w:type="dxa"/>
              <w:left w:w="72" w:type="dxa"/>
              <w:bottom w:w="0" w:type="dxa"/>
              <w:right w:w="44" w:type="dxa"/>
            </w:tcMar>
          </w:tcPr>
          <w:p w:rsidR="009B4233" w:rsidRDefault="006B08B9">
            <w:pPr>
              <w:spacing w:line="249" w:lineRule="auto"/>
            </w:pPr>
            <w:r>
              <w:rPr>
                <w:rFonts w:ascii="Arial" w:eastAsia="Calibri" w:hAnsi="Arial" w:cs="Arial"/>
                <w:sz w:val="22"/>
                <w:szCs w:val="22"/>
              </w:rPr>
              <w:t>Transporte marítimo y terrestre</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54" w:type="dxa"/>
              <w:left w:w="72" w:type="dxa"/>
              <w:bottom w:w="0" w:type="dxa"/>
              <w:right w:w="44" w:type="dxa"/>
            </w:tcMar>
          </w:tcPr>
          <w:p w:rsidR="009B4233" w:rsidRDefault="006B08B9">
            <w:pPr>
              <w:spacing w:line="249" w:lineRule="auto"/>
              <w:ind w:right="25"/>
              <w:jc w:val="center"/>
            </w:pPr>
            <w:r>
              <w:rPr>
                <w:rFonts w:ascii="Arial" w:eastAsia="Calibri" w:hAnsi="Arial" w:cs="Arial"/>
                <w:sz w:val="22"/>
                <w:szCs w:val="22"/>
              </w:rPr>
              <w:t>23,82</w:t>
            </w:r>
          </w:p>
        </w:tc>
        <w:tc>
          <w:tcPr>
            <w:tcW w:w="1536" w:type="dxa"/>
            <w:tcBorders>
              <w:top w:val="single" w:sz="4" w:space="0" w:color="000000"/>
              <w:left w:val="single" w:sz="4" w:space="0" w:color="000000"/>
              <w:bottom w:val="single" w:sz="4" w:space="0" w:color="000000"/>
              <w:right w:val="single" w:sz="4" w:space="0" w:color="000000"/>
            </w:tcBorders>
            <w:shd w:val="clear" w:color="auto" w:fill="auto"/>
            <w:tcMar>
              <w:top w:w="54" w:type="dxa"/>
              <w:left w:w="72" w:type="dxa"/>
              <w:bottom w:w="0" w:type="dxa"/>
              <w:right w:w="44" w:type="dxa"/>
            </w:tcMar>
          </w:tcPr>
          <w:p w:rsidR="009B4233" w:rsidRDefault="006B08B9">
            <w:pPr>
              <w:spacing w:line="249" w:lineRule="auto"/>
              <w:ind w:right="25"/>
              <w:jc w:val="center"/>
            </w:pPr>
            <w:r>
              <w:rPr>
                <w:rFonts w:ascii="Arial" w:eastAsia="Calibri" w:hAnsi="Arial" w:cs="Arial"/>
                <w:sz w:val="22"/>
                <w:szCs w:val="22"/>
              </w:rPr>
              <w:t>33,13</w:t>
            </w:r>
          </w:p>
        </w:tc>
        <w:tc>
          <w:tcPr>
            <w:tcW w:w="1686" w:type="dxa"/>
            <w:tcBorders>
              <w:top w:val="single" w:sz="4" w:space="0" w:color="000000"/>
              <w:left w:val="single" w:sz="4" w:space="0" w:color="000000"/>
              <w:bottom w:val="single" w:sz="4" w:space="0" w:color="000000"/>
              <w:right w:val="single" w:sz="4" w:space="0" w:color="000000"/>
            </w:tcBorders>
            <w:shd w:val="clear" w:color="auto" w:fill="auto"/>
            <w:tcMar>
              <w:top w:w="54" w:type="dxa"/>
              <w:left w:w="72" w:type="dxa"/>
              <w:bottom w:w="0" w:type="dxa"/>
              <w:right w:w="44" w:type="dxa"/>
            </w:tcMar>
          </w:tcPr>
          <w:p w:rsidR="009B4233" w:rsidRDefault="006B08B9">
            <w:pPr>
              <w:spacing w:line="249" w:lineRule="auto"/>
              <w:ind w:right="25"/>
              <w:jc w:val="center"/>
            </w:pPr>
            <w:r>
              <w:rPr>
                <w:rFonts w:ascii="Arial" w:eastAsia="Calibri" w:hAnsi="Arial" w:cs="Arial"/>
                <w:sz w:val="22"/>
                <w:szCs w:val="22"/>
              </w:rPr>
              <w:t>0,39</w:t>
            </w:r>
          </w:p>
        </w:tc>
      </w:tr>
      <w:tr w:rsidR="009B4233">
        <w:tblPrEx>
          <w:tblCellMar>
            <w:top w:w="0" w:type="dxa"/>
            <w:bottom w:w="0" w:type="dxa"/>
          </w:tblCellMar>
        </w:tblPrEx>
        <w:trPr>
          <w:trHeight w:val="562"/>
        </w:trPr>
        <w:tc>
          <w:tcPr>
            <w:tcW w:w="1003" w:type="dxa"/>
            <w:tcBorders>
              <w:top w:val="single" w:sz="4" w:space="0" w:color="000000"/>
              <w:left w:val="single" w:sz="4" w:space="0" w:color="000000"/>
              <w:bottom w:val="single" w:sz="4" w:space="0" w:color="000000"/>
              <w:right w:val="single" w:sz="4" w:space="0" w:color="000000"/>
            </w:tcBorders>
            <w:shd w:val="clear" w:color="auto" w:fill="auto"/>
            <w:tcMar>
              <w:top w:w="54" w:type="dxa"/>
              <w:left w:w="72" w:type="dxa"/>
              <w:bottom w:w="0" w:type="dxa"/>
              <w:right w:w="44" w:type="dxa"/>
            </w:tcMar>
            <w:vAlign w:val="center"/>
          </w:tcPr>
          <w:p w:rsidR="009B4233" w:rsidRDefault="006B08B9">
            <w:pPr>
              <w:spacing w:line="249" w:lineRule="auto"/>
              <w:ind w:right="2"/>
              <w:jc w:val="center"/>
            </w:pPr>
            <w:r>
              <w:rPr>
                <w:rFonts w:ascii="Arial" w:eastAsia="Calibri" w:hAnsi="Arial" w:cs="Arial"/>
                <w:sz w:val="22"/>
                <w:szCs w:val="22"/>
              </w:rPr>
              <w:t>9</w:t>
            </w:r>
          </w:p>
        </w:tc>
        <w:tc>
          <w:tcPr>
            <w:tcW w:w="3454" w:type="dxa"/>
            <w:tcBorders>
              <w:top w:val="single" w:sz="4" w:space="0" w:color="000000"/>
              <w:left w:val="single" w:sz="4" w:space="0" w:color="000000"/>
              <w:bottom w:val="single" w:sz="4" w:space="0" w:color="000000"/>
              <w:right w:val="single" w:sz="4" w:space="0" w:color="000000"/>
            </w:tcBorders>
            <w:shd w:val="clear" w:color="auto" w:fill="auto"/>
            <w:tcMar>
              <w:top w:w="54" w:type="dxa"/>
              <w:left w:w="72" w:type="dxa"/>
              <w:bottom w:w="0" w:type="dxa"/>
              <w:right w:w="44" w:type="dxa"/>
            </w:tcMar>
          </w:tcPr>
          <w:p w:rsidR="009B4233" w:rsidRDefault="006B08B9">
            <w:pPr>
              <w:spacing w:line="249" w:lineRule="auto"/>
            </w:pPr>
            <w:r>
              <w:rPr>
                <w:rFonts w:ascii="Arial" w:eastAsia="Calibri" w:hAnsi="Arial" w:cs="Arial"/>
                <w:sz w:val="22"/>
                <w:szCs w:val="22"/>
              </w:rPr>
              <w:t>Servicios inmobiliarios, de seg. y consultoría</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54" w:type="dxa"/>
              <w:left w:w="72" w:type="dxa"/>
              <w:bottom w:w="0" w:type="dxa"/>
              <w:right w:w="44" w:type="dxa"/>
            </w:tcMar>
            <w:vAlign w:val="center"/>
          </w:tcPr>
          <w:p w:rsidR="009B4233" w:rsidRDefault="006B08B9">
            <w:pPr>
              <w:spacing w:line="249" w:lineRule="auto"/>
              <w:ind w:right="3"/>
              <w:jc w:val="center"/>
            </w:pPr>
            <w:r>
              <w:rPr>
                <w:rFonts w:ascii="Arial" w:eastAsia="Calibri" w:hAnsi="Arial" w:cs="Arial"/>
                <w:sz w:val="22"/>
                <w:szCs w:val="22"/>
              </w:rPr>
              <w:t>11,93</w:t>
            </w:r>
          </w:p>
        </w:tc>
        <w:tc>
          <w:tcPr>
            <w:tcW w:w="1536" w:type="dxa"/>
            <w:tcBorders>
              <w:top w:val="single" w:sz="4" w:space="0" w:color="000000"/>
              <w:left w:val="single" w:sz="4" w:space="0" w:color="000000"/>
              <w:bottom w:val="single" w:sz="4" w:space="0" w:color="000000"/>
              <w:right w:val="single" w:sz="4" w:space="0" w:color="000000"/>
            </w:tcBorders>
            <w:shd w:val="clear" w:color="auto" w:fill="auto"/>
            <w:tcMar>
              <w:top w:w="54" w:type="dxa"/>
              <w:left w:w="72" w:type="dxa"/>
              <w:bottom w:w="0" w:type="dxa"/>
              <w:right w:w="44" w:type="dxa"/>
            </w:tcMar>
            <w:vAlign w:val="center"/>
          </w:tcPr>
          <w:p w:rsidR="009B4233" w:rsidRDefault="006B08B9">
            <w:pPr>
              <w:spacing w:line="249" w:lineRule="auto"/>
              <w:ind w:right="3"/>
              <w:jc w:val="center"/>
            </w:pPr>
            <w:r>
              <w:rPr>
                <w:rFonts w:ascii="Arial" w:eastAsia="Calibri" w:hAnsi="Arial" w:cs="Arial"/>
                <w:sz w:val="22"/>
                <w:szCs w:val="22"/>
              </w:rPr>
              <w:t>21,49</w:t>
            </w:r>
          </w:p>
        </w:tc>
        <w:tc>
          <w:tcPr>
            <w:tcW w:w="1686" w:type="dxa"/>
            <w:tcBorders>
              <w:top w:val="single" w:sz="4" w:space="0" w:color="000000"/>
              <w:left w:val="single" w:sz="4" w:space="0" w:color="000000"/>
              <w:bottom w:val="single" w:sz="4" w:space="0" w:color="000000"/>
              <w:right w:val="single" w:sz="4" w:space="0" w:color="000000"/>
            </w:tcBorders>
            <w:shd w:val="clear" w:color="auto" w:fill="auto"/>
            <w:tcMar>
              <w:top w:w="54" w:type="dxa"/>
              <w:left w:w="72" w:type="dxa"/>
              <w:bottom w:w="0" w:type="dxa"/>
              <w:right w:w="44" w:type="dxa"/>
            </w:tcMar>
            <w:vAlign w:val="center"/>
          </w:tcPr>
          <w:p w:rsidR="009B4233" w:rsidRDefault="006B08B9">
            <w:pPr>
              <w:spacing w:line="249" w:lineRule="auto"/>
              <w:ind w:right="3"/>
              <w:jc w:val="center"/>
            </w:pPr>
            <w:r>
              <w:rPr>
                <w:rFonts w:ascii="Arial" w:eastAsia="Calibri" w:hAnsi="Arial" w:cs="Arial"/>
                <w:sz w:val="22"/>
                <w:szCs w:val="22"/>
              </w:rPr>
              <w:t>0,19</w:t>
            </w:r>
          </w:p>
        </w:tc>
      </w:tr>
      <w:tr w:rsidR="009B4233">
        <w:tblPrEx>
          <w:tblCellMar>
            <w:top w:w="0" w:type="dxa"/>
            <w:bottom w:w="0" w:type="dxa"/>
          </w:tblCellMar>
        </w:tblPrEx>
        <w:trPr>
          <w:trHeight w:val="282"/>
        </w:trPr>
        <w:tc>
          <w:tcPr>
            <w:tcW w:w="1003" w:type="dxa"/>
            <w:tcBorders>
              <w:top w:val="single" w:sz="4" w:space="0" w:color="000000"/>
              <w:left w:val="single" w:sz="4" w:space="0" w:color="000000"/>
              <w:bottom w:val="single" w:sz="4" w:space="0" w:color="000000"/>
              <w:right w:val="single" w:sz="4" w:space="0" w:color="000000"/>
            </w:tcBorders>
            <w:shd w:val="clear" w:color="auto" w:fill="auto"/>
            <w:tcMar>
              <w:top w:w="54" w:type="dxa"/>
              <w:left w:w="72" w:type="dxa"/>
              <w:bottom w:w="0" w:type="dxa"/>
              <w:right w:w="44" w:type="dxa"/>
            </w:tcMar>
          </w:tcPr>
          <w:p w:rsidR="009B4233" w:rsidRDefault="006B08B9">
            <w:pPr>
              <w:spacing w:line="249" w:lineRule="auto"/>
              <w:ind w:right="3"/>
              <w:jc w:val="center"/>
            </w:pPr>
            <w:r>
              <w:rPr>
                <w:rFonts w:ascii="Arial" w:eastAsia="Calibri" w:hAnsi="Arial" w:cs="Arial"/>
                <w:sz w:val="22"/>
                <w:szCs w:val="22"/>
              </w:rPr>
              <w:t>10</w:t>
            </w:r>
          </w:p>
        </w:tc>
        <w:tc>
          <w:tcPr>
            <w:tcW w:w="3454" w:type="dxa"/>
            <w:tcBorders>
              <w:top w:val="single" w:sz="4" w:space="0" w:color="000000"/>
              <w:left w:val="single" w:sz="4" w:space="0" w:color="000000"/>
              <w:bottom w:val="single" w:sz="4" w:space="0" w:color="000000"/>
              <w:right w:val="single" w:sz="4" w:space="0" w:color="000000"/>
            </w:tcBorders>
            <w:shd w:val="clear" w:color="auto" w:fill="auto"/>
            <w:tcMar>
              <w:top w:w="54" w:type="dxa"/>
              <w:left w:w="72" w:type="dxa"/>
              <w:bottom w:w="0" w:type="dxa"/>
              <w:right w:w="44" w:type="dxa"/>
            </w:tcMar>
          </w:tcPr>
          <w:p w:rsidR="009B4233" w:rsidRDefault="006B08B9">
            <w:pPr>
              <w:spacing w:line="249" w:lineRule="auto"/>
            </w:pPr>
            <w:r>
              <w:rPr>
                <w:rFonts w:ascii="Arial" w:eastAsia="Calibri" w:hAnsi="Arial" w:cs="Arial"/>
                <w:sz w:val="22"/>
                <w:szCs w:val="22"/>
              </w:rPr>
              <w:t>Instituciones financieras</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54" w:type="dxa"/>
              <w:left w:w="72" w:type="dxa"/>
              <w:bottom w:w="0" w:type="dxa"/>
              <w:right w:w="44" w:type="dxa"/>
            </w:tcMar>
          </w:tcPr>
          <w:p w:rsidR="009B4233" w:rsidRDefault="006B08B9">
            <w:pPr>
              <w:spacing w:line="249" w:lineRule="auto"/>
              <w:ind w:right="3"/>
              <w:jc w:val="center"/>
            </w:pPr>
            <w:r>
              <w:rPr>
                <w:rFonts w:ascii="Arial" w:eastAsia="Calibri" w:hAnsi="Arial" w:cs="Arial"/>
                <w:sz w:val="22"/>
                <w:szCs w:val="22"/>
              </w:rPr>
              <w:t>27,33</w:t>
            </w:r>
          </w:p>
        </w:tc>
        <w:tc>
          <w:tcPr>
            <w:tcW w:w="1536" w:type="dxa"/>
            <w:tcBorders>
              <w:top w:val="single" w:sz="4" w:space="0" w:color="000000"/>
              <w:left w:val="single" w:sz="4" w:space="0" w:color="000000"/>
              <w:bottom w:val="single" w:sz="4" w:space="0" w:color="000000"/>
              <w:right w:val="single" w:sz="4" w:space="0" w:color="000000"/>
            </w:tcBorders>
            <w:shd w:val="clear" w:color="auto" w:fill="auto"/>
            <w:tcMar>
              <w:top w:w="54" w:type="dxa"/>
              <w:left w:w="72" w:type="dxa"/>
              <w:bottom w:w="0" w:type="dxa"/>
              <w:right w:w="44" w:type="dxa"/>
            </w:tcMar>
          </w:tcPr>
          <w:p w:rsidR="009B4233" w:rsidRDefault="006B08B9">
            <w:pPr>
              <w:spacing w:line="249" w:lineRule="auto"/>
              <w:ind w:right="3"/>
              <w:jc w:val="center"/>
            </w:pPr>
            <w:r>
              <w:rPr>
                <w:rFonts w:ascii="Arial" w:eastAsia="Calibri" w:hAnsi="Arial" w:cs="Arial"/>
                <w:sz w:val="22"/>
                <w:szCs w:val="22"/>
              </w:rPr>
              <w:t>49,21</w:t>
            </w:r>
          </w:p>
        </w:tc>
        <w:tc>
          <w:tcPr>
            <w:tcW w:w="1686" w:type="dxa"/>
            <w:tcBorders>
              <w:top w:val="single" w:sz="4" w:space="0" w:color="000000"/>
              <w:left w:val="single" w:sz="4" w:space="0" w:color="000000"/>
              <w:bottom w:val="single" w:sz="4" w:space="0" w:color="000000"/>
              <w:right w:val="single" w:sz="4" w:space="0" w:color="000000"/>
            </w:tcBorders>
            <w:shd w:val="clear" w:color="auto" w:fill="auto"/>
            <w:tcMar>
              <w:top w:w="54" w:type="dxa"/>
              <w:left w:w="72" w:type="dxa"/>
              <w:bottom w:w="0" w:type="dxa"/>
              <w:right w:w="44" w:type="dxa"/>
            </w:tcMar>
          </w:tcPr>
          <w:p w:rsidR="009B4233" w:rsidRDefault="006B08B9">
            <w:pPr>
              <w:spacing w:line="249" w:lineRule="auto"/>
              <w:ind w:right="3"/>
              <w:jc w:val="center"/>
            </w:pPr>
            <w:r>
              <w:rPr>
                <w:rFonts w:ascii="Arial" w:eastAsia="Calibri" w:hAnsi="Arial" w:cs="Arial"/>
                <w:sz w:val="22"/>
                <w:szCs w:val="22"/>
              </w:rPr>
              <w:t>0,45</w:t>
            </w:r>
          </w:p>
        </w:tc>
      </w:tr>
      <w:tr w:rsidR="009B4233">
        <w:tblPrEx>
          <w:tblCellMar>
            <w:top w:w="0" w:type="dxa"/>
            <w:bottom w:w="0" w:type="dxa"/>
          </w:tblCellMar>
        </w:tblPrEx>
        <w:trPr>
          <w:trHeight w:val="280"/>
        </w:trPr>
        <w:tc>
          <w:tcPr>
            <w:tcW w:w="1003" w:type="dxa"/>
            <w:tcBorders>
              <w:top w:val="single" w:sz="4" w:space="0" w:color="000000"/>
              <w:left w:val="single" w:sz="4" w:space="0" w:color="000000"/>
              <w:bottom w:val="single" w:sz="4" w:space="0" w:color="000000"/>
              <w:right w:val="single" w:sz="4" w:space="0" w:color="000000"/>
            </w:tcBorders>
            <w:shd w:val="clear" w:color="auto" w:fill="auto"/>
            <w:tcMar>
              <w:top w:w="54" w:type="dxa"/>
              <w:left w:w="72" w:type="dxa"/>
              <w:bottom w:w="0" w:type="dxa"/>
              <w:right w:w="44" w:type="dxa"/>
            </w:tcMar>
          </w:tcPr>
          <w:p w:rsidR="009B4233" w:rsidRDefault="006B08B9">
            <w:pPr>
              <w:spacing w:line="249" w:lineRule="auto"/>
              <w:ind w:right="3"/>
              <w:jc w:val="center"/>
            </w:pPr>
            <w:r>
              <w:rPr>
                <w:rFonts w:ascii="Arial" w:eastAsia="Calibri" w:hAnsi="Arial" w:cs="Arial"/>
                <w:sz w:val="22"/>
                <w:szCs w:val="22"/>
              </w:rPr>
              <w:t>11</w:t>
            </w:r>
          </w:p>
        </w:tc>
        <w:tc>
          <w:tcPr>
            <w:tcW w:w="3454" w:type="dxa"/>
            <w:tcBorders>
              <w:top w:val="single" w:sz="4" w:space="0" w:color="000000"/>
              <w:left w:val="single" w:sz="4" w:space="0" w:color="000000"/>
              <w:bottom w:val="single" w:sz="4" w:space="0" w:color="000000"/>
              <w:right w:val="single" w:sz="4" w:space="0" w:color="000000"/>
            </w:tcBorders>
            <w:shd w:val="clear" w:color="auto" w:fill="auto"/>
            <w:tcMar>
              <w:top w:w="54" w:type="dxa"/>
              <w:left w:w="72" w:type="dxa"/>
              <w:bottom w:w="0" w:type="dxa"/>
              <w:right w:w="44" w:type="dxa"/>
            </w:tcMar>
          </w:tcPr>
          <w:p w:rsidR="009B4233" w:rsidRDefault="006B08B9">
            <w:pPr>
              <w:spacing w:line="249" w:lineRule="auto"/>
            </w:pPr>
            <w:r>
              <w:rPr>
                <w:rFonts w:ascii="Arial" w:eastAsia="Calibri" w:hAnsi="Arial" w:cs="Arial"/>
                <w:sz w:val="22"/>
                <w:szCs w:val="22"/>
              </w:rPr>
              <w:t xml:space="preserve">Educación e </w:t>
            </w:r>
            <w:r>
              <w:rPr>
                <w:rFonts w:ascii="Arial" w:eastAsia="Calibri" w:hAnsi="Arial" w:cs="Arial"/>
                <w:sz w:val="22"/>
                <w:szCs w:val="22"/>
              </w:rPr>
              <w:t>Investigación. 93, 96.7.2</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54" w:type="dxa"/>
              <w:left w:w="72" w:type="dxa"/>
              <w:bottom w:w="0" w:type="dxa"/>
              <w:right w:w="44" w:type="dxa"/>
            </w:tcMar>
          </w:tcPr>
          <w:p w:rsidR="009B4233" w:rsidRDefault="006B08B9">
            <w:pPr>
              <w:spacing w:line="249" w:lineRule="auto"/>
              <w:ind w:right="3"/>
              <w:jc w:val="center"/>
            </w:pPr>
            <w:r>
              <w:rPr>
                <w:rFonts w:ascii="Arial" w:eastAsia="Calibri" w:hAnsi="Arial" w:cs="Arial"/>
                <w:sz w:val="22"/>
                <w:szCs w:val="22"/>
              </w:rPr>
              <w:t>16,43</w:t>
            </w:r>
          </w:p>
        </w:tc>
        <w:tc>
          <w:tcPr>
            <w:tcW w:w="1536" w:type="dxa"/>
            <w:tcBorders>
              <w:top w:val="single" w:sz="4" w:space="0" w:color="000000"/>
              <w:left w:val="single" w:sz="4" w:space="0" w:color="000000"/>
              <w:bottom w:val="single" w:sz="4" w:space="0" w:color="000000"/>
              <w:right w:val="single" w:sz="4" w:space="0" w:color="000000"/>
            </w:tcBorders>
            <w:shd w:val="clear" w:color="auto" w:fill="auto"/>
            <w:tcMar>
              <w:top w:w="54" w:type="dxa"/>
              <w:left w:w="72" w:type="dxa"/>
              <w:bottom w:w="0" w:type="dxa"/>
              <w:right w:w="44" w:type="dxa"/>
            </w:tcMar>
          </w:tcPr>
          <w:p w:rsidR="009B4233" w:rsidRDefault="006B08B9">
            <w:pPr>
              <w:spacing w:line="249" w:lineRule="auto"/>
              <w:ind w:right="3"/>
              <w:jc w:val="center"/>
            </w:pPr>
            <w:r>
              <w:rPr>
                <w:rFonts w:ascii="Arial" w:eastAsia="Calibri" w:hAnsi="Arial" w:cs="Arial"/>
                <w:sz w:val="22"/>
                <w:szCs w:val="22"/>
              </w:rPr>
              <w:t>16,78</w:t>
            </w:r>
          </w:p>
        </w:tc>
        <w:tc>
          <w:tcPr>
            <w:tcW w:w="1686" w:type="dxa"/>
            <w:tcBorders>
              <w:top w:val="single" w:sz="4" w:space="0" w:color="000000"/>
              <w:left w:val="single" w:sz="4" w:space="0" w:color="000000"/>
              <w:bottom w:val="single" w:sz="4" w:space="0" w:color="000000"/>
              <w:right w:val="single" w:sz="4" w:space="0" w:color="000000"/>
            </w:tcBorders>
            <w:shd w:val="clear" w:color="auto" w:fill="auto"/>
            <w:tcMar>
              <w:top w:w="54" w:type="dxa"/>
              <w:left w:w="72" w:type="dxa"/>
              <w:bottom w:w="0" w:type="dxa"/>
              <w:right w:w="44" w:type="dxa"/>
            </w:tcMar>
          </w:tcPr>
          <w:p w:rsidR="009B4233" w:rsidRDefault="006B08B9">
            <w:pPr>
              <w:spacing w:line="249" w:lineRule="auto"/>
              <w:ind w:right="3"/>
              <w:jc w:val="center"/>
            </w:pPr>
            <w:r>
              <w:rPr>
                <w:rFonts w:ascii="Arial" w:eastAsia="Calibri" w:hAnsi="Arial" w:cs="Arial"/>
                <w:sz w:val="22"/>
                <w:szCs w:val="22"/>
              </w:rPr>
              <w:t>0,25</w:t>
            </w:r>
          </w:p>
        </w:tc>
      </w:tr>
      <w:tr w:rsidR="009B4233">
        <w:tblPrEx>
          <w:tblCellMar>
            <w:top w:w="0" w:type="dxa"/>
            <w:bottom w:w="0" w:type="dxa"/>
          </w:tblCellMar>
        </w:tblPrEx>
        <w:trPr>
          <w:trHeight w:val="282"/>
        </w:trPr>
        <w:tc>
          <w:tcPr>
            <w:tcW w:w="1003" w:type="dxa"/>
            <w:tcBorders>
              <w:top w:val="single" w:sz="4" w:space="0" w:color="000000"/>
              <w:left w:val="single" w:sz="4" w:space="0" w:color="000000"/>
              <w:bottom w:val="single" w:sz="4" w:space="0" w:color="000000"/>
              <w:right w:val="single" w:sz="4" w:space="0" w:color="000000"/>
            </w:tcBorders>
            <w:shd w:val="clear" w:color="auto" w:fill="auto"/>
            <w:tcMar>
              <w:top w:w="54" w:type="dxa"/>
              <w:left w:w="72" w:type="dxa"/>
              <w:bottom w:w="0" w:type="dxa"/>
              <w:right w:w="44" w:type="dxa"/>
            </w:tcMar>
          </w:tcPr>
          <w:p w:rsidR="009B4233" w:rsidRDefault="006B08B9">
            <w:pPr>
              <w:spacing w:line="249" w:lineRule="auto"/>
              <w:ind w:right="3"/>
              <w:jc w:val="center"/>
            </w:pPr>
            <w:r>
              <w:rPr>
                <w:rFonts w:ascii="Arial" w:eastAsia="Calibri" w:hAnsi="Arial" w:cs="Arial"/>
                <w:sz w:val="22"/>
                <w:szCs w:val="22"/>
              </w:rPr>
              <w:t>12</w:t>
            </w:r>
          </w:p>
        </w:tc>
        <w:tc>
          <w:tcPr>
            <w:tcW w:w="3454" w:type="dxa"/>
            <w:tcBorders>
              <w:top w:val="single" w:sz="4" w:space="0" w:color="000000"/>
              <w:left w:val="single" w:sz="4" w:space="0" w:color="000000"/>
              <w:bottom w:val="single" w:sz="4" w:space="0" w:color="000000"/>
              <w:right w:val="single" w:sz="4" w:space="0" w:color="000000"/>
            </w:tcBorders>
            <w:shd w:val="clear" w:color="auto" w:fill="auto"/>
            <w:tcMar>
              <w:top w:w="54" w:type="dxa"/>
              <w:left w:w="72" w:type="dxa"/>
              <w:bottom w:w="0" w:type="dxa"/>
              <w:right w:w="44" w:type="dxa"/>
            </w:tcMar>
          </w:tcPr>
          <w:p w:rsidR="009B4233" w:rsidRDefault="006B08B9">
            <w:pPr>
              <w:spacing w:line="249" w:lineRule="auto"/>
            </w:pPr>
            <w:r>
              <w:rPr>
                <w:rFonts w:ascii="Arial" w:eastAsia="Calibri" w:hAnsi="Arial" w:cs="Arial"/>
                <w:sz w:val="22"/>
                <w:szCs w:val="22"/>
              </w:rPr>
              <w:t>Serv. de Saneamiento y Limpieza.</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54" w:type="dxa"/>
              <w:left w:w="72" w:type="dxa"/>
              <w:bottom w:w="0" w:type="dxa"/>
              <w:right w:w="44" w:type="dxa"/>
            </w:tcMar>
          </w:tcPr>
          <w:p w:rsidR="009B4233" w:rsidRDefault="006B08B9">
            <w:pPr>
              <w:spacing w:line="249" w:lineRule="auto"/>
              <w:ind w:right="3"/>
              <w:jc w:val="center"/>
            </w:pPr>
            <w:r>
              <w:rPr>
                <w:rFonts w:ascii="Arial" w:eastAsia="Calibri" w:hAnsi="Arial" w:cs="Arial"/>
                <w:sz w:val="22"/>
                <w:szCs w:val="22"/>
              </w:rPr>
              <w:t>31,5</w:t>
            </w:r>
          </w:p>
        </w:tc>
        <w:tc>
          <w:tcPr>
            <w:tcW w:w="1536" w:type="dxa"/>
            <w:tcBorders>
              <w:top w:val="single" w:sz="4" w:space="0" w:color="000000"/>
              <w:left w:val="single" w:sz="4" w:space="0" w:color="000000"/>
              <w:bottom w:val="single" w:sz="4" w:space="0" w:color="000000"/>
              <w:right w:val="single" w:sz="4" w:space="0" w:color="000000"/>
            </w:tcBorders>
            <w:shd w:val="clear" w:color="auto" w:fill="auto"/>
            <w:tcMar>
              <w:top w:w="54" w:type="dxa"/>
              <w:left w:w="72" w:type="dxa"/>
              <w:bottom w:w="0" w:type="dxa"/>
              <w:right w:w="44" w:type="dxa"/>
            </w:tcMar>
          </w:tcPr>
          <w:p w:rsidR="009B4233" w:rsidRDefault="006B08B9">
            <w:pPr>
              <w:spacing w:line="249" w:lineRule="auto"/>
              <w:ind w:right="3"/>
              <w:jc w:val="center"/>
            </w:pPr>
            <w:r>
              <w:rPr>
                <w:rFonts w:ascii="Arial" w:eastAsia="Calibri" w:hAnsi="Arial" w:cs="Arial"/>
                <w:sz w:val="22"/>
                <w:szCs w:val="22"/>
              </w:rPr>
              <w:t>35,02</w:t>
            </w:r>
          </w:p>
        </w:tc>
        <w:tc>
          <w:tcPr>
            <w:tcW w:w="1686" w:type="dxa"/>
            <w:tcBorders>
              <w:top w:val="single" w:sz="4" w:space="0" w:color="000000"/>
              <w:left w:val="single" w:sz="4" w:space="0" w:color="000000"/>
              <w:bottom w:val="single" w:sz="4" w:space="0" w:color="000000"/>
              <w:right w:val="single" w:sz="4" w:space="0" w:color="000000"/>
            </w:tcBorders>
            <w:shd w:val="clear" w:color="auto" w:fill="auto"/>
            <w:tcMar>
              <w:top w:w="54" w:type="dxa"/>
              <w:left w:w="72" w:type="dxa"/>
              <w:bottom w:w="0" w:type="dxa"/>
              <w:right w:w="44" w:type="dxa"/>
            </w:tcMar>
          </w:tcPr>
          <w:p w:rsidR="009B4233" w:rsidRDefault="006B08B9">
            <w:pPr>
              <w:spacing w:line="249" w:lineRule="auto"/>
              <w:ind w:right="3"/>
              <w:jc w:val="center"/>
            </w:pPr>
            <w:r>
              <w:rPr>
                <w:rFonts w:ascii="Arial" w:eastAsia="Calibri" w:hAnsi="Arial" w:cs="Arial"/>
                <w:sz w:val="22"/>
                <w:szCs w:val="22"/>
              </w:rPr>
              <w:t>0,48</w:t>
            </w:r>
          </w:p>
        </w:tc>
      </w:tr>
      <w:tr w:rsidR="009B4233">
        <w:tblPrEx>
          <w:tblCellMar>
            <w:top w:w="0" w:type="dxa"/>
            <w:bottom w:w="0" w:type="dxa"/>
          </w:tblCellMar>
        </w:tblPrEx>
        <w:trPr>
          <w:trHeight w:val="280"/>
        </w:trPr>
        <w:tc>
          <w:tcPr>
            <w:tcW w:w="1003" w:type="dxa"/>
            <w:tcBorders>
              <w:top w:val="single" w:sz="4" w:space="0" w:color="000000"/>
              <w:left w:val="single" w:sz="4" w:space="0" w:color="000000"/>
              <w:bottom w:val="single" w:sz="4" w:space="0" w:color="000000"/>
              <w:right w:val="single" w:sz="4" w:space="0" w:color="000000"/>
            </w:tcBorders>
            <w:shd w:val="clear" w:color="auto" w:fill="auto"/>
            <w:tcMar>
              <w:top w:w="54" w:type="dxa"/>
              <w:left w:w="72" w:type="dxa"/>
              <w:bottom w:w="0" w:type="dxa"/>
              <w:right w:w="44" w:type="dxa"/>
            </w:tcMar>
          </w:tcPr>
          <w:p w:rsidR="009B4233" w:rsidRDefault="006B08B9">
            <w:pPr>
              <w:spacing w:line="249" w:lineRule="auto"/>
              <w:ind w:right="3"/>
              <w:jc w:val="center"/>
            </w:pPr>
            <w:r>
              <w:rPr>
                <w:rFonts w:ascii="Arial" w:eastAsia="Calibri" w:hAnsi="Arial" w:cs="Arial"/>
                <w:sz w:val="22"/>
                <w:szCs w:val="22"/>
              </w:rPr>
              <w:t>13</w:t>
            </w:r>
          </w:p>
        </w:tc>
        <w:tc>
          <w:tcPr>
            <w:tcW w:w="3454" w:type="dxa"/>
            <w:tcBorders>
              <w:top w:val="single" w:sz="4" w:space="0" w:color="000000"/>
              <w:left w:val="single" w:sz="4" w:space="0" w:color="000000"/>
              <w:bottom w:val="single" w:sz="4" w:space="0" w:color="000000"/>
              <w:right w:val="single" w:sz="4" w:space="0" w:color="000000"/>
            </w:tcBorders>
            <w:shd w:val="clear" w:color="auto" w:fill="auto"/>
            <w:tcMar>
              <w:top w:w="54" w:type="dxa"/>
              <w:left w:w="72" w:type="dxa"/>
              <w:bottom w:w="0" w:type="dxa"/>
              <w:right w:w="44" w:type="dxa"/>
            </w:tcMar>
          </w:tcPr>
          <w:p w:rsidR="009B4233" w:rsidRDefault="006B08B9">
            <w:pPr>
              <w:spacing w:line="249" w:lineRule="auto"/>
            </w:pPr>
            <w:r>
              <w:rPr>
                <w:rFonts w:ascii="Arial" w:eastAsia="Calibri" w:hAnsi="Arial" w:cs="Arial"/>
                <w:sz w:val="22"/>
                <w:szCs w:val="22"/>
              </w:rPr>
              <w:t>Serv. Personales, peluquerías.</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54" w:type="dxa"/>
              <w:left w:w="72" w:type="dxa"/>
              <w:bottom w:w="0" w:type="dxa"/>
              <w:right w:w="44" w:type="dxa"/>
            </w:tcMar>
          </w:tcPr>
          <w:p w:rsidR="009B4233" w:rsidRDefault="006B08B9">
            <w:pPr>
              <w:spacing w:line="249" w:lineRule="auto"/>
              <w:ind w:right="3"/>
              <w:jc w:val="center"/>
            </w:pPr>
            <w:r>
              <w:rPr>
                <w:rFonts w:ascii="Arial" w:eastAsia="Calibri" w:hAnsi="Arial" w:cs="Arial"/>
                <w:sz w:val="22"/>
                <w:szCs w:val="22"/>
              </w:rPr>
              <w:t>28,86</w:t>
            </w:r>
          </w:p>
        </w:tc>
        <w:tc>
          <w:tcPr>
            <w:tcW w:w="1536" w:type="dxa"/>
            <w:tcBorders>
              <w:top w:val="single" w:sz="4" w:space="0" w:color="000000"/>
              <w:left w:val="single" w:sz="4" w:space="0" w:color="000000"/>
              <w:bottom w:val="single" w:sz="4" w:space="0" w:color="000000"/>
              <w:right w:val="single" w:sz="4" w:space="0" w:color="000000"/>
            </w:tcBorders>
            <w:shd w:val="clear" w:color="auto" w:fill="auto"/>
            <w:tcMar>
              <w:top w:w="54" w:type="dxa"/>
              <w:left w:w="72" w:type="dxa"/>
              <w:bottom w:w="0" w:type="dxa"/>
              <w:right w:w="44" w:type="dxa"/>
            </w:tcMar>
          </w:tcPr>
          <w:p w:rsidR="009B4233" w:rsidRDefault="006B08B9">
            <w:pPr>
              <w:spacing w:line="249" w:lineRule="auto"/>
              <w:ind w:right="3"/>
              <w:jc w:val="center"/>
            </w:pPr>
            <w:r>
              <w:rPr>
                <w:rFonts w:ascii="Arial" w:eastAsia="Calibri" w:hAnsi="Arial" w:cs="Arial"/>
                <w:sz w:val="22"/>
                <w:szCs w:val="22"/>
              </w:rPr>
              <w:t>30,56</w:t>
            </w:r>
          </w:p>
        </w:tc>
        <w:tc>
          <w:tcPr>
            <w:tcW w:w="1686" w:type="dxa"/>
            <w:tcBorders>
              <w:top w:val="single" w:sz="4" w:space="0" w:color="000000"/>
              <w:left w:val="single" w:sz="4" w:space="0" w:color="000000"/>
              <w:bottom w:val="single" w:sz="4" w:space="0" w:color="000000"/>
              <w:right w:val="single" w:sz="4" w:space="0" w:color="000000"/>
            </w:tcBorders>
            <w:shd w:val="clear" w:color="auto" w:fill="auto"/>
            <w:tcMar>
              <w:top w:w="54" w:type="dxa"/>
              <w:left w:w="72" w:type="dxa"/>
              <w:bottom w:w="0" w:type="dxa"/>
              <w:right w:w="44" w:type="dxa"/>
            </w:tcMar>
          </w:tcPr>
          <w:p w:rsidR="009B4233" w:rsidRDefault="006B08B9">
            <w:pPr>
              <w:spacing w:line="249" w:lineRule="auto"/>
              <w:ind w:right="3"/>
              <w:jc w:val="center"/>
            </w:pPr>
            <w:r>
              <w:rPr>
                <w:rFonts w:ascii="Arial" w:eastAsia="Calibri" w:hAnsi="Arial" w:cs="Arial"/>
                <w:sz w:val="22"/>
                <w:szCs w:val="22"/>
              </w:rPr>
              <w:t>0,27</w:t>
            </w:r>
          </w:p>
        </w:tc>
      </w:tr>
      <w:tr w:rsidR="009B4233">
        <w:tblPrEx>
          <w:tblCellMar>
            <w:top w:w="0" w:type="dxa"/>
            <w:bottom w:w="0" w:type="dxa"/>
          </w:tblCellMar>
        </w:tblPrEx>
        <w:trPr>
          <w:trHeight w:val="282"/>
        </w:trPr>
        <w:tc>
          <w:tcPr>
            <w:tcW w:w="1003" w:type="dxa"/>
            <w:tcBorders>
              <w:top w:val="single" w:sz="4" w:space="0" w:color="000000"/>
              <w:left w:val="single" w:sz="4" w:space="0" w:color="000000"/>
              <w:bottom w:val="single" w:sz="4" w:space="0" w:color="000000"/>
              <w:right w:val="single" w:sz="4" w:space="0" w:color="000000"/>
            </w:tcBorders>
            <w:shd w:val="clear" w:color="auto" w:fill="auto"/>
            <w:tcMar>
              <w:top w:w="54" w:type="dxa"/>
              <w:left w:w="72" w:type="dxa"/>
              <w:bottom w:w="0" w:type="dxa"/>
              <w:right w:w="44" w:type="dxa"/>
            </w:tcMar>
          </w:tcPr>
          <w:p w:rsidR="009B4233" w:rsidRDefault="006B08B9">
            <w:pPr>
              <w:spacing w:line="249" w:lineRule="auto"/>
              <w:ind w:right="3"/>
              <w:jc w:val="center"/>
            </w:pPr>
            <w:r>
              <w:rPr>
                <w:rFonts w:ascii="Arial" w:eastAsia="Calibri" w:hAnsi="Arial" w:cs="Arial"/>
                <w:sz w:val="22"/>
                <w:szCs w:val="22"/>
              </w:rPr>
              <w:t>14</w:t>
            </w:r>
          </w:p>
        </w:tc>
        <w:tc>
          <w:tcPr>
            <w:tcW w:w="3454" w:type="dxa"/>
            <w:tcBorders>
              <w:top w:val="single" w:sz="4" w:space="0" w:color="000000"/>
              <w:left w:val="single" w:sz="4" w:space="0" w:color="000000"/>
              <w:bottom w:val="single" w:sz="4" w:space="0" w:color="000000"/>
              <w:right w:val="single" w:sz="4" w:space="0" w:color="000000"/>
            </w:tcBorders>
            <w:shd w:val="clear" w:color="auto" w:fill="auto"/>
            <w:tcMar>
              <w:top w:w="54" w:type="dxa"/>
              <w:left w:w="72" w:type="dxa"/>
              <w:bottom w:w="0" w:type="dxa"/>
              <w:right w:w="44" w:type="dxa"/>
            </w:tcMar>
          </w:tcPr>
          <w:p w:rsidR="009B4233" w:rsidRDefault="006B08B9">
            <w:pPr>
              <w:spacing w:line="249" w:lineRule="auto"/>
            </w:pPr>
            <w:r>
              <w:rPr>
                <w:rFonts w:ascii="Arial" w:eastAsia="Calibri" w:hAnsi="Arial" w:cs="Arial"/>
                <w:sz w:val="22"/>
                <w:szCs w:val="22"/>
              </w:rPr>
              <w:t>Sanidad y servicios sanitarios</w:t>
            </w:r>
          </w:p>
        </w:tc>
        <w:tc>
          <w:tcPr>
            <w:tcW w:w="3077" w:type="dxa"/>
            <w:gridSpan w:val="2"/>
            <w:tcBorders>
              <w:top w:val="single" w:sz="4" w:space="0" w:color="000000"/>
              <w:left w:val="single" w:sz="4" w:space="0" w:color="000000"/>
              <w:bottom w:val="single" w:sz="4" w:space="0" w:color="000000"/>
            </w:tcBorders>
            <w:shd w:val="clear" w:color="auto" w:fill="auto"/>
            <w:tcMar>
              <w:top w:w="54" w:type="dxa"/>
              <w:left w:w="72" w:type="dxa"/>
              <w:bottom w:w="0" w:type="dxa"/>
              <w:right w:w="44" w:type="dxa"/>
            </w:tcMar>
          </w:tcPr>
          <w:p w:rsidR="009B4233" w:rsidRDefault="006B08B9">
            <w:pPr>
              <w:spacing w:line="249" w:lineRule="auto"/>
              <w:jc w:val="right"/>
            </w:pPr>
            <w:r>
              <w:rPr>
                <w:rFonts w:ascii="Arial" w:eastAsia="Calibri" w:hAnsi="Arial" w:cs="Arial"/>
                <w:sz w:val="22"/>
                <w:szCs w:val="22"/>
              </w:rPr>
              <w:t>6,88 por cama</w:t>
            </w:r>
          </w:p>
        </w:tc>
        <w:tc>
          <w:tcPr>
            <w:tcW w:w="1686" w:type="dxa"/>
            <w:tcBorders>
              <w:top w:val="single" w:sz="4" w:space="0" w:color="000000"/>
              <w:bottom w:val="single" w:sz="4" w:space="0" w:color="000000"/>
              <w:right w:val="single" w:sz="4" w:space="0" w:color="000000"/>
            </w:tcBorders>
            <w:shd w:val="clear" w:color="auto" w:fill="auto"/>
            <w:tcMar>
              <w:top w:w="54" w:type="dxa"/>
              <w:left w:w="72" w:type="dxa"/>
              <w:bottom w:w="0" w:type="dxa"/>
              <w:right w:w="44" w:type="dxa"/>
            </w:tcMar>
          </w:tcPr>
          <w:p w:rsidR="009B4233" w:rsidRDefault="009B4233">
            <w:pPr>
              <w:spacing w:after="160" w:line="249" w:lineRule="auto"/>
              <w:rPr>
                <w:rFonts w:ascii="Arial" w:hAnsi="Arial" w:cs="Arial"/>
                <w:sz w:val="22"/>
                <w:szCs w:val="22"/>
              </w:rPr>
            </w:pPr>
          </w:p>
        </w:tc>
      </w:tr>
      <w:tr w:rsidR="009B4233">
        <w:tblPrEx>
          <w:tblCellMar>
            <w:top w:w="0" w:type="dxa"/>
            <w:bottom w:w="0" w:type="dxa"/>
          </w:tblCellMar>
        </w:tblPrEx>
        <w:trPr>
          <w:trHeight w:val="280"/>
        </w:trPr>
        <w:tc>
          <w:tcPr>
            <w:tcW w:w="1003" w:type="dxa"/>
            <w:tcBorders>
              <w:top w:val="single" w:sz="4" w:space="0" w:color="000000"/>
              <w:left w:val="single" w:sz="4" w:space="0" w:color="000000"/>
              <w:bottom w:val="single" w:sz="4" w:space="0" w:color="000000"/>
              <w:right w:val="single" w:sz="4" w:space="0" w:color="000000"/>
            </w:tcBorders>
            <w:shd w:val="clear" w:color="auto" w:fill="auto"/>
            <w:tcMar>
              <w:top w:w="54" w:type="dxa"/>
              <w:left w:w="72" w:type="dxa"/>
              <w:bottom w:w="0" w:type="dxa"/>
              <w:right w:w="44" w:type="dxa"/>
            </w:tcMar>
          </w:tcPr>
          <w:p w:rsidR="009B4233" w:rsidRDefault="006B08B9">
            <w:pPr>
              <w:spacing w:line="249" w:lineRule="auto"/>
              <w:ind w:right="3"/>
              <w:jc w:val="center"/>
            </w:pPr>
            <w:r>
              <w:rPr>
                <w:rFonts w:ascii="Arial" w:eastAsia="Calibri" w:hAnsi="Arial" w:cs="Arial"/>
                <w:sz w:val="22"/>
                <w:szCs w:val="22"/>
              </w:rPr>
              <w:t>15</w:t>
            </w:r>
          </w:p>
        </w:tc>
        <w:tc>
          <w:tcPr>
            <w:tcW w:w="3454" w:type="dxa"/>
            <w:tcBorders>
              <w:top w:val="single" w:sz="4" w:space="0" w:color="000000"/>
              <w:left w:val="single" w:sz="4" w:space="0" w:color="000000"/>
              <w:bottom w:val="single" w:sz="4" w:space="0" w:color="000000"/>
              <w:right w:val="single" w:sz="4" w:space="0" w:color="000000"/>
            </w:tcBorders>
            <w:shd w:val="clear" w:color="auto" w:fill="auto"/>
            <w:tcMar>
              <w:top w:w="54" w:type="dxa"/>
              <w:left w:w="72" w:type="dxa"/>
              <w:bottom w:w="0" w:type="dxa"/>
              <w:right w:w="44" w:type="dxa"/>
            </w:tcMar>
          </w:tcPr>
          <w:p w:rsidR="009B4233" w:rsidRDefault="006B08B9">
            <w:pPr>
              <w:spacing w:line="249" w:lineRule="auto"/>
            </w:pPr>
            <w:r>
              <w:rPr>
                <w:rFonts w:ascii="Arial" w:eastAsia="Calibri" w:hAnsi="Arial" w:cs="Arial"/>
                <w:sz w:val="22"/>
                <w:szCs w:val="22"/>
              </w:rPr>
              <w:t>Espectáculos, cines, teatros, etc.</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54" w:type="dxa"/>
              <w:left w:w="72" w:type="dxa"/>
              <w:bottom w:w="0" w:type="dxa"/>
              <w:right w:w="44" w:type="dxa"/>
            </w:tcMar>
          </w:tcPr>
          <w:p w:rsidR="009B4233" w:rsidRDefault="006B08B9">
            <w:pPr>
              <w:spacing w:line="249" w:lineRule="auto"/>
              <w:ind w:right="3"/>
              <w:jc w:val="center"/>
            </w:pPr>
            <w:r>
              <w:rPr>
                <w:rFonts w:ascii="Arial" w:eastAsia="Calibri" w:hAnsi="Arial" w:cs="Arial"/>
                <w:sz w:val="22"/>
                <w:szCs w:val="22"/>
              </w:rPr>
              <w:t>27,02</w:t>
            </w:r>
          </w:p>
        </w:tc>
        <w:tc>
          <w:tcPr>
            <w:tcW w:w="1536" w:type="dxa"/>
            <w:tcBorders>
              <w:top w:val="single" w:sz="4" w:space="0" w:color="000000"/>
              <w:left w:val="single" w:sz="4" w:space="0" w:color="000000"/>
              <w:bottom w:val="single" w:sz="4" w:space="0" w:color="000000"/>
              <w:right w:val="single" w:sz="4" w:space="0" w:color="000000"/>
            </w:tcBorders>
            <w:shd w:val="clear" w:color="auto" w:fill="auto"/>
            <w:tcMar>
              <w:top w:w="54" w:type="dxa"/>
              <w:left w:w="72" w:type="dxa"/>
              <w:bottom w:w="0" w:type="dxa"/>
              <w:right w:w="44" w:type="dxa"/>
            </w:tcMar>
          </w:tcPr>
          <w:p w:rsidR="009B4233" w:rsidRDefault="006B08B9">
            <w:pPr>
              <w:spacing w:line="249" w:lineRule="auto"/>
              <w:ind w:right="3"/>
              <w:jc w:val="center"/>
            </w:pPr>
            <w:r>
              <w:rPr>
                <w:rFonts w:ascii="Arial" w:eastAsia="Calibri" w:hAnsi="Arial" w:cs="Arial"/>
                <w:sz w:val="22"/>
                <w:szCs w:val="22"/>
              </w:rPr>
              <w:t>29,95</w:t>
            </w:r>
          </w:p>
        </w:tc>
        <w:tc>
          <w:tcPr>
            <w:tcW w:w="1686" w:type="dxa"/>
            <w:tcBorders>
              <w:top w:val="single" w:sz="4" w:space="0" w:color="000000"/>
              <w:left w:val="single" w:sz="4" w:space="0" w:color="000000"/>
              <w:bottom w:val="single" w:sz="4" w:space="0" w:color="000000"/>
              <w:right w:val="single" w:sz="4" w:space="0" w:color="000000"/>
            </w:tcBorders>
            <w:shd w:val="clear" w:color="auto" w:fill="auto"/>
            <w:tcMar>
              <w:top w:w="54" w:type="dxa"/>
              <w:left w:w="72" w:type="dxa"/>
              <w:bottom w:w="0" w:type="dxa"/>
              <w:right w:w="44" w:type="dxa"/>
            </w:tcMar>
          </w:tcPr>
          <w:p w:rsidR="009B4233" w:rsidRDefault="006B08B9">
            <w:pPr>
              <w:spacing w:line="249" w:lineRule="auto"/>
              <w:ind w:right="3"/>
              <w:jc w:val="center"/>
            </w:pPr>
            <w:r>
              <w:rPr>
                <w:rFonts w:ascii="Arial" w:eastAsia="Calibri" w:hAnsi="Arial" w:cs="Arial"/>
                <w:sz w:val="22"/>
                <w:szCs w:val="22"/>
              </w:rPr>
              <w:t>0,37</w:t>
            </w:r>
          </w:p>
        </w:tc>
      </w:tr>
      <w:tr w:rsidR="009B4233">
        <w:tblPrEx>
          <w:tblCellMar>
            <w:top w:w="0" w:type="dxa"/>
            <w:bottom w:w="0" w:type="dxa"/>
          </w:tblCellMar>
        </w:tblPrEx>
        <w:trPr>
          <w:trHeight w:val="562"/>
        </w:trPr>
        <w:tc>
          <w:tcPr>
            <w:tcW w:w="1003" w:type="dxa"/>
            <w:tcBorders>
              <w:top w:val="single" w:sz="4" w:space="0" w:color="000000"/>
              <w:left w:val="single" w:sz="4" w:space="0" w:color="000000"/>
              <w:bottom w:val="single" w:sz="4" w:space="0" w:color="000000"/>
              <w:right w:val="single" w:sz="4" w:space="0" w:color="000000"/>
            </w:tcBorders>
            <w:shd w:val="clear" w:color="auto" w:fill="auto"/>
            <w:tcMar>
              <w:top w:w="54" w:type="dxa"/>
              <w:left w:w="72" w:type="dxa"/>
              <w:bottom w:w="0" w:type="dxa"/>
              <w:right w:w="44" w:type="dxa"/>
            </w:tcMar>
            <w:vAlign w:val="center"/>
          </w:tcPr>
          <w:p w:rsidR="009B4233" w:rsidRDefault="006B08B9">
            <w:pPr>
              <w:spacing w:line="249" w:lineRule="auto"/>
              <w:ind w:right="3"/>
              <w:jc w:val="center"/>
            </w:pPr>
            <w:r>
              <w:rPr>
                <w:rFonts w:ascii="Arial" w:eastAsia="Calibri" w:hAnsi="Arial" w:cs="Arial"/>
                <w:sz w:val="22"/>
                <w:szCs w:val="22"/>
              </w:rPr>
              <w:t>16</w:t>
            </w:r>
          </w:p>
        </w:tc>
        <w:tc>
          <w:tcPr>
            <w:tcW w:w="3454" w:type="dxa"/>
            <w:tcBorders>
              <w:top w:val="single" w:sz="4" w:space="0" w:color="000000"/>
              <w:left w:val="single" w:sz="4" w:space="0" w:color="000000"/>
              <w:bottom w:val="single" w:sz="4" w:space="0" w:color="000000"/>
              <w:right w:val="single" w:sz="4" w:space="0" w:color="000000"/>
            </w:tcBorders>
            <w:shd w:val="clear" w:color="auto" w:fill="auto"/>
            <w:tcMar>
              <w:top w:w="54" w:type="dxa"/>
              <w:left w:w="72" w:type="dxa"/>
              <w:bottom w:w="0" w:type="dxa"/>
              <w:right w:w="44" w:type="dxa"/>
            </w:tcMar>
          </w:tcPr>
          <w:p w:rsidR="009B4233" w:rsidRDefault="006B08B9">
            <w:pPr>
              <w:spacing w:line="249" w:lineRule="auto"/>
            </w:pPr>
            <w:r>
              <w:rPr>
                <w:rFonts w:ascii="Arial" w:eastAsia="Calibri" w:hAnsi="Arial" w:cs="Arial"/>
                <w:sz w:val="22"/>
                <w:szCs w:val="22"/>
              </w:rPr>
              <w:t>Lugares de culto de las distintas confesiones religiosas</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54" w:type="dxa"/>
              <w:left w:w="72" w:type="dxa"/>
              <w:bottom w:w="0" w:type="dxa"/>
              <w:right w:w="44" w:type="dxa"/>
            </w:tcMar>
            <w:vAlign w:val="center"/>
          </w:tcPr>
          <w:p w:rsidR="009B4233" w:rsidRDefault="006B08B9">
            <w:pPr>
              <w:spacing w:line="249" w:lineRule="auto"/>
              <w:ind w:right="3"/>
              <w:jc w:val="center"/>
            </w:pPr>
            <w:r>
              <w:rPr>
                <w:rFonts w:ascii="Arial" w:eastAsia="Calibri" w:hAnsi="Arial" w:cs="Arial"/>
                <w:sz w:val="22"/>
                <w:szCs w:val="22"/>
              </w:rPr>
              <w:t>22,48</w:t>
            </w:r>
          </w:p>
        </w:tc>
        <w:tc>
          <w:tcPr>
            <w:tcW w:w="1536" w:type="dxa"/>
            <w:tcBorders>
              <w:top w:val="single" w:sz="4" w:space="0" w:color="000000"/>
              <w:left w:val="single" w:sz="4" w:space="0" w:color="000000"/>
              <w:bottom w:val="single" w:sz="4" w:space="0" w:color="000000"/>
              <w:right w:val="single" w:sz="4" w:space="0" w:color="000000"/>
            </w:tcBorders>
            <w:shd w:val="clear" w:color="auto" w:fill="auto"/>
            <w:tcMar>
              <w:top w:w="54" w:type="dxa"/>
              <w:left w:w="72" w:type="dxa"/>
              <w:bottom w:w="0" w:type="dxa"/>
              <w:right w:w="44" w:type="dxa"/>
            </w:tcMar>
          </w:tcPr>
          <w:p w:rsidR="009B4233" w:rsidRDefault="009B4233">
            <w:pPr>
              <w:spacing w:after="160" w:line="249" w:lineRule="auto"/>
              <w:rPr>
                <w:rFonts w:ascii="Arial" w:hAnsi="Arial" w:cs="Arial"/>
                <w:sz w:val="22"/>
                <w:szCs w:val="22"/>
              </w:rPr>
            </w:pPr>
          </w:p>
        </w:tc>
        <w:tc>
          <w:tcPr>
            <w:tcW w:w="1686" w:type="dxa"/>
            <w:tcBorders>
              <w:top w:val="single" w:sz="4" w:space="0" w:color="000000"/>
              <w:left w:val="single" w:sz="4" w:space="0" w:color="000000"/>
              <w:bottom w:val="single" w:sz="4" w:space="0" w:color="000000"/>
              <w:right w:val="single" w:sz="4" w:space="0" w:color="000000"/>
            </w:tcBorders>
            <w:shd w:val="clear" w:color="auto" w:fill="auto"/>
            <w:tcMar>
              <w:top w:w="54" w:type="dxa"/>
              <w:left w:w="72" w:type="dxa"/>
              <w:bottom w:w="0" w:type="dxa"/>
              <w:right w:w="44" w:type="dxa"/>
            </w:tcMar>
          </w:tcPr>
          <w:p w:rsidR="009B4233" w:rsidRDefault="009B4233">
            <w:pPr>
              <w:spacing w:after="160" w:line="249" w:lineRule="auto"/>
              <w:rPr>
                <w:rFonts w:ascii="Arial" w:hAnsi="Arial" w:cs="Arial"/>
                <w:sz w:val="22"/>
                <w:szCs w:val="22"/>
              </w:rPr>
            </w:pPr>
          </w:p>
        </w:tc>
      </w:tr>
      <w:tr w:rsidR="009B4233">
        <w:tblPrEx>
          <w:tblCellMar>
            <w:top w:w="0" w:type="dxa"/>
            <w:bottom w:w="0" w:type="dxa"/>
          </w:tblCellMar>
        </w:tblPrEx>
        <w:trPr>
          <w:trHeight w:val="282"/>
        </w:trPr>
        <w:tc>
          <w:tcPr>
            <w:tcW w:w="1003" w:type="dxa"/>
            <w:tcBorders>
              <w:top w:val="single" w:sz="4" w:space="0" w:color="000000"/>
              <w:left w:val="single" w:sz="4" w:space="0" w:color="000000"/>
              <w:bottom w:val="single" w:sz="4" w:space="0" w:color="000000"/>
              <w:right w:val="single" w:sz="4" w:space="0" w:color="000000"/>
            </w:tcBorders>
            <w:shd w:val="clear" w:color="auto" w:fill="auto"/>
            <w:tcMar>
              <w:top w:w="54" w:type="dxa"/>
              <w:left w:w="72" w:type="dxa"/>
              <w:bottom w:w="0" w:type="dxa"/>
              <w:right w:w="44" w:type="dxa"/>
            </w:tcMar>
          </w:tcPr>
          <w:p w:rsidR="009B4233" w:rsidRDefault="006B08B9">
            <w:pPr>
              <w:spacing w:line="249" w:lineRule="auto"/>
              <w:ind w:right="3"/>
              <w:jc w:val="center"/>
            </w:pPr>
            <w:r>
              <w:rPr>
                <w:rFonts w:ascii="Arial" w:eastAsia="Calibri" w:hAnsi="Arial" w:cs="Arial"/>
                <w:sz w:val="22"/>
                <w:szCs w:val="22"/>
              </w:rPr>
              <w:t>17</w:t>
            </w:r>
          </w:p>
        </w:tc>
        <w:tc>
          <w:tcPr>
            <w:tcW w:w="3454" w:type="dxa"/>
            <w:tcBorders>
              <w:top w:val="single" w:sz="4" w:space="0" w:color="000000"/>
              <w:left w:val="single" w:sz="4" w:space="0" w:color="000000"/>
              <w:bottom w:val="single" w:sz="4" w:space="0" w:color="000000"/>
              <w:right w:val="single" w:sz="4" w:space="0" w:color="000000"/>
            </w:tcBorders>
            <w:shd w:val="clear" w:color="auto" w:fill="auto"/>
            <w:tcMar>
              <w:top w:w="54" w:type="dxa"/>
              <w:left w:w="72" w:type="dxa"/>
              <w:bottom w:w="0" w:type="dxa"/>
              <w:right w:w="44" w:type="dxa"/>
            </w:tcMar>
          </w:tcPr>
          <w:p w:rsidR="009B4233" w:rsidRDefault="006B08B9">
            <w:pPr>
              <w:spacing w:line="249" w:lineRule="auto"/>
            </w:pPr>
            <w:r>
              <w:rPr>
                <w:rFonts w:ascii="Arial" w:eastAsia="Calibri" w:hAnsi="Arial" w:cs="Arial"/>
                <w:sz w:val="22"/>
                <w:szCs w:val="22"/>
              </w:rPr>
              <w:t>Actividades de las administraciones</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54" w:type="dxa"/>
              <w:left w:w="72" w:type="dxa"/>
              <w:bottom w:w="0" w:type="dxa"/>
              <w:right w:w="44" w:type="dxa"/>
            </w:tcMar>
          </w:tcPr>
          <w:p w:rsidR="009B4233" w:rsidRDefault="006B08B9">
            <w:pPr>
              <w:spacing w:line="249" w:lineRule="auto"/>
              <w:ind w:right="3"/>
              <w:jc w:val="center"/>
            </w:pPr>
            <w:r>
              <w:rPr>
                <w:rFonts w:ascii="Arial" w:eastAsia="Calibri" w:hAnsi="Arial" w:cs="Arial"/>
                <w:sz w:val="22"/>
                <w:szCs w:val="22"/>
              </w:rPr>
              <w:t>16,27</w:t>
            </w:r>
          </w:p>
        </w:tc>
        <w:tc>
          <w:tcPr>
            <w:tcW w:w="1536" w:type="dxa"/>
            <w:tcBorders>
              <w:top w:val="single" w:sz="4" w:space="0" w:color="000000"/>
              <w:left w:val="single" w:sz="4" w:space="0" w:color="000000"/>
              <w:bottom w:val="single" w:sz="4" w:space="0" w:color="000000"/>
              <w:right w:val="single" w:sz="4" w:space="0" w:color="000000"/>
            </w:tcBorders>
            <w:shd w:val="clear" w:color="auto" w:fill="auto"/>
            <w:tcMar>
              <w:top w:w="54" w:type="dxa"/>
              <w:left w:w="72" w:type="dxa"/>
              <w:bottom w:w="0" w:type="dxa"/>
              <w:right w:w="44" w:type="dxa"/>
            </w:tcMar>
          </w:tcPr>
          <w:p w:rsidR="009B4233" w:rsidRDefault="006B08B9">
            <w:pPr>
              <w:spacing w:line="249" w:lineRule="auto"/>
              <w:ind w:right="3"/>
              <w:jc w:val="center"/>
            </w:pPr>
            <w:r>
              <w:rPr>
                <w:rFonts w:ascii="Arial" w:eastAsia="Calibri" w:hAnsi="Arial" w:cs="Arial"/>
                <w:sz w:val="22"/>
                <w:szCs w:val="22"/>
              </w:rPr>
              <w:t>35,38</w:t>
            </w:r>
          </w:p>
        </w:tc>
        <w:tc>
          <w:tcPr>
            <w:tcW w:w="1686" w:type="dxa"/>
            <w:tcBorders>
              <w:top w:val="single" w:sz="4" w:space="0" w:color="000000"/>
              <w:left w:val="single" w:sz="4" w:space="0" w:color="000000"/>
              <w:bottom w:val="single" w:sz="4" w:space="0" w:color="000000"/>
              <w:right w:val="single" w:sz="4" w:space="0" w:color="000000"/>
            </w:tcBorders>
            <w:shd w:val="clear" w:color="auto" w:fill="auto"/>
            <w:tcMar>
              <w:top w:w="54" w:type="dxa"/>
              <w:left w:w="72" w:type="dxa"/>
              <w:bottom w:w="0" w:type="dxa"/>
              <w:right w:w="44" w:type="dxa"/>
            </w:tcMar>
          </w:tcPr>
          <w:p w:rsidR="009B4233" w:rsidRDefault="006B08B9">
            <w:pPr>
              <w:spacing w:line="249" w:lineRule="auto"/>
              <w:ind w:right="3"/>
              <w:jc w:val="center"/>
            </w:pPr>
            <w:r>
              <w:rPr>
                <w:rFonts w:ascii="Arial" w:eastAsia="Calibri" w:hAnsi="Arial" w:cs="Arial"/>
                <w:sz w:val="22"/>
                <w:szCs w:val="22"/>
              </w:rPr>
              <w:t>0,41</w:t>
            </w:r>
          </w:p>
        </w:tc>
      </w:tr>
      <w:tr w:rsidR="009B4233">
        <w:tblPrEx>
          <w:tblCellMar>
            <w:top w:w="0" w:type="dxa"/>
            <w:bottom w:w="0" w:type="dxa"/>
          </w:tblCellMar>
        </w:tblPrEx>
        <w:trPr>
          <w:trHeight w:val="562"/>
        </w:trPr>
        <w:tc>
          <w:tcPr>
            <w:tcW w:w="1003" w:type="dxa"/>
            <w:tcBorders>
              <w:top w:val="single" w:sz="4" w:space="0" w:color="000000"/>
              <w:left w:val="single" w:sz="4" w:space="0" w:color="000000"/>
              <w:bottom w:val="single" w:sz="4" w:space="0" w:color="000000"/>
              <w:right w:val="single" w:sz="4" w:space="0" w:color="000000"/>
            </w:tcBorders>
            <w:shd w:val="clear" w:color="auto" w:fill="auto"/>
            <w:tcMar>
              <w:top w:w="54" w:type="dxa"/>
              <w:left w:w="72" w:type="dxa"/>
              <w:bottom w:w="0" w:type="dxa"/>
              <w:right w:w="44" w:type="dxa"/>
            </w:tcMar>
            <w:vAlign w:val="center"/>
          </w:tcPr>
          <w:p w:rsidR="009B4233" w:rsidRDefault="006B08B9">
            <w:pPr>
              <w:spacing w:line="249" w:lineRule="auto"/>
              <w:ind w:right="3"/>
              <w:jc w:val="center"/>
            </w:pPr>
            <w:r>
              <w:rPr>
                <w:rFonts w:ascii="Arial" w:eastAsia="Calibri" w:hAnsi="Arial" w:cs="Arial"/>
                <w:sz w:val="22"/>
                <w:szCs w:val="22"/>
              </w:rPr>
              <w:t>18</w:t>
            </w:r>
          </w:p>
        </w:tc>
        <w:tc>
          <w:tcPr>
            <w:tcW w:w="3454" w:type="dxa"/>
            <w:tcBorders>
              <w:top w:val="single" w:sz="4" w:space="0" w:color="000000"/>
              <w:left w:val="single" w:sz="4" w:space="0" w:color="000000"/>
              <w:bottom w:val="single" w:sz="4" w:space="0" w:color="000000"/>
              <w:right w:val="single" w:sz="4" w:space="0" w:color="000000"/>
            </w:tcBorders>
            <w:shd w:val="clear" w:color="auto" w:fill="auto"/>
            <w:tcMar>
              <w:top w:w="54" w:type="dxa"/>
              <w:left w:w="72" w:type="dxa"/>
              <w:bottom w:w="0" w:type="dxa"/>
              <w:right w:w="44" w:type="dxa"/>
            </w:tcMar>
          </w:tcPr>
          <w:p w:rsidR="009B4233" w:rsidRDefault="006B08B9">
            <w:pPr>
              <w:spacing w:line="249" w:lineRule="auto"/>
            </w:pPr>
            <w:r>
              <w:rPr>
                <w:rFonts w:ascii="Arial" w:eastAsia="Calibri" w:hAnsi="Arial" w:cs="Arial"/>
                <w:sz w:val="22"/>
                <w:szCs w:val="22"/>
              </w:rPr>
              <w:t>Otras actividades económicas, o no, no relacionadas de forma expresa</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54" w:type="dxa"/>
              <w:left w:w="72" w:type="dxa"/>
              <w:bottom w:w="0" w:type="dxa"/>
              <w:right w:w="44" w:type="dxa"/>
            </w:tcMar>
            <w:vAlign w:val="center"/>
          </w:tcPr>
          <w:p w:rsidR="009B4233" w:rsidRDefault="006B08B9">
            <w:pPr>
              <w:spacing w:line="249" w:lineRule="auto"/>
              <w:ind w:right="3"/>
              <w:jc w:val="center"/>
            </w:pPr>
            <w:r>
              <w:rPr>
                <w:rFonts w:ascii="Arial" w:eastAsia="Calibri" w:hAnsi="Arial" w:cs="Arial"/>
                <w:sz w:val="22"/>
                <w:szCs w:val="22"/>
              </w:rPr>
              <w:t>16,27</w:t>
            </w:r>
          </w:p>
        </w:tc>
        <w:tc>
          <w:tcPr>
            <w:tcW w:w="1536" w:type="dxa"/>
            <w:tcBorders>
              <w:top w:val="single" w:sz="4" w:space="0" w:color="000000"/>
              <w:left w:val="single" w:sz="4" w:space="0" w:color="000000"/>
              <w:bottom w:val="single" w:sz="4" w:space="0" w:color="000000"/>
              <w:right w:val="single" w:sz="4" w:space="0" w:color="000000"/>
            </w:tcBorders>
            <w:shd w:val="clear" w:color="auto" w:fill="auto"/>
            <w:tcMar>
              <w:top w:w="54" w:type="dxa"/>
              <w:left w:w="72" w:type="dxa"/>
              <w:bottom w:w="0" w:type="dxa"/>
              <w:right w:w="44" w:type="dxa"/>
            </w:tcMar>
            <w:vAlign w:val="center"/>
          </w:tcPr>
          <w:p w:rsidR="009B4233" w:rsidRDefault="006B08B9">
            <w:pPr>
              <w:spacing w:line="249" w:lineRule="auto"/>
              <w:ind w:right="3"/>
              <w:jc w:val="center"/>
            </w:pPr>
            <w:r>
              <w:rPr>
                <w:rFonts w:ascii="Arial" w:eastAsia="Calibri" w:hAnsi="Arial" w:cs="Arial"/>
                <w:sz w:val="22"/>
                <w:szCs w:val="22"/>
              </w:rPr>
              <w:t>24,46</w:t>
            </w:r>
          </w:p>
        </w:tc>
        <w:tc>
          <w:tcPr>
            <w:tcW w:w="1686" w:type="dxa"/>
            <w:tcBorders>
              <w:top w:val="single" w:sz="4" w:space="0" w:color="000000"/>
              <w:left w:val="single" w:sz="4" w:space="0" w:color="000000"/>
              <w:bottom w:val="single" w:sz="4" w:space="0" w:color="000000"/>
              <w:right w:val="single" w:sz="4" w:space="0" w:color="000000"/>
            </w:tcBorders>
            <w:shd w:val="clear" w:color="auto" w:fill="auto"/>
            <w:tcMar>
              <w:top w:w="54" w:type="dxa"/>
              <w:left w:w="72" w:type="dxa"/>
              <w:bottom w:w="0" w:type="dxa"/>
              <w:right w:w="44" w:type="dxa"/>
            </w:tcMar>
            <w:vAlign w:val="center"/>
          </w:tcPr>
          <w:p w:rsidR="009B4233" w:rsidRDefault="006B08B9">
            <w:pPr>
              <w:spacing w:line="249" w:lineRule="auto"/>
              <w:ind w:right="3"/>
              <w:jc w:val="center"/>
            </w:pPr>
            <w:r>
              <w:rPr>
                <w:rFonts w:ascii="Arial" w:eastAsia="Calibri" w:hAnsi="Arial" w:cs="Arial"/>
                <w:sz w:val="22"/>
                <w:szCs w:val="22"/>
              </w:rPr>
              <w:t>0,34</w:t>
            </w:r>
          </w:p>
        </w:tc>
      </w:tr>
    </w:tbl>
    <w:p w:rsidR="009B4233" w:rsidRDefault="006B08B9">
      <w:pPr>
        <w:pStyle w:val="Ttulo2"/>
        <w:rPr>
          <w:rFonts w:ascii="Arial" w:hAnsi="Arial" w:cs="Arial"/>
          <w:sz w:val="22"/>
          <w:szCs w:val="22"/>
        </w:rPr>
      </w:pPr>
      <w:r>
        <w:rPr>
          <w:rFonts w:ascii="Arial" w:hAnsi="Arial" w:cs="Arial"/>
          <w:sz w:val="22"/>
          <w:szCs w:val="22"/>
        </w:rPr>
        <w:t xml:space="preserve">2. Determinación de costes totales del </w:t>
      </w:r>
      <w:r>
        <w:rPr>
          <w:rFonts w:ascii="Arial" w:hAnsi="Arial" w:cs="Arial"/>
          <w:sz w:val="22"/>
          <w:szCs w:val="22"/>
        </w:rPr>
        <w:t xml:space="preserve">servicio </w:t>
      </w:r>
    </w:p>
    <w:p w:rsidR="009B4233" w:rsidRDefault="006B08B9">
      <w:pPr>
        <w:ind w:left="-15"/>
        <w:jc w:val="both"/>
        <w:rPr>
          <w:rFonts w:ascii="Arial" w:hAnsi="Arial" w:cs="Arial"/>
          <w:sz w:val="22"/>
          <w:szCs w:val="22"/>
        </w:rPr>
      </w:pPr>
      <w:r>
        <w:rPr>
          <w:rFonts w:ascii="Arial" w:hAnsi="Arial" w:cs="Arial"/>
          <w:sz w:val="22"/>
          <w:szCs w:val="22"/>
        </w:rPr>
        <w:t>En atención al objeto perseguido, la metodología para la estimación de los costes efectivos del servicio, que guiará los cálculos en el presente informe, será la establecida en la Orden HAP/2075/2014, de 6 de noviembre, por la que se determinan l</w:t>
      </w:r>
      <w:r>
        <w:rPr>
          <w:rFonts w:ascii="Arial" w:hAnsi="Arial" w:cs="Arial"/>
          <w:sz w:val="22"/>
          <w:szCs w:val="22"/>
        </w:rPr>
        <w:t xml:space="preserve">os criterios de cálculo del coste efectivo de los servicios prestados por las entidades locales. De este modo, la forma de cálculo que mejor se adaptará a la prestación de servicios públicos o a la realización de actividades administrativas de competencia </w:t>
      </w:r>
      <w:r>
        <w:rPr>
          <w:rFonts w:ascii="Arial" w:hAnsi="Arial" w:cs="Arial"/>
          <w:sz w:val="22"/>
          <w:szCs w:val="22"/>
        </w:rPr>
        <w:t xml:space="preserve">local que se refieran, afecten o beneficien de modo particular a los sujetos pasivos, será la del coste total, compuesto por el coste directo y el coste indirecto de la prestación de la actividad o servicio público. </w:t>
      </w:r>
    </w:p>
    <w:p w:rsidR="009B4233" w:rsidRDefault="006B08B9">
      <w:pPr>
        <w:pStyle w:val="Ttulo3"/>
        <w:jc w:val="both"/>
        <w:rPr>
          <w:rFonts w:ascii="Arial" w:hAnsi="Arial" w:cs="Arial"/>
          <w:sz w:val="22"/>
          <w:szCs w:val="22"/>
        </w:rPr>
      </w:pPr>
      <w:r>
        <w:rPr>
          <w:rFonts w:ascii="Arial" w:hAnsi="Arial" w:cs="Arial"/>
          <w:sz w:val="22"/>
          <w:szCs w:val="22"/>
        </w:rPr>
        <w:t>2.1. Costes directos</w:t>
      </w:r>
    </w:p>
    <w:p w:rsidR="009B4233" w:rsidRDefault="006B08B9">
      <w:pPr>
        <w:spacing w:after="9"/>
        <w:ind w:left="-15"/>
        <w:jc w:val="both"/>
      </w:pPr>
      <w:r>
        <w:rPr>
          <w:rFonts w:ascii="Arial" w:hAnsi="Arial" w:cs="Arial"/>
          <w:sz w:val="22"/>
          <w:szCs w:val="22"/>
        </w:rPr>
        <w:t>El coste directo d</w:t>
      </w:r>
      <w:r>
        <w:rPr>
          <w:rFonts w:ascii="Arial" w:hAnsi="Arial" w:cs="Arial"/>
          <w:sz w:val="22"/>
          <w:szCs w:val="22"/>
        </w:rPr>
        <w:t>el servicio es el que se identifica plenamente con la prestación del servicio y viene determinado por la consignación presupuestaria anual prevista en el presupuesto municipal para la cobertura de las obligaciones que se derivan del contrato de servicio de</w:t>
      </w:r>
      <w:r>
        <w:rPr>
          <w:rFonts w:ascii="Arial" w:hAnsi="Arial" w:cs="Arial"/>
          <w:sz w:val="22"/>
          <w:szCs w:val="22"/>
        </w:rPr>
        <w:t xml:space="preserve"> recogida, transporte y tratamiento de residuos sólidos urbanos. </w:t>
      </w:r>
      <w:r>
        <w:rPr>
          <w:rFonts w:ascii="Arial" w:eastAsia="Arial" w:hAnsi="Arial" w:cs="Arial"/>
          <w:b/>
          <w:sz w:val="22"/>
          <w:szCs w:val="22"/>
        </w:rPr>
        <w:t>Hay que advertir que en estos costes no se incluyen los derivados de la limpieza pública</w:t>
      </w:r>
      <w:r>
        <w:rPr>
          <w:rFonts w:ascii="Arial" w:hAnsi="Arial" w:cs="Arial"/>
          <w:sz w:val="22"/>
          <w:szCs w:val="22"/>
        </w:rPr>
        <w:t>, que se prestan por gestión indirecta y por parte de la misma empresa adjudicataria del servicio de re</w:t>
      </w:r>
      <w:r>
        <w:rPr>
          <w:rFonts w:ascii="Arial" w:hAnsi="Arial" w:cs="Arial"/>
          <w:sz w:val="22"/>
          <w:szCs w:val="22"/>
        </w:rPr>
        <w:t xml:space="preserve">cogida y tratamiento de residuos sólidos urbanos. </w:t>
      </w:r>
    </w:p>
    <w:p w:rsidR="009B4233" w:rsidRDefault="009B4233">
      <w:pPr>
        <w:spacing w:after="9"/>
        <w:ind w:left="-15"/>
        <w:jc w:val="both"/>
        <w:rPr>
          <w:rFonts w:ascii="Arial" w:hAnsi="Arial" w:cs="Arial"/>
          <w:sz w:val="22"/>
          <w:szCs w:val="22"/>
        </w:rPr>
      </w:pPr>
    </w:p>
    <w:tbl>
      <w:tblPr>
        <w:tblW w:w="8642" w:type="dxa"/>
        <w:tblInd w:w="-72" w:type="dxa"/>
        <w:tblCellMar>
          <w:left w:w="10" w:type="dxa"/>
          <w:right w:w="10" w:type="dxa"/>
        </w:tblCellMar>
        <w:tblLook w:val="0000" w:firstRow="0" w:lastRow="0" w:firstColumn="0" w:lastColumn="0" w:noHBand="0" w:noVBand="0"/>
      </w:tblPr>
      <w:tblGrid>
        <w:gridCol w:w="6140"/>
        <w:gridCol w:w="2502"/>
      </w:tblGrid>
      <w:tr w:rsidR="009B4233">
        <w:tblPrEx>
          <w:tblCellMar>
            <w:top w:w="0" w:type="dxa"/>
            <w:bottom w:w="0" w:type="dxa"/>
          </w:tblCellMar>
        </w:tblPrEx>
        <w:trPr>
          <w:trHeight w:val="578"/>
        </w:trPr>
        <w:tc>
          <w:tcPr>
            <w:tcW w:w="8642" w:type="dxa"/>
            <w:gridSpan w:val="2"/>
            <w:tcBorders>
              <w:top w:val="single" w:sz="8" w:space="0" w:color="000000"/>
              <w:left w:val="single" w:sz="8" w:space="0" w:color="000000"/>
              <w:bottom w:val="single" w:sz="8" w:space="0" w:color="000000"/>
              <w:right w:val="single" w:sz="8" w:space="0" w:color="000000"/>
            </w:tcBorders>
            <w:shd w:val="clear" w:color="auto" w:fill="E2EFDA"/>
            <w:tcMar>
              <w:top w:w="12" w:type="dxa"/>
              <w:left w:w="72" w:type="dxa"/>
              <w:bottom w:w="3" w:type="dxa"/>
              <w:right w:w="66" w:type="dxa"/>
            </w:tcMar>
            <w:vAlign w:val="bottom"/>
          </w:tcPr>
          <w:p w:rsidR="009B4233" w:rsidRDefault="006B08B9">
            <w:pPr>
              <w:spacing w:line="249" w:lineRule="auto"/>
              <w:ind w:right="9"/>
              <w:jc w:val="center"/>
            </w:pPr>
            <w:r>
              <w:rPr>
                <w:rFonts w:ascii="Arial" w:eastAsia="Arial" w:hAnsi="Arial" w:cs="Arial"/>
                <w:b/>
                <w:sz w:val="22"/>
                <w:szCs w:val="22"/>
              </w:rPr>
              <w:t xml:space="preserve">CÁLCULO ECONOMICO RECOGIDA DE RESIDUOS Y LIMPIEZA VIARIA DEL MUNICIPIO DE </w:t>
            </w:r>
          </w:p>
          <w:p w:rsidR="009B4233" w:rsidRDefault="006B08B9">
            <w:pPr>
              <w:spacing w:line="249" w:lineRule="auto"/>
              <w:ind w:right="3"/>
              <w:jc w:val="center"/>
            </w:pPr>
            <w:r>
              <w:rPr>
                <w:rFonts w:ascii="Arial" w:eastAsia="Arial" w:hAnsi="Arial" w:cs="Arial"/>
                <w:b/>
                <w:sz w:val="22"/>
                <w:szCs w:val="22"/>
              </w:rPr>
              <w:t>CANDELARIA</w:t>
            </w:r>
          </w:p>
        </w:tc>
      </w:tr>
      <w:tr w:rsidR="009B4233">
        <w:tblPrEx>
          <w:tblCellMar>
            <w:top w:w="0" w:type="dxa"/>
            <w:bottom w:w="0" w:type="dxa"/>
          </w:tblCellMar>
        </w:tblPrEx>
        <w:trPr>
          <w:trHeight w:val="281"/>
        </w:trPr>
        <w:tc>
          <w:tcPr>
            <w:tcW w:w="8642" w:type="dxa"/>
            <w:gridSpan w:val="2"/>
            <w:tcBorders>
              <w:top w:val="single" w:sz="8" w:space="0" w:color="000000"/>
              <w:left w:val="single" w:sz="4" w:space="0" w:color="000000"/>
              <w:bottom w:val="single" w:sz="4" w:space="0" w:color="000000"/>
              <w:right w:val="single" w:sz="4" w:space="0" w:color="000000"/>
            </w:tcBorders>
            <w:shd w:val="clear" w:color="auto" w:fill="E2EFDA"/>
            <w:tcMar>
              <w:top w:w="12" w:type="dxa"/>
              <w:left w:w="72" w:type="dxa"/>
              <w:bottom w:w="3" w:type="dxa"/>
              <w:right w:w="66" w:type="dxa"/>
            </w:tcMar>
          </w:tcPr>
          <w:p w:rsidR="009B4233" w:rsidRDefault="006B08B9">
            <w:pPr>
              <w:spacing w:line="249" w:lineRule="auto"/>
              <w:ind w:right="2"/>
              <w:jc w:val="center"/>
              <w:rPr>
                <w:rFonts w:ascii="Arial" w:hAnsi="Arial" w:cs="Arial"/>
                <w:sz w:val="22"/>
                <w:szCs w:val="22"/>
              </w:rPr>
            </w:pPr>
            <w:r>
              <w:rPr>
                <w:rFonts w:ascii="Arial" w:hAnsi="Arial" w:cs="Arial"/>
                <w:sz w:val="22"/>
                <w:szCs w:val="22"/>
              </w:rPr>
              <w:t>Costes de personal</w:t>
            </w:r>
          </w:p>
        </w:tc>
      </w:tr>
      <w:tr w:rsidR="009B4233">
        <w:tblPrEx>
          <w:tblCellMar>
            <w:top w:w="0" w:type="dxa"/>
            <w:bottom w:w="0" w:type="dxa"/>
          </w:tblCellMar>
        </w:tblPrEx>
        <w:trPr>
          <w:trHeight w:val="288"/>
        </w:trPr>
        <w:tc>
          <w:tcPr>
            <w:tcW w:w="8642" w:type="dxa"/>
            <w:gridSpan w:val="2"/>
            <w:tcBorders>
              <w:top w:val="single" w:sz="4" w:space="0" w:color="000000"/>
              <w:left w:val="single" w:sz="4" w:space="0" w:color="000000"/>
              <w:bottom w:val="single" w:sz="4" w:space="0" w:color="000000"/>
              <w:right w:val="single" w:sz="4" w:space="0" w:color="000000"/>
            </w:tcBorders>
            <w:shd w:val="clear" w:color="auto" w:fill="EDEDED"/>
            <w:tcMar>
              <w:top w:w="12" w:type="dxa"/>
              <w:left w:w="72" w:type="dxa"/>
              <w:bottom w:w="3" w:type="dxa"/>
              <w:right w:w="66" w:type="dxa"/>
            </w:tcMar>
          </w:tcPr>
          <w:p w:rsidR="009B4233" w:rsidRDefault="006B08B9">
            <w:pPr>
              <w:spacing w:line="249" w:lineRule="auto"/>
              <w:rPr>
                <w:rFonts w:ascii="Arial" w:hAnsi="Arial" w:cs="Arial"/>
                <w:sz w:val="22"/>
                <w:szCs w:val="22"/>
              </w:rPr>
            </w:pPr>
            <w:r>
              <w:rPr>
                <w:rFonts w:ascii="Arial" w:hAnsi="Arial" w:cs="Arial"/>
                <w:sz w:val="22"/>
                <w:szCs w:val="22"/>
              </w:rPr>
              <w:t>Costes de personal directo</w:t>
            </w:r>
          </w:p>
        </w:tc>
      </w:tr>
      <w:tr w:rsidR="009B4233">
        <w:tblPrEx>
          <w:tblCellMar>
            <w:top w:w="0" w:type="dxa"/>
            <w:bottom w:w="0" w:type="dxa"/>
          </w:tblCellMar>
        </w:tblPrEx>
        <w:trPr>
          <w:trHeight w:val="508"/>
        </w:trPr>
        <w:tc>
          <w:tcPr>
            <w:tcW w:w="6140" w:type="dxa"/>
            <w:tcBorders>
              <w:top w:val="single" w:sz="4" w:space="0" w:color="000000"/>
              <w:left w:val="single" w:sz="4" w:space="0" w:color="000000"/>
              <w:bottom w:val="single" w:sz="4" w:space="0" w:color="000000"/>
              <w:right w:val="single" w:sz="4" w:space="0" w:color="000000"/>
            </w:tcBorders>
            <w:shd w:val="clear" w:color="auto" w:fill="auto"/>
            <w:tcMar>
              <w:top w:w="12" w:type="dxa"/>
              <w:left w:w="72" w:type="dxa"/>
              <w:bottom w:w="3" w:type="dxa"/>
              <w:right w:w="66" w:type="dxa"/>
            </w:tcMar>
          </w:tcPr>
          <w:p w:rsidR="009B4233" w:rsidRDefault="006B08B9">
            <w:pPr>
              <w:spacing w:line="249" w:lineRule="auto"/>
              <w:rPr>
                <w:rFonts w:ascii="Arial" w:hAnsi="Arial" w:cs="Arial"/>
                <w:sz w:val="22"/>
                <w:szCs w:val="22"/>
              </w:rPr>
            </w:pPr>
            <w:r>
              <w:rPr>
                <w:rFonts w:ascii="Arial" w:hAnsi="Arial" w:cs="Arial"/>
                <w:sz w:val="22"/>
                <w:szCs w:val="22"/>
              </w:rPr>
              <w:t xml:space="preserve">Total Coste de Personal Directo Recogida de Residuos (R.S.) de Lunes </w:t>
            </w:r>
            <w:r>
              <w:rPr>
                <w:rFonts w:ascii="Arial" w:hAnsi="Arial" w:cs="Arial"/>
                <w:sz w:val="22"/>
                <w:szCs w:val="22"/>
              </w:rPr>
              <w:t>a Sábado</w:t>
            </w:r>
          </w:p>
        </w:tc>
        <w:tc>
          <w:tcPr>
            <w:tcW w:w="2502" w:type="dxa"/>
            <w:tcBorders>
              <w:top w:val="single" w:sz="4" w:space="0" w:color="000000"/>
              <w:left w:val="single" w:sz="4" w:space="0" w:color="000000"/>
              <w:bottom w:val="single" w:sz="4" w:space="0" w:color="000000"/>
              <w:right w:val="single" w:sz="4" w:space="0" w:color="000000"/>
            </w:tcBorders>
            <w:shd w:val="clear" w:color="auto" w:fill="auto"/>
            <w:tcMar>
              <w:top w:w="12" w:type="dxa"/>
              <w:left w:w="72" w:type="dxa"/>
              <w:bottom w:w="3" w:type="dxa"/>
              <w:right w:w="66" w:type="dxa"/>
            </w:tcMar>
            <w:vAlign w:val="bottom"/>
          </w:tcPr>
          <w:p w:rsidR="009B4233" w:rsidRDefault="006B08B9">
            <w:pPr>
              <w:spacing w:line="249" w:lineRule="auto"/>
              <w:ind w:right="2"/>
              <w:jc w:val="right"/>
              <w:rPr>
                <w:rFonts w:ascii="Arial" w:hAnsi="Arial" w:cs="Arial"/>
                <w:sz w:val="22"/>
                <w:szCs w:val="22"/>
              </w:rPr>
            </w:pPr>
            <w:r>
              <w:rPr>
                <w:rFonts w:ascii="Arial" w:hAnsi="Arial" w:cs="Arial"/>
                <w:sz w:val="22"/>
                <w:szCs w:val="22"/>
              </w:rPr>
              <w:t>747.528,14 €</w:t>
            </w:r>
          </w:p>
        </w:tc>
      </w:tr>
      <w:tr w:rsidR="009B4233">
        <w:tblPrEx>
          <w:tblCellMar>
            <w:top w:w="0" w:type="dxa"/>
            <w:bottom w:w="0" w:type="dxa"/>
          </w:tblCellMar>
        </w:tblPrEx>
        <w:trPr>
          <w:trHeight w:val="837"/>
        </w:trPr>
        <w:tc>
          <w:tcPr>
            <w:tcW w:w="6140" w:type="dxa"/>
            <w:tcBorders>
              <w:top w:val="single" w:sz="4" w:space="0" w:color="000000"/>
              <w:left w:val="single" w:sz="4" w:space="0" w:color="000000"/>
              <w:bottom w:val="single" w:sz="4" w:space="0" w:color="000000"/>
              <w:right w:val="single" w:sz="4" w:space="0" w:color="000000"/>
            </w:tcBorders>
            <w:shd w:val="clear" w:color="auto" w:fill="auto"/>
            <w:tcMar>
              <w:top w:w="12" w:type="dxa"/>
              <w:left w:w="72" w:type="dxa"/>
              <w:bottom w:w="3" w:type="dxa"/>
              <w:right w:w="66" w:type="dxa"/>
            </w:tcMar>
          </w:tcPr>
          <w:p w:rsidR="009B4233" w:rsidRDefault="006B08B9">
            <w:pPr>
              <w:spacing w:line="249" w:lineRule="auto"/>
              <w:ind w:right="2211"/>
              <w:rPr>
                <w:rFonts w:ascii="Arial" w:hAnsi="Arial" w:cs="Arial"/>
                <w:sz w:val="22"/>
                <w:szCs w:val="22"/>
              </w:rPr>
            </w:pPr>
            <w:r>
              <w:rPr>
                <w:rFonts w:ascii="Arial" w:hAnsi="Arial" w:cs="Arial"/>
                <w:sz w:val="22"/>
                <w:szCs w:val="22"/>
              </w:rPr>
              <w:t>Total Coste de Personal Directo R.S. Domingos y Festivos</w:t>
            </w:r>
          </w:p>
        </w:tc>
        <w:tc>
          <w:tcPr>
            <w:tcW w:w="2502" w:type="dxa"/>
            <w:tcBorders>
              <w:top w:val="single" w:sz="4" w:space="0" w:color="000000"/>
              <w:left w:val="single" w:sz="4" w:space="0" w:color="000000"/>
              <w:bottom w:val="single" w:sz="4" w:space="0" w:color="000000"/>
              <w:right w:val="single" w:sz="4" w:space="0" w:color="000000"/>
            </w:tcBorders>
            <w:shd w:val="clear" w:color="auto" w:fill="auto"/>
            <w:tcMar>
              <w:top w:w="12" w:type="dxa"/>
              <w:left w:w="72" w:type="dxa"/>
              <w:bottom w:w="3" w:type="dxa"/>
              <w:right w:w="66" w:type="dxa"/>
            </w:tcMar>
            <w:vAlign w:val="bottom"/>
          </w:tcPr>
          <w:p w:rsidR="009B4233" w:rsidRDefault="006B08B9">
            <w:pPr>
              <w:spacing w:line="249" w:lineRule="auto"/>
              <w:jc w:val="right"/>
              <w:rPr>
                <w:rFonts w:ascii="Arial" w:hAnsi="Arial" w:cs="Arial"/>
                <w:sz w:val="22"/>
                <w:szCs w:val="22"/>
              </w:rPr>
            </w:pPr>
            <w:r>
              <w:rPr>
                <w:rFonts w:ascii="Arial" w:hAnsi="Arial" w:cs="Arial"/>
                <w:sz w:val="22"/>
                <w:szCs w:val="22"/>
              </w:rPr>
              <w:t>37.530,28 €</w:t>
            </w:r>
          </w:p>
        </w:tc>
      </w:tr>
      <w:tr w:rsidR="009B4233">
        <w:tblPrEx>
          <w:tblCellMar>
            <w:top w:w="0" w:type="dxa"/>
            <w:bottom w:w="0" w:type="dxa"/>
          </w:tblCellMar>
        </w:tblPrEx>
        <w:trPr>
          <w:trHeight w:val="288"/>
        </w:trPr>
        <w:tc>
          <w:tcPr>
            <w:tcW w:w="8642" w:type="dxa"/>
            <w:gridSpan w:val="2"/>
            <w:tcBorders>
              <w:top w:val="single" w:sz="4" w:space="0" w:color="000000"/>
              <w:left w:val="single" w:sz="4" w:space="0" w:color="000000"/>
              <w:bottom w:val="single" w:sz="4" w:space="0" w:color="000000"/>
              <w:right w:val="single" w:sz="4" w:space="0" w:color="000000"/>
            </w:tcBorders>
            <w:shd w:val="clear" w:color="auto" w:fill="EDEDED"/>
            <w:tcMar>
              <w:top w:w="12" w:type="dxa"/>
              <w:left w:w="72" w:type="dxa"/>
              <w:bottom w:w="3" w:type="dxa"/>
              <w:right w:w="66" w:type="dxa"/>
            </w:tcMar>
          </w:tcPr>
          <w:p w:rsidR="009B4233" w:rsidRDefault="006B08B9">
            <w:pPr>
              <w:spacing w:line="249" w:lineRule="auto"/>
              <w:rPr>
                <w:rFonts w:ascii="Arial" w:hAnsi="Arial" w:cs="Arial"/>
                <w:sz w:val="22"/>
                <w:szCs w:val="22"/>
              </w:rPr>
            </w:pPr>
            <w:r>
              <w:rPr>
                <w:rFonts w:ascii="Arial" w:hAnsi="Arial" w:cs="Arial"/>
                <w:sz w:val="22"/>
                <w:szCs w:val="22"/>
              </w:rPr>
              <w:t>Costes de personal indirecto</w:t>
            </w:r>
          </w:p>
        </w:tc>
      </w:tr>
      <w:tr w:rsidR="009B4233">
        <w:tblPrEx>
          <w:tblCellMar>
            <w:top w:w="0" w:type="dxa"/>
            <w:bottom w:w="0" w:type="dxa"/>
          </w:tblCellMar>
        </w:tblPrEx>
        <w:trPr>
          <w:trHeight w:val="578"/>
        </w:trPr>
        <w:tc>
          <w:tcPr>
            <w:tcW w:w="6140" w:type="dxa"/>
            <w:tcBorders>
              <w:top w:val="single" w:sz="4" w:space="0" w:color="000000"/>
              <w:left w:val="single" w:sz="4" w:space="0" w:color="000000"/>
              <w:bottom w:val="single" w:sz="4" w:space="0" w:color="000000"/>
              <w:right w:val="single" w:sz="4" w:space="0" w:color="000000"/>
            </w:tcBorders>
            <w:shd w:val="clear" w:color="auto" w:fill="auto"/>
            <w:tcMar>
              <w:top w:w="12" w:type="dxa"/>
              <w:left w:w="72" w:type="dxa"/>
              <w:bottom w:w="3" w:type="dxa"/>
              <w:right w:w="66" w:type="dxa"/>
            </w:tcMar>
            <w:vAlign w:val="bottom"/>
          </w:tcPr>
          <w:p w:rsidR="009B4233" w:rsidRDefault="006B08B9">
            <w:pPr>
              <w:spacing w:line="249" w:lineRule="auto"/>
              <w:rPr>
                <w:rFonts w:ascii="Arial" w:hAnsi="Arial" w:cs="Arial"/>
                <w:sz w:val="22"/>
                <w:szCs w:val="22"/>
              </w:rPr>
            </w:pPr>
            <w:r>
              <w:rPr>
                <w:rFonts w:ascii="Arial" w:hAnsi="Arial" w:cs="Arial"/>
                <w:sz w:val="22"/>
                <w:szCs w:val="22"/>
              </w:rPr>
              <w:t>Personal Indirecto (Dirección y Administración) R.S.</w:t>
            </w:r>
          </w:p>
        </w:tc>
        <w:tc>
          <w:tcPr>
            <w:tcW w:w="2502" w:type="dxa"/>
            <w:tcBorders>
              <w:top w:val="single" w:sz="4" w:space="0" w:color="000000"/>
              <w:left w:val="single" w:sz="4" w:space="0" w:color="000000"/>
              <w:bottom w:val="single" w:sz="4" w:space="0" w:color="000000"/>
              <w:right w:val="single" w:sz="4" w:space="0" w:color="000000"/>
            </w:tcBorders>
            <w:shd w:val="clear" w:color="auto" w:fill="auto"/>
            <w:tcMar>
              <w:top w:w="12" w:type="dxa"/>
              <w:left w:w="72" w:type="dxa"/>
              <w:bottom w:w="3" w:type="dxa"/>
              <w:right w:w="66" w:type="dxa"/>
            </w:tcMar>
            <w:vAlign w:val="bottom"/>
          </w:tcPr>
          <w:p w:rsidR="009B4233" w:rsidRDefault="006B08B9">
            <w:pPr>
              <w:spacing w:line="249" w:lineRule="auto"/>
              <w:jc w:val="right"/>
              <w:rPr>
                <w:rFonts w:ascii="Arial" w:hAnsi="Arial" w:cs="Arial"/>
                <w:sz w:val="22"/>
                <w:szCs w:val="22"/>
              </w:rPr>
            </w:pPr>
            <w:r>
              <w:rPr>
                <w:rFonts w:ascii="Arial" w:hAnsi="Arial" w:cs="Arial"/>
                <w:sz w:val="22"/>
                <w:szCs w:val="22"/>
              </w:rPr>
              <w:t>44.658,75 €</w:t>
            </w:r>
          </w:p>
        </w:tc>
      </w:tr>
      <w:tr w:rsidR="009B4233">
        <w:tblPrEx>
          <w:tblCellMar>
            <w:top w:w="0" w:type="dxa"/>
            <w:bottom w:w="0" w:type="dxa"/>
          </w:tblCellMar>
        </w:tblPrEx>
        <w:trPr>
          <w:trHeight w:val="288"/>
        </w:trPr>
        <w:tc>
          <w:tcPr>
            <w:tcW w:w="6140" w:type="dxa"/>
            <w:tcBorders>
              <w:top w:val="single" w:sz="4" w:space="0" w:color="000000"/>
              <w:left w:val="single" w:sz="4" w:space="0" w:color="000000"/>
              <w:bottom w:val="single" w:sz="4" w:space="0" w:color="000000"/>
              <w:right w:val="single" w:sz="4" w:space="0" w:color="000000"/>
            </w:tcBorders>
            <w:shd w:val="clear" w:color="auto" w:fill="auto"/>
            <w:tcMar>
              <w:top w:w="12" w:type="dxa"/>
              <w:left w:w="72" w:type="dxa"/>
              <w:bottom w:w="3" w:type="dxa"/>
              <w:right w:w="66" w:type="dxa"/>
            </w:tcMar>
          </w:tcPr>
          <w:p w:rsidR="009B4233" w:rsidRDefault="006B08B9">
            <w:pPr>
              <w:spacing w:line="249" w:lineRule="auto"/>
              <w:rPr>
                <w:rFonts w:ascii="Arial" w:hAnsi="Arial" w:cs="Arial"/>
                <w:sz w:val="22"/>
                <w:szCs w:val="22"/>
              </w:rPr>
            </w:pPr>
            <w:r>
              <w:rPr>
                <w:rFonts w:ascii="Arial" w:hAnsi="Arial" w:cs="Arial"/>
                <w:sz w:val="22"/>
                <w:szCs w:val="22"/>
              </w:rPr>
              <w:t>Personal Conservación y Mantenimiento R.S.</w:t>
            </w:r>
          </w:p>
        </w:tc>
        <w:tc>
          <w:tcPr>
            <w:tcW w:w="2502" w:type="dxa"/>
            <w:tcBorders>
              <w:top w:val="single" w:sz="4" w:space="0" w:color="000000"/>
              <w:left w:val="single" w:sz="4" w:space="0" w:color="000000"/>
              <w:bottom w:val="single" w:sz="4" w:space="0" w:color="000000"/>
              <w:right w:val="single" w:sz="4" w:space="0" w:color="000000"/>
            </w:tcBorders>
            <w:shd w:val="clear" w:color="auto" w:fill="auto"/>
            <w:tcMar>
              <w:top w:w="12" w:type="dxa"/>
              <w:left w:w="72" w:type="dxa"/>
              <w:bottom w:w="3" w:type="dxa"/>
              <w:right w:w="66" w:type="dxa"/>
            </w:tcMar>
          </w:tcPr>
          <w:p w:rsidR="009B4233" w:rsidRDefault="006B08B9">
            <w:pPr>
              <w:spacing w:line="249" w:lineRule="auto"/>
              <w:jc w:val="right"/>
              <w:rPr>
                <w:rFonts w:ascii="Arial" w:hAnsi="Arial" w:cs="Arial"/>
                <w:sz w:val="22"/>
                <w:szCs w:val="22"/>
              </w:rPr>
            </w:pPr>
            <w:r>
              <w:rPr>
                <w:rFonts w:ascii="Arial" w:hAnsi="Arial" w:cs="Arial"/>
                <w:sz w:val="22"/>
                <w:szCs w:val="22"/>
              </w:rPr>
              <w:t>27.146,63 €</w:t>
            </w:r>
          </w:p>
        </w:tc>
      </w:tr>
      <w:tr w:rsidR="009B4233">
        <w:tblPrEx>
          <w:tblCellMar>
            <w:top w:w="0" w:type="dxa"/>
            <w:bottom w:w="0" w:type="dxa"/>
          </w:tblCellMar>
        </w:tblPrEx>
        <w:trPr>
          <w:trHeight w:val="288"/>
        </w:trPr>
        <w:tc>
          <w:tcPr>
            <w:tcW w:w="6140" w:type="dxa"/>
            <w:tcBorders>
              <w:top w:val="single" w:sz="4" w:space="0" w:color="000000"/>
              <w:left w:val="single" w:sz="4" w:space="0" w:color="000000"/>
              <w:bottom w:val="single" w:sz="4" w:space="0" w:color="000000"/>
            </w:tcBorders>
            <w:shd w:val="clear" w:color="auto" w:fill="EDEDED"/>
            <w:tcMar>
              <w:top w:w="12" w:type="dxa"/>
              <w:left w:w="72" w:type="dxa"/>
              <w:bottom w:w="3" w:type="dxa"/>
              <w:right w:w="66" w:type="dxa"/>
            </w:tcMar>
          </w:tcPr>
          <w:p w:rsidR="009B4233" w:rsidRDefault="006B08B9">
            <w:pPr>
              <w:spacing w:line="249" w:lineRule="auto"/>
              <w:rPr>
                <w:rFonts w:ascii="Arial" w:hAnsi="Arial" w:cs="Arial"/>
                <w:sz w:val="22"/>
                <w:szCs w:val="22"/>
              </w:rPr>
            </w:pPr>
            <w:r>
              <w:rPr>
                <w:rFonts w:ascii="Arial" w:hAnsi="Arial" w:cs="Arial"/>
                <w:sz w:val="22"/>
                <w:szCs w:val="22"/>
              </w:rPr>
              <w:t>Antigüedad</w:t>
            </w:r>
          </w:p>
        </w:tc>
        <w:tc>
          <w:tcPr>
            <w:tcW w:w="2502" w:type="dxa"/>
            <w:tcBorders>
              <w:top w:val="single" w:sz="4" w:space="0" w:color="000000"/>
              <w:bottom w:val="single" w:sz="4" w:space="0" w:color="000000"/>
              <w:right w:val="single" w:sz="4" w:space="0" w:color="000000"/>
            </w:tcBorders>
            <w:shd w:val="clear" w:color="auto" w:fill="EDEDED"/>
            <w:tcMar>
              <w:top w:w="12" w:type="dxa"/>
              <w:left w:w="72" w:type="dxa"/>
              <w:bottom w:w="3" w:type="dxa"/>
              <w:right w:w="66" w:type="dxa"/>
            </w:tcMar>
          </w:tcPr>
          <w:p w:rsidR="009B4233" w:rsidRDefault="009B4233">
            <w:pPr>
              <w:spacing w:after="160" w:line="249" w:lineRule="auto"/>
              <w:rPr>
                <w:rFonts w:ascii="Arial" w:hAnsi="Arial" w:cs="Arial"/>
                <w:sz w:val="22"/>
                <w:szCs w:val="22"/>
              </w:rPr>
            </w:pPr>
          </w:p>
        </w:tc>
      </w:tr>
      <w:tr w:rsidR="009B4233">
        <w:tblPrEx>
          <w:tblCellMar>
            <w:top w:w="0" w:type="dxa"/>
            <w:bottom w:w="0" w:type="dxa"/>
          </w:tblCellMar>
        </w:tblPrEx>
        <w:trPr>
          <w:trHeight w:val="290"/>
        </w:trPr>
        <w:tc>
          <w:tcPr>
            <w:tcW w:w="6140" w:type="dxa"/>
            <w:tcBorders>
              <w:top w:val="single" w:sz="4" w:space="0" w:color="000000"/>
              <w:left w:val="single" w:sz="4" w:space="0" w:color="000000"/>
              <w:bottom w:val="single" w:sz="4" w:space="0" w:color="000000"/>
              <w:right w:val="single" w:sz="4" w:space="0" w:color="000000"/>
            </w:tcBorders>
            <w:shd w:val="clear" w:color="auto" w:fill="auto"/>
            <w:tcMar>
              <w:top w:w="12" w:type="dxa"/>
              <w:left w:w="72" w:type="dxa"/>
              <w:bottom w:w="3" w:type="dxa"/>
              <w:right w:w="66" w:type="dxa"/>
            </w:tcMar>
          </w:tcPr>
          <w:p w:rsidR="009B4233" w:rsidRDefault="006B08B9">
            <w:pPr>
              <w:spacing w:line="249" w:lineRule="auto"/>
              <w:rPr>
                <w:rFonts w:ascii="Arial" w:hAnsi="Arial" w:cs="Arial"/>
                <w:sz w:val="22"/>
                <w:szCs w:val="22"/>
              </w:rPr>
            </w:pPr>
            <w:r>
              <w:rPr>
                <w:rFonts w:ascii="Arial" w:hAnsi="Arial" w:cs="Arial"/>
                <w:sz w:val="22"/>
                <w:szCs w:val="22"/>
              </w:rPr>
              <w:t>Antigüedad R.S.</w:t>
            </w:r>
          </w:p>
        </w:tc>
        <w:tc>
          <w:tcPr>
            <w:tcW w:w="2502" w:type="dxa"/>
            <w:tcBorders>
              <w:top w:val="single" w:sz="4" w:space="0" w:color="000000"/>
              <w:left w:val="single" w:sz="4" w:space="0" w:color="000000"/>
              <w:bottom w:val="single" w:sz="4" w:space="0" w:color="000000"/>
              <w:right w:val="single" w:sz="4" w:space="0" w:color="000000"/>
            </w:tcBorders>
            <w:shd w:val="clear" w:color="auto" w:fill="auto"/>
            <w:tcMar>
              <w:top w:w="12" w:type="dxa"/>
              <w:left w:w="72" w:type="dxa"/>
              <w:bottom w:w="3" w:type="dxa"/>
              <w:right w:w="66" w:type="dxa"/>
            </w:tcMar>
          </w:tcPr>
          <w:p w:rsidR="009B4233" w:rsidRDefault="006B08B9">
            <w:pPr>
              <w:spacing w:line="249" w:lineRule="auto"/>
              <w:jc w:val="right"/>
              <w:rPr>
                <w:rFonts w:ascii="Arial" w:hAnsi="Arial" w:cs="Arial"/>
                <w:sz w:val="22"/>
                <w:szCs w:val="22"/>
              </w:rPr>
            </w:pPr>
            <w:r>
              <w:rPr>
                <w:rFonts w:ascii="Arial" w:hAnsi="Arial" w:cs="Arial"/>
                <w:sz w:val="22"/>
                <w:szCs w:val="22"/>
              </w:rPr>
              <w:t>71.021,15 €</w:t>
            </w:r>
          </w:p>
        </w:tc>
      </w:tr>
      <w:tr w:rsidR="009B4233">
        <w:tblPrEx>
          <w:tblCellMar>
            <w:top w:w="0" w:type="dxa"/>
            <w:bottom w:w="0" w:type="dxa"/>
          </w:tblCellMar>
        </w:tblPrEx>
        <w:trPr>
          <w:trHeight w:val="287"/>
        </w:trPr>
        <w:tc>
          <w:tcPr>
            <w:tcW w:w="6140" w:type="dxa"/>
            <w:tcBorders>
              <w:top w:val="single" w:sz="4" w:space="0" w:color="000000"/>
              <w:left w:val="single" w:sz="4" w:space="0" w:color="000000"/>
              <w:bottom w:val="single" w:sz="4" w:space="0" w:color="000000"/>
              <w:right w:val="single" w:sz="4" w:space="0" w:color="000000"/>
            </w:tcBorders>
            <w:shd w:val="clear" w:color="auto" w:fill="auto"/>
            <w:tcMar>
              <w:top w:w="12" w:type="dxa"/>
              <w:left w:w="72" w:type="dxa"/>
              <w:bottom w:w="3" w:type="dxa"/>
              <w:right w:w="66" w:type="dxa"/>
            </w:tcMar>
          </w:tcPr>
          <w:p w:rsidR="009B4233" w:rsidRDefault="006B08B9">
            <w:pPr>
              <w:spacing w:line="249" w:lineRule="auto"/>
              <w:rPr>
                <w:rFonts w:ascii="Arial" w:hAnsi="Arial" w:cs="Arial"/>
                <w:sz w:val="22"/>
                <w:szCs w:val="22"/>
              </w:rPr>
            </w:pPr>
            <w:r>
              <w:rPr>
                <w:rFonts w:ascii="Arial" w:hAnsi="Arial" w:cs="Arial"/>
                <w:sz w:val="22"/>
                <w:szCs w:val="22"/>
              </w:rPr>
              <w:t>OTROS COSTES DE PERSONAL</w:t>
            </w:r>
          </w:p>
        </w:tc>
        <w:tc>
          <w:tcPr>
            <w:tcW w:w="2502" w:type="dxa"/>
            <w:tcBorders>
              <w:top w:val="single" w:sz="4" w:space="0" w:color="000000"/>
              <w:left w:val="single" w:sz="4" w:space="0" w:color="000000"/>
              <w:bottom w:val="single" w:sz="4" w:space="0" w:color="000000"/>
              <w:right w:val="single" w:sz="4" w:space="0" w:color="000000"/>
            </w:tcBorders>
            <w:shd w:val="clear" w:color="auto" w:fill="auto"/>
            <w:tcMar>
              <w:top w:w="12" w:type="dxa"/>
              <w:left w:w="72" w:type="dxa"/>
              <w:bottom w:w="3" w:type="dxa"/>
              <w:right w:w="66" w:type="dxa"/>
            </w:tcMar>
          </w:tcPr>
          <w:p w:rsidR="009B4233" w:rsidRDefault="006B08B9">
            <w:pPr>
              <w:spacing w:line="249" w:lineRule="auto"/>
              <w:jc w:val="right"/>
            </w:pPr>
            <w:r>
              <w:rPr>
                <w:rFonts w:ascii="Arial" w:hAnsi="Arial" w:cs="Arial"/>
                <w:color w:val="FF0000"/>
                <w:sz w:val="22"/>
                <w:szCs w:val="22"/>
              </w:rPr>
              <w:t>-29.466,81 €</w:t>
            </w:r>
          </w:p>
        </w:tc>
      </w:tr>
      <w:tr w:rsidR="009B4233">
        <w:tblPrEx>
          <w:tblCellMar>
            <w:top w:w="0" w:type="dxa"/>
            <w:bottom w:w="0" w:type="dxa"/>
          </w:tblCellMar>
        </w:tblPrEx>
        <w:trPr>
          <w:trHeight w:val="288"/>
        </w:trPr>
        <w:tc>
          <w:tcPr>
            <w:tcW w:w="6140" w:type="dxa"/>
            <w:tcBorders>
              <w:top w:val="single" w:sz="4" w:space="0" w:color="000000"/>
              <w:left w:val="single" w:sz="4" w:space="0" w:color="000000"/>
              <w:bottom w:val="single" w:sz="4" w:space="0" w:color="000000"/>
            </w:tcBorders>
            <w:shd w:val="clear" w:color="auto" w:fill="E2EFDA"/>
            <w:tcMar>
              <w:top w:w="12" w:type="dxa"/>
              <w:left w:w="72" w:type="dxa"/>
              <w:bottom w:w="3" w:type="dxa"/>
              <w:right w:w="66" w:type="dxa"/>
            </w:tcMar>
          </w:tcPr>
          <w:p w:rsidR="009B4233" w:rsidRDefault="006B08B9">
            <w:pPr>
              <w:spacing w:line="249" w:lineRule="auto"/>
              <w:ind w:left="3376"/>
              <w:rPr>
                <w:rFonts w:ascii="Arial" w:hAnsi="Arial" w:cs="Arial"/>
                <w:sz w:val="22"/>
                <w:szCs w:val="22"/>
              </w:rPr>
            </w:pPr>
            <w:r>
              <w:rPr>
                <w:rFonts w:ascii="Arial" w:hAnsi="Arial" w:cs="Arial"/>
                <w:sz w:val="22"/>
                <w:szCs w:val="22"/>
              </w:rPr>
              <w:t>Costes de maquinaria</w:t>
            </w:r>
          </w:p>
        </w:tc>
        <w:tc>
          <w:tcPr>
            <w:tcW w:w="2502" w:type="dxa"/>
            <w:tcBorders>
              <w:top w:val="single" w:sz="4" w:space="0" w:color="000000"/>
              <w:bottom w:val="single" w:sz="4" w:space="0" w:color="000000"/>
              <w:right w:val="single" w:sz="4" w:space="0" w:color="000000"/>
            </w:tcBorders>
            <w:shd w:val="clear" w:color="auto" w:fill="E2EFDA"/>
            <w:tcMar>
              <w:top w:w="12" w:type="dxa"/>
              <w:left w:w="72" w:type="dxa"/>
              <w:bottom w:w="3" w:type="dxa"/>
              <w:right w:w="66" w:type="dxa"/>
            </w:tcMar>
          </w:tcPr>
          <w:p w:rsidR="009B4233" w:rsidRDefault="009B4233">
            <w:pPr>
              <w:spacing w:after="160" w:line="249" w:lineRule="auto"/>
              <w:rPr>
                <w:rFonts w:ascii="Arial" w:hAnsi="Arial" w:cs="Arial"/>
                <w:sz w:val="22"/>
                <w:szCs w:val="22"/>
              </w:rPr>
            </w:pPr>
          </w:p>
        </w:tc>
      </w:tr>
      <w:tr w:rsidR="009B4233">
        <w:tblPrEx>
          <w:tblCellMar>
            <w:top w:w="0" w:type="dxa"/>
            <w:bottom w:w="0" w:type="dxa"/>
          </w:tblCellMar>
        </w:tblPrEx>
        <w:trPr>
          <w:trHeight w:val="288"/>
        </w:trPr>
        <w:tc>
          <w:tcPr>
            <w:tcW w:w="6140" w:type="dxa"/>
            <w:tcBorders>
              <w:top w:val="single" w:sz="4" w:space="0" w:color="000000"/>
              <w:left w:val="single" w:sz="4" w:space="0" w:color="000000"/>
              <w:bottom w:val="single" w:sz="4" w:space="0" w:color="000000"/>
            </w:tcBorders>
            <w:shd w:val="clear" w:color="auto" w:fill="EDEDED"/>
            <w:tcMar>
              <w:top w:w="12" w:type="dxa"/>
              <w:left w:w="72" w:type="dxa"/>
              <w:bottom w:w="3" w:type="dxa"/>
              <w:right w:w="66" w:type="dxa"/>
            </w:tcMar>
          </w:tcPr>
          <w:p w:rsidR="009B4233" w:rsidRDefault="006B08B9">
            <w:pPr>
              <w:spacing w:line="249" w:lineRule="auto"/>
              <w:rPr>
                <w:rFonts w:ascii="Arial" w:hAnsi="Arial" w:cs="Arial"/>
                <w:sz w:val="22"/>
                <w:szCs w:val="22"/>
              </w:rPr>
            </w:pPr>
            <w:r>
              <w:rPr>
                <w:rFonts w:ascii="Arial" w:hAnsi="Arial" w:cs="Arial"/>
                <w:sz w:val="22"/>
                <w:szCs w:val="22"/>
              </w:rPr>
              <w:t>Amortización</w:t>
            </w:r>
          </w:p>
        </w:tc>
        <w:tc>
          <w:tcPr>
            <w:tcW w:w="2502" w:type="dxa"/>
            <w:tcBorders>
              <w:top w:val="single" w:sz="4" w:space="0" w:color="000000"/>
              <w:bottom w:val="single" w:sz="4" w:space="0" w:color="000000"/>
              <w:right w:val="single" w:sz="4" w:space="0" w:color="000000"/>
            </w:tcBorders>
            <w:shd w:val="clear" w:color="auto" w:fill="EDEDED"/>
            <w:tcMar>
              <w:top w:w="12" w:type="dxa"/>
              <w:left w:w="72" w:type="dxa"/>
              <w:bottom w:w="3" w:type="dxa"/>
              <w:right w:w="66" w:type="dxa"/>
            </w:tcMar>
          </w:tcPr>
          <w:p w:rsidR="009B4233" w:rsidRDefault="009B4233">
            <w:pPr>
              <w:spacing w:after="160" w:line="249" w:lineRule="auto"/>
              <w:rPr>
                <w:rFonts w:ascii="Arial" w:hAnsi="Arial" w:cs="Arial"/>
                <w:sz w:val="22"/>
                <w:szCs w:val="22"/>
              </w:rPr>
            </w:pPr>
          </w:p>
        </w:tc>
      </w:tr>
      <w:tr w:rsidR="009B4233">
        <w:tblPrEx>
          <w:tblCellMar>
            <w:top w:w="0" w:type="dxa"/>
            <w:bottom w:w="0" w:type="dxa"/>
          </w:tblCellMar>
        </w:tblPrEx>
        <w:trPr>
          <w:trHeight w:val="290"/>
        </w:trPr>
        <w:tc>
          <w:tcPr>
            <w:tcW w:w="6140" w:type="dxa"/>
            <w:tcBorders>
              <w:top w:val="single" w:sz="4" w:space="0" w:color="000000"/>
              <w:left w:val="single" w:sz="4" w:space="0" w:color="000000"/>
              <w:bottom w:val="single" w:sz="4" w:space="0" w:color="000000"/>
              <w:right w:val="single" w:sz="4" w:space="0" w:color="000000"/>
            </w:tcBorders>
            <w:shd w:val="clear" w:color="auto" w:fill="auto"/>
            <w:tcMar>
              <w:top w:w="12" w:type="dxa"/>
              <w:left w:w="72" w:type="dxa"/>
              <w:bottom w:w="3" w:type="dxa"/>
              <w:right w:w="66" w:type="dxa"/>
            </w:tcMar>
          </w:tcPr>
          <w:p w:rsidR="009B4233" w:rsidRDefault="006B08B9">
            <w:pPr>
              <w:spacing w:line="249" w:lineRule="auto"/>
              <w:rPr>
                <w:rFonts w:ascii="Arial" w:hAnsi="Arial" w:cs="Arial"/>
                <w:sz w:val="22"/>
                <w:szCs w:val="22"/>
              </w:rPr>
            </w:pPr>
            <w:r>
              <w:rPr>
                <w:rFonts w:ascii="Arial" w:hAnsi="Arial" w:cs="Arial"/>
                <w:sz w:val="22"/>
                <w:szCs w:val="22"/>
              </w:rPr>
              <w:t>Amortización Maquinaria Recogida de Residuos</w:t>
            </w:r>
          </w:p>
        </w:tc>
        <w:tc>
          <w:tcPr>
            <w:tcW w:w="2502" w:type="dxa"/>
            <w:tcBorders>
              <w:top w:val="single" w:sz="4" w:space="0" w:color="000000"/>
              <w:left w:val="single" w:sz="4" w:space="0" w:color="000000"/>
              <w:bottom w:val="single" w:sz="4" w:space="0" w:color="000000"/>
              <w:right w:val="single" w:sz="4" w:space="0" w:color="000000"/>
            </w:tcBorders>
            <w:shd w:val="clear" w:color="auto" w:fill="auto"/>
            <w:tcMar>
              <w:top w:w="12" w:type="dxa"/>
              <w:left w:w="72" w:type="dxa"/>
              <w:bottom w:w="3" w:type="dxa"/>
              <w:right w:w="66" w:type="dxa"/>
            </w:tcMar>
          </w:tcPr>
          <w:p w:rsidR="009B4233" w:rsidRDefault="006B08B9">
            <w:pPr>
              <w:spacing w:line="249" w:lineRule="auto"/>
              <w:ind w:right="2"/>
              <w:jc w:val="right"/>
              <w:rPr>
                <w:rFonts w:ascii="Arial" w:hAnsi="Arial" w:cs="Arial"/>
                <w:sz w:val="22"/>
                <w:szCs w:val="22"/>
              </w:rPr>
            </w:pPr>
            <w:r>
              <w:rPr>
                <w:rFonts w:ascii="Arial" w:hAnsi="Arial" w:cs="Arial"/>
                <w:sz w:val="22"/>
                <w:szCs w:val="22"/>
              </w:rPr>
              <w:t>375.554,31 €</w:t>
            </w:r>
          </w:p>
        </w:tc>
      </w:tr>
      <w:tr w:rsidR="009B4233">
        <w:tblPrEx>
          <w:tblCellMar>
            <w:top w:w="0" w:type="dxa"/>
            <w:bottom w:w="0" w:type="dxa"/>
          </w:tblCellMar>
        </w:tblPrEx>
        <w:trPr>
          <w:trHeight w:val="575"/>
        </w:trPr>
        <w:tc>
          <w:tcPr>
            <w:tcW w:w="6140" w:type="dxa"/>
            <w:tcBorders>
              <w:top w:val="single" w:sz="4" w:space="0" w:color="000000"/>
              <w:left w:val="single" w:sz="4" w:space="0" w:color="000000"/>
              <w:bottom w:val="single" w:sz="4" w:space="0" w:color="000000"/>
              <w:right w:val="single" w:sz="4" w:space="0" w:color="000000"/>
            </w:tcBorders>
            <w:shd w:val="clear" w:color="auto" w:fill="auto"/>
            <w:tcMar>
              <w:top w:w="12" w:type="dxa"/>
              <w:left w:w="72" w:type="dxa"/>
              <w:bottom w:w="3" w:type="dxa"/>
              <w:right w:w="66" w:type="dxa"/>
            </w:tcMar>
            <w:vAlign w:val="bottom"/>
          </w:tcPr>
          <w:p w:rsidR="009B4233" w:rsidRDefault="006B08B9">
            <w:pPr>
              <w:spacing w:line="249" w:lineRule="auto"/>
              <w:rPr>
                <w:rFonts w:ascii="Arial" w:hAnsi="Arial" w:cs="Arial"/>
                <w:sz w:val="22"/>
                <w:szCs w:val="22"/>
              </w:rPr>
            </w:pPr>
            <w:r>
              <w:rPr>
                <w:rFonts w:ascii="Arial" w:hAnsi="Arial" w:cs="Arial"/>
                <w:sz w:val="22"/>
                <w:szCs w:val="22"/>
              </w:rPr>
              <w:t>Amortización Maquinaria Servicios Comunes, Recogida de Residuos</w:t>
            </w:r>
          </w:p>
        </w:tc>
        <w:tc>
          <w:tcPr>
            <w:tcW w:w="2502" w:type="dxa"/>
            <w:tcBorders>
              <w:top w:val="single" w:sz="4" w:space="0" w:color="000000"/>
              <w:left w:val="single" w:sz="4" w:space="0" w:color="000000"/>
              <w:bottom w:val="single" w:sz="4" w:space="0" w:color="000000"/>
              <w:right w:val="single" w:sz="4" w:space="0" w:color="000000"/>
            </w:tcBorders>
            <w:shd w:val="clear" w:color="auto" w:fill="auto"/>
            <w:tcMar>
              <w:top w:w="12" w:type="dxa"/>
              <w:left w:w="72" w:type="dxa"/>
              <w:bottom w:w="3" w:type="dxa"/>
              <w:right w:w="66" w:type="dxa"/>
            </w:tcMar>
            <w:vAlign w:val="bottom"/>
          </w:tcPr>
          <w:p w:rsidR="009B4233" w:rsidRDefault="006B08B9">
            <w:pPr>
              <w:spacing w:line="249" w:lineRule="auto"/>
              <w:jc w:val="right"/>
              <w:rPr>
                <w:rFonts w:ascii="Arial" w:hAnsi="Arial" w:cs="Arial"/>
                <w:sz w:val="22"/>
                <w:szCs w:val="22"/>
              </w:rPr>
            </w:pPr>
            <w:r>
              <w:rPr>
                <w:rFonts w:ascii="Arial" w:hAnsi="Arial" w:cs="Arial"/>
                <w:sz w:val="22"/>
                <w:szCs w:val="22"/>
              </w:rPr>
              <w:t>3.101,72 €</w:t>
            </w:r>
          </w:p>
        </w:tc>
      </w:tr>
      <w:tr w:rsidR="009B4233">
        <w:tblPrEx>
          <w:tblCellMar>
            <w:top w:w="0" w:type="dxa"/>
            <w:bottom w:w="0" w:type="dxa"/>
          </w:tblCellMar>
        </w:tblPrEx>
        <w:trPr>
          <w:trHeight w:val="288"/>
        </w:trPr>
        <w:tc>
          <w:tcPr>
            <w:tcW w:w="6140" w:type="dxa"/>
            <w:tcBorders>
              <w:top w:val="single" w:sz="4" w:space="0" w:color="000000"/>
              <w:left w:val="single" w:sz="4" w:space="0" w:color="000000"/>
              <w:bottom w:val="single" w:sz="4" w:space="0" w:color="000000"/>
            </w:tcBorders>
            <w:shd w:val="clear" w:color="auto" w:fill="E2EFDA"/>
            <w:tcMar>
              <w:top w:w="12" w:type="dxa"/>
              <w:left w:w="72" w:type="dxa"/>
              <w:bottom w:w="3" w:type="dxa"/>
              <w:right w:w="66" w:type="dxa"/>
            </w:tcMar>
          </w:tcPr>
          <w:p w:rsidR="009B4233" w:rsidRDefault="006B08B9">
            <w:pPr>
              <w:spacing w:line="249" w:lineRule="auto"/>
              <w:ind w:left="3116"/>
              <w:rPr>
                <w:rFonts w:ascii="Arial" w:hAnsi="Arial" w:cs="Arial"/>
                <w:sz w:val="22"/>
                <w:szCs w:val="22"/>
              </w:rPr>
            </w:pPr>
            <w:r>
              <w:rPr>
                <w:rFonts w:ascii="Arial" w:hAnsi="Arial" w:cs="Arial"/>
                <w:sz w:val="22"/>
                <w:szCs w:val="22"/>
              </w:rPr>
              <w:t xml:space="preserve">Carburante y </w:t>
            </w:r>
            <w:r>
              <w:rPr>
                <w:rFonts w:ascii="Arial" w:hAnsi="Arial" w:cs="Arial"/>
                <w:sz w:val="22"/>
                <w:szCs w:val="22"/>
              </w:rPr>
              <w:t>mantenimiento</w:t>
            </w:r>
          </w:p>
        </w:tc>
        <w:tc>
          <w:tcPr>
            <w:tcW w:w="2502" w:type="dxa"/>
            <w:tcBorders>
              <w:top w:val="single" w:sz="4" w:space="0" w:color="000000"/>
              <w:bottom w:val="single" w:sz="4" w:space="0" w:color="000000"/>
              <w:right w:val="single" w:sz="4" w:space="0" w:color="000000"/>
            </w:tcBorders>
            <w:shd w:val="clear" w:color="auto" w:fill="E2EFDA"/>
            <w:tcMar>
              <w:top w:w="12" w:type="dxa"/>
              <w:left w:w="72" w:type="dxa"/>
              <w:bottom w:w="3" w:type="dxa"/>
              <w:right w:w="66" w:type="dxa"/>
            </w:tcMar>
          </w:tcPr>
          <w:p w:rsidR="009B4233" w:rsidRDefault="009B4233">
            <w:pPr>
              <w:spacing w:after="160" w:line="249" w:lineRule="auto"/>
              <w:rPr>
                <w:rFonts w:ascii="Arial" w:hAnsi="Arial" w:cs="Arial"/>
                <w:sz w:val="22"/>
                <w:szCs w:val="22"/>
              </w:rPr>
            </w:pPr>
          </w:p>
        </w:tc>
      </w:tr>
      <w:tr w:rsidR="009B4233">
        <w:tblPrEx>
          <w:tblCellMar>
            <w:top w:w="0" w:type="dxa"/>
            <w:bottom w:w="0" w:type="dxa"/>
          </w:tblCellMar>
        </w:tblPrEx>
        <w:trPr>
          <w:trHeight w:val="290"/>
        </w:trPr>
        <w:tc>
          <w:tcPr>
            <w:tcW w:w="6140" w:type="dxa"/>
            <w:tcBorders>
              <w:top w:val="single" w:sz="4" w:space="0" w:color="000000"/>
              <w:left w:val="single" w:sz="4" w:space="0" w:color="000000"/>
              <w:bottom w:val="single" w:sz="4" w:space="0" w:color="000000"/>
              <w:right w:val="single" w:sz="4" w:space="0" w:color="000000"/>
            </w:tcBorders>
            <w:shd w:val="clear" w:color="auto" w:fill="auto"/>
            <w:tcMar>
              <w:top w:w="12" w:type="dxa"/>
              <w:left w:w="72" w:type="dxa"/>
              <w:bottom w:w="3" w:type="dxa"/>
              <w:right w:w="66" w:type="dxa"/>
            </w:tcMar>
          </w:tcPr>
          <w:p w:rsidR="009B4233" w:rsidRDefault="006B08B9">
            <w:pPr>
              <w:spacing w:line="249" w:lineRule="auto"/>
              <w:rPr>
                <w:rFonts w:ascii="Arial" w:hAnsi="Arial" w:cs="Arial"/>
                <w:sz w:val="22"/>
                <w:szCs w:val="22"/>
              </w:rPr>
            </w:pPr>
            <w:r>
              <w:rPr>
                <w:rFonts w:ascii="Arial" w:hAnsi="Arial" w:cs="Arial"/>
                <w:sz w:val="22"/>
                <w:szCs w:val="22"/>
              </w:rPr>
              <w:t>Carburante y Mantenimiento R.S.</w:t>
            </w:r>
          </w:p>
        </w:tc>
        <w:tc>
          <w:tcPr>
            <w:tcW w:w="2502" w:type="dxa"/>
            <w:tcBorders>
              <w:top w:val="single" w:sz="4" w:space="0" w:color="000000"/>
              <w:left w:val="single" w:sz="4" w:space="0" w:color="000000"/>
              <w:bottom w:val="single" w:sz="4" w:space="0" w:color="000000"/>
              <w:right w:val="single" w:sz="4" w:space="0" w:color="000000"/>
            </w:tcBorders>
            <w:shd w:val="clear" w:color="auto" w:fill="auto"/>
            <w:tcMar>
              <w:top w:w="12" w:type="dxa"/>
              <w:left w:w="72" w:type="dxa"/>
              <w:bottom w:w="3" w:type="dxa"/>
              <w:right w:w="66" w:type="dxa"/>
            </w:tcMar>
          </w:tcPr>
          <w:p w:rsidR="009B4233" w:rsidRDefault="006B08B9">
            <w:pPr>
              <w:spacing w:line="249" w:lineRule="auto"/>
              <w:jc w:val="right"/>
              <w:rPr>
                <w:rFonts w:ascii="Arial" w:hAnsi="Arial" w:cs="Arial"/>
                <w:sz w:val="22"/>
                <w:szCs w:val="22"/>
              </w:rPr>
            </w:pPr>
            <w:r>
              <w:rPr>
                <w:rFonts w:ascii="Arial" w:hAnsi="Arial" w:cs="Arial"/>
                <w:sz w:val="22"/>
                <w:szCs w:val="22"/>
              </w:rPr>
              <w:t>89.491,61 €</w:t>
            </w:r>
          </w:p>
        </w:tc>
      </w:tr>
      <w:tr w:rsidR="009B4233">
        <w:tblPrEx>
          <w:tblCellMar>
            <w:top w:w="0" w:type="dxa"/>
            <w:bottom w:w="0" w:type="dxa"/>
          </w:tblCellMar>
        </w:tblPrEx>
        <w:trPr>
          <w:trHeight w:val="575"/>
        </w:trPr>
        <w:tc>
          <w:tcPr>
            <w:tcW w:w="6140" w:type="dxa"/>
            <w:tcBorders>
              <w:top w:val="single" w:sz="4" w:space="0" w:color="000000"/>
              <w:left w:val="single" w:sz="4" w:space="0" w:color="000000"/>
              <w:bottom w:val="single" w:sz="4" w:space="0" w:color="000000"/>
              <w:right w:val="single" w:sz="4" w:space="0" w:color="000000"/>
            </w:tcBorders>
            <w:shd w:val="clear" w:color="auto" w:fill="auto"/>
            <w:tcMar>
              <w:top w:w="12" w:type="dxa"/>
              <w:left w:w="72" w:type="dxa"/>
              <w:bottom w:w="3" w:type="dxa"/>
              <w:right w:w="66" w:type="dxa"/>
            </w:tcMar>
            <w:vAlign w:val="bottom"/>
          </w:tcPr>
          <w:p w:rsidR="009B4233" w:rsidRDefault="006B08B9">
            <w:pPr>
              <w:spacing w:line="249" w:lineRule="auto"/>
              <w:rPr>
                <w:rFonts w:ascii="Arial" w:hAnsi="Arial" w:cs="Arial"/>
                <w:sz w:val="22"/>
                <w:szCs w:val="22"/>
              </w:rPr>
            </w:pPr>
            <w:r>
              <w:rPr>
                <w:rFonts w:ascii="Arial" w:hAnsi="Arial" w:cs="Arial"/>
                <w:sz w:val="22"/>
                <w:szCs w:val="22"/>
              </w:rPr>
              <w:t>Carburante y Mantenimiento Servicios Comunes R.S.</w:t>
            </w:r>
          </w:p>
        </w:tc>
        <w:tc>
          <w:tcPr>
            <w:tcW w:w="2502" w:type="dxa"/>
            <w:tcBorders>
              <w:top w:val="single" w:sz="4" w:space="0" w:color="000000"/>
              <w:left w:val="single" w:sz="4" w:space="0" w:color="000000"/>
              <w:bottom w:val="single" w:sz="4" w:space="0" w:color="000000"/>
              <w:right w:val="single" w:sz="4" w:space="0" w:color="000000"/>
            </w:tcBorders>
            <w:shd w:val="clear" w:color="auto" w:fill="auto"/>
            <w:tcMar>
              <w:top w:w="12" w:type="dxa"/>
              <w:left w:w="72" w:type="dxa"/>
              <w:bottom w:w="3" w:type="dxa"/>
              <w:right w:w="66" w:type="dxa"/>
            </w:tcMar>
            <w:vAlign w:val="bottom"/>
          </w:tcPr>
          <w:p w:rsidR="009B4233" w:rsidRDefault="006B08B9">
            <w:pPr>
              <w:spacing w:line="249" w:lineRule="auto"/>
              <w:jc w:val="right"/>
              <w:rPr>
                <w:rFonts w:ascii="Arial" w:hAnsi="Arial" w:cs="Arial"/>
                <w:sz w:val="22"/>
                <w:szCs w:val="22"/>
              </w:rPr>
            </w:pPr>
            <w:r>
              <w:rPr>
                <w:rFonts w:ascii="Arial" w:hAnsi="Arial" w:cs="Arial"/>
                <w:sz w:val="22"/>
                <w:szCs w:val="22"/>
              </w:rPr>
              <w:t>1.422,89 €</w:t>
            </w:r>
          </w:p>
        </w:tc>
      </w:tr>
      <w:tr w:rsidR="009B4233">
        <w:tblPrEx>
          <w:tblCellMar>
            <w:top w:w="0" w:type="dxa"/>
            <w:bottom w:w="0" w:type="dxa"/>
          </w:tblCellMar>
        </w:tblPrEx>
        <w:trPr>
          <w:trHeight w:val="288"/>
        </w:trPr>
        <w:tc>
          <w:tcPr>
            <w:tcW w:w="6140" w:type="dxa"/>
            <w:tcBorders>
              <w:top w:val="single" w:sz="4" w:space="0" w:color="000000"/>
              <w:left w:val="single" w:sz="4" w:space="0" w:color="000000"/>
              <w:bottom w:val="single" w:sz="4" w:space="0" w:color="000000"/>
            </w:tcBorders>
            <w:shd w:val="clear" w:color="auto" w:fill="E2EFDA"/>
            <w:tcMar>
              <w:top w:w="12" w:type="dxa"/>
              <w:left w:w="72" w:type="dxa"/>
              <w:bottom w:w="3" w:type="dxa"/>
              <w:right w:w="66" w:type="dxa"/>
            </w:tcMar>
          </w:tcPr>
          <w:p w:rsidR="009B4233" w:rsidRDefault="006B08B9">
            <w:pPr>
              <w:spacing w:line="249" w:lineRule="auto"/>
              <w:ind w:left="3406"/>
              <w:rPr>
                <w:rFonts w:ascii="Arial" w:hAnsi="Arial" w:cs="Arial"/>
                <w:sz w:val="22"/>
                <w:szCs w:val="22"/>
              </w:rPr>
            </w:pPr>
            <w:r>
              <w:rPr>
                <w:rFonts w:ascii="Arial" w:hAnsi="Arial" w:cs="Arial"/>
                <w:sz w:val="22"/>
                <w:szCs w:val="22"/>
              </w:rPr>
              <w:t>Seguros e impuestos</w:t>
            </w:r>
          </w:p>
        </w:tc>
        <w:tc>
          <w:tcPr>
            <w:tcW w:w="2502" w:type="dxa"/>
            <w:tcBorders>
              <w:top w:val="single" w:sz="4" w:space="0" w:color="000000"/>
              <w:bottom w:val="single" w:sz="4" w:space="0" w:color="000000"/>
              <w:right w:val="single" w:sz="4" w:space="0" w:color="000000"/>
            </w:tcBorders>
            <w:shd w:val="clear" w:color="auto" w:fill="E2EFDA"/>
            <w:tcMar>
              <w:top w:w="12" w:type="dxa"/>
              <w:left w:w="72" w:type="dxa"/>
              <w:bottom w:w="3" w:type="dxa"/>
              <w:right w:w="66" w:type="dxa"/>
            </w:tcMar>
          </w:tcPr>
          <w:p w:rsidR="009B4233" w:rsidRDefault="009B4233">
            <w:pPr>
              <w:spacing w:after="160" w:line="249" w:lineRule="auto"/>
              <w:rPr>
                <w:rFonts w:ascii="Arial" w:hAnsi="Arial" w:cs="Arial"/>
                <w:sz w:val="22"/>
                <w:szCs w:val="22"/>
              </w:rPr>
            </w:pPr>
          </w:p>
        </w:tc>
      </w:tr>
      <w:tr w:rsidR="009B4233">
        <w:tblPrEx>
          <w:tblCellMar>
            <w:top w:w="0" w:type="dxa"/>
            <w:bottom w:w="0" w:type="dxa"/>
          </w:tblCellMar>
        </w:tblPrEx>
        <w:trPr>
          <w:trHeight w:val="290"/>
        </w:trPr>
        <w:tc>
          <w:tcPr>
            <w:tcW w:w="6140" w:type="dxa"/>
            <w:tcBorders>
              <w:top w:val="single" w:sz="4" w:space="0" w:color="000000"/>
              <w:left w:val="single" w:sz="4" w:space="0" w:color="000000"/>
              <w:bottom w:val="single" w:sz="4" w:space="0" w:color="000000"/>
              <w:right w:val="single" w:sz="4" w:space="0" w:color="000000"/>
            </w:tcBorders>
            <w:shd w:val="clear" w:color="auto" w:fill="auto"/>
            <w:tcMar>
              <w:top w:w="12" w:type="dxa"/>
              <w:left w:w="72" w:type="dxa"/>
              <w:bottom w:w="3" w:type="dxa"/>
              <w:right w:w="66" w:type="dxa"/>
            </w:tcMar>
          </w:tcPr>
          <w:p w:rsidR="009B4233" w:rsidRDefault="006B08B9">
            <w:pPr>
              <w:spacing w:line="249" w:lineRule="auto"/>
              <w:rPr>
                <w:rFonts w:ascii="Arial" w:hAnsi="Arial" w:cs="Arial"/>
                <w:sz w:val="22"/>
                <w:szCs w:val="22"/>
              </w:rPr>
            </w:pPr>
            <w:r>
              <w:rPr>
                <w:rFonts w:ascii="Arial" w:hAnsi="Arial" w:cs="Arial"/>
                <w:sz w:val="22"/>
                <w:szCs w:val="22"/>
              </w:rPr>
              <w:t>Maquinaria R.S.</w:t>
            </w:r>
          </w:p>
        </w:tc>
        <w:tc>
          <w:tcPr>
            <w:tcW w:w="2502" w:type="dxa"/>
            <w:tcBorders>
              <w:top w:val="single" w:sz="4" w:space="0" w:color="000000"/>
              <w:left w:val="single" w:sz="4" w:space="0" w:color="000000"/>
              <w:bottom w:val="single" w:sz="4" w:space="0" w:color="000000"/>
              <w:right w:val="single" w:sz="4" w:space="0" w:color="000000"/>
            </w:tcBorders>
            <w:shd w:val="clear" w:color="auto" w:fill="auto"/>
            <w:tcMar>
              <w:top w:w="12" w:type="dxa"/>
              <w:left w:w="72" w:type="dxa"/>
              <w:bottom w:w="3" w:type="dxa"/>
              <w:right w:w="66" w:type="dxa"/>
            </w:tcMar>
          </w:tcPr>
          <w:p w:rsidR="009B4233" w:rsidRDefault="006B08B9">
            <w:pPr>
              <w:spacing w:line="249" w:lineRule="auto"/>
              <w:jc w:val="right"/>
              <w:rPr>
                <w:rFonts w:ascii="Arial" w:hAnsi="Arial" w:cs="Arial"/>
                <w:sz w:val="22"/>
                <w:szCs w:val="22"/>
              </w:rPr>
            </w:pPr>
            <w:r>
              <w:rPr>
                <w:rFonts w:ascii="Arial" w:hAnsi="Arial" w:cs="Arial"/>
                <w:sz w:val="22"/>
                <w:szCs w:val="22"/>
              </w:rPr>
              <w:t>13.599,06 €</w:t>
            </w:r>
          </w:p>
        </w:tc>
      </w:tr>
      <w:tr w:rsidR="009B4233">
        <w:tblPrEx>
          <w:tblCellMar>
            <w:top w:w="0" w:type="dxa"/>
            <w:bottom w:w="0" w:type="dxa"/>
          </w:tblCellMar>
        </w:tblPrEx>
        <w:trPr>
          <w:trHeight w:val="295"/>
        </w:trPr>
        <w:tc>
          <w:tcPr>
            <w:tcW w:w="6140" w:type="dxa"/>
            <w:tcBorders>
              <w:top w:val="single" w:sz="4" w:space="0" w:color="000000"/>
              <w:left w:val="single" w:sz="4" w:space="0" w:color="000000"/>
              <w:bottom w:val="single" w:sz="4" w:space="0" w:color="000000"/>
              <w:right w:val="single" w:sz="4" w:space="0" w:color="000000"/>
            </w:tcBorders>
            <w:shd w:val="clear" w:color="auto" w:fill="auto"/>
            <w:tcMar>
              <w:top w:w="12" w:type="dxa"/>
              <w:left w:w="72" w:type="dxa"/>
              <w:bottom w:w="3" w:type="dxa"/>
              <w:right w:w="66" w:type="dxa"/>
            </w:tcMar>
          </w:tcPr>
          <w:p w:rsidR="009B4233" w:rsidRDefault="006B08B9">
            <w:pPr>
              <w:spacing w:line="249" w:lineRule="auto"/>
              <w:rPr>
                <w:rFonts w:ascii="Arial" w:hAnsi="Arial" w:cs="Arial"/>
                <w:sz w:val="22"/>
                <w:szCs w:val="22"/>
              </w:rPr>
            </w:pPr>
            <w:r>
              <w:rPr>
                <w:rFonts w:ascii="Arial" w:hAnsi="Arial" w:cs="Arial"/>
                <w:sz w:val="22"/>
                <w:szCs w:val="22"/>
              </w:rPr>
              <w:t>Servicios Comunes R.S.</w:t>
            </w:r>
          </w:p>
        </w:tc>
        <w:tc>
          <w:tcPr>
            <w:tcW w:w="2502" w:type="dxa"/>
            <w:tcBorders>
              <w:top w:val="single" w:sz="4" w:space="0" w:color="000000"/>
              <w:left w:val="single" w:sz="4" w:space="0" w:color="000000"/>
              <w:bottom w:val="single" w:sz="4" w:space="0" w:color="000000"/>
              <w:right w:val="single" w:sz="4" w:space="0" w:color="000000"/>
            </w:tcBorders>
            <w:shd w:val="clear" w:color="auto" w:fill="auto"/>
            <w:tcMar>
              <w:top w:w="12" w:type="dxa"/>
              <w:left w:w="72" w:type="dxa"/>
              <w:bottom w:w="3" w:type="dxa"/>
              <w:right w:w="66" w:type="dxa"/>
            </w:tcMar>
          </w:tcPr>
          <w:p w:rsidR="009B4233" w:rsidRDefault="006B08B9">
            <w:pPr>
              <w:spacing w:line="249" w:lineRule="auto"/>
              <w:jc w:val="right"/>
              <w:rPr>
                <w:rFonts w:ascii="Arial" w:hAnsi="Arial" w:cs="Arial"/>
                <w:sz w:val="22"/>
                <w:szCs w:val="22"/>
              </w:rPr>
            </w:pPr>
            <w:r>
              <w:rPr>
                <w:rFonts w:ascii="Arial" w:hAnsi="Arial" w:cs="Arial"/>
                <w:sz w:val="22"/>
                <w:szCs w:val="22"/>
              </w:rPr>
              <w:t>448,89 €</w:t>
            </w:r>
          </w:p>
        </w:tc>
      </w:tr>
      <w:tr w:rsidR="009B4233">
        <w:tblPrEx>
          <w:tblCellMar>
            <w:top w:w="0" w:type="dxa"/>
            <w:bottom w:w="0" w:type="dxa"/>
          </w:tblCellMar>
        </w:tblPrEx>
        <w:trPr>
          <w:trHeight w:val="288"/>
        </w:trPr>
        <w:tc>
          <w:tcPr>
            <w:tcW w:w="6140" w:type="dxa"/>
            <w:tcBorders>
              <w:top w:val="single" w:sz="4" w:space="0" w:color="000000"/>
              <w:left w:val="single" w:sz="4" w:space="0" w:color="000000"/>
              <w:bottom w:val="single" w:sz="4" w:space="0" w:color="000000"/>
            </w:tcBorders>
            <w:shd w:val="clear" w:color="auto" w:fill="E2EFDA"/>
            <w:tcMar>
              <w:top w:w="12" w:type="dxa"/>
              <w:left w:w="72" w:type="dxa"/>
              <w:bottom w:w="3" w:type="dxa"/>
              <w:right w:w="66" w:type="dxa"/>
            </w:tcMar>
          </w:tcPr>
          <w:p w:rsidR="009B4233" w:rsidRDefault="006B08B9">
            <w:pPr>
              <w:spacing w:line="249" w:lineRule="auto"/>
              <w:ind w:left="3480"/>
              <w:rPr>
                <w:rFonts w:ascii="Arial" w:hAnsi="Arial" w:cs="Arial"/>
                <w:sz w:val="22"/>
                <w:szCs w:val="22"/>
              </w:rPr>
            </w:pPr>
            <w:r>
              <w:rPr>
                <w:rFonts w:ascii="Arial" w:hAnsi="Arial" w:cs="Arial"/>
                <w:sz w:val="22"/>
                <w:szCs w:val="22"/>
              </w:rPr>
              <w:t>Alquiler maquinaria</w:t>
            </w:r>
          </w:p>
        </w:tc>
        <w:tc>
          <w:tcPr>
            <w:tcW w:w="2502" w:type="dxa"/>
            <w:tcBorders>
              <w:top w:val="single" w:sz="4" w:space="0" w:color="000000"/>
              <w:bottom w:val="single" w:sz="4" w:space="0" w:color="000000"/>
              <w:right w:val="single" w:sz="4" w:space="0" w:color="000000"/>
            </w:tcBorders>
            <w:shd w:val="clear" w:color="auto" w:fill="E2EFDA"/>
            <w:tcMar>
              <w:top w:w="12" w:type="dxa"/>
              <w:left w:w="72" w:type="dxa"/>
              <w:bottom w:w="3" w:type="dxa"/>
              <w:right w:w="66" w:type="dxa"/>
            </w:tcMar>
          </w:tcPr>
          <w:p w:rsidR="009B4233" w:rsidRDefault="009B4233">
            <w:pPr>
              <w:spacing w:after="160" w:line="249" w:lineRule="auto"/>
              <w:rPr>
                <w:rFonts w:ascii="Arial" w:hAnsi="Arial" w:cs="Arial"/>
                <w:sz w:val="22"/>
                <w:szCs w:val="22"/>
              </w:rPr>
            </w:pPr>
          </w:p>
        </w:tc>
      </w:tr>
      <w:tr w:rsidR="009B4233">
        <w:tblPrEx>
          <w:tblCellMar>
            <w:top w:w="0" w:type="dxa"/>
            <w:bottom w:w="0" w:type="dxa"/>
          </w:tblCellMar>
        </w:tblPrEx>
        <w:trPr>
          <w:trHeight w:val="288"/>
        </w:trPr>
        <w:tc>
          <w:tcPr>
            <w:tcW w:w="6140" w:type="dxa"/>
            <w:tcBorders>
              <w:top w:val="single" w:sz="4" w:space="0" w:color="000000"/>
              <w:left w:val="single" w:sz="4" w:space="0" w:color="000000"/>
              <w:bottom w:val="single" w:sz="4" w:space="0" w:color="000000"/>
              <w:right w:val="single" w:sz="4" w:space="0" w:color="000000"/>
            </w:tcBorders>
            <w:shd w:val="clear" w:color="auto" w:fill="auto"/>
            <w:tcMar>
              <w:top w:w="12" w:type="dxa"/>
              <w:left w:w="72" w:type="dxa"/>
              <w:bottom w:w="3" w:type="dxa"/>
              <w:right w:w="66" w:type="dxa"/>
            </w:tcMar>
          </w:tcPr>
          <w:p w:rsidR="009B4233" w:rsidRDefault="006B08B9">
            <w:pPr>
              <w:spacing w:line="249" w:lineRule="auto"/>
              <w:rPr>
                <w:rFonts w:ascii="Arial" w:hAnsi="Arial" w:cs="Arial"/>
                <w:sz w:val="22"/>
                <w:szCs w:val="22"/>
              </w:rPr>
            </w:pPr>
            <w:r>
              <w:rPr>
                <w:rFonts w:ascii="Arial" w:hAnsi="Arial" w:cs="Arial"/>
                <w:sz w:val="22"/>
                <w:szCs w:val="22"/>
              </w:rPr>
              <w:t>Alquiler Maquinaria R.S.</w:t>
            </w:r>
          </w:p>
        </w:tc>
        <w:tc>
          <w:tcPr>
            <w:tcW w:w="2502" w:type="dxa"/>
            <w:tcBorders>
              <w:top w:val="single" w:sz="4" w:space="0" w:color="000000"/>
              <w:left w:val="single" w:sz="4" w:space="0" w:color="000000"/>
              <w:bottom w:val="single" w:sz="4" w:space="0" w:color="000000"/>
              <w:right w:val="single" w:sz="4" w:space="0" w:color="000000"/>
            </w:tcBorders>
            <w:shd w:val="clear" w:color="auto" w:fill="auto"/>
            <w:tcMar>
              <w:top w:w="12" w:type="dxa"/>
              <w:left w:w="72" w:type="dxa"/>
              <w:bottom w:w="3" w:type="dxa"/>
              <w:right w:w="66" w:type="dxa"/>
            </w:tcMar>
          </w:tcPr>
          <w:p w:rsidR="009B4233" w:rsidRDefault="006B08B9">
            <w:pPr>
              <w:spacing w:line="249" w:lineRule="auto"/>
              <w:jc w:val="right"/>
              <w:rPr>
                <w:rFonts w:ascii="Arial" w:hAnsi="Arial" w:cs="Arial"/>
                <w:sz w:val="22"/>
                <w:szCs w:val="22"/>
              </w:rPr>
            </w:pPr>
            <w:r>
              <w:rPr>
                <w:rFonts w:ascii="Arial" w:hAnsi="Arial" w:cs="Arial"/>
                <w:sz w:val="22"/>
                <w:szCs w:val="22"/>
              </w:rPr>
              <w:t>960,00 €</w:t>
            </w:r>
          </w:p>
        </w:tc>
      </w:tr>
      <w:tr w:rsidR="009B4233">
        <w:tblPrEx>
          <w:tblCellMar>
            <w:top w:w="0" w:type="dxa"/>
            <w:bottom w:w="0" w:type="dxa"/>
          </w:tblCellMar>
        </w:tblPrEx>
        <w:trPr>
          <w:trHeight w:val="288"/>
        </w:trPr>
        <w:tc>
          <w:tcPr>
            <w:tcW w:w="6140" w:type="dxa"/>
            <w:tcBorders>
              <w:top w:val="single" w:sz="4" w:space="0" w:color="000000"/>
              <w:left w:val="single" w:sz="4" w:space="0" w:color="000000"/>
              <w:bottom w:val="single" w:sz="4" w:space="0" w:color="000000"/>
            </w:tcBorders>
            <w:shd w:val="clear" w:color="auto" w:fill="E2EFDA"/>
            <w:tcMar>
              <w:top w:w="12" w:type="dxa"/>
              <w:left w:w="72" w:type="dxa"/>
              <w:bottom w:w="3" w:type="dxa"/>
              <w:right w:w="66" w:type="dxa"/>
            </w:tcMar>
          </w:tcPr>
          <w:p w:rsidR="009B4233" w:rsidRDefault="006B08B9">
            <w:pPr>
              <w:spacing w:line="249" w:lineRule="auto"/>
              <w:ind w:left="2500"/>
              <w:jc w:val="center"/>
              <w:rPr>
                <w:rFonts w:ascii="Arial" w:hAnsi="Arial" w:cs="Arial"/>
                <w:sz w:val="22"/>
                <w:szCs w:val="22"/>
              </w:rPr>
            </w:pPr>
            <w:r>
              <w:rPr>
                <w:rFonts w:ascii="Arial" w:hAnsi="Arial" w:cs="Arial"/>
                <w:sz w:val="22"/>
                <w:szCs w:val="22"/>
              </w:rPr>
              <w:t>Costes varios</w:t>
            </w:r>
          </w:p>
        </w:tc>
        <w:tc>
          <w:tcPr>
            <w:tcW w:w="2502" w:type="dxa"/>
            <w:tcBorders>
              <w:top w:val="single" w:sz="4" w:space="0" w:color="000000"/>
              <w:bottom w:val="single" w:sz="4" w:space="0" w:color="000000"/>
              <w:right w:val="single" w:sz="4" w:space="0" w:color="000000"/>
            </w:tcBorders>
            <w:shd w:val="clear" w:color="auto" w:fill="E2EFDA"/>
            <w:tcMar>
              <w:top w:w="12" w:type="dxa"/>
              <w:left w:w="72" w:type="dxa"/>
              <w:bottom w:w="3" w:type="dxa"/>
              <w:right w:w="66" w:type="dxa"/>
            </w:tcMar>
          </w:tcPr>
          <w:p w:rsidR="009B4233" w:rsidRDefault="009B4233">
            <w:pPr>
              <w:spacing w:after="160" w:line="249" w:lineRule="auto"/>
              <w:rPr>
                <w:rFonts w:ascii="Arial" w:hAnsi="Arial" w:cs="Arial"/>
                <w:sz w:val="22"/>
                <w:szCs w:val="22"/>
              </w:rPr>
            </w:pPr>
          </w:p>
        </w:tc>
      </w:tr>
      <w:tr w:rsidR="009B4233">
        <w:tblPrEx>
          <w:tblCellMar>
            <w:top w:w="0" w:type="dxa"/>
            <w:bottom w:w="0" w:type="dxa"/>
          </w:tblCellMar>
        </w:tblPrEx>
        <w:trPr>
          <w:trHeight w:val="290"/>
        </w:trPr>
        <w:tc>
          <w:tcPr>
            <w:tcW w:w="6140" w:type="dxa"/>
            <w:tcBorders>
              <w:top w:val="single" w:sz="4" w:space="0" w:color="000000"/>
              <w:left w:val="single" w:sz="4" w:space="0" w:color="000000"/>
              <w:bottom w:val="single" w:sz="4" w:space="0" w:color="000000"/>
              <w:right w:val="single" w:sz="4" w:space="0" w:color="000000"/>
            </w:tcBorders>
            <w:shd w:val="clear" w:color="auto" w:fill="auto"/>
            <w:tcMar>
              <w:top w:w="12" w:type="dxa"/>
              <w:left w:w="72" w:type="dxa"/>
              <w:bottom w:w="3" w:type="dxa"/>
              <w:right w:w="66" w:type="dxa"/>
            </w:tcMar>
          </w:tcPr>
          <w:p w:rsidR="009B4233" w:rsidRDefault="006B08B9">
            <w:pPr>
              <w:spacing w:line="249" w:lineRule="auto"/>
              <w:rPr>
                <w:rFonts w:ascii="Arial" w:hAnsi="Arial" w:cs="Arial"/>
                <w:sz w:val="22"/>
                <w:szCs w:val="22"/>
              </w:rPr>
            </w:pPr>
            <w:r>
              <w:rPr>
                <w:rFonts w:ascii="Arial" w:hAnsi="Arial" w:cs="Arial"/>
                <w:sz w:val="22"/>
                <w:szCs w:val="22"/>
              </w:rPr>
              <w:t>Herramientas R.S.</w:t>
            </w:r>
          </w:p>
        </w:tc>
        <w:tc>
          <w:tcPr>
            <w:tcW w:w="2502" w:type="dxa"/>
            <w:tcBorders>
              <w:top w:val="single" w:sz="4" w:space="0" w:color="000000"/>
              <w:left w:val="single" w:sz="4" w:space="0" w:color="000000"/>
              <w:bottom w:val="single" w:sz="4" w:space="0" w:color="000000"/>
              <w:right w:val="single" w:sz="4" w:space="0" w:color="000000"/>
            </w:tcBorders>
            <w:shd w:val="clear" w:color="auto" w:fill="auto"/>
            <w:tcMar>
              <w:top w:w="12" w:type="dxa"/>
              <w:left w:w="72" w:type="dxa"/>
              <w:bottom w:w="3" w:type="dxa"/>
              <w:right w:w="66" w:type="dxa"/>
            </w:tcMar>
          </w:tcPr>
          <w:p w:rsidR="009B4233" w:rsidRDefault="006B08B9">
            <w:pPr>
              <w:spacing w:line="249" w:lineRule="auto"/>
              <w:jc w:val="right"/>
              <w:rPr>
                <w:rFonts w:ascii="Arial" w:hAnsi="Arial" w:cs="Arial"/>
                <w:sz w:val="22"/>
                <w:szCs w:val="22"/>
              </w:rPr>
            </w:pPr>
            <w:r>
              <w:rPr>
                <w:rFonts w:ascii="Arial" w:hAnsi="Arial" w:cs="Arial"/>
                <w:sz w:val="22"/>
                <w:szCs w:val="22"/>
              </w:rPr>
              <w:t>4.032,94 €</w:t>
            </w:r>
          </w:p>
        </w:tc>
      </w:tr>
      <w:tr w:rsidR="009B4233">
        <w:tblPrEx>
          <w:tblCellMar>
            <w:top w:w="0" w:type="dxa"/>
            <w:bottom w:w="0" w:type="dxa"/>
          </w:tblCellMar>
        </w:tblPrEx>
        <w:trPr>
          <w:trHeight w:val="288"/>
        </w:trPr>
        <w:tc>
          <w:tcPr>
            <w:tcW w:w="6140" w:type="dxa"/>
            <w:tcBorders>
              <w:top w:val="single" w:sz="4" w:space="0" w:color="000000"/>
              <w:left w:val="single" w:sz="4" w:space="0" w:color="000000"/>
              <w:bottom w:val="single" w:sz="4" w:space="0" w:color="000000"/>
              <w:right w:val="single" w:sz="4" w:space="0" w:color="000000"/>
            </w:tcBorders>
            <w:shd w:val="clear" w:color="auto" w:fill="auto"/>
            <w:tcMar>
              <w:top w:w="12" w:type="dxa"/>
              <w:left w:w="72" w:type="dxa"/>
              <w:bottom w:w="3" w:type="dxa"/>
              <w:right w:w="66" w:type="dxa"/>
            </w:tcMar>
          </w:tcPr>
          <w:p w:rsidR="009B4233" w:rsidRDefault="006B08B9">
            <w:pPr>
              <w:spacing w:line="249" w:lineRule="auto"/>
              <w:rPr>
                <w:rFonts w:ascii="Arial" w:hAnsi="Arial" w:cs="Arial"/>
                <w:sz w:val="22"/>
                <w:szCs w:val="22"/>
              </w:rPr>
            </w:pPr>
            <w:r>
              <w:rPr>
                <w:rFonts w:ascii="Arial" w:hAnsi="Arial" w:cs="Arial"/>
                <w:sz w:val="22"/>
                <w:szCs w:val="22"/>
              </w:rPr>
              <w:t>Vestuario R.S.</w:t>
            </w:r>
          </w:p>
        </w:tc>
        <w:tc>
          <w:tcPr>
            <w:tcW w:w="2502" w:type="dxa"/>
            <w:tcBorders>
              <w:top w:val="single" w:sz="4" w:space="0" w:color="000000"/>
              <w:left w:val="single" w:sz="4" w:space="0" w:color="000000"/>
              <w:bottom w:val="single" w:sz="4" w:space="0" w:color="000000"/>
              <w:right w:val="single" w:sz="4" w:space="0" w:color="000000"/>
            </w:tcBorders>
            <w:shd w:val="clear" w:color="auto" w:fill="auto"/>
            <w:tcMar>
              <w:top w:w="12" w:type="dxa"/>
              <w:left w:w="72" w:type="dxa"/>
              <w:bottom w:w="3" w:type="dxa"/>
              <w:right w:w="66" w:type="dxa"/>
            </w:tcMar>
          </w:tcPr>
          <w:p w:rsidR="009B4233" w:rsidRDefault="006B08B9">
            <w:pPr>
              <w:spacing w:line="249" w:lineRule="auto"/>
              <w:jc w:val="right"/>
              <w:rPr>
                <w:rFonts w:ascii="Arial" w:hAnsi="Arial" w:cs="Arial"/>
                <w:sz w:val="22"/>
                <w:szCs w:val="22"/>
              </w:rPr>
            </w:pPr>
            <w:r>
              <w:rPr>
                <w:rFonts w:ascii="Arial" w:hAnsi="Arial" w:cs="Arial"/>
                <w:sz w:val="22"/>
                <w:szCs w:val="22"/>
              </w:rPr>
              <w:t>3.859,37 €</w:t>
            </w:r>
          </w:p>
        </w:tc>
      </w:tr>
      <w:tr w:rsidR="009B4233">
        <w:tblPrEx>
          <w:tblCellMar>
            <w:top w:w="0" w:type="dxa"/>
            <w:bottom w:w="0" w:type="dxa"/>
          </w:tblCellMar>
        </w:tblPrEx>
        <w:trPr>
          <w:trHeight w:val="288"/>
        </w:trPr>
        <w:tc>
          <w:tcPr>
            <w:tcW w:w="6140" w:type="dxa"/>
            <w:tcBorders>
              <w:top w:val="single" w:sz="4" w:space="0" w:color="000000"/>
              <w:left w:val="single" w:sz="4" w:space="0" w:color="000000"/>
              <w:bottom w:val="single" w:sz="4" w:space="0" w:color="000000"/>
              <w:right w:val="single" w:sz="4" w:space="0" w:color="000000"/>
            </w:tcBorders>
            <w:shd w:val="clear" w:color="auto" w:fill="auto"/>
            <w:tcMar>
              <w:top w:w="12" w:type="dxa"/>
              <w:left w:w="72" w:type="dxa"/>
              <w:bottom w:w="3" w:type="dxa"/>
              <w:right w:w="66" w:type="dxa"/>
            </w:tcMar>
          </w:tcPr>
          <w:p w:rsidR="009B4233" w:rsidRDefault="006B08B9">
            <w:pPr>
              <w:spacing w:line="249" w:lineRule="auto"/>
              <w:rPr>
                <w:rFonts w:ascii="Arial" w:hAnsi="Arial" w:cs="Arial"/>
                <w:sz w:val="22"/>
                <w:szCs w:val="22"/>
              </w:rPr>
            </w:pPr>
            <w:r>
              <w:rPr>
                <w:rFonts w:ascii="Arial" w:hAnsi="Arial" w:cs="Arial"/>
                <w:sz w:val="22"/>
                <w:szCs w:val="22"/>
              </w:rPr>
              <w:t>Alquiler Instalaciones R.S.</w:t>
            </w:r>
          </w:p>
        </w:tc>
        <w:tc>
          <w:tcPr>
            <w:tcW w:w="2502" w:type="dxa"/>
            <w:tcBorders>
              <w:top w:val="single" w:sz="4" w:space="0" w:color="000000"/>
              <w:left w:val="single" w:sz="4" w:space="0" w:color="000000"/>
              <w:bottom w:val="single" w:sz="4" w:space="0" w:color="000000"/>
              <w:right w:val="single" w:sz="4" w:space="0" w:color="000000"/>
            </w:tcBorders>
            <w:shd w:val="clear" w:color="auto" w:fill="auto"/>
            <w:tcMar>
              <w:top w:w="12" w:type="dxa"/>
              <w:left w:w="72" w:type="dxa"/>
              <w:bottom w:w="3" w:type="dxa"/>
              <w:right w:w="66" w:type="dxa"/>
            </w:tcMar>
          </w:tcPr>
          <w:p w:rsidR="009B4233" w:rsidRDefault="006B08B9">
            <w:pPr>
              <w:spacing w:line="249" w:lineRule="auto"/>
              <w:jc w:val="right"/>
              <w:rPr>
                <w:rFonts w:ascii="Arial" w:hAnsi="Arial" w:cs="Arial"/>
                <w:sz w:val="22"/>
                <w:szCs w:val="22"/>
              </w:rPr>
            </w:pPr>
            <w:r>
              <w:rPr>
                <w:rFonts w:ascii="Arial" w:hAnsi="Arial" w:cs="Arial"/>
                <w:sz w:val="22"/>
                <w:szCs w:val="22"/>
              </w:rPr>
              <w:t>23.760,00 €</w:t>
            </w:r>
          </w:p>
        </w:tc>
      </w:tr>
      <w:tr w:rsidR="009B4233">
        <w:tblPrEx>
          <w:tblCellMar>
            <w:top w:w="0" w:type="dxa"/>
            <w:bottom w:w="0" w:type="dxa"/>
          </w:tblCellMar>
        </w:tblPrEx>
        <w:trPr>
          <w:trHeight w:val="288"/>
        </w:trPr>
        <w:tc>
          <w:tcPr>
            <w:tcW w:w="6140" w:type="dxa"/>
            <w:tcBorders>
              <w:top w:val="single" w:sz="4" w:space="0" w:color="000000"/>
              <w:left w:val="single" w:sz="4" w:space="0" w:color="000000"/>
              <w:bottom w:val="single" w:sz="4" w:space="0" w:color="000000"/>
              <w:right w:val="single" w:sz="4" w:space="0" w:color="000000"/>
            </w:tcBorders>
            <w:shd w:val="clear" w:color="auto" w:fill="auto"/>
            <w:tcMar>
              <w:top w:w="12" w:type="dxa"/>
              <w:left w:w="72" w:type="dxa"/>
              <w:bottom w:w="3" w:type="dxa"/>
              <w:right w:w="66" w:type="dxa"/>
            </w:tcMar>
          </w:tcPr>
          <w:p w:rsidR="009B4233" w:rsidRDefault="006B08B9">
            <w:pPr>
              <w:spacing w:line="249" w:lineRule="auto"/>
              <w:rPr>
                <w:rFonts w:ascii="Arial" w:hAnsi="Arial" w:cs="Arial"/>
                <w:sz w:val="22"/>
                <w:szCs w:val="22"/>
              </w:rPr>
            </w:pPr>
            <w:r>
              <w:rPr>
                <w:rFonts w:ascii="Arial" w:hAnsi="Arial" w:cs="Arial"/>
                <w:sz w:val="22"/>
                <w:szCs w:val="22"/>
              </w:rPr>
              <w:t>Inversiones en Instalaciones R.S.</w:t>
            </w:r>
          </w:p>
        </w:tc>
        <w:tc>
          <w:tcPr>
            <w:tcW w:w="2502" w:type="dxa"/>
            <w:tcBorders>
              <w:top w:val="single" w:sz="4" w:space="0" w:color="000000"/>
              <w:left w:val="single" w:sz="4" w:space="0" w:color="000000"/>
              <w:bottom w:val="single" w:sz="4" w:space="0" w:color="000000"/>
              <w:right w:val="single" w:sz="4" w:space="0" w:color="000000"/>
            </w:tcBorders>
            <w:shd w:val="clear" w:color="auto" w:fill="auto"/>
            <w:tcMar>
              <w:top w:w="12" w:type="dxa"/>
              <w:left w:w="72" w:type="dxa"/>
              <w:bottom w:w="3" w:type="dxa"/>
              <w:right w:w="66" w:type="dxa"/>
            </w:tcMar>
          </w:tcPr>
          <w:p w:rsidR="009B4233" w:rsidRDefault="006B08B9">
            <w:pPr>
              <w:spacing w:line="249" w:lineRule="auto"/>
              <w:jc w:val="right"/>
              <w:rPr>
                <w:rFonts w:ascii="Arial" w:hAnsi="Arial" w:cs="Arial"/>
                <w:sz w:val="22"/>
                <w:szCs w:val="22"/>
              </w:rPr>
            </w:pPr>
            <w:r>
              <w:rPr>
                <w:rFonts w:ascii="Arial" w:hAnsi="Arial" w:cs="Arial"/>
                <w:sz w:val="22"/>
                <w:szCs w:val="22"/>
              </w:rPr>
              <w:t>7.811,20 €</w:t>
            </w:r>
          </w:p>
        </w:tc>
      </w:tr>
      <w:tr w:rsidR="009B4233">
        <w:tblPrEx>
          <w:tblCellMar>
            <w:top w:w="0" w:type="dxa"/>
            <w:bottom w:w="0" w:type="dxa"/>
          </w:tblCellMar>
        </w:tblPrEx>
        <w:trPr>
          <w:trHeight w:val="288"/>
        </w:trPr>
        <w:tc>
          <w:tcPr>
            <w:tcW w:w="6140" w:type="dxa"/>
            <w:tcBorders>
              <w:top w:val="single" w:sz="4" w:space="0" w:color="000000"/>
              <w:left w:val="single" w:sz="4" w:space="0" w:color="000000"/>
              <w:bottom w:val="single" w:sz="4" w:space="0" w:color="000000"/>
              <w:right w:val="single" w:sz="4" w:space="0" w:color="000000"/>
            </w:tcBorders>
            <w:shd w:val="clear" w:color="auto" w:fill="auto"/>
            <w:tcMar>
              <w:top w:w="12" w:type="dxa"/>
              <w:left w:w="72" w:type="dxa"/>
              <w:bottom w:w="3" w:type="dxa"/>
              <w:right w:w="66" w:type="dxa"/>
            </w:tcMar>
          </w:tcPr>
          <w:p w:rsidR="009B4233" w:rsidRDefault="006B08B9">
            <w:pPr>
              <w:spacing w:line="249" w:lineRule="auto"/>
              <w:rPr>
                <w:rFonts w:ascii="Arial" w:hAnsi="Arial" w:cs="Arial"/>
                <w:sz w:val="22"/>
                <w:szCs w:val="22"/>
              </w:rPr>
            </w:pPr>
            <w:r>
              <w:rPr>
                <w:rFonts w:ascii="Arial" w:hAnsi="Arial" w:cs="Arial"/>
                <w:sz w:val="22"/>
                <w:szCs w:val="22"/>
              </w:rPr>
              <w:t>Explotación instalaciones R.S.</w:t>
            </w:r>
          </w:p>
        </w:tc>
        <w:tc>
          <w:tcPr>
            <w:tcW w:w="2502" w:type="dxa"/>
            <w:tcBorders>
              <w:top w:val="single" w:sz="4" w:space="0" w:color="000000"/>
              <w:left w:val="single" w:sz="4" w:space="0" w:color="000000"/>
              <w:bottom w:val="single" w:sz="4" w:space="0" w:color="000000"/>
              <w:right w:val="single" w:sz="4" w:space="0" w:color="000000"/>
            </w:tcBorders>
            <w:shd w:val="clear" w:color="auto" w:fill="auto"/>
            <w:tcMar>
              <w:top w:w="12" w:type="dxa"/>
              <w:left w:w="72" w:type="dxa"/>
              <w:bottom w:w="3" w:type="dxa"/>
              <w:right w:w="66" w:type="dxa"/>
            </w:tcMar>
          </w:tcPr>
          <w:p w:rsidR="009B4233" w:rsidRDefault="006B08B9">
            <w:pPr>
              <w:spacing w:line="249" w:lineRule="auto"/>
              <w:jc w:val="right"/>
              <w:rPr>
                <w:rFonts w:ascii="Arial" w:hAnsi="Arial" w:cs="Arial"/>
                <w:sz w:val="22"/>
                <w:szCs w:val="22"/>
              </w:rPr>
            </w:pPr>
            <w:r>
              <w:rPr>
                <w:rFonts w:ascii="Arial" w:hAnsi="Arial" w:cs="Arial"/>
                <w:sz w:val="22"/>
                <w:szCs w:val="22"/>
              </w:rPr>
              <w:t>7.878,46 €</w:t>
            </w:r>
          </w:p>
        </w:tc>
      </w:tr>
      <w:tr w:rsidR="009B4233">
        <w:tblPrEx>
          <w:tblCellMar>
            <w:top w:w="0" w:type="dxa"/>
            <w:bottom w:w="0" w:type="dxa"/>
          </w:tblCellMar>
        </w:tblPrEx>
        <w:trPr>
          <w:trHeight w:val="288"/>
        </w:trPr>
        <w:tc>
          <w:tcPr>
            <w:tcW w:w="6140" w:type="dxa"/>
            <w:tcBorders>
              <w:top w:val="single" w:sz="4" w:space="0" w:color="000000"/>
              <w:left w:val="single" w:sz="4" w:space="0" w:color="000000"/>
              <w:bottom w:val="single" w:sz="4" w:space="0" w:color="000000"/>
              <w:right w:val="single" w:sz="4" w:space="0" w:color="000000"/>
            </w:tcBorders>
            <w:shd w:val="clear" w:color="auto" w:fill="auto"/>
            <w:tcMar>
              <w:top w:w="12" w:type="dxa"/>
              <w:left w:w="72" w:type="dxa"/>
              <w:bottom w:w="3" w:type="dxa"/>
              <w:right w:w="66" w:type="dxa"/>
            </w:tcMar>
          </w:tcPr>
          <w:p w:rsidR="009B4233" w:rsidRDefault="006B08B9">
            <w:pPr>
              <w:spacing w:line="249" w:lineRule="auto"/>
              <w:rPr>
                <w:rFonts w:ascii="Arial" w:hAnsi="Arial" w:cs="Arial"/>
                <w:sz w:val="22"/>
                <w:szCs w:val="22"/>
              </w:rPr>
            </w:pPr>
            <w:r>
              <w:rPr>
                <w:rFonts w:ascii="Arial" w:hAnsi="Arial" w:cs="Arial"/>
                <w:sz w:val="22"/>
                <w:szCs w:val="22"/>
              </w:rPr>
              <w:t xml:space="preserve">Inversión + Mantenimiento en Sistemas </w:t>
            </w:r>
            <w:r>
              <w:rPr>
                <w:rFonts w:ascii="Arial" w:hAnsi="Arial" w:cs="Arial"/>
                <w:sz w:val="22"/>
                <w:szCs w:val="22"/>
              </w:rPr>
              <w:t>Informáticos R.S.</w:t>
            </w:r>
          </w:p>
        </w:tc>
        <w:tc>
          <w:tcPr>
            <w:tcW w:w="2502" w:type="dxa"/>
            <w:tcBorders>
              <w:top w:val="single" w:sz="4" w:space="0" w:color="000000"/>
              <w:left w:val="single" w:sz="4" w:space="0" w:color="000000"/>
              <w:bottom w:val="single" w:sz="4" w:space="0" w:color="000000"/>
              <w:right w:val="single" w:sz="4" w:space="0" w:color="000000"/>
            </w:tcBorders>
            <w:shd w:val="clear" w:color="auto" w:fill="auto"/>
            <w:tcMar>
              <w:top w:w="12" w:type="dxa"/>
              <w:left w:w="72" w:type="dxa"/>
              <w:bottom w:w="3" w:type="dxa"/>
              <w:right w:w="66" w:type="dxa"/>
            </w:tcMar>
          </w:tcPr>
          <w:p w:rsidR="009B4233" w:rsidRDefault="006B08B9">
            <w:pPr>
              <w:spacing w:line="249" w:lineRule="auto"/>
              <w:jc w:val="right"/>
              <w:rPr>
                <w:rFonts w:ascii="Arial" w:hAnsi="Arial" w:cs="Arial"/>
                <w:sz w:val="22"/>
                <w:szCs w:val="22"/>
              </w:rPr>
            </w:pPr>
            <w:r>
              <w:rPr>
                <w:rFonts w:ascii="Arial" w:hAnsi="Arial" w:cs="Arial"/>
                <w:sz w:val="22"/>
                <w:szCs w:val="22"/>
              </w:rPr>
              <w:t>21.244,52 €</w:t>
            </w:r>
          </w:p>
        </w:tc>
      </w:tr>
      <w:tr w:rsidR="009B4233">
        <w:tblPrEx>
          <w:tblCellMar>
            <w:top w:w="0" w:type="dxa"/>
            <w:bottom w:w="0" w:type="dxa"/>
          </w:tblCellMar>
        </w:tblPrEx>
        <w:trPr>
          <w:trHeight w:val="288"/>
        </w:trPr>
        <w:tc>
          <w:tcPr>
            <w:tcW w:w="6140" w:type="dxa"/>
            <w:tcBorders>
              <w:top w:val="single" w:sz="4" w:space="0" w:color="000000"/>
              <w:left w:val="single" w:sz="4" w:space="0" w:color="000000"/>
              <w:bottom w:val="single" w:sz="4" w:space="0" w:color="000000"/>
              <w:right w:val="single" w:sz="4" w:space="0" w:color="000000"/>
            </w:tcBorders>
            <w:shd w:val="clear" w:color="auto" w:fill="auto"/>
            <w:tcMar>
              <w:top w:w="12" w:type="dxa"/>
              <w:left w:w="72" w:type="dxa"/>
              <w:bottom w:w="3" w:type="dxa"/>
              <w:right w:w="66" w:type="dxa"/>
            </w:tcMar>
          </w:tcPr>
          <w:p w:rsidR="009B4233" w:rsidRDefault="006B08B9">
            <w:pPr>
              <w:spacing w:line="249" w:lineRule="auto"/>
              <w:rPr>
                <w:rFonts w:ascii="Arial" w:hAnsi="Arial" w:cs="Arial"/>
                <w:sz w:val="22"/>
                <w:szCs w:val="22"/>
              </w:rPr>
            </w:pPr>
            <w:r>
              <w:rPr>
                <w:rFonts w:ascii="Arial" w:hAnsi="Arial" w:cs="Arial"/>
                <w:sz w:val="22"/>
                <w:szCs w:val="22"/>
              </w:rPr>
              <w:t>Reposición de contenedores</w:t>
            </w:r>
          </w:p>
        </w:tc>
        <w:tc>
          <w:tcPr>
            <w:tcW w:w="2502" w:type="dxa"/>
            <w:tcBorders>
              <w:top w:val="single" w:sz="4" w:space="0" w:color="000000"/>
              <w:left w:val="single" w:sz="4" w:space="0" w:color="000000"/>
              <w:bottom w:val="single" w:sz="4" w:space="0" w:color="000000"/>
              <w:right w:val="single" w:sz="4" w:space="0" w:color="000000"/>
            </w:tcBorders>
            <w:shd w:val="clear" w:color="auto" w:fill="auto"/>
            <w:tcMar>
              <w:top w:w="12" w:type="dxa"/>
              <w:left w:w="72" w:type="dxa"/>
              <w:bottom w:w="3" w:type="dxa"/>
              <w:right w:w="66" w:type="dxa"/>
            </w:tcMar>
          </w:tcPr>
          <w:p w:rsidR="009B4233" w:rsidRDefault="006B08B9">
            <w:pPr>
              <w:spacing w:line="249" w:lineRule="auto"/>
              <w:jc w:val="right"/>
              <w:rPr>
                <w:rFonts w:ascii="Arial" w:hAnsi="Arial" w:cs="Arial"/>
                <w:sz w:val="22"/>
                <w:szCs w:val="22"/>
              </w:rPr>
            </w:pPr>
            <w:r>
              <w:rPr>
                <w:rFonts w:ascii="Arial" w:hAnsi="Arial" w:cs="Arial"/>
                <w:sz w:val="22"/>
                <w:szCs w:val="22"/>
              </w:rPr>
              <w:t>15.969,14 €</w:t>
            </w:r>
          </w:p>
        </w:tc>
      </w:tr>
      <w:tr w:rsidR="009B4233">
        <w:tblPrEx>
          <w:tblCellMar>
            <w:top w:w="0" w:type="dxa"/>
            <w:bottom w:w="0" w:type="dxa"/>
          </w:tblCellMar>
        </w:tblPrEx>
        <w:trPr>
          <w:trHeight w:val="288"/>
        </w:trPr>
        <w:tc>
          <w:tcPr>
            <w:tcW w:w="6140" w:type="dxa"/>
            <w:tcBorders>
              <w:top w:val="single" w:sz="4" w:space="0" w:color="000000"/>
              <w:left w:val="single" w:sz="4" w:space="0" w:color="000000"/>
              <w:bottom w:val="single" w:sz="4" w:space="0" w:color="000000"/>
              <w:right w:val="single" w:sz="4" w:space="0" w:color="000000"/>
            </w:tcBorders>
            <w:shd w:val="clear" w:color="auto" w:fill="auto"/>
            <w:tcMar>
              <w:top w:w="12" w:type="dxa"/>
              <w:left w:w="72" w:type="dxa"/>
              <w:bottom w:w="3" w:type="dxa"/>
              <w:right w:w="66" w:type="dxa"/>
            </w:tcMar>
          </w:tcPr>
          <w:p w:rsidR="009B4233" w:rsidRDefault="006B08B9">
            <w:pPr>
              <w:spacing w:line="249" w:lineRule="auto"/>
              <w:rPr>
                <w:rFonts w:ascii="Arial" w:hAnsi="Arial" w:cs="Arial"/>
                <w:sz w:val="22"/>
                <w:szCs w:val="22"/>
              </w:rPr>
            </w:pPr>
            <w:r>
              <w:rPr>
                <w:rFonts w:ascii="Arial" w:hAnsi="Arial" w:cs="Arial"/>
                <w:sz w:val="22"/>
                <w:szCs w:val="22"/>
              </w:rPr>
              <w:t>Reposición de papeleras</w:t>
            </w:r>
          </w:p>
        </w:tc>
        <w:tc>
          <w:tcPr>
            <w:tcW w:w="2502" w:type="dxa"/>
            <w:tcBorders>
              <w:top w:val="single" w:sz="4" w:space="0" w:color="000000"/>
              <w:left w:val="single" w:sz="4" w:space="0" w:color="000000"/>
              <w:bottom w:val="single" w:sz="4" w:space="0" w:color="000000"/>
              <w:right w:val="single" w:sz="4" w:space="0" w:color="000000"/>
            </w:tcBorders>
            <w:shd w:val="clear" w:color="auto" w:fill="auto"/>
            <w:tcMar>
              <w:top w:w="12" w:type="dxa"/>
              <w:left w:w="72" w:type="dxa"/>
              <w:bottom w:w="3" w:type="dxa"/>
              <w:right w:w="66" w:type="dxa"/>
            </w:tcMar>
          </w:tcPr>
          <w:p w:rsidR="009B4233" w:rsidRDefault="006B08B9">
            <w:pPr>
              <w:spacing w:line="249" w:lineRule="auto"/>
              <w:jc w:val="right"/>
              <w:rPr>
                <w:rFonts w:ascii="Arial" w:hAnsi="Arial" w:cs="Arial"/>
                <w:sz w:val="22"/>
                <w:szCs w:val="22"/>
              </w:rPr>
            </w:pPr>
            <w:r>
              <w:rPr>
                <w:rFonts w:ascii="Arial" w:hAnsi="Arial" w:cs="Arial"/>
                <w:sz w:val="22"/>
                <w:szCs w:val="22"/>
              </w:rPr>
              <w:t>5.000,00 €</w:t>
            </w:r>
          </w:p>
        </w:tc>
      </w:tr>
      <w:tr w:rsidR="009B4233">
        <w:tblPrEx>
          <w:tblCellMar>
            <w:top w:w="0" w:type="dxa"/>
            <w:bottom w:w="0" w:type="dxa"/>
          </w:tblCellMar>
        </w:tblPrEx>
        <w:trPr>
          <w:trHeight w:val="288"/>
        </w:trPr>
        <w:tc>
          <w:tcPr>
            <w:tcW w:w="6140" w:type="dxa"/>
            <w:tcBorders>
              <w:top w:val="single" w:sz="4" w:space="0" w:color="000000"/>
              <w:left w:val="single" w:sz="4" w:space="0" w:color="000000"/>
              <w:bottom w:val="single" w:sz="4" w:space="0" w:color="000000"/>
              <w:right w:val="single" w:sz="4" w:space="0" w:color="000000"/>
            </w:tcBorders>
            <w:shd w:val="clear" w:color="auto" w:fill="auto"/>
            <w:tcMar>
              <w:top w:w="12" w:type="dxa"/>
              <w:left w:w="72" w:type="dxa"/>
              <w:bottom w:w="3" w:type="dxa"/>
              <w:right w:w="66" w:type="dxa"/>
            </w:tcMar>
          </w:tcPr>
          <w:p w:rsidR="009B4233" w:rsidRDefault="006B08B9">
            <w:pPr>
              <w:spacing w:line="249" w:lineRule="auto"/>
              <w:rPr>
                <w:rFonts w:ascii="Arial" w:hAnsi="Arial" w:cs="Arial"/>
                <w:sz w:val="22"/>
                <w:szCs w:val="22"/>
              </w:rPr>
            </w:pPr>
            <w:r>
              <w:rPr>
                <w:rFonts w:ascii="Arial" w:hAnsi="Arial" w:cs="Arial"/>
                <w:sz w:val="22"/>
                <w:szCs w:val="22"/>
              </w:rPr>
              <w:t>Campañas de comunicación</w:t>
            </w:r>
          </w:p>
        </w:tc>
        <w:tc>
          <w:tcPr>
            <w:tcW w:w="2502" w:type="dxa"/>
            <w:tcBorders>
              <w:top w:val="single" w:sz="4" w:space="0" w:color="000000"/>
              <w:left w:val="single" w:sz="4" w:space="0" w:color="000000"/>
              <w:bottom w:val="single" w:sz="4" w:space="0" w:color="000000"/>
              <w:right w:val="single" w:sz="4" w:space="0" w:color="000000"/>
            </w:tcBorders>
            <w:shd w:val="clear" w:color="auto" w:fill="auto"/>
            <w:tcMar>
              <w:top w:w="12" w:type="dxa"/>
              <w:left w:w="72" w:type="dxa"/>
              <w:bottom w:w="3" w:type="dxa"/>
              <w:right w:w="66" w:type="dxa"/>
            </w:tcMar>
          </w:tcPr>
          <w:p w:rsidR="009B4233" w:rsidRDefault="006B08B9">
            <w:pPr>
              <w:spacing w:line="249" w:lineRule="auto"/>
              <w:jc w:val="right"/>
              <w:rPr>
                <w:rFonts w:ascii="Arial" w:hAnsi="Arial" w:cs="Arial"/>
                <w:sz w:val="22"/>
                <w:szCs w:val="22"/>
              </w:rPr>
            </w:pPr>
            <w:r>
              <w:rPr>
                <w:rFonts w:ascii="Arial" w:hAnsi="Arial" w:cs="Arial"/>
                <w:sz w:val="22"/>
                <w:szCs w:val="22"/>
              </w:rPr>
              <w:t>45.001,00 €</w:t>
            </w:r>
          </w:p>
        </w:tc>
      </w:tr>
      <w:tr w:rsidR="009B4233">
        <w:tblPrEx>
          <w:tblCellMar>
            <w:top w:w="0" w:type="dxa"/>
            <w:bottom w:w="0" w:type="dxa"/>
          </w:tblCellMar>
        </w:tblPrEx>
        <w:trPr>
          <w:trHeight w:val="305"/>
        </w:trPr>
        <w:tc>
          <w:tcPr>
            <w:tcW w:w="6140" w:type="dxa"/>
            <w:tcBorders>
              <w:top w:val="single" w:sz="4" w:space="0" w:color="000000"/>
              <w:left w:val="single" w:sz="4" w:space="0" w:color="000000"/>
              <w:bottom w:val="single" w:sz="8" w:space="0" w:color="000000"/>
              <w:right w:val="single" w:sz="4" w:space="0" w:color="000000"/>
            </w:tcBorders>
            <w:shd w:val="clear" w:color="auto" w:fill="auto"/>
            <w:tcMar>
              <w:top w:w="12" w:type="dxa"/>
              <w:left w:w="72" w:type="dxa"/>
              <w:bottom w:w="3" w:type="dxa"/>
              <w:right w:w="66" w:type="dxa"/>
            </w:tcMar>
          </w:tcPr>
          <w:p w:rsidR="009B4233" w:rsidRDefault="006B08B9">
            <w:pPr>
              <w:spacing w:line="249" w:lineRule="auto"/>
              <w:rPr>
                <w:rFonts w:ascii="Arial" w:hAnsi="Arial" w:cs="Arial"/>
                <w:sz w:val="22"/>
                <w:szCs w:val="22"/>
              </w:rPr>
            </w:pPr>
            <w:r>
              <w:rPr>
                <w:rFonts w:ascii="Arial" w:hAnsi="Arial" w:cs="Arial"/>
                <w:sz w:val="22"/>
                <w:szCs w:val="22"/>
              </w:rPr>
              <w:t>Gestión de Residuos</w:t>
            </w:r>
          </w:p>
        </w:tc>
        <w:tc>
          <w:tcPr>
            <w:tcW w:w="2502" w:type="dxa"/>
            <w:tcBorders>
              <w:top w:val="single" w:sz="4" w:space="0" w:color="000000"/>
              <w:left w:val="single" w:sz="4" w:space="0" w:color="000000"/>
              <w:bottom w:val="single" w:sz="8" w:space="0" w:color="000000"/>
              <w:right w:val="single" w:sz="4" w:space="0" w:color="000000"/>
            </w:tcBorders>
            <w:shd w:val="clear" w:color="auto" w:fill="auto"/>
            <w:tcMar>
              <w:top w:w="12" w:type="dxa"/>
              <w:left w:w="72" w:type="dxa"/>
              <w:bottom w:w="3" w:type="dxa"/>
              <w:right w:w="66" w:type="dxa"/>
            </w:tcMar>
          </w:tcPr>
          <w:p w:rsidR="009B4233" w:rsidRDefault="006B08B9">
            <w:pPr>
              <w:spacing w:line="249" w:lineRule="auto"/>
              <w:jc w:val="right"/>
              <w:rPr>
                <w:rFonts w:ascii="Arial" w:hAnsi="Arial" w:cs="Arial"/>
                <w:sz w:val="22"/>
                <w:szCs w:val="22"/>
              </w:rPr>
            </w:pPr>
            <w:r>
              <w:rPr>
                <w:rFonts w:ascii="Arial" w:hAnsi="Arial" w:cs="Arial"/>
                <w:sz w:val="22"/>
                <w:szCs w:val="22"/>
              </w:rPr>
              <w:t>461,59 €</w:t>
            </w:r>
          </w:p>
        </w:tc>
      </w:tr>
      <w:tr w:rsidR="009B4233">
        <w:tblPrEx>
          <w:tblCellMar>
            <w:top w:w="0" w:type="dxa"/>
            <w:bottom w:w="0" w:type="dxa"/>
          </w:tblCellMar>
        </w:tblPrEx>
        <w:trPr>
          <w:trHeight w:val="300"/>
        </w:trPr>
        <w:tc>
          <w:tcPr>
            <w:tcW w:w="6140" w:type="dxa"/>
            <w:tcBorders>
              <w:top w:val="single" w:sz="8" w:space="0" w:color="000000"/>
              <w:left w:val="single" w:sz="8" w:space="0" w:color="000000"/>
              <w:bottom w:val="single" w:sz="8" w:space="0" w:color="000000"/>
              <w:right w:val="single" w:sz="4" w:space="0" w:color="000000"/>
            </w:tcBorders>
            <w:shd w:val="clear" w:color="auto" w:fill="auto"/>
            <w:tcMar>
              <w:top w:w="12" w:type="dxa"/>
              <w:left w:w="72" w:type="dxa"/>
              <w:bottom w:w="3" w:type="dxa"/>
              <w:right w:w="66" w:type="dxa"/>
            </w:tcMar>
          </w:tcPr>
          <w:p w:rsidR="009B4233" w:rsidRDefault="006B08B9">
            <w:pPr>
              <w:spacing w:line="249" w:lineRule="auto"/>
            </w:pPr>
            <w:r>
              <w:rPr>
                <w:rFonts w:ascii="Arial" w:eastAsia="Arial" w:hAnsi="Arial" w:cs="Arial"/>
                <w:b/>
                <w:sz w:val="22"/>
                <w:szCs w:val="22"/>
              </w:rPr>
              <w:t>TOTAL</w:t>
            </w:r>
          </w:p>
        </w:tc>
        <w:tc>
          <w:tcPr>
            <w:tcW w:w="2502" w:type="dxa"/>
            <w:tcBorders>
              <w:top w:val="single" w:sz="8" w:space="0" w:color="000000"/>
              <w:left w:val="single" w:sz="4" w:space="0" w:color="000000"/>
              <w:bottom w:val="single" w:sz="8" w:space="0" w:color="000000"/>
              <w:right w:val="single" w:sz="8" w:space="0" w:color="000000"/>
            </w:tcBorders>
            <w:shd w:val="clear" w:color="auto" w:fill="auto"/>
            <w:tcMar>
              <w:top w:w="12" w:type="dxa"/>
              <w:left w:w="72" w:type="dxa"/>
              <w:bottom w:w="3" w:type="dxa"/>
              <w:right w:w="66" w:type="dxa"/>
            </w:tcMar>
          </w:tcPr>
          <w:p w:rsidR="009B4233" w:rsidRDefault="006B08B9">
            <w:pPr>
              <w:spacing w:line="249" w:lineRule="auto"/>
              <w:jc w:val="right"/>
            </w:pPr>
            <w:r>
              <w:rPr>
                <w:rFonts w:ascii="Arial" w:eastAsia="Arial" w:hAnsi="Arial" w:cs="Arial"/>
                <w:b/>
                <w:sz w:val="22"/>
                <w:szCs w:val="22"/>
              </w:rPr>
              <w:t>1.518.014,84 €</w:t>
            </w:r>
          </w:p>
        </w:tc>
      </w:tr>
    </w:tbl>
    <w:p w:rsidR="009B4233" w:rsidRDefault="006B08B9">
      <w:pPr>
        <w:ind w:left="-15"/>
        <w:jc w:val="both"/>
        <w:rPr>
          <w:rFonts w:ascii="Arial" w:hAnsi="Arial" w:cs="Arial"/>
          <w:sz w:val="22"/>
          <w:szCs w:val="22"/>
        </w:rPr>
      </w:pPr>
      <w:r>
        <w:rPr>
          <w:rFonts w:ascii="Arial" w:hAnsi="Arial" w:cs="Arial"/>
          <w:sz w:val="22"/>
          <w:szCs w:val="22"/>
        </w:rPr>
        <w:t xml:space="preserve">Teniendo en cuenta estos datos, el coste del servicio de </w:t>
      </w:r>
      <w:r>
        <w:rPr>
          <w:rFonts w:ascii="Arial" w:hAnsi="Arial" w:cs="Arial"/>
          <w:sz w:val="22"/>
          <w:szCs w:val="22"/>
        </w:rPr>
        <w:t xml:space="preserve">recogida de basuras en el término municipal de Candelaria ascienden a 1.518.014,84€. Sin embargo, a estos costes directos de recogida, es imprescindible añadirle los costes de tratamiento de los mismos. </w:t>
      </w:r>
    </w:p>
    <w:p w:rsidR="009B4233" w:rsidRDefault="006B08B9">
      <w:pPr>
        <w:ind w:left="-15"/>
        <w:jc w:val="both"/>
        <w:rPr>
          <w:rFonts w:ascii="Arial" w:hAnsi="Arial" w:cs="Arial"/>
          <w:sz w:val="22"/>
          <w:szCs w:val="22"/>
        </w:rPr>
      </w:pPr>
      <w:r>
        <w:rPr>
          <w:rFonts w:ascii="Arial" w:hAnsi="Arial" w:cs="Arial"/>
          <w:sz w:val="22"/>
          <w:szCs w:val="22"/>
        </w:rPr>
        <w:t>La competencia del tratamiento de los residuos en la</w:t>
      </w:r>
      <w:r>
        <w:rPr>
          <w:rFonts w:ascii="Arial" w:hAnsi="Arial" w:cs="Arial"/>
          <w:sz w:val="22"/>
          <w:szCs w:val="22"/>
        </w:rPr>
        <w:t xml:space="preserve"> Isla de Tenerife la ostenta el Cabildo de la isla y, en virtud de ella, cobra un canon por tratamiento de los vertidos y que el Ayuntamiento tiene consignado en la partida presupuestaria municipal denominada correspondiente. </w:t>
      </w:r>
    </w:p>
    <w:p w:rsidR="009B4233" w:rsidRDefault="006B08B9">
      <w:pPr>
        <w:ind w:left="-15"/>
        <w:jc w:val="both"/>
        <w:rPr>
          <w:rFonts w:ascii="Arial" w:hAnsi="Arial" w:cs="Arial"/>
          <w:sz w:val="22"/>
          <w:szCs w:val="22"/>
        </w:rPr>
      </w:pPr>
      <w:r>
        <w:rPr>
          <w:rFonts w:ascii="Arial" w:hAnsi="Arial" w:cs="Arial"/>
          <w:sz w:val="22"/>
          <w:szCs w:val="22"/>
        </w:rPr>
        <w:t>Estos costes, según datos apo</w:t>
      </w:r>
      <w:r>
        <w:rPr>
          <w:rFonts w:ascii="Arial" w:hAnsi="Arial" w:cs="Arial"/>
          <w:sz w:val="22"/>
          <w:szCs w:val="22"/>
        </w:rPr>
        <w:t xml:space="preserve">rtados por el Cabildo de Tenerife, se resumen en la siguiente tabla, que muestran para el año 2024 el importe total del coste de la gestión de los residuos generados en el término municipal de Candelaria y una estimación para el año 2025. </w:t>
      </w:r>
    </w:p>
    <w:p w:rsidR="009B4233" w:rsidRDefault="009B4233">
      <w:pPr>
        <w:ind w:left="-15"/>
        <w:jc w:val="both"/>
        <w:rPr>
          <w:rFonts w:ascii="Arial" w:hAnsi="Arial" w:cs="Arial"/>
          <w:sz w:val="22"/>
          <w:szCs w:val="22"/>
        </w:rPr>
      </w:pPr>
    </w:p>
    <w:tbl>
      <w:tblPr>
        <w:tblW w:w="5960" w:type="dxa"/>
        <w:tblInd w:w="1270" w:type="dxa"/>
        <w:tblCellMar>
          <w:left w:w="10" w:type="dxa"/>
          <w:right w:w="10" w:type="dxa"/>
        </w:tblCellMar>
        <w:tblLook w:val="0000" w:firstRow="0" w:lastRow="0" w:firstColumn="0" w:lastColumn="0" w:noHBand="0" w:noVBand="0"/>
      </w:tblPr>
      <w:tblGrid>
        <w:gridCol w:w="3114"/>
        <w:gridCol w:w="2846"/>
      </w:tblGrid>
      <w:tr w:rsidR="009B4233">
        <w:tblPrEx>
          <w:tblCellMar>
            <w:top w:w="0" w:type="dxa"/>
            <w:bottom w:w="0" w:type="dxa"/>
          </w:tblCellMar>
        </w:tblPrEx>
        <w:trPr>
          <w:trHeight w:val="540"/>
        </w:trPr>
        <w:tc>
          <w:tcPr>
            <w:tcW w:w="5960" w:type="dxa"/>
            <w:gridSpan w:val="2"/>
            <w:tcBorders>
              <w:top w:val="single" w:sz="4" w:space="0" w:color="000000"/>
              <w:left w:val="single" w:sz="4" w:space="0" w:color="000000"/>
              <w:bottom w:val="single" w:sz="4" w:space="0" w:color="000000"/>
              <w:right w:val="single" w:sz="4" w:space="0" w:color="000000"/>
            </w:tcBorders>
            <w:shd w:val="clear" w:color="auto" w:fill="E2EFDA"/>
            <w:tcMar>
              <w:top w:w="0" w:type="dxa"/>
              <w:left w:w="115" w:type="dxa"/>
              <w:bottom w:w="0" w:type="dxa"/>
              <w:right w:w="84" w:type="dxa"/>
            </w:tcMar>
            <w:vAlign w:val="bottom"/>
          </w:tcPr>
          <w:p w:rsidR="009B4233" w:rsidRDefault="006B08B9">
            <w:pPr>
              <w:spacing w:line="249" w:lineRule="auto"/>
            </w:pPr>
            <w:r>
              <w:rPr>
                <w:rFonts w:ascii="Arial" w:eastAsia="Arial" w:hAnsi="Arial" w:cs="Arial"/>
                <w:b/>
                <w:sz w:val="22"/>
                <w:szCs w:val="22"/>
              </w:rPr>
              <w:t>COSTES TASA PTE</w:t>
            </w:r>
            <w:r>
              <w:rPr>
                <w:rFonts w:ascii="Arial" w:eastAsia="Arial" w:hAnsi="Arial" w:cs="Arial"/>
                <w:b/>
                <w:sz w:val="22"/>
                <w:szCs w:val="22"/>
              </w:rPr>
              <w:t xml:space="preserve">OR POR EL TRATAMIENTO DE LOS RESIDUOS </w:t>
            </w:r>
          </w:p>
          <w:p w:rsidR="009B4233" w:rsidRDefault="006B08B9">
            <w:pPr>
              <w:spacing w:line="249" w:lineRule="auto"/>
              <w:ind w:right="52"/>
              <w:jc w:val="center"/>
            </w:pPr>
            <w:r>
              <w:rPr>
                <w:rFonts w:ascii="Arial" w:eastAsia="Arial" w:hAnsi="Arial" w:cs="Arial"/>
                <w:b/>
                <w:sz w:val="22"/>
                <w:szCs w:val="22"/>
              </w:rPr>
              <w:t>DEL MUNICIPIO DE CANDELARIA</w:t>
            </w:r>
          </w:p>
        </w:tc>
      </w:tr>
      <w:tr w:rsidR="009B4233">
        <w:tblPrEx>
          <w:tblCellMar>
            <w:top w:w="0" w:type="dxa"/>
            <w:bottom w:w="0" w:type="dxa"/>
          </w:tblCellMar>
        </w:tblPrEx>
        <w:trPr>
          <w:trHeight w:val="288"/>
        </w:trPr>
        <w:tc>
          <w:tcPr>
            <w:tcW w:w="3114"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84" w:type="dxa"/>
            </w:tcMar>
          </w:tcPr>
          <w:p w:rsidR="009B4233" w:rsidRDefault="006B08B9">
            <w:pPr>
              <w:spacing w:line="249" w:lineRule="auto"/>
              <w:ind w:left="2"/>
              <w:jc w:val="center"/>
              <w:rPr>
                <w:rFonts w:ascii="Arial" w:hAnsi="Arial" w:cs="Arial"/>
                <w:sz w:val="22"/>
                <w:szCs w:val="22"/>
              </w:rPr>
            </w:pPr>
            <w:r>
              <w:rPr>
                <w:rFonts w:ascii="Arial" w:hAnsi="Arial" w:cs="Arial"/>
                <w:sz w:val="22"/>
                <w:szCs w:val="22"/>
              </w:rPr>
              <w:t>Ejercicio</w:t>
            </w:r>
          </w:p>
        </w:tc>
        <w:tc>
          <w:tcPr>
            <w:tcW w:w="2846"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84" w:type="dxa"/>
            </w:tcMar>
          </w:tcPr>
          <w:p w:rsidR="009B4233" w:rsidRDefault="006B08B9">
            <w:pPr>
              <w:spacing w:line="249" w:lineRule="auto"/>
              <w:ind w:left="4"/>
              <w:jc w:val="center"/>
              <w:rPr>
                <w:rFonts w:ascii="Arial" w:hAnsi="Arial" w:cs="Arial"/>
                <w:sz w:val="22"/>
                <w:szCs w:val="22"/>
              </w:rPr>
            </w:pPr>
            <w:r>
              <w:rPr>
                <w:rFonts w:ascii="Arial" w:hAnsi="Arial" w:cs="Arial"/>
                <w:sz w:val="22"/>
                <w:szCs w:val="22"/>
              </w:rPr>
              <w:t>Importe</w:t>
            </w:r>
          </w:p>
        </w:tc>
      </w:tr>
      <w:tr w:rsidR="009B4233">
        <w:tblPrEx>
          <w:tblCellMar>
            <w:top w:w="0" w:type="dxa"/>
            <w:bottom w:w="0" w:type="dxa"/>
          </w:tblCellMar>
        </w:tblPrEx>
        <w:trPr>
          <w:trHeight w:val="288"/>
        </w:trPr>
        <w:tc>
          <w:tcPr>
            <w:tcW w:w="3114"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84" w:type="dxa"/>
            </w:tcMar>
          </w:tcPr>
          <w:p w:rsidR="009B4233" w:rsidRDefault="006B08B9">
            <w:pPr>
              <w:spacing w:line="249" w:lineRule="auto"/>
              <w:ind w:left="2"/>
              <w:jc w:val="center"/>
              <w:rPr>
                <w:rFonts w:ascii="Arial" w:hAnsi="Arial" w:cs="Arial"/>
                <w:sz w:val="22"/>
                <w:szCs w:val="22"/>
              </w:rPr>
            </w:pPr>
            <w:r>
              <w:rPr>
                <w:rFonts w:ascii="Arial" w:hAnsi="Arial" w:cs="Arial"/>
                <w:sz w:val="22"/>
                <w:szCs w:val="22"/>
              </w:rPr>
              <w:t>2024</w:t>
            </w:r>
          </w:p>
        </w:tc>
        <w:tc>
          <w:tcPr>
            <w:tcW w:w="2846"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84" w:type="dxa"/>
            </w:tcMar>
          </w:tcPr>
          <w:p w:rsidR="009B4233" w:rsidRDefault="006B08B9">
            <w:pPr>
              <w:spacing w:line="249" w:lineRule="auto"/>
              <w:ind w:left="2"/>
              <w:jc w:val="center"/>
              <w:rPr>
                <w:rFonts w:ascii="Arial" w:hAnsi="Arial" w:cs="Arial"/>
                <w:sz w:val="22"/>
                <w:szCs w:val="22"/>
              </w:rPr>
            </w:pPr>
            <w:r>
              <w:rPr>
                <w:rFonts w:ascii="Arial" w:hAnsi="Arial" w:cs="Arial"/>
                <w:sz w:val="22"/>
                <w:szCs w:val="22"/>
              </w:rPr>
              <w:t>587.934,91 €</w:t>
            </w:r>
          </w:p>
        </w:tc>
      </w:tr>
      <w:tr w:rsidR="009B4233">
        <w:tblPrEx>
          <w:tblCellMar>
            <w:top w:w="0" w:type="dxa"/>
            <w:bottom w:w="0" w:type="dxa"/>
          </w:tblCellMar>
        </w:tblPrEx>
        <w:trPr>
          <w:trHeight w:val="288"/>
        </w:trPr>
        <w:tc>
          <w:tcPr>
            <w:tcW w:w="3114"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84" w:type="dxa"/>
            </w:tcMar>
          </w:tcPr>
          <w:p w:rsidR="009B4233" w:rsidRDefault="006B08B9">
            <w:pPr>
              <w:spacing w:line="249" w:lineRule="auto"/>
              <w:ind w:left="2"/>
              <w:jc w:val="center"/>
              <w:rPr>
                <w:rFonts w:ascii="Arial" w:hAnsi="Arial" w:cs="Arial"/>
                <w:sz w:val="22"/>
                <w:szCs w:val="22"/>
              </w:rPr>
            </w:pPr>
            <w:r>
              <w:rPr>
                <w:rFonts w:ascii="Arial" w:hAnsi="Arial" w:cs="Arial"/>
                <w:sz w:val="22"/>
                <w:szCs w:val="22"/>
              </w:rPr>
              <w:t>2025</w:t>
            </w:r>
          </w:p>
        </w:tc>
        <w:tc>
          <w:tcPr>
            <w:tcW w:w="2846"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84" w:type="dxa"/>
            </w:tcMar>
          </w:tcPr>
          <w:p w:rsidR="009B4233" w:rsidRDefault="006B08B9">
            <w:pPr>
              <w:spacing w:line="249" w:lineRule="auto"/>
              <w:ind w:left="2"/>
              <w:jc w:val="center"/>
              <w:rPr>
                <w:rFonts w:ascii="Arial" w:hAnsi="Arial" w:cs="Arial"/>
                <w:sz w:val="22"/>
                <w:szCs w:val="22"/>
              </w:rPr>
            </w:pPr>
            <w:r>
              <w:rPr>
                <w:rFonts w:ascii="Arial" w:hAnsi="Arial" w:cs="Arial"/>
                <w:sz w:val="22"/>
                <w:szCs w:val="22"/>
              </w:rPr>
              <w:t>888.578,00 €</w:t>
            </w:r>
          </w:p>
        </w:tc>
      </w:tr>
      <w:tr w:rsidR="009B4233">
        <w:tblPrEx>
          <w:tblCellMar>
            <w:top w:w="0" w:type="dxa"/>
            <w:bottom w:w="0" w:type="dxa"/>
          </w:tblCellMar>
        </w:tblPrEx>
        <w:trPr>
          <w:trHeight w:val="288"/>
        </w:trPr>
        <w:tc>
          <w:tcPr>
            <w:tcW w:w="3114"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84" w:type="dxa"/>
            </w:tcMar>
          </w:tcPr>
          <w:p w:rsidR="009B4233" w:rsidRDefault="006B08B9">
            <w:pPr>
              <w:spacing w:line="249" w:lineRule="auto"/>
              <w:ind w:left="2"/>
              <w:jc w:val="center"/>
              <w:rPr>
                <w:rFonts w:ascii="Arial" w:hAnsi="Arial" w:cs="Arial"/>
                <w:sz w:val="22"/>
                <w:szCs w:val="22"/>
              </w:rPr>
            </w:pPr>
            <w:r>
              <w:rPr>
                <w:rFonts w:ascii="Arial" w:hAnsi="Arial" w:cs="Arial"/>
                <w:sz w:val="22"/>
                <w:szCs w:val="22"/>
              </w:rPr>
              <w:t>2026</w:t>
            </w:r>
          </w:p>
        </w:tc>
        <w:tc>
          <w:tcPr>
            <w:tcW w:w="2846"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84" w:type="dxa"/>
            </w:tcMar>
          </w:tcPr>
          <w:p w:rsidR="009B4233" w:rsidRDefault="006B08B9">
            <w:pPr>
              <w:spacing w:line="249" w:lineRule="auto"/>
              <w:ind w:left="2"/>
              <w:jc w:val="center"/>
              <w:rPr>
                <w:rFonts w:ascii="Arial" w:hAnsi="Arial" w:cs="Arial"/>
                <w:sz w:val="22"/>
                <w:szCs w:val="22"/>
              </w:rPr>
            </w:pPr>
            <w:r>
              <w:rPr>
                <w:rFonts w:ascii="Arial" w:hAnsi="Arial" w:cs="Arial"/>
                <w:sz w:val="22"/>
                <w:szCs w:val="22"/>
              </w:rPr>
              <w:t>935.345,00 €</w:t>
            </w:r>
          </w:p>
        </w:tc>
      </w:tr>
    </w:tbl>
    <w:p w:rsidR="009B4233" w:rsidRDefault="009B4233">
      <w:pPr>
        <w:ind w:left="-15"/>
        <w:rPr>
          <w:rFonts w:ascii="Arial" w:hAnsi="Arial" w:cs="Arial"/>
          <w:sz w:val="22"/>
          <w:szCs w:val="22"/>
        </w:rPr>
      </w:pPr>
    </w:p>
    <w:p w:rsidR="009B4233" w:rsidRDefault="006B08B9">
      <w:pPr>
        <w:ind w:left="-15"/>
        <w:jc w:val="both"/>
        <w:rPr>
          <w:rFonts w:ascii="Arial" w:hAnsi="Arial" w:cs="Arial"/>
          <w:sz w:val="22"/>
          <w:szCs w:val="22"/>
        </w:rPr>
      </w:pPr>
      <w:r>
        <w:rPr>
          <w:rFonts w:ascii="Arial" w:hAnsi="Arial" w:cs="Arial"/>
          <w:sz w:val="22"/>
          <w:szCs w:val="22"/>
        </w:rPr>
        <w:t xml:space="preserve">El aumento significativo en los costes del servicio puede estar justificado por el cambio de método de cálculo </w:t>
      </w:r>
      <w:r>
        <w:rPr>
          <w:rFonts w:ascii="Arial" w:hAnsi="Arial" w:cs="Arial"/>
          <w:sz w:val="22"/>
          <w:szCs w:val="22"/>
        </w:rPr>
        <w:t>de la cuota (antes en tramos, según el tipo de residuos generados, y ahora en una cuota única de 90,39 euros/tonelada de residuos generados) para adaptarse a la Ley 7/2022, así como al método de su aproximación, que tiene en cuenta las variaciones del PIB.</w:t>
      </w:r>
      <w:r>
        <w:rPr>
          <w:rFonts w:ascii="Arial" w:hAnsi="Arial" w:cs="Arial"/>
          <w:sz w:val="22"/>
          <w:szCs w:val="22"/>
        </w:rPr>
        <w:t xml:space="preserve"> </w:t>
      </w:r>
    </w:p>
    <w:p w:rsidR="009B4233" w:rsidRDefault="009B4233">
      <w:pPr>
        <w:ind w:left="-15"/>
        <w:jc w:val="both"/>
        <w:rPr>
          <w:rFonts w:ascii="Arial" w:hAnsi="Arial" w:cs="Arial"/>
          <w:sz w:val="22"/>
          <w:szCs w:val="22"/>
        </w:rPr>
      </w:pPr>
    </w:p>
    <w:p w:rsidR="009B4233" w:rsidRDefault="006B08B9">
      <w:pPr>
        <w:ind w:left="-15"/>
        <w:jc w:val="both"/>
        <w:rPr>
          <w:rFonts w:ascii="Arial" w:hAnsi="Arial" w:cs="Arial"/>
          <w:sz w:val="22"/>
          <w:szCs w:val="22"/>
        </w:rPr>
      </w:pPr>
      <w:r>
        <w:rPr>
          <w:rFonts w:ascii="Arial" w:hAnsi="Arial" w:cs="Arial"/>
          <w:sz w:val="22"/>
          <w:szCs w:val="22"/>
        </w:rPr>
        <w:t xml:space="preserve">Además, se puede observar un ligero incremento entre los costes del ejercicio 2025 y los del 2026, debido a que en el primero se cobrará la nueva cuota (90,39 euros por tonelada) solo a partir del 10 de abril del mismo ejercicio. </w:t>
      </w:r>
    </w:p>
    <w:p w:rsidR="009B4233" w:rsidRDefault="009B4233">
      <w:pPr>
        <w:ind w:left="-15"/>
        <w:jc w:val="both"/>
        <w:rPr>
          <w:rFonts w:ascii="Arial" w:hAnsi="Arial" w:cs="Arial"/>
          <w:sz w:val="22"/>
          <w:szCs w:val="22"/>
        </w:rPr>
      </w:pPr>
    </w:p>
    <w:p w:rsidR="009B4233" w:rsidRDefault="009B4233">
      <w:pPr>
        <w:ind w:left="-15"/>
        <w:jc w:val="both"/>
        <w:rPr>
          <w:rFonts w:ascii="Arial" w:hAnsi="Arial" w:cs="Arial"/>
          <w:sz w:val="22"/>
          <w:szCs w:val="22"/>
        </w:rPr>
      </w:pPr>
    </w:p>
    <w:p w:rsidR="009B4233" w:rsidRDefault="009B4233">
      <w:pPr>
        <w:ind w:left="-15"/>
        <w:jc w:val="both"/>
        <w:rPr>
          <w:rFonts w:ascii="Arial" w:hAnsi="Arial" w:cs="Arial"/>
          <w:sz w:val="22"/>
          <w:szCs w:val="22"/>
        </w:rPr>
      </w:pPr>
    </w:p>
    <w:p w:rsidR="009B4233" w:rsidRDefault="009B4233">
      <w:pPr>
        <w:ind w:left="-15"/>
        <w:jc w:val="both"/>
        <w:rPr>
          <w:rFonts w:ascii="Arial" w:hAnsi="Arial" w:cs="Arial"/>
          <w:sz w:val="22"/>
          <w:szCs w:val="22"/>
        </w:rPr>
      </w:pPr>
    </w:p>
    <w:p w:rsidR="009B4233" w:rsidRDefault="006B08B9">
      <w:pPr>
        <w:pStyle w:val="Ttulo3"/>
        <w:ind w:left="279"/>
        <w:rPr>
          <w:rFonts w:ascii="Arial" w:hAnsi="Arial" w:cs="Arial"/>
          <w:sz w:val="22"/>
          <w:szCs w:val="22"/>
        </w:rPr>
      </w:pPr>
      <w:r>
        <w:rPr>
          <w:rFonts w:ascii="Arial" w:hAnsi="Arial" w:cs="Arial"/>
          <w:sz w:val="22"/>
          <w:szCs w:val="22"/>
        </w:rPr>
        <w:t xml:space="preserve">2.2. Costes </w:t>
      </w:r>
      <w:r>
        <w:rPr>
          <w:rFonts w:ascii="Arial" w:hAnsi="Arial" w:cs="Arial"/>
          <w:sz w:val="22"/>
          <w:szCs w:val="22"/>
        </w:rPr>
        <w:t>indirectos</w:t>
      </w:r>
    </w:p>
    <w:p w:rsidR="009B4233" w:rsidRDefault="006B08B9">
      <w:pPr>
        <w:ind w:left="-15"/>
        <w:jc w:val="both"/>
        <w:rPr>
          <w:rFonts w:ascii="Arial" w:hAnsi="Arial" w:cs="Arial"/>
          <w:sz w:val="22"/>
          <w:szCs w:val="22"/>
        </w:rPr>
      </w:pPr>
      <w:r>
        <w:rPr>
          <w:rFonts w:ascii="Arial" w:hAnsi="Arial" w:cs="Arial"/>
          <w:sz w:val="22"/>
          <w:szCs w:val="22"/>
        </w:rPr>
        <w:t>Se consideran costes indirectos aquellos que no pueden imputarse de manera directa a una actividad concreta o a un único servicio, pero que resultan indispensables para el funcionamiento general de la organización.</w:t>
      </w:r>
    </w:p>
    <w:p w:rsidR="009B4233" w:rsidRDefault="009B4233">
      <w:pPr>
        <w:ind w:left="-15"/>
        <w:jc w:val="both"/>
        <w:rPr>
          <w:rFonts w:ascii="Arial" w:hAnsi="Arial" w:cs="Arial"/>
          <w:sz w:val="22"/>
          <w:szCs w:val="22"/>
        </w:rPr>
      </w:pPr>
    </w:p>
    <w:p w:rsidR="009B4233" w:rsidRDefault="006B08B9">
      <w:pPr>
        <w:ind w:left="-15"/>
        <w:jc w:val="both"/>
        <w:rPr>
          <w:rFonts w:ascii="Arial" w:hAnsi="Arial" w:cs="Arial"/>
          <w:sz w:val="22"/>
          <w:szCs w:val="22"/>
        </w:rPr>
      </w:pPr>
      <w:r>
        <w:rPr>
          <w:rFonts w:ascii="Arial" w:hAnsi="Arial" w:cs="Arial"/>
          <w:sz w:val="22"/>
          <w:szCs w:val="22"/>
        </w:rPr>
        <w:t>La Ordenanza vigente establec</w:t>
      </w:r>
      <w:r>
        <w:rPr>
          <w:rFonts w:ascii="Arial" w:hAnsi="Arial" w:cs="Arial"/>
          <w:sz w:val="22"/>
          <w:szCs w:val="22"/>
        </w:rPr>
        <w:t xml:space="preserve">e, en su artículo 12 relativo a los Convenios de Colaboración, la posibilidad de suscribir acuerdos con entidades, instituciones u organizaciones con el fin de simplificar tanto las obligaciones formales y materiales como los procedimientos de recaudación </w:t>
      </w:r>
      <w:r>
        <w:rPr>
          <w:rFonts w:ascii="Arial" w:hAnsi="Arial" w:cs="Arial"/>
          <w:sz w:val="22"/>
          <w:szCs w:val="22"/>
        </w:rPr>
        <w:t>de la tasa.</w:t>
      </w:r>
    </w:p>
    <w:p w:rsidR="009B4233" w:rsidRDefault="009B4233">
      <w:pPr>
        <w:ind w:left="-15"/>
        <w:jc w:val="both"/>
        <w:rPr>
          <w:rFonts w:ascii="Arial" w:hAnsi="Arial" w:cs="Arial"/>
          <w:sz w:val="22"/>
          <w:szCs w:val="22"/>
        </w:rPr>
      </w:pPr>
    </w:p>
    <w:p w:rsidR="009B4233" w:rsidRDefault="006B08B9">
      <w:pPr>
        <w:spacing w:after="9"/>
        <w:ind w:left="-15"/>
        <w:jc w:val="both"/>
        <w:rPr>
          <w:rFonts w:ascii="Arial" w:hAnsi="Arial" w:cs="Arial"/>
          <w:sz w:val="22"/>
          <w:szCs w:val="22"/>
        </w:rPr>
      </w:pPr>
      <w:r>
        <w:rPr>
          <w:rFonts w:ascii="Arial" w:hAnsi="Arial" w:cs="Arial"/>
          <w:sz w:val="22"/>
          <w:szCs w:val="22"/>
        </w:rPr>
        <w:t>En este marco, la gestión y liquidación de la tasa fueron delegadas al Consorcio de Tributos de Santa Cruz de Tenerife mediante Convenio. Los gastos derivados de esta delegación se consideran costes indirectos del servicio de recogida y tratam</w:t>
      </w:r>
      <w:r>
        <w:rPr>
          <w:rFonts w:ascii="Arial" w:hAnsi="Arial" w:cs="Arial"/>
          <w:sz w:val="22"/>
          <w:szCs w:val="22"/>
        </w:rPr>
        <w:t>iento de residuos sólidos urbanos. Dichos importes, certificados por el Área de Intervención del Ayuntamiento de Candelaria, ascienden al 3,5% de la recaudación voluntaria y de los recargos en periodo ejecutivo. No obstante, a efectos de cálculo, en la tab</w:t>
      </w:r>
      <w:r>
        <w:rPr>
          <w:rFonts w:ascii="Arial" w:hAnsi="Arial" w:cs="Arial"/>
          <w:sz w:val="22"/>
          <w:szCs w:val="22"/>
        </w:rPr>
        <w:t>la siguiente únicamente se reflejan los costes vinculados a la gestión de recibos por recaudación voluntaria. La exclusión de los recargos en periodo ejecutivo responde a que estos son percibidos íntegramente por el Consorcio, evitando así su doble contabi</w:t>
      </w:r>
      <w:r>
        <w:rPr>
          <w:rFonts w:ascii="Arial" w:hAnsi="Arial" w:cs="Arial"/>
          <w:sz w:val="22"/>
          <w:szCs w:val="22"/>
        </w:rPr>
        <w:t>lización como ingreso y, a la vez, como coste.</w:t>
      </w:r>
    </w:p>
    <w:p w:rsidR="009B4233" w:rsidRDefault="009B4233">
      <w:pPr>
        <w:spacing w:after="9"/>
        <w:ind w:left="-15"/>
        <w:jc w:val="both"/>
        <w:rPr>
          <w:rFonts w:ascii="Arial" w:hAnsi="Arial" w:cs="Arial"/>
          <w:sz w:val="22"/>
          <w:szCs w:val="22"/>
        </w:rPr>
      </w:pPr>
    </w:p>
    <w:tbl>
      <w:tblPr>
        <w:tblW w:w="7870" w:type="dxa"/>
        <w:tblInd w:w="314" w:type="dxa"/>
        <w:tblCellMar>
          <w:left w:w="10" w:type="dxa"/>
          <w:right w:w="10" w:type="dxa"/>
        </w:tblCellMar>
        <w:tblLook w:val="0000" w:firstRow="0" w:lastRow="0" w:firstColumn="0" w:lastColumn="0" w:noHBand="0" w:noVBand="0"/>
      </w:tblPr>
      <w:tblGrid>
        <w:gridCol w:w="2220"/>
        <w:gridCol w:w="2940"/>
        <w:gridCol w:w="2710"/>
      </w:tblGrid>
      <w:tr w:rsidR="009B4233">
        <w:tblPrEx>
          <w:tblCellMar>
            <w:top w:w="0" w:type="dxa"/>
            <w:bottom w:w="0" w:type="dxa"/>
          </w:tblCellMar>
        </w:tblPrEx>
        <w:trPr>
          <w:trHeight w:val="288"/>
        </w:trPr>
        <w:tc>
          <w:tcPr>
            <w:tcW w:w="2220" w:type="dxa"/>
            <w:tcBorders>
              <w:top w:val="single" w:sz="4" w:space="0" w:color="000000"/>
              <w:left w:val="single" w:sz="4" w:space="0" w:color="000000"/>
              <w:bottom w:val="single" w:sz="4" w:space="0" w:color="000000"/>
            </w:tcBorders>
            <w:shd w:val="clear" w:color="auto" w:fill="E2EFDA"/>
            <w:tcMar>
              <w:top w:w="58" w:type="dxa"/>
              <w:left w:w="72" w:type="dxa"/>
              <w:bottom w:w="0" w:type="dxa"/>
              <w:right w:w="115" w:type="dxa"/>
            </w:tcMar>
          </w:tcPr>
          <w:p w:rsidR="009B4233" w:rsidRDefault="009B4233">
            <w:pPr>
              <w:spacing w:after="160" w:line="249" w:lineRule="auto"/>
              <w:rPr>
                <w:rFonts w:ascii="Arial" w:hAnsi="Arial" w:cs="Arial"/>
                <w:sz w:val="22"/>
                <w:szCs w:val="22"/>
              </w:rPr>
            </w:pPr>
          </w:p>
        </w:tc>
        <w:tc>
          <w:tcPr>
            <w:tcW w:w="5650" w:type="dxa"/>
            <w:gridSpan w:val="2"/>
            <w:tcBorders>
              <w:top w:val="single" w:sz="4" w:space="0" w:color="000000"/>
              <w:bottom w:val="single" w:sz="4" w:space="0" w:color="000000"/>
              <w:right w:val="single" w:sz="4" w:space="0" w:color="000000"/>
            </w:tcBorders>
            <w:shd w:val="clear" w:color="auto" w:fill="E2EFDA"/>
            <w:tcMar>
              <w:top w:w="58" w:type="dxa"/>
              <w:left w:w="72" w:type="dxa"/>
              <w:bottom w:w="0" w:type="dxa"/>
              <w:right w:w="115" w:type="dxa"/>
            </w:tcMar>
          </w:tcPr>
          <w:p w:rsidR="009B4233" w:rsidRDefault="006B08B9">
            <w:pPr>
              <w:spacing w:line="249" w:lineRule="auto"/>
              <w:ind w:left="120"/>
            </w:pPr>
            <w:r>
              <w:rPr>
                <w:rFonts w:ascii="Arial" w:eastAsia="Calibri" w:hAnsi="Arial" w:cs="Arial"/>
                <w:b/>
                <w:sz w:val="22"/>
                <w:szCs w:val="22"/>
              </w:rPr>
              <w:t>COSTES INDIRECTOS: CONSORCIO</w:t>
            </w:r>
          </w:p>
        </w:tc>
      </w:tr>
      <w:tr w:rsidR="009B4233">
        <w:tblPrEx>
          <w:tblCellMar>
            <w:top w:w="0" w:type="dxa"/>
            <w:bottom w:w="0" w:type="dxa"/>
          </w:tblCellMar>
        </w:tblPrEx>
        <w:trPr>
          <w:trHeight w:val="290"/>
        </w:trPr>
        <w:tc>
          <w:tcPr>
            <w:tcW w:w="2220" w:type="dxa"/>
            <w:tcBorders>
              <w:top w:val="single" w:sz="4" w:space="0" w:color="000000"/>
              <w:left w:val="single" w:sz="4" w:space="0" w:color="000000"/>
              <w:bottom w:val="single" w:sz="4" w:space="0" w:color="000000"/>
              <w:right w:val="single" w:sz="4" w:space="0" w:color="000000"/>
            </w:tcBorders>
            <w:shd w:val="clear" w:color="auto" w:fill="auto"/>
            <w:tcMar>
              <w:top w:w="58" w:type="dxa"/>
              <w:left w:w="72" w:type="dxa"/>
              <w:bottom w:w="0" w:type="dxa"/>
              <w:right w:w="115" w:type="dxa"/>
            </w:tcMar>
          </w:tcPr>
          <w:p w:rsidR="009B4233" w:rsidRDefault="006B08B9">
            <w:pPr>
              <w:spacing w:line="249" w:lineRule="auto"/>
            </w:pPr>
            <w:r>
              <w:rPr>
                <w:rFonts w:ascii="Arial" w:eastAsia="Calibri" w:hAnsi="Arial" w:cs="Arial"/>
                <w:sz w:val="22"/>
                <w:szCs w:val="22"/>
              </w:rPr>
              <w:t>CONCEPTO</w:t>
            </w:r>
          </w:p>
        </w:tc>
        <w:tc>
          <w:tcPr>
            <w:tcW w:w="2940" w:type="dxa"/>
            <w:tcBorders>
              <w:top w:val="single" w:sz="4" w:space="0" w:color="000000"/>
              <w:left w:val="single" w:sz="4" w:space="0" w:color="000000"/>
              <w:bottom w:val="single" w:sz="4" w:space="0" w:color="000000"/>
              <w:right w:val="single" w:sz="4" w:space="0" w:color="000000"/>
            </w:tcBorders>
            <w:shd w:val="clear" w:color="auto" w:fill="auto"/>
            <w:tcMar>
              <w:top w:w="58" w:type="dxa"/>
              <w:left w:w="72" w:type="dxa"/>
              <w:bottom w:w="0" w:type="dxa"/>
              <w:right w:w="115" w:type="dxa"/>
            </w:tcMar>
          </w:tcPr>
          <w:p w:rsidR="009B4233" w:rsidRDefault="006B08B9">
            <w:pPr>
              <w:spacing w:line="249" w:lineRule="auto"/>
            </w:pPr>
            <w:r>
              <w:rPr>
                <w:rFonts w:ascii="Arial" w:eastAsia="Calibri" w:hAnsi="Arial" w:cs="Arial"/>
                <w:sz w:val="22"/>
                <w:szCs w:val="22"/>
              </w:rPr>
              <w:t>IMPORTE RECAUDADO</w:t>
            </w:r>
          </w:p>
        </w:tc>
        <w:tc>
          <w:tcPr>
            <w:tcW w:w="2710" w:type="dxa"/>
            <w:tcBorders>
              <w:top w:val="single" w:sz="4" w:space="0" w:color="000000"/>
              <w:left w:val="single" w:sz="4" w:space="0" w:color="000000"/>
              <w:bottom w:val="single" w:sz="4" w:space="0" w:color="000000"/>
              <w:right w:val="single" w:sz="4" w:space="0" w:color="000000"/>
            </w:tcBorders>
            <w:shd w:val="clear" w:color="auto" w:fill="auto"/>
            <w:tcMar>
              <w:top w:w="58" w:type="dxa"/>
              <w:left w:w="72" w:type="dxa"/>
              <w:bottom w:w="0" w:type="dxa"/>
              <w:right w:w="115" w:type="dxa"/>
            </w:tcMar>
          </w:tcPr>
          <w:p w:rsidR="009B4233" w:rsidRDefault="006B08B9">
            <w:pPr>
              <w:spacing w:line="249" w:lineRule="auto"/>
            </w:pPr>
            <w:r>
              <w:rPr>
                <w:rFonts w:ascii="Arial" w:eastAsia="Calibri" w:hAnsi="Arial" w:cs="Arial"/>
                <w:sz w:val="22"/>
                <w:szCs w:val="22"/>
              </w:rPr>
              <w:t>COSTE DE GESTIÓN (3,5%)</w:t>
            </w:r>
          </w:p>
        </w:tc>
      </w:tr>
      <w:tr w:rsidR="009B4233">
        <w:tblPrEx>
          <w:tblCellMar>
            <w:top w:w="0" w:type="dxa"/>
            <w:bottom w:w="0" w:type="dxa"/>
          </w:tblCellMar>
        </w:tblPrEx>
        <w:trPr>
          <w:trHeight w:val="288"/>
        </w:trPr>
        <w:tc>
          <w:tcPr>
            <w:tcW w:w="2220" w:type="dxa"/>
            <w:tcBorders>
              <w:top w:val="single" w:sz="4" w:space="0" w:color="000000"/>
              <w:left w:val="single" w:sz="4" w:space="0" w:color="000000"/>
              <w:bottom w:val="single" w:sz="4" w:space="0" w:color="000000"/>
              <w:right w:val="single" w:sz="4" w:space="0" w:color="000000"/>
            </w:tcBorders>
            <w:shd w:val="clear" w:color="auto" w:fill="auto"/>
            <w:tcMar>
              <w:top w:w="58" w:type="dxa"/>
              <w:left w:w="72" w:type="dxa"/>
              <w:bottom w:w="0" w:type="dxa"/>
              <w:right w:w="115" w:type="dxa"/>
            </w:tcMar>
          </w:tcPr>
          <w:p w:rsidR="009B4233" w:rsidRDefault="006B08B9">
            <w:pPr>
              <w:spacing w:line="249" w:lineRule="auto"/>
            </w:pPr>
            <w:r>
              <w:rPr>
                <w:rFonts w:ascii="Arial" w:eastAsia="Calibri" w:hAnsi="Arial" w:cs="Arial"/>
                <w:sz w:val="22"/>
                <w:szCs w:val="22"/>
              </w:rPr>
              <w:t>Recogida Domiciliaria</w:t>
            </w:r>
          </w:p>
        </w:tc>
        <w:tc>
          <w:tcPr>
            <w:tcW w:w="2940" w:type="dxa"/>
            <w:tcBorders>
              <w:top w:val="single" w:sz="4" w:space="0" w:color="000000"/>
              <w:left w:val="single" w:sz="4" w:space="0" w:color="000000"/>
              <w:bottom w:val="single" w:sz="4" w:space="0" w:color="000000"/>
              <w:right w:val="single" w:sz="4" w:space="0" w:color="000000"/>
            </w:tcBorders>
            <w:shd w:val="clear" w:color="auto" w:fill="auto"/>
            <w:tcMar>
              <w:top w:w="58" w:type="dxa"/>
              <w:left w:w="72" w:type="dxa"/>
              <w:bottom w:w="0" w:type="dxa"/>
              <w:right w:w="115" w:type="dxa"/>
            </w:tcMar>
          </w:tcPr>
          <w:p w:rsidR="009B4233" w:rsidRDefault="006B08B9">
            <w:pPr>
              <w:spacing w:line="249" w:lineRule="auto"/>
            </w:pPr>
            <w:r>
              <w:rPr>
                <w:rFonts w:ascii="Arial" w:eastAsia="Calibri" w:hAnsi="Arial" w:cs="Arial"/>
                <w:sz w:val="22"/>
                <w:szCs w:val="22"/>
              </w:rPr>
              <w:t xml:space="preserve">                            981.636,43 € </w:t>
            </w:r>
          </w:p>
        </w:tc>
        <w:tc>
          <w:tcPr>
            <w:tcW w:w="2710" w:type="dxa"/>
            <w:tcBorders>
              <w:top w:val="single" w:sz="4" w:space="0" w:color="000000"/>
              <w:left w:val="single" w:sz="4" w:space="0" w:color="000000"/>
              <w:bottom w:val="single" w:sz="4" w:space="0" w:color="000000"/>
              <w:right w:val="single" w:sz="4" w:space="0" w:color="000000"/>
            </w:tcBorders>
            <w:shd w:val="clear" w:color="auto" w:fill="auto"/>
            <w:tcMar>
              <w:top w:w="58" w:type="dxa"/>
              <w:left w:w="72" w:type="dxa"/>
              <w:bottom w:w="0" w:type="dxa"/>
              <w:right w:w="115" w:type="dxa"/>
            </w:tcMar>
          </w:tcPr>
          <w:p w:rsidR="009B4233" w:rsidRDefault="006B08B9">
            <w:pPr>
              <w:spacing w:line="249" w:lineRule="auto"/>
              <w:ind w:left="47"/>
              <w:jc w:val="center"/>
            </w:pPr>
            <w:r>
              <w:rPr>
                <w:rFonts w:ascii="Arial" w:eastAsia="Calibri" w:hAnsi="Arial" w:cs="Arial"/>
                <w:sz w:val="22"/>
                <w:szCs w:val="22"/>
              </w:rPr>
              <w:t xml:space="preserve">                          34.357,28 € </w:t>
            </w:r>
          </w:p>
        </w:tc>
      </w:tr>
      <w:tr w:rsidR="009B4233">
        <w:tblPrEx>
          <w:tblCellMar>
            <w:top w:w="0" w:type="dxa"/>
            <w:bottom w:w="0" w:type="dxa"/>
          </w:tblCellMar>
        </w:tblPrEx>
        <w:trPr>
          <w:trHeight w:val="288"/>
        </w:trPr>
        <w:tc>
          <w:tcPr>
            <w:tcW w:w="2220" w:type="dxa"/>
            <w:tcBorders>
              <w:top w:val="single" w:sz="4" w:space="0" w:color="000000"/>
              <w:left w:val="single" w:sz="4" w:space="0" w:color="000000"/>
              <w:bottom w:val="single" w:sz="4" w:space="0" w:color="000000"/>
              <w:right w:val="single" w:sz="4" w:space="0" w:color="000000"/>
            </w:tcBorders>
            <w:shd w:val="clear" w:color="auto" w:fill="auto"/>
            <w:tcMar>
              <w:top w:w="58" w:type="dxa"/>
              <w:left w:w="72" w:type="dxa"/>
              <w:bottom w:w="0" w:type="dxa"/>
              <w:right w:w="115" w:type="dxa"/>
            </w:tcMar>
          </w:tcPr>
          <w:p w:rsidR="009B4233" w:rsidRDefault="006B08B9">
            <w:pPr>
              <w:spacing w:line="249" w:lineRule="auto"/>
            </w:pPr>
            <w:r>
              <w:rPr>
                <w:rFonts w:ascii="Arial" w:eastAsia="Calibri" w:hAnsi="Arial" w:cs="Arial"/>
                <w:sz w:val="22"/>
                <w:szCs w:val="22"/>
              </w:rPr>
              <w:t>Recogida Industrial</w:t>
            </w:r>
          </w:p>
        </w:tc>
        <w:tc>
          <w:tcPr>
            <w:tcW w:w="2940" w:type="dxa"/>
            <w:tcBorders>
              <w:top w:val="single" w:sz="4" w:space="0" w:color="000000"/>
              <w:left w:val="single" w:sz="4" w:space="0" w:color="000000"/>
              <w:bottom w:val="single" w:sz="4" w:space="0" w:color="000000"/>
              <w:right w:val="single" w:sz="4" w:space="0" w:color="000000"/>
            </w:tcBorders>
            <w:shd w:val="clear" w:color="auto" w:fill="auto"/>
            <w:tcMar>
              <w:top w:w="58" w:type="dxa"/>
              <w:left w:w="72" w:type="dxa"/>
              <w:bottom w:w="0" w:type="dxa"/>
              <w:right w:w="115" w:type="dxa"/>
            </w:tcMar>
          </w:tcPr>
          <w:p w:rsidR="009B4233" w:rsidRDefault="006B08B9">
            <w:pPr>
              <w:spacing w:line="249" w:lineRule="auto"/>
            </w:pPr>
            <w:r>
              <w:rPr>
                <w:rFonts w:ascii="Arial" w:eastAsia="Calibri" w:hAnsi="Arial" w:cs="Arial"/>
                <w:sz w:val="22"/>
                <w:szCs w:val="22"/>
              </w:rPr>
              <w:t xml:space="preserve">                            314.614,41 € </w:t>
            </w:r>
          </w:p>
        </w:tc>
        <w:tc>
          <w:tcPr>
            <w:tcW w:w="2710" w:type="dxa"/>
            <w:tcBorders>
              <w:top w:val="single" w:sz="4" w:space="0" w:color="000000"/>
              <w:left w:val="single" w:sz="4" w:space="0" w:color="000000"/>
              <w:bottom w:val="single" w:sz="4" w:space="0" w:color="000000"/>
              <w:right w:val="single" w:sz="4" w:space="0" w:color="000000"/>
            </w:tcBorders>
            <w:shd w:val="clear" w:color="auto" w:fill="auto"/>
            <w:tcMar>
              <w:top w:w="58" w:type="dxa"/>
              <w:left w:w="72" w:type="dxa"/>
              <w:bottom w:w="0" w:type="dxa"/>
              <w:right w:w="115" w:type="dxa"/>
            </w:tcMar>
          </w:tcPr>
          <w:p w:rsidR="009B4233" w:rsidRDefault="006B08B9">
            <w:pPr>
              <w:spacing w:line="249" w:lineRule="auto"/>
              <w:ind w:left="47"/>
              <w:jc w:val="center"/>
            </w:pPr>
            <w:r>
              <w:rPr>
                <w:rFonts w:ascii="Arial" w:eastAsia="Calibri" w:hAnsi="Arial" w:cs="Arial"/>
                <w:sz w:val="22"/>
                <w:szCs w:val="22"/>
              </w:rPr>
              <w:t xml:space="preserve">                          11.011,50 € </w:t>
            </w:r>
          </w:p>
        </w:tc>
      </w:tr>
      <w:tr w:rsidR="009B4233">
        <w:tblPrEx>
          <w:tblCellMar>
            <w:top w:w="0" w:type="dxa"/>
            <w:bottom w:w="0" w:type="dxa"/>
          </w:tblCellMar>
        </w:tblPrEx>
        <w:trPr>
          <w:trHeight w:val="288"/>
        </w:trPr>
        <w:tc>
          <w:tcPr>
            <w:tcW w:w="2220" w:type="dxa"/>
            <w:tcBorders>
              <w:top w:val="single" w:sz="4" w:space="0" w:color="000000"/>
              <w:left w:val="single" w:sz="4" w:space="0" w:color="000000"/>
              <w:bottom w:val="single" w:sz="4" w:space="0" w:color="000000"/>
              <w:right w:val="single" w:sz="4" w:space="0" w:color="000000"/>
            </w:tcBorders>
            <w:shd w:val="clear" w:color="auto" w:fill="auto"/>
            <w:tcMar>
              <w:top w:w="58" w:type="dxa"/>
              <w:left w:w="72" w:type="dxa"/>
              <w:bottom w:w="0" w:type="dxa"/>
              <w:right w:w="115" w:type="dxa"/>
            </w:tcMar>
          </w:tcPr>
          <w:p w:rsidR="009B4233" w:rsidRDefault="006B08B9">
            <w:pPr>
              <w:spacing w:line="249" w:lineRule="auto"/>
              <w:ind w:left="49"/>
              <w:jc w:val="center"/>
            </w:pPr>
            <w:r>
              <w:rPr>
                <w:rFonts w:ascii="Arial" w:eastAsia="Calibri" w:hAnsi="Arial" w:cs="Arial"/>
                <w:sz w:val="22"/>
                <w:szCs w:val="22"/>
              </w:rPr>
              <w:t>SUMA TOTAL</w:t>
            </w:r>
          </w:p>
        </w:tc>
        <w:tc>
          <w:tcPr>
            <w:tcW w:w="2940" w:type="dxa"/>
            <w:tcBorders>
              <w:top w:val="single" w:sz="4" w:space="0" w:color="000000"/>
              <w:left w:val="single" w:sz="4" w:space="0" w:color="000000"/>
              <w:bottom w:val="single" w:sz="4" w:space="0" w:color="000000"/>
              <w:right w:val="single" w:sz="4" w:space="0" w:color="000000"/>
            </w:tcBorders>
            <w:shd w:val="clear" w:color="auto" w:fill="auto"/>
            <w:tcMar>
              <w:top w:w="58" w:type="dxa"/>
              <w:left w:w="72" w:type="dxa"/>
              <w:bottom w:w="0" w:type="dxa"/>
              <w:right w:w="115" w:type="dxa"/>
            </w:tcMar>
          </w:tcPr>
          <w:p w:rsidR="009B4233" w:rsidRDefault="006B08B9">
            <w:pPr>
              <w:spacing w:line="249" w:lineRule="auto"/>
              <w:ind w:left="46"/>
              <w:jc w:val="center"/>
            </w:pPr>
            <w:r>
              <w:rPr>
                <w:rFonts w:ascii="Arial" w:eastAsia="Calibri" w:hAnsi="Arial" w:cs="Arial"/>
                <w:sz w:val="22"/>
                <w:szCs w:val="22"/>
              </w:rPr>
              <w:t xml:space="preserve">                        1.296.250,84 € </w:t>
            </w:r>
          </w:p>
        </w:tc>
        <w:tc>
          <w:tcPr>
            <w:tcW w:w="2710" w:type="dxa"/>
            <w:tcBorders>
              <w:top w:val="single" w:sz="4" w:space="0" w:color="000000"/>
              <w:left w:val="single" w:sz="4" w:space="0" w:color="000000"/>
              <w:bottom w:val="single" w:sz="4" w:space="0" w:color="000000"/>
              <w:right w:val="single" w:sz="4" w:space="0" w:color="000000"/>
            </w:tcBorders>
            <w:shd w:val="clear" w:color="auto" w:fill="auto"/>
            <w:tcMar>
              <w:top w:w="58" w:type="dxa"/>
              <w:left w:w="72" w:type="dxa"/>
              <w:bottom w:w="0" w:type="dxa"/>
              <w:right w:w="115" w:type="dxa"/>
            </w:tcMar>
          </w:tcPr>
          <w:p w:rsidR="009B4233" w:rsidRDefault="006B08B9">
            <w:pPr>
              <w:spacing w:line="249" w:lineRule="auto"/>
              <w:ind w:left="47"/>
              <w:jc w:val="center"/>
            </w:pPr>
            <w:r>
              <w:rPr>
                <w:rFonts w:ascii="Arial" w:eastAsia="Calibri" w:hAnsi="Arial" w:cs="Arial"/>
                <w:sz w:val="22"/>
                <w:szCs w:val="22"/>
              </w:rPr>
              <w:t xml:space="preserve">                          45.368,78 € </w:t>
            </w:r>
          </w:p>
        </w:tc>
      </w:tr>
    </w:tbl>
    <w:p w:rsidR="009B4233" w:rsidRDefault="009B4233">
      <w:pPr>
        <w:ind w:left="-15"/>
        <w:rPr>
          <w:rFonts w:ascii="Arial" w:hAnsi="Arial" w:cs="Arial"/>
          <w:sz w:val="22"/>
          <w:szCs w:val="22"/>
        </w:rPr>
      </w:pPr>
    </w:p>
    <w:p w:rsidR="009B4233" w:rsidRDefault="006B08B9">
      <w:pPr>
        <w:ind w:left="-15"/>
        <w:jc w:val="both"/>
        <w:rPr>
          <w:rFonts w:ascii="Arial" w:hAnsi="Arial" w:cs="Arial"/>
          <w:sz w:val="22"/>
          <w:szCs w:val="22"/>
        </w:rPr>
      </w:pPr>
      <w:r>
        <w:rPr>
          <w:rFonts w:ascii="Arial" w:hAnsi="Arial" w:cs="Arial"/>
          <w:sz w:val="22"/>
          <w:szCs w:val="22"/>
        </w:rPr>
        <w:t>En consecuencia, la tabla recoge los ingresos brutos obtenidos por el Ayuntamiento</w:t>
      </w:r>
      <w:r>
        <w:rPr>
          <w:rFonts w:ascii="Arial" w:hAnsi="Arial" w:cs="Arial"/>
          <w:sz w:val="22"/>
          <w:szCs w:val="22"/>
        </w:rPr>
        <w:t xml:space="preserve"> de Candelaria, sobre los cuales se aplica posteriormente un 3,5% en concepto de gasto por gestión del Consorcio. Este porcentaje integra la totalidad de los costes indirectos asociados, incluyendo personal, gastos corrientes y otros necesarios para la liq</w:t>
      </w:r>
      <w:r>
        <w:rPr>
          <w:rFonts w:ascii="Arial" w:hAnsi="Arial" w:cs="Arial"/>
          <w:sz w:val="22"/>
          <w:szCs w:val="22"/>
        </w:rPr>
        <w:t>uidación de la tasa.</w:t>
      </w:r>
    </w:p>
    <w:p w:rsidR="009B4233" w:rsidRDefault="006B08B9">
      <w:pPr>
        <w:pStyle w:val="Ttulo3"/>
        <w:ind w:left="279"/>
        <w:jc w:val="both"/>
        <w:rPr>
          <w:rFonts w:ascii="Arial" w:hAnsi="Arial" w:cs="Arial"/>
          <w:sz w:val="22"/>
          <w:szCs w:val="22"/>
        </w:rPr>
      </w:pPr>
      <w:r>
        <w:rPr>
          <w:rFonts w:ascii="Arial" w:hAnsi="Arial" w:cs="Arial"/>
          <w:sz w:val="22"/>
          <w:szCs w:val="22"/>
        </w:rPr>
        <w:t>2.3. Costes Totales</w:t>
      </w:r>
    </w:p>
    <w:p w:rsidR="009B4233" w:rsidRDefault="006B08B9">
      <w:pPr>
        <w:spacing w:after="9"/>
        <w:ind w:left="-15"/>
        <w:jc w:val="both"/>
        <w:rPr>
          <w:rFonts w:ascii="Arial" w:hAnsi="Arial" w:cs="Arial"/>
          <w:sz w:val="22"/>
          <w:szCs w:val="22"/>
        </w:rPr>
      </w:pPr>
      <w:r>
        <w:rPr>
          <w:rFonts w:ascii="Arial" w:hAnsi="Arial" w:cs="Arial"/>
          <w:sz w:val="22"/>
          <w:szCs w:val="22"/>
        </w:rPr>
        <w:t>Se anexa una tabla en la que se presenta la suma de los gastos estimados para el ejercicio 2025, incluyendo tanto la recaudación por la tasa como los costes directos (entre los que se incluyen la recogida, el person</w:t>
      </w:r>
      <w:r>
        <w:rPr>
          <w:rFonts w:ascii="Arial" w:hAnsi="Arial" w:cs="Arial"/>
          <w:sz w:val="22"/>
          <w:szCs w:val="22"/>
        </w:rPr>
        <w:t xml:space="preserve">al afecto, la maquinaria necesaria, los costes del tratamiento de los residuos, etc.), como los costes indirectos por la liquidación y gestión de la tasa. </w:t>
      </w:r>
    </w:p>
    <w:p w:rsidR="009B4233" w:rsidRDefault="009B4233">
      <w:pPr>
        <w:spacing w:after="9"/>
        <w:ind w:left="-15"/>
        <w:jc w:val="both"/>
        <w:rPr>
          <w:rFonts w:ascii="Arial" w:hAnsi="Arial" w:cs="Arial"/>
          <w:sz w:val="22"/>
          <w:szCs w:val="22"/>
        </w:rPr>
      </w:pPr>
    </w:p>
    <w:p w:rsidR="009B4233" w:rsidRDefault="009B4233">
      <w:pPr>
        <w:spacing w:after="9"/>
        <w:ind w:left="-15"/>
        <w:rPr>
          <w:rFonts w:ascii="Arial" w:hAnsi="Arial" w:cs="Arial"/>
          <w:sz w:val="22"/>
          <w:szCs w:val="22"/>
        </w:rPr>
      </w:pPr>
    </w:p>
    <w:p w:rsidR="009B4233" w:rsidRDefault="009B4233">
      <w:pPr>
        <w:spacing w:after="9"/>
        <w:ind w:left="-15"/>
        <w:rPr>
          <w:rFonts w:ascii="Arial" w:hAnsi="Arial" w:cs="Arial"/>
          <w:sz w:val="22"/>
          <w:szCs w:val="22"/>
        </w:rPr>
      </w:pPr>
    </w:p>
    <w:p w:rsidR="009B4233" w:rsidRDefault="009B4233">
      <w:pPr>
        <w:spacing w:after="9"/>
        <w:ind w:left="-15"/>
        <w:rPr>
          <w:rFonts w:ascii="Arial" w:hAnsi="Arial" w:cs="Arial"/>
          <w:sz w:val="22"/>
          <w:szCs w:val="22"/>
        </w:rPr>
      </w:pPr>
    </w:p>
    <w:p w:rsidR="009B4233" w:rsidRDefault="009B4233">
      <w:pPr>
        <w:spacing w:after="9"/>
        <w:ind w:left="-15"/>
        <w:rPr>
          <w:rFonts w:ascii="Arial" w:hAnsi="Arial" w:cs="Arial"/>
          <w:sz w:val="22"/>
          <w:szCs w:val="22"/>
        </w:rPr>
      </w:pPr>
    </w:p>
    <w:tbl>
      <w:tblPr>
        <w:tblW w:w="7660" w:type="dxa"/>
        <w:tblInd w:w="420" w:type="dxa"/>
        <w:tblCellMar>
          <w:left w:w="10" w:type="dxa"/>
          <w:right w:w="10" w:type="dxa"/>
        </w:tblCellMar>
        <w:tblLook w:val="0000" w:firstRow="0" w:lastRow="0" w:firstColumn="0" w:lastColumn="0" w:noHBand="0" w:noVBand="0"/>
      </w:tblPr>
      <w:tblGrid>
        <w:gridCol w:w="3964"/>
        <w:gridCol w:w="3696"/>
      </w:tblGrid>
      <w:tr w:rsidR="009B4233">
        <w:tblPrEx>
          <w:tblCellMar>
            <w:top w:w="0" w:type="dxa"/>
            <w:bottom w:w="0" w:type="dxa"/>
          </w:tblCellMar>
        </w:tblPrEx>
        <w:trPr>
          <w:trHeight w:val="564"/>
        </w:trPr>
        <w:tc>
          <w:tcPr>
            <w:tcW w:w="7660" w:type="dxa"/>
            <w:gridSpan w:val="2"/>
            <w:tcBorders>
              <w:top w:val="single" w:sz="4" w:space="0" w:color="000000"/>
              <w:left w:val="single" w:sz="4" w:space="0" w:color="000000"/>
              <w:bottom w:val="single" w:sz="4" w:space="0" w:color="000000"/>
              <w:right w:val="single" w:sz="4" w:space="0" w:color="000000"/>
            </w:tcBorders>
            <w:shd w:val="clear" w:color="auto" w:fill="E2EFDA"/>
            <w:tcMar>
              <w:top w:w="82" w:type="dxa"/>
              <w:left w:w="72" w:type="dxa"/>
              <w:bottom w:w="3" w:type="dxa"/>
              <w:right w:w="115" w:type="dxa"/>
            </w:tcMar>
            <w:vAlign w:val="bottom"/>
          </w:tcPr>
          <w:p w:rsidR="009B4233" w:rsidRDefault="006B08B9">
            <w:pPr>
              <w:spacing w:line="249" w:lineRule="auto"/>
              <w:ind w:left="1439" w:right="1348"/>
              <w:jc w:val="center"/>
            </w:pPr>
            <w:r>
              <w:rPr>
                <w:rFonts w:ascii="Arial" w:eastAsia="Arial" w:hAnsi="Arial" w:cs="Arial"/>
                <w:b/>
                <w:sz w:val="22"/>
                <w:szCs w:val="22"/>
              </w:rPr>
              <w:t>GASTOS TOTALES POR LA RECOGIDA Y GESTION DE RESIDUOS SÓLIDOS URBANOS</w:t>
            </w:r>
          </w:p>
        </w:tc>
      </w:tr>
      <w:tr w:rsidR="009B4233">
        <w:tblPrEx>
          <w:tblCellMar>
            <w:top w:w="0" w:type="dxa"/>
            <w:bottom w:w="0" w:type="dxa"/>
          </w:tblCellMar>
        </w:tblPrEx>
        <w:trPr>
          <w:trHeight w:val="290"/>
        </w:trPr>
        <w:tc>
          <w:tcPr>
            <w:tcW w:w="3964" w:type="dxa"/>
            <w:tcBorders>
              <w:top w:val="single" w:sz="4" w:space="0" w:color="000000"/>
              <w:left w:val="single" w:sz="4" w:space="0" w:color="000000"/>
              <w:bottom w:val="single" w:sz="4" w:space="0" w:color="000000"/>
              <w:right w:val="single" w:sz="4" w:space="0" w:color="000000"/>
            </w:tcBorders>
            <w:shd w:val="clear" w:color="auto" w:fill="auto"/>
            <w:tcMar>
              <w:top w:w="82" w:type="dxa"/>
              <w:left w:w="72" w:type="dxa"/>
              <w:bottom w:w="3" w:type="dxa"/>
              <w:right w:w="115" w:type="dxa"/>
            </w:tcMar>
          </w:tcPr>
          <w:p w:rsidR="009B4233" w:rsidRDefault="006B08B9">
            <w:pPr>
              <w:spacing w:line="249" w:lineRule="auto"/>
            </w:pPr>
            <w:r>
              <w:rPr>
                <w:rFonts w:ascii="Arial" w:eastAsia="Arial" w:hAnsi="Arial" w:cs="Arial"/>
                <w:b/>
                <w:sz w:val="22"/>
                <w:szCs w:val="22"/>
              </w:rPr>
              <w:t>Concepto</w:t>
            </w:r>
          </w:p>
        </w:tc>
        <w:tc>
          <w:tcPr>
            <w:tcW w:w="3696" w:type="dxa"/>
            <w:tcBorders>
              <w:top w:val="single" w:sz="4" w:space="0" w:color="000000"/>
              <w:left w:val="single" w:sz="4" w:space="0" w:color="000000"/>
              <w:bottom w:val="single" w:sz="4" w:space="0" w:color="000000"/>
              <w:right w:val="single" w:sz="4" w:space="0" w:color="000000"/>
            </w:tcBorders>
            <w:shd w:val="clear" w:color="auto" w:fill="auto"/>
            <w:tcMar>
              <w:top w:w="82" w:type="dxa"/>
              <w:left w:w="72" w:type="dxa"/>
              <w:bottom w:w="3" w:type="dxa"/>
              <w:right w:w="115" w:type="dxa"/>
            </w:tcMar>
          </w:tcPr>
          <w:p w:rsidR="009B4233" w:rsidRDefault="006B08B9">
            <w:pPr>
              <w:spacing w:line="249" w:lineRule="auto"/>
              <w:ind w:left="47"/>
              <w:jc w:val="center"/>
            </w:pPr>
            <w:r>
              <w:rPr>
                <w:rFonts w:ascii="Arial" w:eastAsia="Arial" w:hAnsi="Arial" w:cs="Arial"/>
                <w:b/>
                <w:sz w:val="22"/>
                <w:szCs w:val="22"/>
              </w:rPr>
              <w:t>Importe</w:t>
            </w:r>
          </w:p>
        </w:tc>
      </w:tr>
      <w:tr w:rsidR="009B4233">
        <w:tblPrEx>
          <w:tblCellMar>
            <w:top w:w="0" w:type="dxa"/>
            <w:bottom w:w="0" w:type="dxa"/>
          </w:tblCellMar>
        </w:tblPrEx>
        <w:trPr>
          <w:trHeight w:val="288"/>
        </w:trPr>
        <w:tc>
          <w:tcPr>
            <w:tcW w:w="3964" w:type="dxa"/>
            <w:tcBorders>
              <w:top w:val="single" w:sz="4" w:space="0" w:color="000000"/>
              <w:left w:val="single" w:sz="4" w:space="0" w:color="000000"/>
              <w:bottom w:val="single" w:sz="4" w:space="0" w:color="000000"/>
              <w:right w:val="single" w:sz="4" w:space="0" w:color="000000"/>
            </w:tcBorders>
            <w:shd w:val="clear" w:color="auto" w:fill="auto"/>
            <w:tcMar>
              <w:top w:w="82" w:type="dxa"/>
              <w:left w:w="72" w:type="dxa"/>
              <w:bottom w:w="3" w:type="dxa"/>
              <w:right w:w="115" w:type="dxa"/>
            </w:tcMar>
          </w:tcPr>
          <w:p w:rsidR="009B4233" w:rsidRDefault="006B08B9">
            <w:pPr>
              <w:spacing w:line="249" w:lineRule="auto"/>
              <w:rPr>
                <w:rFonts w:ascii="Arial" w:hAnsi="Arial" w:cs="Arial"/>
                <w:sz w:val="22"/>
                <w:szCs w:val="22"/>
              </w:rPr>
            </w:pPr>
            <w:r>
              <w:rPr>
                <w:rFonts w:ascii="Arial" w:hAnsi="Arial" w:cs="Arial"/>
                <w:sz w:val="22"/>
                <w:szCs w:val="22"/>
              </w:rPr>
              <w:t xml:space="preserve">Costes </w:t>
            </w:r>
            <w:r>
              <w:rPr>
                <w:rFonts w:ascii="Arial" w:hAnsi="Arial" w:cs="Arial"/>
                <w:sz w:val="22"/>
                <w:szCs w:val="22"/>
              </w:rPr>
              <w:t>directos (servicio + tratamiento)</w:t>
            </w:r>
          </w:p>
        </w:tc>
        <w:tc>
          <w:tcPr>
            <w:tcW w:w="3696" w:type="dxa"/>
            <w:tcBorders>
              <w:top w:val="single" w:sz="4" w:space="0" w:color="000000"/>
              <w:left w:val="single" w:sz="4" w:space="0" w:color="000000"/>
              <w:bottom w:val="single" w:sz="4" w:space="0" w:color="000000"/>
              <w:right w:val="single" w:sz="4" w:space="0" w:color="000000"/>
            </w:tcBorders>
            <w:shd w:val="clear" w:color="auto" w:fill="auto"/>
            <w:tcMar>
              <w:top w:w="82" w:type="dxa"/>
              <w:left w:w="72" w:type="dxa"/>
              <w:bottom w:w="3" w:type="dxa"/>
              <w:right w:w="115" w:type="dxa"/>
            </w:tcMar>
          </w:tcPr>
          <w:p w:rsidR="009B4233" w:rsidRDefault="006B08B9">
            <w:pPr>
              <w:spacing w:line="249" w:lineRule="auto"/>
              <w:ind w:left="45"/>
              <w:jc w:val="center"/>
              <w:rPr>
                <w:rFonts w:ascii="Arial" w:hAnsi="Arial" w:cs="Arial"/>
                <w:sz w:val="22"/>
                <w:szCs w:val="22"/>
              </w:rPr>
            </w:pPr>
            <w:r>
              <w:rPr>
                <w:rFonts w:ascii="Arial" w:hAnsi="Arial" w:cs="Arial"/>
                <w:sz w:val="22"/>
                <w:szCs w:val="22"/>
              </w:rPr>
              <w:t>2.453.359,84 €</w:t>
            </w:r>
          </w:p>
        </w:tc>
      </w:tr>
      <w:tr w:rsidR="009B4233">
        <w:tblPrEx>
          <w:tblCellMar>
            <w:top w:w="0" w:type="dxa"/>
            <w:bottom w:w="0" w:type="dxa"/>
          </w:tblCellMar>
        </w:tblPrEx>
        <w:trPr>
          <w:trHeight w:val="288"/>
        </w:trPr>
        <w:tc>
          <w:tcPr>
            <w:tcW w:w="3964" w:type="dxa"/>
            <w:tcBorders>
              <w:top w:val="single" w:sz="4" w:space="0" w:color="000000"/>
              <w:left w:val="single" w:sz="4" w:space="0" w:color="000000"/>
              <w:bottom w:val="single" w:sz="4" w:space="0" w:color="000000"/>
              <w:right w:val="single" w:sz="4" w:space="0" w:color="000000"/>
            </w:tcBorders>
            <w:shd w:val="clear" w:color="auto" w:fill="auto"/>
            <w:tcMar>
              <w:top w:w="82" w:type="dxa"/>
              <w:left w:w="72" w:type="dxa"/>
              <w:bottom w:w="3" w:type="dxa"/>
              <w:right w:w="115" w:type="dxa"/>
            </w:tcMar>
          </w:tcPr>
          <w:p w:rsidR="009B4233" w:rsidRDefault="006B08B9">
            <w:pPr>
              <w:spacing w:line="249" w:lineRule="auto"/>
              <w:rPr>
                <w:rFonts w:ascii="Arial" w:hAnsi="Arial" w:cs="Arial"/>
                <w:sz w:val="22"/>
                <w:szCs w:val="22"/>
              </w:rPr>
            </w:pPr>
            <w:r>
              <w:rPr>
                <w:rFonts w:ascii="Arial" w:hAnsi="Arial" w:cs="Arial"/>
                <w:sz w:val="22"/>
                <w:szCs w:val="22"/>
              </w:rPr>
              <w:t>Costes indirectos (gestión)</w:t>
            </w:r>
          </w:p>
        </w:tc>
        <w:tc>
          <w:tcPr>
            <w:tcW w:w="3696" w:type="dxa"/>
            <w:tcBorders>
              <w:top w:val="single" w:sz="4" w:space="0" w:color="000000"/>
              <w:left w:val="single" w:sz="4" w:space="0" w:color="000000"/>
              <w:bottom w:val="single" w:sz="4" w:space="0" w:color="000000"/>
              <w:right w:val="single" w:sz="4" w:space="0" w:color="000000"/>
            </w:tcBorders>
            <w:shd w:val="clear" w:color="auto" w:fill="auto"/>
            <w:tcMar>
              <w:top w:w="82" w:type="dxa"/>
              <w:left w:w="72" w:type="dxa"/>
              <w:bottom w:w="3" w:type="dxa"/>
              <w:right w:w="115" w:type="dxa"/>
            </w:tcMar>
          </w:tcPr>
          <w:p w:rsidR="009B4233" w:rsidRDefault="006B08B9">
            <w:pPr>
              <w:spacing w:line="249" w:lineRule="auto"/>
              <w:ind w:left="47"/>
              <w:jc w:val="center"/>
              <w:rPr>
                <w:rFonts w:ascii="Arial" w:hAnsi="Arial" w:cs="Arial"/>
                <w:sz w:val="22"/>
                <w:szCs w:val="22"/>
              </w:rPr>
            </w:pPr>
            <w:r>
              <w:rPr>
                <w:rFonts w:ascii="Arial" w:hAnsi="Arial" w:cs="Arial"/>
                <w:sz w:val="22"/>
                <w:szCs w:val="22"/>
              </w:rPr>
              <w:t>45.368,78 €</w:t>
            </w:r>
          </w:p>
        </w:tc>
      </w:tr>
      <w:tr w:rsidR="009B4233">
        <w:tblPrEx>
          <w:tblCellMar>
            <w:top w:w="0" w:type="dxa"/>
            <w:bottom w:w="0" w:type="dxa"/>
          </w:tblCellMar>
        </w:tblPrEx>
        <w:trPr>
          <w:trHeight w:val="288"/>
        </w:trPr>
        <w:tc>
          <w:tcPr>
            <w:tcW w:w="3964" w:type="dxa"/>
            <w:tcBorders>
              <w:top w:val="single" w:sz="4" w:space="0" w:color="000000"/>
              <w:left w:val="single" w:sz="4" w:space="0" w:color="000000"/>
              <w:bottom w:val="single" w:sz="4" w:space="0" w:color="000000"/>
              <w:right w:val="single" w:sz="4" w:space="0" w:color="000000"/>
            </w:tcBorders>
            <w:shd w:val="clear" w:color="auto" w:fill="auto"/>
            <w:tcMar>
              <w:top w:w="82" w:type="dxa"/>
              <w:left w:w="72" w:type="dxa"/>
              <w:bottom w:w="3" w:type="dxa"/>
              <w:right w:w="115" w:type="dxa"/>
            </w:tcMar>
          </w:tcPr>
          <w:p w:rsidR="009B4233" w:rsidRDefault="006B08B9">
            <w:pPr>
              <w:spacing w:line="249" w:lineRule="auto"/>
              <w:rPr>
                <w:rFonts w:ascii="Arial" w:hAnsi="Arial" w:cs="Arial"/>
                <w:sz w:val="22"/>
                <w:szCs w:val="22"/>
              </w:rPr>
            </w:pPr>
            <w:r>
              <w:rPr>
                <w:rFonts w:ascii="Arial" w:hAnsi="Arial" w:cs="Arial"/>
                <w:sz w:val="22"/>
                <w:szCs w:val="22"/>
              </w:rPr>
              <w:t>COSTES TOTALES</w:t>
            </w:r>
          </w:p>
        </w:tc>
        <w:tc>
          <w:tcPr>
            <w:tcW w:w="3696" w:type="dxa"/>
            <w:tcBorders>
              <w:top w:val="single" w:sz="4" w:space="0" w:color="000000"/>
              <w:left w:val="single" w:sz="4" w:space="0" w:color="000000"/>
              <w:bottom w:val="single" w:sz="4" w:space="0" w:color="000000"/>
              <w:right w:val="single" w:sz="4" w:space="0" w:color="000000"/>
            </w:tcBorders>
            <w:shd w:val="clear" w:color="auto" w:fill="auto"/>
            <w:tcMar>
              <w:top w:w="82" w:type="dxa"/>
              <w:left w:w="72" w:type="dxa"/>
              <w:bottom w:w="3" w:type="dxa"/>
              <w:right w:w="115" w:type="dxa"/>
            </w:tcMar>
          </w:tcPr>
          <w:p w:rsidR="009B4233" w:rsidRDefault="006B08B9">
            <w:pPr>
              <w:spacing w:line="249" w:lineRule="auto"/>
              <w:ind w:left="45"/>
              <w:jc w:val="center"/>
              <w:rPr>
                <w:rFonts w:ascii="Arial" w:hAnsi="Arial" w:cs="Arial"/>
                <w:sz w:val="22"/>
                <w:szCs w:val="22"/>
              </w:rPr>
            </w:pPr>
            <w:r>
              <w:rPr>
                <w:rFonts w:ascii="Arial" w:hAnsi="Arial" w:cs="Arial"/>
                <w:sz w:val="22"/>
                <w:szCs w:val="22"/>
              </w:rPr>
              <w:t>2.498.728,62 €</w:t>
            </w:r>
          </w:p>
        </w:tc>
      </w:tr>
    </w:tbl>
    <w:p w:rsidR="009B4233" w:rsidRDefault="006B08B9">
      <w:pPr>
        <w:pStyle w:val="Ttulo2"/>
        <w:ind w:left="629" w:hanging="360"/>
        <w:jc w:val="both"/>
        <w:rPr>
          <w:rFonts w:ascii="Arial" w:hAnsi="Arial" w:cs="Arial"/>
          <w:sz w:val="22"/>
          <w:szCs w:val="22"/>
        </w:rPr>
      </w:pPr>
      <w:r>
        <w:rPr>
          <w:rFonts w:ascii="Arial" w:hAnsi="Arial" w:cs="Arial"/>
          <w:sz w:val="22"/>
          <w:szCs w:val="22"/>
        </w:rPr>
        <w:t>3. Determinación de los ingresos generados por la tasa y revalorización de residuos</w:t>
      </w:r>
    </w:p>
    <w:p w:rsidR="009B4233" w:rsidRDefault="006B08B9">
      <w:pPr>
        <w:ind w:left="-15"/>
        <w:jc w:val="both"/>
        <w:rPr>
          <w:rFonts w:ascii="Arial" w:hAnsi="Arial" w:cs="Arial"/>
          <w:sz w:val="22"/>
          <w:szCs w:val="22"/>
        </w:rPr>
      </w:pPr>
      <w:r>
        <w:rPr>
          <w:rFonts w:ascii="Arial" w:hAnsi="Arial" w:cs="Arial"/>
          <w:sz w:val="22"/>
          <w:szCs w:val="22"/>
        </w:rPr>
        <w:t>Los ingresos considerados para la financiación del</w:t>
      </w:r>
      <w:r>
        <w:rPr>
          <w:rFonts w:ascii="Arial" w:hAnsi="Arial" w:cs="Arial"/>
          <w:sz w:val="22"/>
          <w:szCs w:val="22"/>
        </w:rPr>
        <w:t xml:space="preserve"> servicio de recogida y tratamiento de residuos sólidos urbanos provienen de dos fuentes principales: por un lado, los ingresos obtenidos a través de la tasa correspondiente, y por otro, los ingresos generados por la valorización de los residuos. A continu</w:t>
      </w:r>
      <w:r>
        <w:rPr>
          <w:rFonts w:ascii="Arial" w:hAnsi="Arial" w:cs="Arial"/>
          <w:sz w:val="22"/>
          <w:szCs w:val="22"/>
        </w:rPr>
        <w:t>ación, se detallan ambos conceptos.</w:t>
      </w:r>
    </w:p>
    <w:p w:rsidR="009B4233" w:rsidRDefault="006B08B9">
      <w:pPr>
        <w:pStyle w:val="Ttulo3"/>
        <w:ind w:left="279"/>
        <w:jc w:val="both"/>
        <w:rPr>
          <w:rFonts w:ascii="Arial" w:hAnsi="Arial" w:cs="Arial"/>
          <w:sz w:val="22"/>
          <w:szCs w:val="22"/>
        </w:rPr>
      </w:pPr>
      <w:r>
        <w:rPr>
          <w:rFonts w:ascii="Arial" w:hAnsi="Arial" w:cs="Arial"/>
          <w:sz w:val="22"/>
          <w:szCs w:val="22"/>
        </w:rPr>
        <w:t xml:space="preserve">3.1. Ingresos derivados de la liquidación de la tasa </w:t>
      </w:r>
    </w:p>
    <w:p w:rsidR="009B4233" w:rsidRDefault="006B08B9">
      <w:pPr>
        <w:spacing w:after="9"/>
        <w:ind w:left="-15"/>
        <w:jc w:val="both"/>
        <w:rPr>
          <w:rFonts w:ascii="Arial" w:hAnsi="Arial" w:cs="Arial"/>
          <w:sz w:val="22"/>
          <w:szCs w:val="22"/>
        </w:rPr>
      </w:pPr>
      <w:r>
        <w:rPr>
          <w:rFonts w:ascii="Arial" w:hAnsi="Arial" w:cs="Arial"/>
          <w:sz w:val="22"/>
          <w:szCs w:val="22"/>
        </w:rPr>
        <w:t xml:space="preserve">De acuerdo con los datos obtenidos de la contabilidad informatizada municipal, los ingresos derivados por la Tasa de Recogida de Residuos Sólidos Urbanos </w:t>
      </w:r>
      <w:r>
        <w:rPr>
          <w:rFonts w:ascii="Arial" w:hAnsi="Arial" w:cs="Arial"/>
          <w:sz w:val="22"/>
          <w:szCs w:val="22"/>
        </w:rPr>
        <w:t xml:space="preserve">correspondientes al ejercicio 2024 ascienden a un total de 1.296.250,84 euros, de los cuales se puede diferenciar según la tipología de recogida (domiciliaria o industrial). Se anexa tabla con el desglose de dichos ingresos: </w:t>
      </w:r>
    </w:p>
    <w:p w:rsidR="009B4233" w:rsidRDefault="009B4233">
      <w:pPr>
        <w:spacing w:after="9"/>
        <w:ind w:left="-15"/>
        <w:jc w:val="both"/>
        <w:rPr>
          <w:rFonts w:ascii="Arial" w:hAnsi="Arial" w:cs="Arial"/>
          <w:sz w:val="22"/>
          <w:szCs w:val="22"/>
        </w:rPr>
      </w:pPr>
    </w:p>
    <w:tbl>
      <w:tblPr>
        <w:tblW w:w="6230" w:type="dxa"/>
        <w:tblInd w:w="1134" w:type="dxa"/>
        <w:tblCellMar>
          <w:left w:w="10" w:type="dxa"/>
          <w:right w:w="10" w:type="dxa"/>
        </w:tblCellMar>
        <w:tblLook w:val="0000" w:firstRow="0" w:lastRow="0" w:firstColumn="0" w:lastColumn="0" w:noHBand="0" w:noVBand="0"/>
      </w:tblPr>
      <w:tblGrid>
        <w:gridCol w:w="2736"/>
        <w:gridCol w:w="3494"/>
      </w:tblGrid>
      <w:tr w:rsidR="009B4233">
        <w:tblPrEx>
          <w:tblCellMar>
            <w:top w:w="0" w:type="dxa"/>
            <w:bottom w:w="0" w:type="dxa"/>
          </w:tblCellMar>
        </w:tblPrEx>
        <w:trPr>
          <w:trHeight w:val="548"/>
        </w:trPr>
        <w:tc>
          <w:tcPr>
            <w:tcW w:w="6230" w:type="dxa"/>
            <w:gridSpan w:val="2"/>
            <w:tcBorders>
              <w:top w:val="single" w:sz="4" w:space="0" w:color="000000"/>
              <w:left w:val="single" w:sz="4" w:space="0" w:color="000000"/>
              <w:bottom w:val="single" w:sz="4" w:space="0" w:color="000000"/>
              <w:right w:val="single" w:sz="4" w:space="0" w:color="000000"/>
            </w:tcBorders>
            <w:shd w:val="clear" w:color="auto" w:fill="E2EFDA"/>
            <w:tcMar>
              <w:top w:w="55" w:type="dxa"/>
              <w:left w:w="72" w:type="dxa"/>
              <w:bottom w:w="0" w:type="dxa"/>
              <w:right w:w="115" w:type="dxa"/>
            </w:tcMar>
          </w:tcPr>
          <w:p w:rsidR="009B4233" w:rsidRDefault="006B08B9">
            <w:pPr>
              <w:spacing w:line="249" w:lineRule="auto"/>
              <w:ind w:left="45"/>
              <w:jc w:val="center"/>
            </w:pPr>
            <w:r>
              <w:rPr>
                <w:rFonts w:ascii="Arial" w:eastAsia="Calibri" w:hAnsi="Arial" w:cs="Arial"/>
                <w:b/>
                <w:sz w:val="22"/>
                <w:szCs w:val="22"/>
              </w:rPr>
              <w:t>RECAUDACIÓN TOTAL POR LA TASA</w:t>
            </w:r>
            <w:r>
              <w:rPr>
                <w:rFonts w:ascii="Arial" w:eastAsia="Calibri" w:hAnsi="Arial" w:cs="Arial"/>
                <w:b/>
                <w:sz w:val="22"/>
                <w:szCs w:val="22"/>
              </w:rPr>
              <w:t xml:space="preserve"> RECOGIDA DE RESIDUOS </w:t>
            </w:r>
          </w:p>
          <w:p w:rsidR="009B4233" w:rsidRDefault="006B08B9">
            <w:pPr>
              <w:spacing w:line="249" w:lineRule="auto"/>
              <w:ind w:left="48"/>
              <w:jc w:val="center"/>
            </w:pPr>
            <w:r>
              <w:rPr>
                <w:rFonts w:ascii="Arial" w:eastAsia="Calibri" w:hAnsi="Arial" w:cs="Arial"/>
                <w:b/>
                <w:sz w:val="22"/>
                <w:szCs w:val="22"/>
              </w:rPr>
              <w:t>SÓLIDOS URBANOS</w:t>
            </w:r>
          </w:p>
        </w:tc>
      </w:tr>
      <w:tr w:rsidR="009B4233">
        <w:tblPrEx>
          <w:tblCellMar>
            <w:top w:w="0" w:type="dxa"/>
            <w:bottom w:w="0" w:type="dxa"/>
          </w:tblCellMar>
        </w:tblPrEx>
        <w:trPr>
          <w:trHeight w:val="290"/>
        </w:trPr>
        <w:tc>
          <w:tcPr>
            <w:tcW w:w="2736" w:type="dxa"/>
            <w:tcBorders>
              <w:top w:val="single" w:sz="4" w:space="0" w:color="000000"/>
              <w:left w:val="single" w:sz="4" w:space="0" w:color="000000"/>
              <w:bottom w:val="single" w:sz="4" w:space="0" w:color="000000"/>
              <w:right w:val="single" w:sz="4" w:space="0" w:color="000000"/>
            </w:tcBorders>
            <w:shd w:val="clear" w:color="auto" w:fill="auto"/>
            <w:tcMar>
              <w:top w:w="55" w:type="dxa"/>
              <w:left w:w="72" w:type="dxa"/>
              <w:bottom w:w="0" w:type="dxa"/>
              <w:right w:w="115" w:type="dxa"/>
            </w:tcMar>
          </w:tcPr>
          <w:p w:rsidR="009B4233" w:rsidRDefault="006B08B9">
            <w:pPr>
              <w:spacing w:line="249" w:lineRule="auto"/>
            </w:pPr>
            <w:r>
              <w:rPr>
                <w:rFonts w:ascii="Arial" w:eastAsia="Calibri" w:hAnsi="Arial" w:cs="Arial"/>
                <w:b/>
                <w:sz w:val="22"/>
                <w:szCs w:val="22"/>
              </w:rPr>
              <w:t>CONCEPTO</w:t>
            </w:r>
          </w:p>
        </w:tc>
        <w:tc>
          <w:tcPr>
            <w:tcW w:w="3494" w:type="dxa"/>
            <w:tcBorders>
              <w:top w:val="single" w:sz="4" w:space="0" w:color="000000"/>
              <w:left w:val="single" w:sz="4" w:space="0" w:color="000000"/>
              <w:bottom w:val="single" w:sz="4" w:space="0" w:color="000000"/>
              <w:right w:val="single" w:sz="4" w:space="0" w:color="000000"/>
            </w:tcBorders>
            <w:shd w:val="clear" w:color="auto" w:fill="auto"/>
            <w:tcMar>
              <w:top w:w="55" w:type="dxa"/>
              <w:left w:w="72" w:type="dxa"/>
              <w:bottom w:w="0" w:type="dxa"/>
              <w:right w:w="115" w:type="dxa"/>
            </w:tcMar>
          </w:tcPr>
          <w:p w:rsidR="009B4233" w:rsidRDefault="006B08B9">
            <w:pPr>
              <w:spacing w:line="249" w:lineRule="auto"/>
              <w:ind w:left="48"/>
              <w:jc w:val="center"/>
            </w:pPr>
            <w:r>
              <w:rPr>
                <w:rFonts w:ascii="Arial" w:eastAsia="Calibri" w:hAnsi="Arial" w:cs="Arial"/>
                <w:b/>
                <w:sz w:val="22"/>
                <w:szCs w:val="22"/>
              </w:rPr>
              <w:t>IMPORTE</w:t>
            </w:r>
          </w:p>
        </w:tc>
      </w:tr>
      <w:tr w:rsidR="009B4233">
        <w:tblPrEx>
          <w:tblCellMar>
            <w:top w:w="0" w:type="dxa"/>
            <w:bottom w:w="0" w:type="dxa"/>
          </w:tblCellMar>
        </w:tblPrEx>
        <w:trPr>
          <w:trHeight w:val="288"/>
        </w:trPr>
        <w:tc>
          <w:tcPr>
            <w:tcW w:w="2736" w:type="dxa"/>
            <w:tcBorders>
              <w:top w:val="single" w:sz="4" w:space="0" w:color="000000"/>
              <w:left w:val="single" w:sz="4" w:space="0" w:color="000000"/>
              <w:bottom w:val="single" w:sz="4" w:space="0" w:color="000000"/>
              <w:right w:val="single" w:sz="4" w:space="0" w:color="000000"/>
            </w:tcBorders>
            <w:shd w:val="clear" w:color="auto" w:fill="auto"/>
            <w:tcMar>
              <w:top w:w="55" w:type="dxa"/>
              <w:left w:w="72" w:type="dxa"/>
              <w:bottom w:w="0" w:type="dxa"/>
              <w:right w:w="115" w:type="dxa"/>
            </w:tcMar>
          </w:tcPr>
          <w:p w:rsidR="009B4233" w:rsidRDefault="006B08B9">
            <w:pPr>
              <w:spacing w:line="249" w:lineRule="auto"/>
            </w:pPr>
            <w:r>
              <w:rPr>
                <w:rFonts w:ascii="Arial" w:eastAsia="Calibri" w:hAnsi="Arial" w:cs="Arial"/>
                <w:sz w:val="22"/>
                <w:szCs w:val="22"/>
              </w:rPr>
              <w:t>Recogida Domiciliaria</w:t>
            </w:r>
          </w:p>
        </w:tc>
        <w:tc>
          <w:tcPr>
            <w:tcW w:w="3494" w:type="dxa"/>
            <w:tcBorders>
              <w:top w:val="single" w:sz="4" w:space="0" w:color="000000"/>
              <w:left w:val="single" w:sz="4" w:space="0" w:color="000000"/>
              <w:bottom w:val="single" w:sz="4" w:space="0" w:color="000000"/>
              <w:right w:val="single" w:sz="4" w:space="0" w:color="000000"/>
            </w:tcBorders>
            <w:shd w:val="clear" w:color="auto" w:fill="auto"/>
            <w:tcMar>
              <w:top w:w="55" w:type="dxa"/>
              <w:left w:w="72" w:type="dxa"/>
              <w:bottom w:w="0" w:type="dxa"/>
              <w:right w:w="115" w:type="dxa"/>
            </w:tcMar>
          </w:tcPr>
          <w:p w:rsidR="009B4233" w:rsidRDefault="006B08B9">
            <w:pPr>
              <w:spacing w:line="249" w:lineRule="auto"/>
            </w:pPr>
            <w:r>
              <w:rPr>
                <w:rFonts w:ascii="Arial" w:eastAsia="Calibri" w:hAnsi="Arial" w:cs="Arial"/>
                <w:sz w:val="22"/>
                <w:szCs w:val="22"/>
              </w:rPr>
              <w:t xml:space="preserve">                          981.636,43 € </w:t>
            </w:r>
          </w:p>
        </w:tc>
      </w:tr>
      <w:tr w:rsidR="009B4233">
        <w:tblPrEx>
          <w:tblCellMar>
            <w:top w:w="0" w:type="dxa"/>
            <w:bottom w:w="0" w:type="dxa"/>
          </w:tblCellMar>
        </w:tblPrEx>
        <w:trPr>
          <w:trHeight w:val="288"/>
        </w:trPr>
        <w:tc>
          <w:tcPr>
            <w:tcW w:w="2736" w:type="dxa"/>
            <w:tcBorders>
              <w:top w:val="single" w:sz="4" w:space="0" w:color="000000"/>
              <w:left w:val="single" w:sz="4" w:space="0" w:color="000000"/>
              <w:bottom w:val="single" w:sz="4" w:space="0" w:color="000000"/>
              <w:right w:val="single" w:sz="4" w:space="0" w:color="000000"/>
            </w:tcBorders>
            <w:shd w:val="clear" w:color="auto" w:fill="auto"/>
            <w:tcMar>
              <w:top w:w="55" w:type="dxa"/>
              <w:left w:w="72" w:type="dxa"/>
              <w:bottom w:w="0" w:type="dxa"/>
              <w:right w:w="115" w:type="dxa"/>
            </w:tcMar>
          </w:tcPr>
          <w:p w:rsidR="009B4233" w:rsidRDefault="006B08B9">
            <w:pPr>
              <w:spacing w:line="249" w:lineRule="auto"/>
            </w:pPr>
            <w:r>
              <w:rPr>
                <w:rFonts w:ascii="Arial" w:eastAsia="Calibri" w:hAnsi="Arial" w:cs="Arial"/>
                <w:sz w:val="22"/>
                <w:szCs w:val="22"/>
              </w:rPr>
              <w:t>Recogida Industrial</w:t>
            </w:r>
          </w:p>
        </w:tc>
        <w:tc>
          <w:tcPr>
            <w:tcW w:w="3494" w:type="dxa"/>
            <w:tcBorders>
              <w:top w:val="single" w:sz="4" w:space="0" w:color="000000"/>
              <w:left w:val="single" w:sz="4" w:space="0" w:color="000000"/>
              <w:bottom w:val="single" w:sz="4" w:space="0" w:color="000000"/>
              <w:right w:val="single" w:sz="4" w:space="0" w:color="000000"/>
            </w:tcBorders>
            <w:shd w:val="clear" w:color="auto" w:fill="auto"/>
            <w:tcMar>
              <w:top w:w="55" w:type="dxa"/>
              <w:left w:w="72" w:type="dxa"/>
              <w:bottom w:w="0" w:type="dxa"/>
              <w:right w:w="115" w:type="dxa"/>
            </w:tcMar>
          </w:tcPr>
          <w:p w:rsidR="009B4233" w:rsidRDefault="006B08B9">
            <w:pPr>
              <w:spacing w:line="249" w:lineRule="auto"/>
            </w:pPr>
            <w:r>
              <w:rPr>
                <w:rFonts w:ascii="Arial" w:eastAsia="Calibri" w:hAnsi="Arial" w:cs="Arial"/>
                <w:sz w:val="22"/>
                <w:szCs w:val="22"/>
              </w:rPr>
              <w:t xml:space="preserve">                          314.614,41 € </w:t>
            </w:r>
          </w:p>
        </w:tc>
      </w:tr>
      <w:tr w:rsidR="009B4233">
        <w:tblPrEx>
          <w:tblCellMar>
            <w:top w:w="0" w:type="dxa"/>
            <w:bottom w:w="0" w:type="dxa"/>
          </w:tblCellMar>
        </w:tblPrEx>
        <w:trPr>
          <w:trHeight w:val="288"/>
        </w:trPr>
        <w:tc>
          <w:tcPr>
            <w:tcW w:w="2736" w:type="dxa"/>
            <w:tcBorders>
              <w:top w:val="single" w:sz="4" w:space="0" w:color="000000"/>
              <w:left w:val="single" w:sz="4" w:space="0" w:color="000000"/>
              <w:bottom w:val="single" w:sz="4" w:space="0" w:color="000000"/>
              <w:right w:val="single" w:sz="4" w:space="0" w:color="000000"/>
            </w:tcBorders>
            <w:shd w:val="clear" w:color="auto" w:fill="auto"/>
            <w:tcMar>
              <w:top w:w="55" w:type="dxa"/>
              <w:left w:w="72" w:type="dxa"/>
              <w:bottom w:w="0" w:type="dxa"/>
              <w:right w:w="115" w:type="dxa"/>
            </w:tcMar>
          </w:tcPr>
          <w:p w:rsidR="009B4233" w:rsidRDefault="006B08B9">
            <w:pPr>
              <w:spacing w:line="249" w:lineRule="auto"/>
            </w:pPr>
            <w:r>
              <w:rPr>
                <w:rFonts w:ascii="Arial" w:eastAsia="Calibri" w:hAnsi="Arial" w:cs="Arial"/>
                <w:b/>
                <w:sz w:val="22"/>
                <w:szCs w:val="22"/>
              </w:rPr>
              <w:t>TOTAL</w:t>
            </w:r>
          </w:p>
        </w:tc>
        <w:tc>
          <w:tcPr>
            <w:tcW w:w="3494" w:type="dxa"/>
            <w:tcBorders>
              <w:top w:val="single" w:sz="4" w:space="0" w:color="000000"/>
              <w:left w:val="single" w:sz="4" w:space="0" w:color="000000"/>
              <w:bottom w:val="single" w:sz="4" w:space="0" w:color="000000"/>
              <w:right w:val="single" w:sz="4" w:space="0" w:color="000000"/>
            </w:tcBorders>
            <w:shd w:val="clear" w:color="auto" w:fill="auto"/>
            <w:tcMar>
              <w:top w:w="55" w:type="dxa"/>
              <w:left w:w="72" w:type="dxa"/>
              <w:bottom w:w="0" w:type="dxa"/>
              <w:right w:w="115" w:type="dxa"/>
            </w:tcMar>
          </w:tcPr>
          <w:p w:rsidR="009B4233" w:rsidRDefault="006B08B9">
            <w:pPr>
              <w:spacing w:line="249" w:lineRule="auto"/>
            </w:pPr>
            <w:r>
              <w:rPr>
                <w:rFonts w:ascii="Arial" w:eastAsia="Calibri" w:hAnsi="Arial" w:cs="Arial"/>
                <w:b/>
                <w:sz w:val="22"/>
                <w:szCs w:val="22"/>
              </w:rPr>
              <w:t xml:space="preserve">                      1.296.250,84 € </w:t>
            </w:r>
          </w:p>
        </w:tc>
      </w:tr>
    </w:tbl>
    <w:p w:rsidR="009B4233" w:rsidRDefault="006B08B9">
      <w:pPr>
        <w:spacing w:after="219" w:line="249" w:lineRule="auto"/>
        <w:ind w:left="708"/>
        <w:jc w:val="both"/>
        <w:rPr>
          <w:rFonts w:ascii="Arial" w:hAnsi="Arial" w:cs="Arial"/>
          <w:sz w:val="22"/>
          <w:szCs w:val="22"/>
        </w:rPr>
      </w:pPr>
      <w:r>
        <w:rPr>
          <w:rFonts w:ascii="Arial" w:hAnsi="Arial" w:cs="Arial"/>
          <w:sz w:val="22"/>
          <w:szCs w:val="22"/>
        </w:rPr>
        <w:t xml:space="preserve"> 3.2. Ingresos derivados de </w:t>
      </w:r>
      <w:r>
        <w:rPr>
          <w:rFonts w:ascii="Arial" w:hAnsi="Arial" w:cs="Arial"/>
          <w:sz w:val="22"/>
          <w:szCs w:val="22"/>
        </w:rPr>
        <w:t>la valorización de residuos</w:t>
      </w:r>
    </w:p>
    <w:p w:rsidR="009B4233" w:rsidRDefault="006B08B9">
      <w:pPr>
        <w:ind w:left="-15"/>
        <w:jc w:val="both"/>
        <w:rPr>
          <w:rFonts w:ascii="Arial" w:hAnsi="Arial" w:cs="Arial"/>
          <w:sz w:val="22"/>
          <w:szCs w:val="22"/>
        </w:rPr>
      </w:pPr>
      <w:r>
        <w:rPr>
          <w:rFonts w:ascii="Arial" w:hAnsi="Arial" w:cs="Arial"/>
          <w:sz w:val="22"/>
          <w:szCs w:val="22"/>
        </w:rPr>
        <w:t>Se anexa igualmente una tabla extraída del presupuesto anual elaborado por la empresa Valoriza, en la que se recogen los ingresos obtenidos por la implementación de sistemas integrados de gestión (SIGs) y por la gestión de resid</w:t>
      </w:r>
      <w:r>
        <w:rPr>
          <w:rFonts w:ascii="Arial" w:hAnsi="Arial" w:cs="Arial"/>
          <w:sz w:val="22"/>
          <w:szCs w:val="22"/>
        </w:rPr>
        <w:t xml:space="preserve">uos valorizables. </w:t>
      </w:r>
    </w:p>
    <w:p w:rsidR="009B4233" w:rsidRDefault="006B08B9">
      <w:pPr>
        <w:spacing w:after="9"/>
        <w:ind w:left="-15"/>
        <w:jc w:val="both"/>
        <w:rPr>
          <w:rFonts w:ascii="Arial" w:hAnsi="Arial" w:cs="Arial"/>
          <w:sz w:val="22"/>
          <w:szCs w:val="22"/>
        </w:rPr>
      </w:pPr>
      <w:r>
        <w:rPr>
          <w:rFonts w:ascii="Arial" w:hAnsi="Arial" w:cs="Arial"/>
          <w:sz w:val="22"/>
          <w:szCs w:val="22"/>
        </w:rPr>
        <w:t>Estos ingresos ascienden a un total de 157.249,14 euros.</w:t>
      </w:r>
    </w:p>
    <w:tbl>
      <w:tblPr>
        <w:tblW w:w="6242" w:type="dxa"/>
        <w:tblInd w:w="1128" w:type="dxa"/>
        <w:tblCellMar>
          <w:left w:w="10" w:type="dxa"/>
          <w:right w:w="10" w:type="dxa"/>
        </w:tblCellMar>
        <w:tblLook w:val="0000" w:firstRow="0" w:lastRow="0" w:firstColumn="0" w:lastColumn="0" w:noHBand="0" w:noVBand="0"/>
      </w:tblPr>
      <w:tblGrid>
        <w:gridCol w:w="3256"/>
        <w:gridCol w:w="2986"/>
      </w:tblGrid>
      <w:tr w:rsidR="009B4233">
        <w:tblPrEx>
          <w:tblCellMar>
            <w:top w:w="0" w:type="dxa"/>
            <w:bottom w:w="0" w:type="dxa"/>
          </w:tblCellMar>
        </w:tblPrEx>
        <w:trPr>
          <w:trHeight w:val="289"/>
        </w:trPr>
        <w:tc>
          <w:tcPr>
            <w:tcW w:w="6242" w:type="dxa"/>
            <w:gridSpan w:val="2"/>
            <w:tcBorders>
              <w:top w:val="single" w:sz="4" w:space="0" w:color="000000"/>
              <w:left w:val="single" w:sz="4" w:space="0" w:color="000000"/>
              <w:bottom w:val="single" w:sz="4" w:space="0" w:color="000000"/>
              <w:right w:val="single" w:sz="4" w:space="0" w:color="000000"/>
            </w:tcBorders>
            <w:shd w:val="clear" w:color="auto" w:fill="E2EFDA"/>
            <w:tcMar>
              <w:top w:w="76" w:type="dxa"/>
              <w:left w:w="72" w:type="dxa"/>
              <w:bottom w:w="0" w:type="dxa"/>
              <w:right w:w="115" w:type="dxa"/>
            </w:tcMar>
          </w:tcPr>
          <w:p w:rsidR="009B4233" w:rsidRDefault="006B08B9">
            <w:pPr>
              <w:spacing w:line="249" w:lineRule="auto"/>
              <w:ind w:left="43"/>
              <w:jc w:val="center"/>
            </w:pPr>
            <w:r>
              <w:rPr>
                <w:rFonts w:ascii="Arial" w:eastAsia="Arial" w:hAnsi="Arial" w:cs="Arial"/>
                <w:b/>
                <w:sz w:val="22"/>
                <w:szCs w:val="22"/>
              </w:rPr>
              <w:t>INGRESOS SIGS Y GESTIÓN DE RESIDUOS (Valoriza)</w:t>
            </w:r>
          </w:p>
        </w:tc>
      </w:tr>
      <w:tr w:rsidR="009B4233">
        <w:tblPrEx>
          <w:tblCellMar>
            <w:top w:w="0" w:type="dxa"/>
            <w:bottom w:w="0" w:type="dxa"/>
          </w:tblCellMar>
        </w:tblPrEx>
        <w:trPr>
          <w:trHeight w:val="282"/>
        </w:trPr>
        <w:tc>
          <w:tcPr>
            <w:tcW w:w="3256" w:type="dxa"/>
            <w:tcBorders>
              <w:top w:val="single" w:sz="4" w:space="0" w:color="000000"/>
              <w:left w:val="single" w:sz="4" w:space="0" w:color="000000"/>
              <w:bottom w:val="single" w:sz="4" w:space="0" w:color="000000"/>
              <w:right w:val="single" w:sz="4" w:space="0" w:color="000000"/>
            </w:tcBorders>
            <w:shd w:val="clear" w:color="auto" w:fill="auto"/>
            <w:tcMar>
              <w:top w:w="76" w:type="dxa"/>
              <w:left w:w="72" w:type="dxa"/>
              <w:bottom w:w="0" w:type="dxa"/>
              <w:right w:w="115" w:type="dxa"/>
            </w:tcMar>
          </w:tcPr>
          <w:p w:rsidR="009B4233" w:rsidRDefault="006B08B9">
            <w:pPr>
              <w:spacing w:line="249" w:lineRule="auto"/>
            </w:pPr>
            <w:r>
              <w:rPr>
                <w:rFonts w:ascii="Arial" w:eastAsia="Arial" w:hAnsi="Arial" w:cs="Arial"/>
                <w:b/>
                <w:sz w:val="22"/>
                <w:szCs w:val="22"/>
              </w:rPr>
              <w:t>Partida</w:t>
            </w:r>
          </w:p>
        </w:tc>
        <w:tc>
          <w:tcPr>
            <w:tcW w:w="2986" w:type="dxa"/>
            <w:tcBorders>
              <w:top w:val="single" w:sz="4" w:space="0" w:color="000000"/>
              <w:left w:val="single" w:sz="4" w:space="0" w:color="000000"/>
              <w:bottom w:val="single" w:sz="4" w:space="0" w:color="000000"/>
              <w:right w:val="single" w:sz="4" w:space="0" w:color="000000"/>
            </w:tcBorders>
            <w:shd w:val="clear" w:color="auto" w:fill="auto"/>
            <w:tcMar>
              <w:top w:w="76" w:type="dxa"/>
              <w:left w:w="72" w:type="dxa"/>
              <w:bottom w:w="0" w:type="dxa"/>
              <w:right w:w="115" w:type="dxa"/>
            </w:tcMar>
          </w:tcPr>
          <w:p w:rsidR="009B4233" w:rsidRDefault="006B08B9">
            <w:pPr>
              <w:spacing w:line="249" w:lineRule="auto"/>
            </w:pPr>
            <w:r>
              <w:rPr>
                <w:rFonts w:ascii="Arial" w:eastAsia="Arial" w:hAnsi="Arial" w:cs="Arial"/>
                <w:b/>
                <w:sz w:val="22"/>
                <w:szCs w:val="22"/>
              </w:rPr>
              <w:t>Importe</w:t>
            </w:r>
          </w:p>
        </w:tc>
      </w:tr>
      <w:tr w:rsidR="009B4233">
        <w:tblPrEx>
          <w:tblCellMar>
            <w:top w:w="0" w:type="dxa"/>
            <w:bottom w:w="0" w:type="dxa"/>
          </w:tblCellMar>
        </w:tblPrEx>
        <w:trPr>
          <w:trHeight w:val="288"/>
        </w:trPr>
        <w:tc>
          <w:tcPr>
            <w:tcW w:w="3256" w:type="dxa"/>
            <w:tcBorders>
              <w:top w:val="single" w:sz="4" w:space="0" w:color="000000"/>
              <w:left w:val="single" w:sz="4" w:space="0" w:color="000000"/>
              <w:bottom w:val="single" w:sz="4" w:space="0" w:color="000000"/>
              <w:right w:val="single" w:sz="4" w:space="0" w:color="000000"/>
            </w:tcBorders>
            <w:shd w:val="clear" w:color="auto" w:fill="auto"/>
            <w:tcMar>
              <w:top w:w="76" w:type="dxa"/>
              <w:left w:w="72" w:type="dxa"/>
              <w:bottom w:w="0" w:type="dxa"/>
              <w:right w:w="115" w:type="dxa"/>
            </w:tcMar>
          </w:tcPr>
          <w:p w:rsidR="009B4233" w:rsidRDefault="006B08B9">
            <w:pPr>
              <w:spacing w:line="249" w:lineRule="auto"/>
              <w:rPr>
                <w:rFonts w:ascii="Arial" w:hAnsi="Arial" w:cs="Arial"/>
                <w:sz w:val="22"/>
                <w:szCs w:val="22"/>
              </w:rPr>
            </w:pPr>
            <w:r>
              <w:rPr>
                <w:rFonts w:ascii="Arial" w:hAnsi="Arial" w:cs="Arial"/>
                <w:sz w:val="22"/>
                <w:szCs w:val="22"/>
              </w:rPr>
              <w:t>Recogida envases ligeros</w:t>
            </w:r>
          </w:p>
        </w:tc>
        <w:tc>
          <w:tcPr>
            <w:tcW w:w="2986" w:type="dxa"/>
            <w:tcBorders>
              <w:top w:val="single" w:sz="4" w:space="0" w:color="000000"/>
              <w:left w:val="single" w:sz="4" w:space="0" w:color="000000"/>
              <w:bottom w:val="single" w:sz="4" w:space="0" w:color="000000"/>
              <w:right w:val="single" w:sz="4" w:space="0" w:color="000000"/>
            </w:tcBorders>
            <w:shd w:val="clear" w:color="auto" w:fill="auto"/>
            <w:tcMar>
              <w:top w:w="76" w:type="dxa"/>
              <w:left w:w="72" w:type="dxa"/>
              <w:bottom w:w="0" w:type="dxa"/>
              <w:right w:w="115" w:type="dxa"/>
            </w:tcMar>
          </w:tcPr>
          <w:p w:rsidR="009B4233" w:rsidRDefault="006B08B9">
            <w:pPr>
              <w:spacing w:line="249" w:lineRule="auto"/>
              <w:rPr>
                <w:rFonts w:ascii="Arial" w:hAnsi="Arial" w:cs="Arial"/>
                <w:sz w:val="22"/>
                <w:szCs w:val="22"/>
              </w:rPr>
            </w:pPr>
            <w:r>
              <w:rPr>
                <w:rFonts w:ascii="Arial" w:hAnsi="Arial" w:cs="Arial"/>
                <w:sz w:val="22"/>
                <w:szCs w:val="22"/>
              </w:rPr>
              <w:t xml:space="preserve">                      94.727,44 € </w:t>
            </w:r>
          </w:p>
        </w:tc>
      </w:tr>
      <w:tr w:rsidR="009B4233">
        <w:tblPrEx>
          <w:tblCellMar>
            <w:top w:w="0" w:type="dxa"/>
            <w:bottom w:w="0" w:type="dxa"/>
          </w:tblCellMar>
        </w:tblPrEx>
        <w:trPr>
          <w:trHeight w:val="288"/>
        </w:trPr>
        <w:tc>
          <w:tcPr>
            <w:tcW w:w="3256" w:type="dxa"/>
            <w:tcBorders>
              <w:top w:val="single" w:sz="4" w:space="0" w:color="000000"/>
              <w:left w:val="single" w:sz="4" w:space="0" w:color="000000"/>
              <w:bottom w:val="single" w:sz="4" w:space="0" w:color="000000"/>
              <w:right w:val="single" w:sz="4" w:space="0" w:color="000000"/>
            </w:tcBorders>
            <w:shd w:val="clear" w:color="auto" w:fill="auto"/>
            <w:tcMar>
              <w:top w:w="76" w:type="dxa"/>
              <w:left w:w="72" w:type="dxa"/>
              <w:bottom w:w="0" w:type="dxa"/>
              <w:right w:w="115" w:type="dxa"/>
            </w:tcMar>
          </w:tcPr>
          <w:p w:rsidR="009B4233" w:rsidRDefault="006B08B9">
            <w:pPr>
              <w:spacing w:line="249" w:lineRule="auto"/>
              <w:rPr>
                <w:rFonts w:ascii="Arial" w:hAnsi="Arial" w:cs="Arial"/>
                <w:sz w:val="22"/>
                <w:szCs w:val="22"/>
              </w:rPr>
            </w:pPr>
            <w:r>
              <w:rPr>
                <w:rFonts w:ascii="Arial" w:hAnsi="Arial" w:cs="Arial"/>
                <w:sz w:val="22"/>
                <w:szCs w:val="22"/>
              </w:rPr>
              <w:t>Recogida papel y cartón</w:t>
            </w:r>
          </w:p>
        </w:tc>
        <w:tc>
          <w:tcPr>
            <w:tcW w:w="2986" w:type="dxa"/>
            <w:tcBorders>
              <w:top w:val="single" w:sz="4" w:space="0" w:color="000000"/>
              <w:left w:val="single" w:sz="4" w:space="0" w:color="000000"/>
              <w:bottom w:val="single" w:sz="4" w:space="0" w:color="000000"/>
              <w:right w:val="single" w:sz="4" w:space="0" w:color="000000"/>
            </w:tcBorders>
            <w:shd w:val="clear" w:color="auto" w:fill="auto"/>
            <w:tcMar>
              <w:top w:w="76" w:type="dxa"/>
              <w:left w:w="72" w:type="dxa"/>
              <w:bottom w:w="0" w:type="dxa"/>
              <w:right w:w="115" w:type="dxa"/>
            </w:tcMar>
          </w:tcPr>
          <w:p w:rsidR="009B4233" w:rsidRDefault="006B08B9">
            <w:pPr>
              <w:spacing w:line="249" w:lineRule="auto"/>
              <w:rPr>
                <w:rFonts w:ascii="Arial" w:hAnsi="Arial" w:cs="Arial"/>
                <w:sz w:val="22"/>
                <w:szCs w:val="22"/>
              </w:rPr>
            </w:pPr>
            <w:r>
              <w:rPr>
                <w:rFonts w:ascii="Arial" w:hAnsi="Arial" w:cs="Arial"/>
                <w:sz w:val="22"/>
                <w:szCs w:val="22"/>
              </w:rPr>
              <w:t xml:space="preserve">                      </w:t>
            </w:r>
            <w:r>
              <w:rPr>
                <w:rFonts w:ascii="Arial" w:hAnsi="Arial" w:cs="Arial"/>
                <w:sz w:val="22"/>
                <w:szCs w:val="22"/>
              </w:rPr>
              <w:t xml:space="preserve">17.323,29 € </w:t>
            </w:r>
          </w:p>
        </w:tc>
      </w:tr>
      <w:tr w:rsidR="009B4233">
        <w:tblPrEx>
          <w:tblCellMar>
            <w:top w:w="0" w:type="dxa"/>
            <w:bottom w:w="0" w:type="dxa"/>
          </w:tblCellMar>
        </w:tblPrEx>
        <w:trPr>
          <w:trHeight w:val="288"/>
        </w:trPr>
        <w:tc>
          <w:tcPr>
            <w:tcW w:w="3256" w:type="dxa"/>
            <w:tcBorders>
              <w:top w:val="single" w:sz="4" w:space="0" w:color="000000"/>
              <w:left w:val="single" w:sz="4" w:space="0" w:color="000000"/>
              <w:bottom w:val="single" w:sz="4" w:space="0" w:color="000000"/>
              <w:right w:val="single" w:sz="4" w:space="0" w:color="000000"/>
            </w:tcBorders>
            <w:shd w:val="clear" w:color="auto" w:fill="auto"/>
            <w:tcMar>
              <w:top w:w="76" w:type="dxa"/>
              <w:left w:w="72" w:type="dxa"/>
              <w:bottom w:w="0" w:type="dxa"/>
              <w:right w:w="115" w:type="dxa"/>
            </w:tcMar>
          </w:tcPr>
          <w:p w:rsidR="009B4233" w:rsidRDefault="006B08B9">
            <w:pPr>
              <w:spacing w:line="249" w:lineRule="auto"/>
              <w:rPr>
                <w:rFonts w:ascii="Arial" w:hAnsi="Arial" w:cs="Arial"/>
                <w:sz w:val="22"/>
                <w:szCs w:val="22"/>
              </w:rPr>
            </w:pPr>
            <w:r>
              <w:rPr>
                <w:rFonts w:ascii="Arial" w:hAnsi="Arial" w:cs="Arial"/>
                <w:sz w:val="22"/>
                <w:szCs w:val="22"/>
              </w:rPr>
              <w:t>Venta papel y cartón</w:t>
            </w:r>
          </w:p>
        </w:tc>
        <w:tc>
          <w:tcPr>
            <w:tcW w:w="2986" w:type="dxa"/>
            <w:tcBorders>
              <w:top w:val="single" w:sz="4" w:space="0" w:color="000000"/>
              <w:left w:val="single" w:sz="4" w:space="0" w:color="000000"/>
              <w:bottom w:val="single" w:sz="4" w:space="0" w:color="000000"/>
              <w:right w:val="single" w:sz="4" w:space="0" w:color="000000"/>
            </w:tcBorders>
            <w:shd w:val="clear" w:color="auto" w:fill="auto"/>
            <w:tcMar>
              <w:top w:w="76" w:type="dxa"/>
              <w:left w:w="72" w:type="dxa"/>
              <w:bottom w:w="0" w:type="dxa"/>
              <w:right w:w="115" w:type="dxa"/>
            </w:tcMar>
          </w:tcPr>
          <w:p w:rsidR="009B4233" w:rsidRDefault="006B08B9">
            <w:pPr>
              <w:spacing w:line="249" w:lineRule="auto"/>
              <w:rPr>
                <w:rFonts w:ascii="Arial" w:hAnsi="Arial" w:cs="Arial"/>
                <w:sz w:val="22"/>
                <w:szCs w:val="22"/>
              </w:rPr>
            </w:pPr>
            <w:r>
              <w:rPr>
                <w:rFonts w:ascii="Arial" w:hAnsi="Arial" w:cs="Arial"/>
                <w:sz w:val="22"/>
                <w:szCs w:val="22"/>
              </w:rPr>
              <w:t xml:space="preserve">                      45.198,41 € </w:t>
            </w:r>
          </w:p>
        </w:tc>
      </w:tr>
      <w:tr w:rsidR="009B4233">
        <w:tblPrEx>
          <w:tblCellMar>
            <w:top w:w="0" w:type="dxa"/>
            <w:bottom w:w="0" w:type="dxa"/>
          </w:tblCellMar>
        </w:tblPrEx>
        <w:trPr>
          <w:trHeight w:val="288"/>
        </w:trPr>
        <w:tc>
          <w:tcPr>
            <w:tcW w:w="3256" w:type="dxa"/>
            <w:tcBorders>
              <w:top w:val="single" w:sz="4" w:space="0" w:color="000000"/>
              <w:left w:val="single" w:sz="4" w:space="0" w:color="000000"/>
              <w:bottom w:val="single" w:sz="4" w:space="0" w:color="000000"/>
              <w:right w:val="single" w:sz="4" w:space="0" w:color="000000"/>
            </w:tcBorders>
            <w:shd w:val="clear" w:color="auto" w:fill="auto"/>
            <w:tcMar>
              <w:top w:w="76" w:type="dxa"/>
              <w:left w:w="72" w:type="dxa"/>
              <w:bottom w:w="0" w:type="dxa"/>
              <w:right w:w="115" w:type="dxa"/>
            </w:tcMar>
          </w:tcPr>
          <w:p w:rsidR="009B4233" w:rsidRDefault="006B08B9">
            <w:pPr>
              <w:spacing w:line="249" w:lineRule="auto"/>
            </w:pPr>
            <w:r>
              <w:rPr>
                <w:rFonts w:ascii="Arial" w:eastAsia="Arial" w:hAnsi="Arial" w:cs="Arial"/>
                <w:b/>
                <w:sz w:val="22"/>
                <w:szCs w:val="22"/>
              </w:rPr>
              <w:t>TOTAL</w:t>
            </w:r>
          </w:p>
        </w:tc>
        <w:tc>
          <w:tcPr>
            <w:tcW w:w="2986" w:type="dxa"/>
            <w:tcBorders>
              <w:top w:val="single" w:sz="4" w:space="0" w:color="000000"/>
              <w:left w:val="single" w:sz="4" w:space="0" w:color="000000"/>
              <w:bottom w:val="single" w:sz="4" w:space="0" w:color="000000"/>
              <w:right w:val="single" w:sz="4" w:space="0" w:color="000000"/>
            </w:tcBorders>
            <w:shd w:val="clear" w:color="auto" w:fill="auto"/>
            <w:tcMar>
              <w:top w:w="76" w:type="dxa"/>
              <w:left w:w="72" w:type="dxa"/>
              <w:bottom w:w="0" w:type="dxa"/>
              <w:right w:w="115" w:type="dxa"/>
            </w:tcMar>
          </w:tcPr>
          <w:p w:rsidR="009B4233" w:rsidRDefault="006B08B9">
            <w:pPr>
              <w:spacing w:line="249" w:lineRule="auto"/>
            </w:pPr>
            <w:r>
              <w:rPr>
                <w:rFonts w:ascii="Arial" w:eastAsia="Arial" w:hAnsi="Arial" w:cs="Arial"/>
                <w:b/>
                <w:sz w:val="22"/>
                <w:szCs w:val="22"/>
              </w:rPr>
              <w:t xml:space="preserve">                   157.249,14 € </w:t>
            </w:r>
          </w:p>
        </w:tc>
      </w:tr>
    </w:tbl>
    <w:p w:rsidR="009B4233" w:rsidRDefault="006B08B9">
      <w:pPr>
        <w:pStyle w:val="Ttulo3"/>
        <w:ind w:left="279"/>
        <w:rPr>
          <w:rFonts w:ascii="Arial" w:hAnsi="Arial" w:cs="Arial"/>
          <w:sz w:val="22"/>
          <w:szCs w:val="22"/>
        </w:rPr>
      </w:pPr>
      <w:r>
        <w:rPr>
          <w:rFonts w:ascii="Arial" w:hAnsi="Arial" w:cs="Arial"/>
          <w:sz w:val="22"/>
          <w:szCs w:val="22"/>
        </w:rPr>
        <w:t>3.3. Ingresos Totales</w:t>
      </w:r>
    </w:p>
    <w:p w:rsidR="009B4233" w:rsidRDefault="006B08B9">
      <w:pPr>
        <w:spacing w:after="9"/>
        <w:ind w:left="284"/>
        <w:jc w:val="both"/>
        <w:rPr>
          <w:rFonts w:ascii="Arial" w:hAnsi="Arial" w:cs="Arial"/>
          <w:sz w:val="22"/>
          <w:szCs w:val="22"/>
        </w:rPr>
      </w:pPr>
      <w:r>
        <w:rPr>
          <w:rFonts w:ascii="Arial" w:hAnsi="Arial" w:cs="Arial"/>
          <w:sz w:val="22"/>
          <w:szCs w:val="22"/>
        </w:rPr>
        <w:t>Se anexa una tabla en la que se presenta la suma de los ingresos estimados para el ejercicio 2025 (como prórroga del 2024),</w:t>
      </w:r>
      <w:r>
        <w:rPr>
          <w:rFonts w:ascii="Arial" w:hAnsi="Arial" w:cs="Arial"/>
          <w:sz w:val="22"/>
          <w:szCs w:val="22"/>
        </w:rPr>
        <w:t xml:space="preserve"> incluyendo tanto la recaudación por la tasa como los ingresos generados por la valorización de residuos.</w:t>
      </w:r>
    </w:p>
    <w:tbl>
      <w:tblPr>
        <w:tblW w:w="6810" w:type="dxa"/>
        <w:tblInd w:w="844" w:type="dxa"/>
        <w:tblCellMar>
          <w:left w:w="10" w:type="dxa"/>
          <w:right w:w="10" w:type="dxa"/>
        </w:tblCellMar>
        <w:tblLook w:val="0000" w:firstRow="0" w:lastRow="0" w:firstColumn="0" w:lastColumn="0" w:noHBand="0" w:noVBand="0"/>
      </w:tblPr>
      <w:tblGrid>
        <w:gridCol w:w="4106"/>
        <w:gridCol w:w="2704"/>
      </w:tblGrid>
      <w:tr w:rsidR="009B4233">
        <w:tblPrEx>
          <w:tblCellMar>
            <w:top w:w="0" w:type="dxa"/>
            <w:bottom w:w="0" w:type="dxa"/>
          </w:tblCellMar>
        </w:tblPrEx>
        <w:trPr>
          <w:trHeight w:val="515"/>
        </w:trPr>
        <w:tc>
          <w:tcPr>
            <w:tcW w:w="6810" w:type="dxa"/>
            <w:gridSpan w:val="2"/>
            <w:tcBorders>
              <w:top w:val="single" w:sz="4" w:space="0" w:color="000000"/>
              <w:left w:val="single" w:sz="4" w:space="0" w:color="000000"/>
              <w:bottom w:val="single" w:sz="4" w:space="0" w:color="000000"/>
              <w:right w:val="single" w:sz="4" w:space="0" w:color="000000"/>
            </w:tcBorders>
            <w:shd w:val="clear" w:color="auto" w:fill="E2EFD9"/>
            <w:tcMar>
              <w:top w:w="12" w:type="dxa"/>
              <w:left w:w="110" w:type="dxa"/>
              <w:bottom w:w="0" w:type="dxa"/>
              <w:right w:w="115" w:type="dxa"/>
            </w:tcMar>
          </w:tcPr>
          <w:p w:rsidR="009B4233" w:rsidRDefault="006B08B9">
            <w:pPr>
              <w:spacing w:line="249" w:lineRule="auto"/>
              <w:ind w:left="344" w:right="276"/>
              <w:jc w:val="center"/>
            </w:pPr>
            <w:r>
              <w:rPr>
                <w:rFonts w:ascii="Arial" w:eastAsia="Arial" w:hAnsi="Arial" w:cs="Arial"/>
                <w:b/>
                <w:sz w:val="22"/>
                <w:szCs w:val="22"/>
              </w:rPr>
              <w:t>INGRESOS TOTALES POR LA RECOGIDA Y GESTION DE RESIDUOS SÓLIDOS URBANOS</w:t>
            </w:r>
          </w:p>
        </w:tc>
      </w:tr>
      <w:tr w:rsidR="009B4233">
        <w:tblPrEx>
          <w:tblCellMar>
            <w:top w:w="0" w:type="dxa"/>
            <w:bottom w:w="0" w:type="dxa"/>
          </w:tblCellMar>
        </w:tblPrEx>
        <w:trPr>
          <w:trHeight w:val="264"/>
        </w:trPr>
        <w:tc>
          <w:tcPr>
            <w:tcW w:w="4106" w:type="dxa"/>
            <w:tcBorders>
              <w:top w:val="single" w:sz="4" w:space="0" w:color="000000"/>
              <w:left w:val="single" w:sz="4" w:space="0" w:color="000000"/>
              <w:bottom w:val="single" w:sz="4" w:space="0" w:color="000000"/>
              <w:right w:val="single" w:sz="4" w:space="0" w:color="000000"/>
            </w:tcBorders>
            <w:shd w:val="clear" w:color="auto" w:fill="auto"/>
            <w:tcMar>
              <w:top w:w="12" w:type="dxa"/>
              <w:left w:w="110" w:type="dxa"/>
              <w:bottom w:w="0" w:type="dxa"/>
              <w:right w:w="115" w:type="dxa"/>
            </w:tcMar>
          </w:tcPr>
          <w:p w:rsidR="009B4233" w:rsidRDefault="006B08B9">
            <w:pPr>
              <w:spacing w:line="249" w:lineRule="auto"/>
            </w:pPr>
            <w:r>
              <w:rPr>
                <w:rFonts w:ascii="Arial" w:eastAsia="Arial" w:hAnsi="Arial" w:cs="Arial"/>
                <w:b/>
                <w:sz w:val="22"/>
                <w:szCs w:val="22"/>
              </w:rPr>
              <w:t>Concepto</w:t>
            </w:r>
          </w:p>
        </w:tc>
        <w:tc>
          <w:tcPr>
            <w:tcW w:w="2704" w:type="dxa"/>
            <w:tcBorders>
              <w:top w:val="single" w:sz="4" w:space="0" w:color="000000"/>
              <w:left w:val="single" w:sz="4" w:space="0" w:color="000000"/>
              <w:bottom w:val="single" w:sz="4" w:space="0" w:color="000000"/>
              <w:right w:val="single" w:sz="4" w:space="0" w:color="000000"/>
            </w:tcBorders>
            <w:shd w:val="clear" w:color="auto" w:fill="auto"/>
            <w:tcMar>
              <w:top w:w="12" w:type="dxa"/>
              <w:left w:w="110" w:type="dxa"/>
              <w:bottom w:w="0" w:type="dxa"/>
              <w:right w:w="115" w:type="dxa"/>
            </w:tcMar>
          </w:tcPr>
          <w:p w:rsidR="009B4233" w:rsidRDefault="006B08B9">
            <w:pPr>
              <w:spacing w:line="249" w:lineRule="auto"/>
              <w:ind w:left="9"/>
              <w:jc w:val="center"/>
            </w:pPr>
            <w:r>
              <w:rPr>
                <w:rFonts w:ascii="Arial" w:eastAsia="Arial" w:hAnsi="Arial" w:cs="Arial"/>
                <w:b/>
                <w:sz w:val="22"/>
                <w:szCs w:val="22"/>
              </w:rPr>
              <w:t>Importe</w:t>
            </w:r>
          </w:p>
        </w:tc>
      </w:tr>
      <w:tr w:rsidR="009B4233">
        <w:tblPrEx>
          <w:tblCellMar>
            <w:top w:w="0" w:type="dxa"/>
            <w:bottom w:w="0" w:type="dxa"/>
          </w:tblCellMar>
        </w:tblPrEx>
        <w:trPr>
          <w:trHeight w:val="264"/>
        </w:trPr>
        <w:tc>
          <w:tcPr>
            <w:tcW w:w="4106" w:type="dxa"/>
            <w:tcBorders>
              <w:top w:val="single" w:sz="4" w:space="0" w:color="000000"/>
              <w:left w:val="single" w:sz="4" w:space="0" w:color="000000"/>
              <w:bottom w:val="single" w:sz="4" w:space="0" w:color="000000"/>
              <w:right w:val="single" w:sz="4" w:space="0" w:color="000000"/>
            </w:tcBorders>
            <w:shd w:val="clear" w:color="auto" w:fill="auto"/>
            <w:tcMar>
              <w:top w:w="12" w:type="dxa"/>
              <w:left w:w="110" w:type="dxa"/>
              <w:bottom w:w="0" w:type="dxa"/>
              <w:right w:w="115" w:type="dxa"/>
            </w:tcMar>
          </w:tcPr>
          <w:p w:rsidR="009B4233" w:rsidRDefault="006B08B9">
            <w:pPr>
              <w:spacing w:line="249" w:lineRule="auto"/>
              <w:rPr>
                <w:rFonts w:ascii="Arial" w:hAnsi="Arial" w:cs="Arial"/>
                <w:sz w:val="22"/>
                <w:szCs w:val="22"/>
              </w:rPr>
            </w:pPr>
            <w:r>
              <w:rPr>
                <w:rFonts w:ascii="Arial" w:hAnsi="Arial" w:cs="Arial"/>
                <w:sz w:val="22"/>
                <w:szCs w:val="22"/>
              </w:rPr>
              <w:t>Ingresos por la tasa</w:t>
            </w:r>
          </w:p>
        </w:tc>
        <w:tc>
          <w:tcPr>
            <w:tcW w:w="2704" w:type="dxa"/>
            <w:tcBorders>
              <w:top w:val="single" w:sz="4" w:space="0" w:color="000000"/>
              <w:left w:val="single" w:sz="4" w:space="0" w:color="000000"/>
              <w:bottom w:val="single" w:sz="4" w:space="0" w:color="000000"/>
              <w:right w:val="single" w:sz="4" w:space="0" w:color="000000"/>
            </w:tcBorders>
            <w:shd w:val="clear" w:color="auto" w:fill="auto"/>
            <w:tcMar>
              <w:top w:w="12" w:type="dxa"/>
              <w:left w:w="110" w:type="dxa"/>
              <w:bottom w:w="0" w:type="dxa"/>
              <w:right w:w="115" w:type="dxa"/>
            </w:tcMar>
          </w:tcPr>
          <w:p w:rsidR="009B4233" w:rsidRDefault="006B08B9">
            <w:pPr>
              <w:spacing w:line="249" w:lineRule="auto"/>
              <w:ind w:left="12"/>
              <w:jc w:val="center"/>
              <w:rPr>
                <w:rFonts w:ascii="Arial" w:hAnsi="Arial" w:cs="Arial"/>
                <w:sz w:val="22"/>
                <w:szCs w:val="22"/>
              </w:rPr>
            </w:pPr>
            <w:r>
              <w:rPr>
                <w:rFonts w:ascii="Arial" w:hAnsi="Arial" w:cs="Arial"/>
                <w:sz w:val="22"/>
                <w:szCs w:val="22"/>
              </w:rPr>
              <w:t xml:space="preserve">  1.296.250,84 € </w:t>
            </w:r>
          </w:p>
        </w:tc>
      </w:tr>
      <w:tr w:rsidR="009B4233">
        <w:tblPrEx>
          <w:tblCellMar>
            <w:top w:w="0" w:type="dxa"/>
            <w:bottom w:w="0" w:type="dxa"/>
          </w:tblCellMar>
        </w:tblPrEx>
        <w:trPr>
          <w:trHeight w:val="262"/>
        </w:trPr>
        <w:tc>
          <w:tcPr>
            <w:tcW w:w="4106" w:type="dxa"/>
            <w:tcBorders>
              <w:top w:val="single" w:sz="4" w:space="0" w:color="000000"/>
              <w:left w:val="single" w:sz="4" w:space="0" w:color="000000"/>
              <w:bottom w:val="single" w:sz="4" w:space="0" w:color="000000"/>
              <w:right w:val="single" w:sz="4" w:space="0" w:color="000000"/>
            </w:tcBorders>
            <w:shd w:val="clear" w:color="auto" w:fill="auto"/>
            <w:tcMar>
              <w:top w:w="12" w:type="dxa"/>
              <w:left w:w="110" w:type="dxa"/>
              <w:bottom w:w="0" w:type="dxa"/>
              <w:right w:w="115" w:type="dxa"/>
            </w:tcMar>
          </w:tcPr>
          <w:p w:rsidR="009B4233" w:rsidRDefault="006B08B9">
            <w:pPr>
              <w:spacing w:line="249" w:lineRule="auto"/>
              <w:rPr>
                <w:rFonts w:ascii="Arial" w:hAnsi="Arial" w:cs="Arial"/>
                <w:sz w:val="22"/>
                <w:szCs w:val="22"/>
              </w:rPr>
            </w:pPr>
            <w:r>
              <w:rPr>
                <w:rFonts w:ascii="Arial" w:hAnsi="Arial" w:cs="Arial"/>
                <w:sz w:val="22"/>
                <w:szCs w:val="22"/>
              </w:rPr>
              <w:t xml:space="preserve">Ingresos por </w:t>
            </w:r>
            <w:r>
              <w:rPr>
                <w:rFonts w:ascii="Arial" w:hAnsi="Arial" w:cs="Arial"/>
                <w:sz w:val="22"/>
                <w:szCs w:val="22"/>
              </w:rPr>
              <w:t>revalorización</w:t>
            </w:r>
          </w:p>
        </w:tc>
        <w:tc>
          <w:tcPr>
            <w:tcW w:w="2704" w:type="dxa"/>
            <w:tcBorders>
              <w:top w:val="single" w:sz="4" w:space="0" w:color="000000"/>
              <w:left w:val="single" w:sz="4" w:space="0" w:color="000000"/>
              <w:bottom w:val="single" w:sz="4" w:space="0" w:color="000000"/>
              <w:right w:val="single" w:sz="4" w:space="0" w:color="000000"/>
            </w:tcBorders>
            <w:shd w:val="clear" w:color="auto" w:fill="auto"/>
            <w:tcMar>
              <w:top w:w="12" w:type="dxa"/>
              <w:left w:w="110" w:type="dxa"/>
              <w:bottom w:w="0" w:type="dxa"/>
              <w:right w:w="115" w:type="dxa"/>
            </w:tcMar>
          </w:tcPr>
          <w:p w:rsidR="009B4233" w:rsidRDefault="006B08B9">
            <w:pPr>
              <w:spacing w:line="249" w:lineRule="auto"/>
              <w:ind w:left="10"/>
              <w:jc w:val="center"/>
              <w:rPr>
                <w:rFonts w:ascii="Arial" w:hAnsi="Arial" w:cs="Arial"/>
                <w:sz w:val="22"/>
                <w:szCs w:val="22"/>
              </w:rPr>
            </w:pPr>
            <w:r>
              <w:rPr>
                <w:rFonts w:ascii="Arial" w:hAnsi="Arial" w:cs="Arial"/>
                <w:sz w:val="22"/>
                <w:szCs w:val="22"/>
              </w:rPr>
              <w:t xml:space="preserve">      157.249,14 € </w:t>
            </w:r>
          </w:p>
        </w:tc>
      </w:tr>
      <w:tr w:rsidR="009B4233">
        <w:tblPrEx>
          <w:tblCellMar>
            <w:top w:w="0" w:type="dxa"/>
            <w:bottom w:w="0" w:type="dxa"/>
          </w:tblCellMar>
        </w:tblPrEx>
        <w:trPr>
          <w:trHeight w:val="264"/>
        </w:trPr>
        <w:tc>
          <w:tcPr>
            <w:tcW w:w="4106" w:type="dxa"/>
            <w:tcBorders>
              <w:top w:val="single" w:sz="4" w:space="0" w:color="000000"/>
              <w:left w:val="single" w:sz="4" w:space="0" w:color="000000"/>
              <w:bottom w:val="single" w:sz="4" w:space="0" w:color="000000"/>
              <w:right w:val="single" w:sz="4" w:space="0" w:color="000000"/>
            </w:tcBorders>
            <w:shd w:val="clear" w:color="auto" w:fill="auto"/>
            <w:tcMar>
              <w:top w:w="12" w:type="dxa"/>
              <w:left w:w="110" w:type="dxa"/>
              <w:bottom w:w="0" w:type="dxa"/>
              <w:right w:w="115" w:type="dxa"/>
            </w:tcMar>
          </w:tcPr>
          <w:p w:rsidR="009B4233" w:rsidRDefault="006B08B9">
            <w:pPr>
              <w:spacing w:line="249" w:lineRule="auto"/>
            </w:pPr>
            <w:r>
              <w:rPr>
                <w:rFonts w:ascii="Arial" w:eastAsia="Arial" w:hAnsi="Arial" w:cs="Arial"/>
                <w:b/>
                <w:sz w:val="22"/>
                <w:szCs w:val="22"/>
              </w:rPr>
              <w:t>Total</w:t>
            </w:r>
          </w:p>
        </w:tc>
        <w:tc>
          <w:tcPr>
            <w:tcW w:w="2704" w:type="dxa"/>
            <w:tcBorders>
              <w:top w:val="single" w:sz="4" w:space="0" w:color="000000"/>
              <w:left w:val="single" w:sz="4" w:space="0" w:color="000000"/>
              <w:bottom w:val="single" w:sz="4" w:space="0" w:color="000000"/>
              <w:right w:val="single" w:sz="4" w:space="0" w:color="000000"/>
            </w:tcBorders>
            <w:shd w:val="clear" w:color="auto" w:fill="auto"/>
            <w:tcMar>
              <w:top w:w="12" w:type="dxa"/>
              <w:left w:w="110" w:type="dxa"/>
              <w:bottom w:w="0" w:type="dxa"/>
              <w:right w:w="115" w:type="dxa"/>
            </w:tcMar>
          </w:tcPr>
          <w:p w:rsidR="009B4233" w:rsidRDefault="006B08B9">
            <w:pPr>
              <w:spacing w:line="249" w:lineRule="auto"/>
              <w:ind w:left="12"/>
              <w:jc w:val="center"/>
            </w:pPr>
            <w:r>
              <w:rPr>
                <w:rFonts w:ascii="Arial" w:eastAsia="Arial" w:hAnsi="Arial" w:cs="Arial"/>
                <w:b/>
                <w:sz w:val="22"/>
                <w:szCs w:val="22"/>
              </w:rPr>
              <w:t xml:space="preserve">  1.453.499,98 € </w:t>
            </w:r>
          </w:p>
        </w:tc>
      </w:tr>
    </w:tbl>
    <w:p w:rsidR="009B4233" w:rsidRDefault="006B08B9">
      <w:pPr>
        <w:pStyle w:val="Ttulo2"/>
        <w:ind w:left="629" w:hanging="360"/>
        <w:rPr>
          <w:rFonts w:ascii="Arial" w:hAnsi="Arial" w:cs="Arial"/>
          <w:sz w:val="22"/>
          <w:szCs w:val="22"/>
        </w:rPr>
      </w:pPr>
      <w:r>
        <w:rPr>
          <w:rFonts w:ascii="Arial" w:hAnsi="Arial" w:cs="Arial"/>
          <w:sz w:val="22"/>
          <w:szCs w:val="22"/>
        </w:rPr>
        <w:t>4. Determinación de la diferencia entre los ingresos totales y los costes totales asociados al servicio</w:t>
      </w:r>
    </w:p>
    <w:p w:rsidR="009B4233" w:rsidRDefault="006B08B9">
      <w:pPr>
        <w:spacing w:after="9"/>
        <w:ind w:left="-15"/>
        <w:jc w:val="both"/>
        <w:rPr>
          <w:rFonts w:ascii="Arial" w:hAnsi="Arial" w:cs="Arial"/>
          <w:sz w:val="22"/>
          <w:szCs w:val="22"/>
        </w:rPr>
      </w:pPr>
      <w:r>
        <w:rPr>
          <w:rFonts w:ascii="Arial" w:hAnsi="Arial" w:cs="Arial"/>
          <w:sz w:val="22"/>
          <w:szCs w:val="22"/>
        </w:rPr>
        <w:t xml:space="preserve">A continuación, se presenta una tabla resumen que recoge el cálculo de la diferencia entre </w:t>
      </w:r>
      <w:r>
        <w:rPr>
          <w:rFonts w:ascii="Arial" w:hAnsi="Arial" w:cs="Arial"/>
          <w:sz w:val="22"/>
          <w:szCs w:val="22"/>
        </w:rPr>
        <w:t>los ingresos totales obtenidos por el servicio de recogida y tratamiento de residuos sólidos urbanos y los costes totales —tanto directos como indirectos— asociados a su prestación durante el ejercicio 2025:</w:t>
      </w:r>
    </w:p>
    <w:p w:rsidR="009B4233" w:rsidRDefault="009B4233">
      <w:pPr>
        <w:spacing w:after="9"/>
        <w:ind w:left="-15"/>
        <w:jc w:val="both"/>
        <w:rPr>
          <w:rFonts w:ascii="Arial" w:hAnsi="Arial" w:cs="Arial"/>
          <w:sz w:val="22"/>
          <w:szCs w:val="22"/>
        </w:rPr>
      </w:pPr>
    </w:p>
    <w:tbl>
      <w:tblPr>
        <w:tblW w:w="7376" w:type="dxa"/>
        <w:tblInd w:w="562" w:type="dxa"/>
        <w:tblCellMar>
          <w:left w:w="10" w:type="dxa"/>
          <w:right w:w="10" w:type="dxa"/>
        </w:tblCellMar>
        <w:tblLook w:val="0000" w:firstRow="0" w:lastRow="0" w:firstColumn="0" w:lastColumn="0" w:noHBand="0" w:noVBand="0"/>
      </w:tblPr>
      <w:tblGrid>
        <w:gridCol w:w="4248"/>
        <w:gridCol w:w="3128"/>
      </w:tblGrid>
      <w:tr w:rsidR="009B4233">
        <w:tblPrEx>
          <w:tblCellMar>
            <w:top w:w="0" w:type="dxa"/>
            <w:bottom w:w="0" w:type="dxa"/>
          </w:tblCellMar>
        </w:tblPrEx>
        <w:trPr>
          <w:trHeight w:val="563"/>
        </w:trPr>
        <w:tc>
          <w:tcPr>
            <w:tcW w:w="7376" w:type="dxa"/>
            <w:gridSpan w:val="2"/>
            <w:tcBorders>
              <w:top w:val="single" w:sz="4" w:space="0" w:color="000000"/>
              <w:left w:val="single" w:sz="4" w:space="0" w:color="000000"/>
              <w:bottom w:val="single" w:sz="4" w:space="0" w:color="000000"/>
              <w:right w:val="single" w:sz="4" w:space="0" w:color="000000"/>
            </w:tcBorders>
            <w:shd w:val="clear" w:color="auto" w:fill="E2EFDA"/>
            <w:tcMar>
              <w:top w:w="12" w:type="dxa"/>
              <w:left w:w="72" w:type="dxa"/>
              <w:bottom w:w="3" w:type="dxa"/>
              <w:right w:w="115" w:type="dxa"/>
            </w:tcMar>
            <w:vAlign w:val="bottom"/>
          </w:tcPr>
          <w:p w:rsidR="009B4233" w:rsidRDefault="006B08B9">
            <w:pPr>
              <w:spacing w:line="249" w:lineRule="auto"/>
              <w:ind w:left="43"/>
              <w:jc w:val="center"/>
            </w:pPr>
            <w:r>
              <w:rPr>
                <w:rFonts w:ascii="Arial" w:eastAsia="Arial" w:hAnsi="Arial" w:cs="Arial"/>
                <w:b/>
                <w:sz w:val="22"/>
                <w:szCs w:val="22"/>
              </w:rPr>
              <w:t xml:space="preserve">CÁLCULO DE LA DIFERENCIA ENTRE LOS INGRESOS </w:t>
            </w:r>
          </w:p>
          <w:p w:rsidR="009B4233" w:rsidRDefault="006B08B9">
            <w:pPr>
              <w:spacing w:line="249" w:lineRule="auto"/>
              <w:ind w:left="43"/>
              <w:jc w:val="center"/>
            </w:pPr>
            <w:r>
              <w:rPr>
                <w:rFonts w:ascii="Arial" w:eastAsia="Arial" w:hAnsi="Arial" w:cs="Arial"/>
                <w:b/>
                <w:sz w:val="22"/>
                <w:szCs w:val="22"/>
              </w:rPr>
              <w:t xml:space="preserve">Y </w:t>
            </w:r>
            <w:r>
              <w:rPr>
                <w:rFonts w:ascii="Arial" w:eastAsia="Arial" w:hAnsi="Arial" w:cs="Arial"/>
                <w:b/>
                <w:sz w:val="22"/>
                <w:szCs w:val="22"/>
              </w:rPr>
              <w:t>LOS COSTES TOTALES</w:t>
            </w:r>
          </w:p>
        </w:tc>
      </w:tr>
      <w:tr w:rsidR="009B4233">
        <w:tblPrEx>
          <w:tblCellMar>
            <w:top w:w="0" w:type="dxa"/>
            <w:bottom w:w="0" w:type="dxa"/>
          </w:tblCellMar>
        </w:tblPrEx>
        <w:trPr>
          <w:trHeight w:val="290"/>
        </w:trPr>
        <w:tc>
          <w:tcPr>
            <w:tcW w:w="4248" w:type="dxa"/>
            <w:tcBorders>
              <w:top w:val="single" w:sz="4" w:space="0" w:color="000000"/>
              <w:left w:val="single" w:sz="4" w:space="0" w:color="000000"/>
              <w:bottom w:val="single" w:sz="4" w:space="0" w:color="000000"/>
              <w:right w:val="single" w:sz="4" w:space="0" w:color="000000"/>
            </w:tcBorders>
            <w:shd w:val="clear" w:color="auto" w:fill="auto"/>
            <w:tcMar>
              <w:top w:w="12" w:type="dxa"/>
              <w:left w:w="72" w:type="dxa"/>
              <w:bottom w:w="3" w:type="dxa"/>
              <w:right w:w="115" w:type="dxa"/>
            </w:tcMar>
          </w:tcPr>
          <w:p w:rsidR="009B4233" w:rsidRDefault="006B08B9">
            <w:pPr>
              <w:spacing w:line="249" w:lineRule="auto"/>
              <w:rPr>
                <w:rFonts w:ascii="Arial" w:hAnsi="Arial" w:cs="Arial"/>
                <w:sz w:val="22"/>
                <w:szCs w:val="22"/>
              </w:rPr>
            </w:pPr>
            <w:r>
              <w:rPr>
                <w:rFonts w:ascii="Arial" w:hAnsi="Arial" w:cs="Arial"/>
                <w:sz w:val="22"/>
                <w:szCs w:val="22"/>
              </w:rPr>
              <w:t>COSTES DIRECTOS</w:t>
            </w:r>
          </w:p>
        </w:tc>
        <w:tc>
          <w:tcPr>
            <w:tcW w:w="3128" w:type="dxa"/>
            <w:tcBorders>
              <w:top w:val="single" w:sz="4" w:space="0" w:color="000000"/>
              <w:left w:val="single" w:sz="4" w:space="0" w:color="000000"/>
              <w:bottom w:val="single" w:sz="4" w:space="0" w:color="000000"/>
              <w:right w:val="single" w:sz="4" w:space="0" w:color="000000"/>
            </w:tcBorders>
            <w:shd w:val="clear" w:color="auto" w:fill="auto"/>
            <w:tcMar>
              <w:top w:w="12" w:type="dxa"/>
              <w:left w:w="72" w:type="dxa"/>
              <w:bottom w:w="3" w:type="dxa"/>
              <w:right w:w="115" w:type="dxa"/>
            </w:tcMar>
          </w:tcPr>
          <w:p w:rsidR="009B4233" w:rsidRDefault="006B08B9">
            <w:pPr>
              <w:spacing w:line="249" w:lineRule="auto"/>
              <w:ind w:left="48"/>
              <w:jc w:val="center"/>
              <w:rPr>
                <w:rFonts w:ascii="Arial" w:hAnsi="Arial" w:cs="Arial"/>
                <w:sz w:val="22"/>
                <w:szCs w:val="22"/>
              </w:rPr>
            </w:pPr>
            <w:r>
              <w:rPr>
                <w:rFonts w:ascii="Arial" w:hAnsi="Arial" w:cs="Arial"/>
                <w:sz w:val="22"/>
                <w:szCs w:val="22"/>
              </w:rPr>
              <w:t>2.453.359,84 €</w:t>
            </w:r>
          </w:p>
        </w:tc>
      </w:tr>
      <w:tr w:rsidR="009B4233">
        <w:tblPrEx>
          <w:tblCellMar>
            <w:top w:w="0" w:type="dxa"/>
            <w:bottom w:w="0" w:type="dxa"/>
          </w:tblCellMar>
        </w:tblPrEx>
        <w:trPr>
          <w:trHeight w:val="320"/>
        </w:trPr>
        <w:tc>
          <w:tcPr>
            <w:tcW w:w="4248" w:type="dxa"/>
            <w:tcBorders>
              <w:top w:val="single" w:sz="4" w:space="0" w:color="000000"/>
              <w:left w:val="single" w:sz="4" w:space="0" w:color="000000"/>
              <w:bottom w:val="single" w:sz="4" w:space="0" w:color="000000"/>
              <w:right w:val="single" w:sz="4" w:space="0" w:color="000000"/>
            </w:tcBorders>
            <w:shd w:val="clear" w:color="auto" w:fill="auto"/>
            <w:tcMar>
              <w:top w:w="12" w:type="dxa"/>
              <w:left w:w="72" w:type="dxa"/>
              <w:bottom w:w="3" w:type="dxa"/>
              <w:right w:w="115" w:type="dxa"/>
            </w:tcMar>
          </w:tcPr>
          <w:p w:rsidR="009B4233" w:rsidRDefault="006B08B9">
            <w:pPr>
              <w:spacing w:line="249" w:lineRule="auto"/>
              <w:rPr>
                <w:rFonts w:ascii="Arial" w:hAnsi="Arial" w:cs="Arial"/>
                <w:sz w:val="22"/>
                <w:szCs w:val="22"/>
              </w:rPr>
            </w:pPr>
            <w:r>
              <w:rPr>
                <w:rFonts w:ascii="Arial" w:hAnsi="Arial" w:cs="Arial"/>
                <w:sz w:val="22"/>
                <w:szCs w:val="22"/>
              </w:rPr>
              <w:t>COSTES INDIRECTOS</w:t>
            </w:r>
          </w:p>
        </w:tc>
        <w:tc>
          <w:tcPr>
            <w:tcW w:w="3128" w:type="dxa"/>
            <w:tcBorders>
              <w:top w:val="single" w:sz="4" w:space="0" w:color="000000"/>
              <w:left w:val="single" w:sz="4" w:space="0" w:color="000000"/>
              <w:bottom w:val="single" w:sz="4" w:space="0" w:color="000000"/>
              <w:right w:val="single" w:sz="4" w:space="0" w:color="000000"/>
            </w:tcBorders>
            <w:shd w:val="clear" w:color="auto" w:fill="auto"/>
            <w:tcMar>
              <w:top w:w="12" w:type="dxa"/>
              <w:left w:w="72" w:type="dxa"/>
              <w:bottom w:w="3" w:type="dxa"/>
              <w:right w:w="115" w:type="dxa"/>
            </w:tcMar>
          </w:tcPr>
          <w:p w:rsidR="009B4233" w:rsidRDefault="006B08B9">
            <w:pPr>
              <w:spacing w:line="249" w:lineRule="auto"/>
              <w:ind w:left="46"/>
              <w:jc w:val="center"/>
              <w:rPr>
                <w:rFonts w:ascii="Arial" w:hAnsi="Arial" w:cs="Arial"/>
                <w:sz w:val="22"/>
                <w:szCs w:val="22"/>
              </w:rPr>
            </w:pPr>
            <w:r>
              <w:rPr>
                <w:rFonts w:ascii="Arial" w:hAnsi="Arial" w:cs="Arial"/>
                <w:sz w:val="22"/>
                <w:szCs w:val="22"/>
              </w:rPr>
              <w:t>45.368,78 €</w:t>
            </w:r>
          </w:p>
        </w:tc>
      </w:tr>
      <w:tr w:rsidR="009B4233">
        <w:tblPrEx>
          <w:tblCellMar>
            <w:top w:w="0" w:type="dxa"/>
            <w:bottom w:w="0" w:type="dxa"/>
          </w:tblCellMar>
        </w:tblPrEx>
        <w:trPr>
          <w:trHeight w:val="282"/>
        </w:trPr>
        <w:tc>
          <w:tcPr>
            <w:tcW w:w="4248" w:type="dxa"/>
            <w:tcBorders>
              <w:top w:val="single" w:sz="4" w:space="0" w:color="000000"/>
              <w:left w:val="single" w:sz="4" w:space="0" w:color="000000"/>
              <w:bottom w:val="single" w:sz="4" w:space="0" w:color="000000"/>
              <w:right w:val="single" w:sz="4" w:space="0" w:color="000000"/>
            </w:tcBorders>
            <w:shd w:val="clear" w:color="auto" w:fill="auto"/>
            <w:tcMar>
              <w:top w:w="12" w:type="dxa"/>
              <w:left w:w="72" w:type="dxa"/>
              <w:bottom w:w="3" w:type="dxa"/>
              <w:right w:w="115" w:type="dxa"/>
            </w:tcMar>
          </w:tcPr>
          <w:p w:rsidR="009B4233" w:rsidRDefault="006B08B9">
            <w:pPr>
              <w:spacing w:line="249" w:lineRule="auto"/>
            </w:pPr>
            <w:r>
              <w:rPr>
                <w:rFonts w:ascii="Arial" w:eastAsia="Arial" w:hAnsi="Arial" w:cs="Arial"/>
                <w:b/>
                <w:sz w:val="22"/>
                <w:szCs w:val="22"/>
              </w:rPr>
              <w:t>COSTES TOTALES</w:t>
            </w:r>
          </w:p>
        </w:tc>
        <w:tc>
          <w:tcPr>
            <w:tcW w:w="3128" w:type="dxa"/>
            <w:tcBorders>
              <w:top w:val="single" w:sz="4" w:space="0" w:color="000000"/>
              <w:left w:val="single" w:sz="4" w:space="0" w:color="000000"/>
              <w:bottom w:val="single" w:sz="4" w:space="0" w:color="000000"/>
              <w:right w:val="single" w:sz="4" w:space="0" w:color="000000"/>
            </w:tcBorders>
            <w:shd w:val="clear" w:color="auto" w:fill="auto"/>
            <w:tcMar>
              <w:top w:w="12" w:type="dxa"/>
              <w:left w:w="72" w:type="dxa"/>
              <w:bottom w:w="3" w:type="dxa"/>
              <w:right w:w="115" w:type="dxa"/>
            </w:tcMar>
          </w:tcPr>
          <w:p w:rsidR="009B4233" w:rsidRDefault="006B08B9">
            <w:pPr>
              <w:spacing w:line="249" w:lineRule="auto"/>
              <w:ind w:left="44"/>
              <w:jc w:val="center"/>
            </w:pPr>
            <w:r>
              <w:rPr>
                <w:rFonts w:ascii="Arial" w:eastAsia="Calibri" w:hAnsi="Arial" w:cs="Arial"/>
                <w:sz w:val="22"/>
                <w:szCs w:val="22"/>
              </w:rPr>
              <w:t>2.498.728,62 €</w:t>
            </w:r>
          </w:p>
        </w:tc>
      </w:tr>
      <w:tr w:rsidR="009B4233">
        <w:tblPrEx>
          <w:tblCellMar>
            <w:top w:w="0" w:type="dxa"/>
            <w:bottom w:w="0" w:type="dxa"/>
          </w:tblCellMar>
        </w:tblPrEx>
        <w:trPr>
          <w:trHeight w:val="288"/>
        </w:trPr>
        <w:tc>
          <w:tcPr>
            <w:tcW w:w="4248" w:type="dxa"/>
            <w:tcBorders>
              <w:top w:val="single" w:sz="4" w:space="0" w:color="000000"/>
              <w:left w:val="single" w:sz="4" w:space="0" w:color="000000"/>
              <w:bottom w:val="single" w:sz="4" w:space="0" w:color="000000"/>
              <w:right w:val="single" w:sz="4" w:space="0" w:color="000000"/>
            </w:tcBorders>
            <w:shd w:val="clear" w:color="auto" w:fill="auto"/>
            <w:tcMar>
              <w:top w:w="12" w:type="dxa"/>
              <w:left w:w="72" w:type="dxa"/>
              <w:bottom w:w="3" w:type="dxa"/>
              <w:right w:w="115" w:type="dxa"/>
            </w:tcMar>
          </w:tcPr>
          <w:p w:rsidR="009B4233" w:rsidRDefault="006B08B9">
            <w:pPr>
              <w:spacing w:line="249" w:lineRule="auto"/>
              <w:rPr>
                <w:rFonts w:ascii="Arial" w:hAnsi="Arial" w:cs="Arial"/>
                <w:sz w:val="22"/>
                <w:szCs w:val="22"/>
              </w:rPr>
            </w:pPr>
            <w:r>
              <w:rPr>
                <w:rFonts w:ascii="Arial" w:hAnsi="Arial" w:cs="Arial"/>
                <w:sz w:val="22"/>
                <w:szCs w:val="22"/>
              </w:rPr>
              <w:t>INGRESOS DE LA TASA</w:t>
            </w:r>
          </w:p>
        </w:tc>
        <w:tc>
          <w:tcPr>
            <w:tcW w:w="3128" w:type="dxa"/>
            <w:tcBorders>
              <w:top w:val="single" w:sz="4" w:space="0" w:color="000000"/>
              <w:left w:val="single" w:sz="4" w:space="0" w:color="000000"/>
              <w:bottom w:val="single" w:sz="4" w:space="0" w:color="000000"/>
              <w:right w:val="single" w:sz="4" w:space="0" w:color="000000"/>
            </w:tcBorders>
            <w:shd w:val="clear" w:color="auto" w:fill="auto"/>
            <w:tcMar>
              <w:top w:w="12" w:type="dxa"/>
              <w:left w:w="72" w:type="dxa"/>
              <w:bottom w:w="3" w:type="dxa"/>
              <w:right w:w="115" w:type="dxa"/>
            </w:tcMar>
          </w:tcPr>
          <w:p w:rsidR="009B4233" w:rsidRDefault="006B08B9">
            <w:pPr>
              <w:spacing w:line="249" w:lineRule="auto"/>
              <w:ind w:left="48"/>
              <w:jc w:val="center"/>
              <w:rPr>
                <w:rFonts w:ascii="Arial" w:hAnsi="Arial" w:cs="Arial"/>
                <w:sz w:val="22"/>
                <w:szCs w:val="22"/>
              </w:rPr>
            </w:pPr>
            <w:r>
              <w:rPr>
                <w:rFonts w:ascii="Arial" w:hAnsi="Arial" w:cs="Arial"/>
                <w:sz w:val="22"/>
                <w:szCs w:val="22"/>
              </w:rPr>
              <w:t>1.296.250,84 €</w:t>
            </w:r>
          </w:p>
        </w:tc>
      </w:tr>
      <w:tr w:rsidR="009B4233">
        <w:tblPrEx>
          <w:tblCellMar>
            <w:top w:w="0" w:type="dxa"/>
            <w:bottom w:w="0" w:type="dxa"/>
          </w:tblCellMar>
        </w:tblPrEx>
        <w:trPr>
          <w:trHeight w:val="288"/>
        </w:trPr>
        <w:tc>
          <w:tcPr>
            <w:tcW w:w="4248" w:type="dxa"/>
            <w:tcBorders>
              <w:top w:val="single" w:sz="4" w:space="0" w:color="000000"/>
              <w:left w:val="single" w:sz="4" w:space="0" w:color="000000"/>
              <w:bottom w:val="single" w:sz="4" w:space="0" w:color="000000"/>
              <w:right w:val="single" w:sz="4" w:space="0" w:color="000000"/>
            </w:tcBorders>
            <w:shd w:val="clear" w:color="auto" w:fill="auto"/>
            <w:tcMar>
              <w:top w:w="12" w:type="dxa"/>
              <w:left w:w="72" w:type="dxa"/>
              <w:bottom w:w="3" w:type="dxa"/>
              <w:right w:w="115" w:type="dxa"/>
            </w:tcMar>
          </w:tcPr>
          <w:p w:rsidR="009B4233" w:rsidRDefault="006B08B9">
            <w:pPr>
              <w:spacing w:line="249" w:lineRule="auto"/>
              <w:rPr>
                <w:rFonts w:ascii="Arial" w:hAnsi="Arial" w:cs="Arial"/>
                <w:sz w:val="22"/>
                <w:szCs w:val="22"/>
              </w:rPr>
            </w:pPr>
            <w:r>
              <w:rPr>
                <w:rFonts w:ascii="Arial" w:hAnsi="Arial" w:cs="Arial"/>
                <w:sz w:val="22"/>
                <w:szCs w:val="22"/>
              </w:rPr>
              <w:t>INGRESOS DE VALORIZACIÓN</w:t>
            </w:r>
          </w:p>
        </w:tc>
        <w:tc>
          <w:tcPr>
            <w:tcW w:w="3128" w:type="dxa"/>
            <w:tcBorders>
              <w:top w:val="single" w:sz="4" w:space="0" w:color="000000"/>
              <w:left w:val="single" w:sz="4" w:space="0" w:color="000000"/>
              <w:bottom w:val="single" w:sz="4" w:space="0" w:color="000000"/>
              <w:right w:val="single" w:sz="4" w:space="0" w:color="000000"/>
            </w:tcBorders>
            <w:shd w:val="clear" w:color="auto" w:fill="auto"/>
            <w:tcMar>
              <w:top w:w="12" w:type="dxa"/>
              <w:left w:w="72" w:type="dxa"/>
              <w:bottom w:w="3" w:type="dxa"/>
              <w:right w:w="115" w:type="dxa"/>
            </w:tcMar>
          </w:tcPr>
          <w:p w:rsidR="009B4233" w:rsidRDefault="006B08B9">
            <w:pPr>
              <w:spacing w:line="249" w:lineRule="auto"/>
              <w:ind w:left="48"/>
              <w:jc w:val="center"/>
              <w:rPr>
                <w:rFonts w:ascii="Arial" w:hAnsi="Arial" w:cs="Arial"/>
                <w:sz w:val="22"/>
                <w:szCs w:val="22"/>
              </w:rPr>
            </w:pPr>
            <w:r>
              <w:rPr>
                <w:rFonts w:ascii="Arial" w:hAnsi="Arial" w:cs="Arial"/>
                <w:sz w:val="22"/>
                <w:szCs w:val="22"/>
              </w:rPr>
              <w:t>157.249,14 €</w:t>
            </w:r>
          </w:p>
        </w:tc>
      </w:tr>
      <w:tr w:rsidR="009B4233">
        <w:tblPrEx>
          <w:tblCellMar>
            <w:top w:w="0" w:type="dxa"/>
            <w:bottom w:w="0" w:type="dxa"/>
          </w:tblCellMar>
        </w:tblPrEx>
        <w:trPr>
          <w:trHeight w:val="288"/>
        </w:trPr>
        <w:tc>
          <w:tcPr>
            <w:tcW w:w="4248" w:type="dxa"/>
            <w:tcBorders>
              <w:top w:val="single" w:sz="4" w:space="0" w:color="000000"/>
              <w:left w:val="single" w:sz="4" w:space="0" w:color="000000"/>
              <w:bottom w:val="single" w:sz="4" w:space="0" w:color="000000"/>
              <w:right w:val="single" w:sz="4" w:space="0" w:color="000000"/>
            </w:tcBorders>
            <w:shd w:val="clear" w:color="auto" w:fill="auto"/>
            <w:tcMar>
              <w:top w:w="12" w:type="dxa"/>
              <w:left w:w="72" w:type="dxa"/>
              <w:bottom w:w="3" w:type="dxa"/>
              <w:right w:w="115" w:type="dxa"/>
            </w:tcMar>
          </w:tcPr>
          <w:p w:rsidR="009B4233" w:rsidRDefault="006B08B9">
            <w:pPr>
              <w:spacing w:line="249" w:lineRule="auto"/>
            </w:pPr>
            <w:r>
              <w:rPr>
                <w:rFonts w:ascii="Arial" w:eastAsia="Arial" w:hAnsi="Arial" w:cs="Arial"/>
                <w:b/>
                <w:sz w:val="22"/>
                <w:szCs w:val="22"/>
              </w:rPr>
              <w:t>INGRESOS TOTALES</w:t>
            </w:r>
          </w:p>
        </w:tc>
        <w:tc>
          <w:tcPr>
            <w:tcW w:w="3128" w:type="dxa"/>
            <w:tcBorders>
              <w:top w:val="single" w:sz="4" w:space="0" w:color="000000"/>
              <w:left w:val="single" w:sz="4" w:space="0" w:color="000000"/>
              <w:bottom w:val="single" w:sz="4" w:space="0" w:color="000000"/>
              <w:right w:val="single" w:sz="4" w:space="0" w:color="000000"/>
            </w:tcBorders>
            <w:shd w:val="clear" w:color="auto" w:fill="auto"/>
            <w:tcMar>
              <w:top w:w="12" w:type="dxa"/>
              <w:left w:w="72" w:type="dxa"/>
              <w:bottom w:w="3" w:type="dxa"/>
              <w:right w:w="115" w:type="dxa"/>
            </w:tcMar>
          </w:tcPr>
          <w:p w:rsidR="009B4233" w:rsidRDefault="006B08B9">
            <w:pPr>
              <w:spacing w:line="249" w:lineRule="auto"/>
              <w:ind w:left="48"/>
              <w:jc w:val="center"/>
              <w:rPr>
                <w:rFonts w:ascii="Arial" w:hAnsi="Arial" w:cs="Arial"/>
                <w:sz w:val="22"/>
                <w:szCs w:val="22"/>
              </w:rPr>
            </w:pPr>
            <w:r>
              <w:rPr>
                <w:rFonts w:ascii="Arial" w:hAnsi="Arial" w:cs="Arial"/>
                <w:sz w:val="22"/>
                <w:szCs w:val="22"/>
              </w:rPr>
              <w:t>1.453.499,98 €</w:t>
            </w:r>
          </w:p>
        </w:tc>
      </w:tr>
      <w:tr w:rsidR="009B4233">
        <w:tblPrEx>
          <w:tblCellMar>
            <w:top w:w="0" w:type="dxa"/>
            <w:bottom w:w="0" w:type="dxa"/>
          </w:tblCellMar>
        </w:tblPrEx>
        <w:trPr>
          <w:trHeight w:val="288"/>
        </w:trPr>
        <w:tc>
          <w:tcPr>
            <w:tcW w:w="4248" w:type="dxa"/>
            <w:tcBorders>
              <w:top w:val="single" w:sz="4" w:space="0" w:color="000000"/>
              <w:left w:val="single" w:sz="4" w:space="0" w:color="000000"/>
              <w:bottom w:val="single" w:sz="4" w:space="0" w:color="000000"/>
              <w:right w:val="single" w:sz="4" w:space="0" w:color="000000"/>
            </w:tcBorders>
            <w:shd w:val="clear" w:color="auto" w:fill="auto"/>
            <w:tcMar>
              <w:top w:w="12" w:type="dxa"/>
              <w:left w:w="72" w:type="dxa"/>
              <w:bottom w:w="3" w:type="dxa"/>
              <w:right w:w="115" w:type="dxa"/>
            </w:tcMar>
          </w:tcPr>
          <w:p w:rsidR="009B4233" w:rsidRDefault="006B08B9">
            <w:pPr>
              <w:spacing w:line="249" w:lineRule="auto"/>
              <w:rPr>
                <w:rFonts w:ascii="Arial" w:hAnsi="Arial" w:cs="Arial"/>
                <w:sz w:val="22"/>
                <w:szCs w:val="22"/>
              </w:rPr>
            </w:pPr>
            <w:r>
              <w:rPr>
                <w:rFonts w:ascii="Arial" w:hAnsi="Arial" w:cs="Arial"/>
                <w:sz w:val="22"/>
                <w:szCs w:val="22"/>
              </w:rPr>
              <w:t>DIFERENCIA</w:t>
            </w:r>
          </w:p>
        </w:tc>
        <w:tc>
          <w:tcPr>
            <w:tcW w:w="3128" w:type="dxa"/>
            <w:tcBorders>
              <w:top w:val="single" w:sz="4" w:space="0" w:color="000000"/>
              <w:left w:val="single" w:sz="4" w:space="0" w:color="000000"/>
              <w:bottom w:val="single" w:sz="4" w:space="0" w:color="000000"/>
              <w:right w:val="single" w:sz="4" w:space="0" w:color="000000"/>
            </w:tcBorders>
            <w:shd w:val="clear" w:color="auto" w:fill="auto"/>
            <w:tcMar>
              <w:top w:w="12" w:type="dxa"/>
              <w:left w:w="72" w:type="dxa"/>
              <w:bottom w:w="3" w:type="dxa"/>
              <w:right w:w="115" w:type="dxa"/>
            </w:tcMar>
          </w:tcPr>
          <w:p w:rsidR="009B4233" w:rsidRDefault="006B08B9">
            <w:pPr>
              <w:spacing w:line="249" w:lineRule="auto"/>
              <w:ind w:left="45"/>
              <w:jc w:val="center"/>
            </w:pPr>
            <w:r>
              <w:rPr>
                <w:rFonts w:ascii="Arial" w:eastAsia="Calibri" w:hAnsi="Arial" w:cs="Arial"/>
                <w:color w:val="FF0000"/>
                <w:sz w:val="22"/>
                <w:szCs w:val="22"/>
              </w:rPr>
              <w:t>-  1.045.228,64 €</w:t>
            </w:r>
          </w:p>
        </w:tc>
      </w:tr>
      <w:tr w:rsidR="009B4233">
        <w:tblPrEx>
          <w:tblCellMar>
            <w:top w:w="0" w:type="dxa"/>
            <w:bottom w:w="0" w:type="dxa"/>
          </w:tblCellMar>
        </w:tblPrEx>
        <w:trPr>
          <w:trHeight w:val="288"/>
        </w:trPr>
        <w:tc>
          <w:tcPr>
            <w:tcW w:w="4248" w:type="dxa"/>
            <w:tcBorders>
              <w:top w:val="single" w:sz="4" w:space="0" w:color="000000"/>
              <w:left w:val="single" w:sz="4" w:space="0" w:color="000000"/>
              <w:bottom w:val="single" w:sz="4" w:space="0" w:color="000000"/>
              <w:right w:val="single" w:sz="4" w:space="0" w:color="000000"/>
            </w:tcBorders>
            <w:shd w:val="clear" w:color="auto" w:fill="auto"/>
            <w:tcMar>
              <w:top w:w="12" w:type="dxa"/>
              <w:left w:w="72" w:type="dxa"/>
              <w:bottom w:w="3" w:type="dxa"/>
              <w:right w:w="115" w:type="dxa"/>
            </w:tcMar>
          </w:tcPr>
          <w:p w:rsidR="009B4233" w:rsidRDefault="006B08B9">
            <w:pPr>
              <w:spacing w:line="249" w:lineRule="auto"/>
              <w:ind w:left="47"/>
              <w:jc w:val="center"/>
            </w:pPr>
            <w:r>
              <w:rPr>
                <w:rFonts w:ascii="Arial" w:eastAsia="Arial" w:hAnsi="Arial" w:cs="Arial"/>
                <w:b/>
                <w:sz w:val="22"/>
                <w:szCs w:val="22"/>
              </w:rPr>
              <w:t xml:space="preserve">% </w:t>
            </w:r>
            <w:r>
              <w:rPr>
                <w:rFonts w:ascii="Arial" w:eastAsia="Arial" w:hAnsi="Arial" w:cs="Arial"/>
                <w:b/>
                <w:sz w:val="22"/>
                <w:szCs w:val="22"/>
              </w:rPr>
              <w:t>DÉFICIT</w:t>
            </w:r>
          </w:p>
        </w:tc>
        <w:tc>
          <w:tcPr>
            <w:tcW w:w="3128" w:type="dxa"/>
            <w:tcBorders>
              <w:top w:val="single" w:sz="4" w:space="0" w:color="000000"/>
              <w:left w:val="single" w:sz="4" w:space="0" w:color="000000"/>
              <w:bottom w:val="single" w:sz="4" w:space="0" w:color="000000"/>
              <w:right w:val="single" w:sz="4" w:space="0" w:color="000000"/>
            </w:tcBorders>
            <w:shd w:val="clear" w:color="auto" w:fill="auto"/>
            <w:tcMar>
              <w:top w:w="12" w:type="dxa"/>
              <w:left w:w="72" w:type="dxa"/>
              <w:bottom w:w="3" w:type="dxa"/>
              <w:right w:w="115" w:type="dxa"/>
            </w:tcMar>
          </w:tcPr>
          <w:p w:rsidR="009B4233" w:rsidRDefault="006B08B9">
            <w:pPr>
              <w:spacing w:line="249" w:lineRule="auto"/>
              <w:ind w:left="46"/>
              <w:jc w:val="center"/>
            </w:pPr>
            <w:r>
              <w:rPr>
                <w:rFonts w:ascii="Arial" w:eastAsia="Calibri" w:hAnsi="Arial" w:cs="Arial"/>
                <w:color w:val="FF0000"/>
                <w:sz w:val="22"/>
                <w:szCs w:val="22"/>
              </w:rPr>
              <w:t>-72%</w:t>
            </w:r>
          </w:p>
        </w:tc>
      </w:tr>
    </w:tbl>
    <w:p w:rsidR="009B4233" w:rsidRDefault="006B08B9">
      <w:pPr>
        <w:ind w:left="-15"/>
        <w:jc w:val="both"/>
        <w:rPr>
          <w:rFonts w:ascii="Arial" w:hAnsi="Arial" w:cs="Arial"/>
          <w:sz w:val="22"/>
          <w:szCs w:val="22"/>
        </w:rPr>
      </w:pPr>
      <w:r>
        <w:rPr>
          <w:rFonts w:ascii="Arial" w:hAnsi="Arial" w:cs="Arial"/>
          <w:sz w:val="22"/>
          <w:szCs w:val="22"/>
        </w:rPr>
        <w:t xml:space="preserve">De acuerdo con los datos, el coste total del servicio asciende a 2.498.728,62 euros, compuesto por 2.453.359,84 euros de costes directos y 45.368,78 euros de costes indirectos. Frente a ello, los ingresos totales, provenientes de la tasa </w:t>
      </w:r>
      <w:r>
        <w:rPr>
          <w:rFonts w:ascii="Arial" w:hAnsi="Arial" w:cs="Arial"/>
          <w:sz w:val="22"/>
          <w:szCs w:val="22"/>
        </w:rPr>
        <w:t xml:space="preserve">(1.296.250,84 euros) y de la valorización de residuos (157.249,14 euros), alcanzan los 1.453.499,98 euros. </w:t>
      </w:r>
    </w:p>
    <w:p w:rsidR="009B4233" w:rsidRDefault="006B08B9">
      <w:pPr>
        <w:ind w:left="-15"/>
        <w:jc w:val="both"/>
        <w:rPr>
          <w:rFonts w:ascii="Arial" w:hAnsi="Arial" w:cs="Arial"/>
          <w:sz w:val="22"/>
          <w:szCs w:val="22"/>
        </w:rPr>
      </w:pPr>
      <w:r>
        <w:rPr>
          <w:rFonts w:ascii="Arial" w:hAnsi="Arial" w:cs="Arial"/>
          <w:sz w:val="22"/>
          <w:szCs w:val="22"/>
        </w:rPr>
        <w:t>Dicho servicio presenta actualmente un déficit financiero estimado en un 72 % del coste total, lo que implica que la recaudación no cubre en su tota</w:t>
      </w:r>
      <w:r>
        <w:rPr>
          <w:rFonts w:ascii="Arial" w:hAnsi="Arial" w:cs="Arial"/>
          <w:sz w:val="22"/>
          <w:szCs w:val="22"/>
        </w:rPr>
        <w:t>lidad los gastos derivados de su prestación. Ante esta circunstancia, la presente propuesta de ordenanza fiscal tiene como finalidad alinear el importe de la tasa con el coste efectivo del servicio, de forma que se avance hacia un modelo más justo, eficien</w:t>
      </w:r>
      <w:r>
        <w:rPr>
          <w:rFonts w:ascii="Arial" w:hAnsi="Arial" w:cs="Arial"/>
          <w:sz w:val="22"/>
          <w:szCs w:val="22"/>
        </w:rPr>
        <w:t>te y sostenible, en aplicación del principio de "quien contamina paga".</w:t>
      </w:r>
    </w:p>
    <w:p w:rsidR="009B4233" w:rsidRDefault="006B08B9">
      <w:pPr>
        <w:ind w:left="-15"/>
        <w:jc w:val="both"/>
        <w:rPr>
          <w:rFonts w:ascii="Arial" w:hAnsi="Arial" w:cs="Arial"/>
          <w:sz w:val="22"/>
          <w:szCs w:val="22"/>
        </w:rPr>
      </w:pPr>
      <w:r>
        <w:rPr>
          <w:rFonts w:ascii="Arial" w:hAnsi="Arial" w:cs="Arial"/>
          <w:sz w:val="22"/>
          <w:szCs w:val="22"/>
        </w:rPr>
        <w:t>Este modelo tarifario responde a un enfoque de fiscalidad responsable, técnica y jurídicamente justificada, que busca equilibrar los principios de sostenibilidad financiera, justicia t</w:t>
      </w:r>
      <w:r>
        <w:rPr>
          <w:rFonts w:ascii="Arial" w:hAnsi="Arial" w:cs="Arial"/>
          <w:sz w:val="22"/>
          <w:szCs w:val="22"/>
        </w:rPr>
        <w:t>ributaria y corresponsabilidad ambiental, contribuyendo al cumplimiento de los objetivos municipales en materia de residuos y economía circular.</w:t>
      </w:r>
    </w:p>
    <w:p w:rsidR="009B4233" w:rsidRDefault="006B08B9">
      <w:pPr>
        <w:pStyle w:val="Ttulo2"/>
        <w:ind w:left="279"/>
        <w:rPr>
          <w:rFonts w:ascii="Arial" w:hAnsi="Arial" w:cs="Arial"/>
          <w:sz w:val="22"/>
          <w:szCs w:val="22"/>
        </w:rPr>
      </w:pPr>
      <w:r>
        <w:rPr>
          <w:rFonts w:ascii="Arial" w:hAnsi="Arial" w:cs="Arial"/>
          <w:sz w:val="22"/>
          <w:szCs w:val="22"/>
        </w:rPr>
        <w:t>5. Propuesta para la modificación tarifaria</w:t>
      </w:r>
    </w:p>
    <w:p w:rsidR="009B4233" w:rsidRDefault="006B08B9">
      <w:pPr>
        <w:ind w:left="-15"/>
        <w:jc w:val="both"/>
        <w:rPr>
          <w:rFonts w:ascii="Arial" w:hAnsi="Arial" w:cs="Arial"/>
          <w:sz w:val="22"/>
          <w:szCs w:val="22"/>
        </w:rPr>
      </w:pPr>
      <w:r>
        <w:rPr>
          <w:rFonts w:ascii="Arial" w:hAnsi="Arial" w:cs="Arial"/>
          <w:sz w:val="22"/>
          <w:szCs w:val="22"/>
        </w:rPr>
        <w:t xml:space="preserve">Atendiendo a la obligación establecida en el art.11.3 de la LRSCEC </w:t>
      </w:r>
      <w:r>
        <w:rPr>
          <w:rFonts w:ascii="Arial" w:hAnsi="Arial" w:cs="Arial"/>
          <w:sz w:val="22"/>
          <w:szCs w:val="22"/>
        </w:rPr>
        <w:t>por la que se establece un plazo máximo de tres años, a contar desde la entrada en vigor de la LRSCEC, para el establecimiento de una tasa específica, diferenciada y no deficitaria, se estima la siguiente propuesta de modificación de la Ordenanza “de la Ta</w:t>
      </w:r>
      <w:r>
        <w:rPr>
          <w:rFonts w:ascii="Arial" w:hAnsi="Arial" w:cs="Arial"/>
          <w:sz w:val="22"/>
          <w:szCs w:val="22"/>
        </w:rPr>
        <w:t>sa de Gestión de Residuos Sólidos Urbanos” del Ayuntamiento de Candelaria:</w:t>
      </w:r>
    </w:p>
    <w:p w:rsidR="009B4233" w:rsidRDefault="006B08B9">
      <w:pPr>
        <w:ind w:left="-15"/>
        <w:jc w:val="both"/>
        <w:rPr>
          <w:rFonts w:ascii="Arial" w:hAnsi="Arial" w:cs="Arial"/>
          <w:sz w:val="22"/>
          <w:szCs w:val="22"/>
        </w:rPr>
      </w:pPr>
      <w:r>
        <w:rPr>
          <w:rFonts w:ascii="Arial" w:hAnsi="Arial" w:cs="Arial"/>
          <w:sz w:val="22"/>
          <w:szCs w:val="22"/>
        </w:rPr>
        <w:t>1. Eliminación del déficit asociado a la Ordenanza atendiendo a los principios siguientes:</w:t>
      </w:r>
    </w:p>
    <w:p w:rsidR="009B4233" w:rsidRDefault="006B08B9">
      <w:pPr>
        <w:widowControl/>
        <w:numPr>
          <w:ilvl w:val="0"/>
          <w:numId w:val="56"/>
        </w:numPr>
        <w:suppressAutoHyphens w:val="0"/>
        <w:spacing w:after="246"/>
        <w:ind w:right="1" w:firstLine="698"/>
        <w:jc w:val="both"/>
        <w:textAlignment w:val="auto"/>
        <w:rPr>
          <w:rFonts w:ascii="Arial" w:hAnsi="Arial" w:cs="Arial"/>
          <w:sz w:val="22"/>
          <w:szCs w:val="22"/>
        </w:rPr>
      </w:pPr>
      <w:r>
        <w:rPr>
          <w:rFonts w:ascii="Arial" w:hAnsi="Arial" w:cs="Arial"/>
          <w:sz w:val="22"/>
          <w:szCs w:val="22"/>
        </w:rPr>
        <w:t>Conforme a lo previsto en el art. 19.2 de la ley 8/1989, de 13 de abril, Tasas y Precios P</w:t>
      </w:r>
      <w:r>
        <w:rPr>
          <w:rFonts w:ascii="Arial" w:hAnsi="Arial" w:cs="Arial"/>
          <w:sz w:val="22"/>
          <w:szCs w:val="22"/>
        </w:rPr>
        <w:t>úblicos, teniendo en cuenta que, dada la naturaleza jurídica de las tarifas (tasas)…” el importe de las tasas por prestación del servicio o por la realización de una actividad no podrá exceder de su conjunto, del coste real o previsible del servicio o acti</w:t>
      </w:r>
      <w:r>
        <w:rPr>
          <w:rFonts w:ascii="Arial" w:hAnsi="Arial" w:cs="Arial"/>
          <w:sz w:val="22"/>
          <w:szCs w:val="22"/>
        </w:rPr>
        <w:t>vidad de que se trate…”.</w:t>
      </w:r>
    </w:p>
    <w:p w:rsidR="009B4233" w:rsidRDefault="006B08B9">
      <w:pPr>
        <w:widowControl/>
        <w:numPr>
          <w:ilvl w:val="0"/>
          <w:numId w:val="56"/>
        </w:numPr>
        <w:suppressAutoHyphens w:val="0"/>
        <w:spacing w:line="249" w:lineRule="auto"/>
        <w:ind w:right="1" w:firstLine="698"/>
        <w:jc w:val="both"/>
        <w:textAlignment w:val="auto"/>
        <w:rPr>
          <w:rFonts w:ascii="Arial" w:hAnsi="Arial" w:cs="Arial"/>
          <w:sz w:val="22"/>
          <w:szCs w:val="22"/>
        </w:rPr>
      </w:pPr>
      <w:r>
        <w:rPr>
          <w:rFonts w:ascii="Arial" w:hAnsi="Arial" w:cs="Arial"/>
          <w:sz w:val="22"/>
          <w:szCs w:val="22"/>
        </w:rPr>
        <w:t xml:space="preserve">Conforme a lo previsto en el art. 11.3 de la LRSCEC la tasa a establecer ha </w:t>
      </w:r>
    </w:p>
    <w:p w:rsidR="009B4233" w:rsidRDefault="006B08B9">
      <w:pPr>
        <w:ind w:left="-15"/>
        <w:jc w:val="both"/>
        <w:rPr>
          <w:rFonts w:ascii="Arial" w:hAnsi="Arial" w:cs="Arial"/>
          <w:sz w:val="22"/>
          <w:szCs w:val="22"/>
        </w:rPr>
      </w:pPr>
      <w:r>
        <w:rPr>
          <w:rFonts w:ascii="Arial" w:hAnsi="Arial" w:cs="Arial"/>
          <w:sz w:val="22"/>
          <w:szCs w:val="22"/>
        </w:rPr>
        <w:t>de tener la característica de ser no deficitaria.</w:t>
      </w:r>
    </w:p>
    <w:p w:rsidR="009B4233" w:rsidRDefault="006B08B9">
      <w:pPr>
        <w:ind w:left="-15"/>
        <w:jc w:val="both"/>
        <w:rPr>
          <w:rFonts w:ascii="Arial" w:hAnsi="Arial" w:cs="Arial"/>
          <w:sz w:val="22"/>
          <w:szCs w:val="22"/>
        </w:rPr>
      </w:pPr>
      <w:r>
        <w:rPr>
          <w:rFonts w:ascii="Arial" w:hAnsi="Arial" w:cs="Arial"/>
          <w:sz w:val="22"/>
          <w:szCs w:val="22"/>
        </w:rPr>
        <w:t xml:space="preserve">2. Propuesta de modificación de las tarifas previstas en el artículo 6 de la Ordenanza (Cuota </w:t>
      </w:r>
      <w:r>
        <w:rPr>
          <w:rFonts w:ascii="Arial" w:hAnsi="Arial" w:cs="Arial"/>
          <w:sz w:val="22"/>
          <w:szCs w:val="22"/>
        </w:rPr>
        <w:t>tributaria):</w:t>
      </w:r>
    </w:p>
    <w:p w:rsidR="009B4233" w:rsidRDefault="006B08B9">
      <w:pPr>
        <w:ind w:left="-15"/>
        <w:jc w:val="both"/>
        <w:rPr>
          <w:rFonts w:ascii="Arial" w:hAnsi="Arial" w:cs="Arial"/>
          <w:sz w:val="22"/>
          <w:szCs w:val="22"/>
        </w:rPr>
      </w:pPr>
      <w:r>
        <w:rPr>
          <w:rFonts w:ascii="Arial" w:hAnsi="Arial" w:cs="Arial"/>
          <w:sz w:val="22"/>
          <w:szCs w:val="22"/>
        </w:rPr>
        <w:t xml:space="preserve">Se propone la modificación de las cuotas tributarias actualmente vigentes mediante la aplicación de un incremento proporcional equivalente al porcentaje de déficit económico del servicio, conforme al principio de sostenibilidad financiera y a </w:t>
      </w:r>
      <w:r>
        <w:rPr>
          <w:rFonts w:ascii="Arial" w:hAnsi="Arial" w:cs="Arial"/>
          <w:sz w:val="22"/>
          <w:szCs w:val="22"/>
        </w:rPr>
        <w:t>las exigencias del artículo 11.3 de la Ley 7/2022, de 8 de abril (LRSCEC).</w:t>
      </w:r>
    </w:p>
    <w:p w:rsidR="009B4233" w:rsidRDefault="006B08B9">
      <w:pPr>
        <w:spacing w:after="9"/>
        <w:ind w:left="-15"/>
        <w:jc w:val="both"/>
        <w:rPr>
          <w:rFonts w:ascii="Arial" w:hAnsi="Arial" w:cs="Arial"/>
          <w:sz w:val="22"/>
          <w:szCs w:val="22"/>
        </w:rPr>
      </w:pPr>
      <w:r>
        <w:rPr>
          <w:rFonts w:ascii="Arial" w:hAnsi="Arial" w:cs="Arial"/>
          <w:sz w:val="22"/>
          <w:szCs w:val="22"/>
        </w:rPr>
        <w:t>El análisis económico realizado para el último ejercicio liquidado ha puesto de manifiesto un déficit del 72% entre los ingresos recaudados por esta tasa y el coste efectivo del ser</w:t>
      </w:r>
      <w:r>
        <w:rPr>
          <w:rFonts w:ascii="Arial" w:hAnsi="Arial" w:cs="Arial"/>
          <w:sz w:val="22"/>
          <w:szCs w:val="22"/>
        </w:rPr>
        <w:t>vicio de recogida de residuos. En consecuencia, se propone que la nueva cuota tributaria de cada epígrafe sea el resultado de multiplicar la cuota vigente por un factor de 2,41, según la siguiente fórmula:</w:t>
      </w:r>
    </w:p>
    <w:p w:rsidR="009B4233" w:rsidRDefault="009B4233">
      <w:pPr>
        <w:spacing w:after="9"/>
        <w:ind w:left="-15"/>
        <w:jc w:val="both"/>
        <w:rPr>
          <w:rFonts w:ascii="Arial" w:hAnsi="Arial" w:cs="Arial"/>
          <w:sz w:val="22"/>
          <w:szCs w:val="22"/>
        </w:rPr>
      </w:pPr>
    </w:p>
    <w:tbl>
      <w:tblPr>
        <w:tblW w:w="8673" w:type="dxa"/>
        <w:tblInd w:w="-87" w:type="dxa"/>
        <w:tblCellMar>
          <w:left w:w="10" w:type="dxa"/>
          <w:right w:w="10" w:type="dxa"/>
        </w:tblCellMar>
        <w:tblLook w:val="0000" w:firstRow="0" w:lastRow="0" w:firstColumn="0" w:lastColumn="0" w:noHBand="0" w:noVBand="0"/>
      </w:tblPr>
      <w:tblGrid>
        <w:gridCol w:w="8673"/>
      </w:tblGrid>
      <w:tr w:rsidR="009B4233">
        <w:tblPrEx>
          <w:tblCellMar>
            <w:top w:w="0" w:type="dxa"/>
            <w:bottom w:w="0" w:type="dxa"/>
          </w:tblCellMar>
        </w:tblPrEx>
        <w:trPr>
          <w:trHeight w:val="303"/>
        </w:trPr>
        <w:tc>
          <w:tcPr>
            <w:tcW w:w="8673" w:type="dxa"/>
            <w:tcBorders>
              <w:top w:val="single" w:sz="4" w:space="0" w:color="000000"/>
              <w:left w:val="single" w:sz="4" w:space="0" w:color="000000"/>
              <w:bottom w:val="single" w:sz="4" w:space="0" w:color="000000"/>
              <w:right w:val="single" w:sz="4" w:space="0" w:color="000000"/>
            </w:tcBorders>
            <w:shd w:val="clear" w:color="auto" w:fill="auto"/>
            <w:tcMar>
              <w:top w:w="32" w:type="dxa"/>
              <w:left w:w="783" w:type="dxa"/>
              <w:bottom w:w="0" w:type="dxa"/>
              <w:right w:w="115" w:type="dxa"/>
            </w:tcMar>
          </w:tcPr>
          <w:p w:rsidR="009B4233" w:rsidRDefault="006B08B9">
            <w:pPr>
              <w:spacing w:line="249" w:lineRule="auto"/>
              <w:rPr>
                <w:rFonts w:ascii="Arial" w:hAnsi="Arial" w:cs="Arial"/>
                <w:sz w:val="22"/>
                <w:szCs w:val="22"/>
              </w:rPr>
            </w:pPr>
            <w:r>
              <w:rPr>
                <w:rFonts w:ascii="Arial" w:hAnsi="Arial" w:cs="Arial"/>
                <w:sz w:val="22"/>
                <w:szCs w:val="22"/>
              </w:rPr>
              <w:t>Cuota tributaria actualizada=Cuota tributaria vig</w:t>
            </w:r>
            <w:r>
              <w:rPr>
                <w:rFonts w:ascii="Arial" w:hAnsi="Arial" w:cs="Arial"/>
                <w:sz w:val="22"/>
                <w:szCs w:val="22"/>
              </w:rPr>
              <w:t>ente×1,72</w:t>
            </w:r>
          </w:p>
        </w:tc>
      </w:tr>
    </w:tbl>
    <w:p w:rsidR="009B4233" w:rsidRDefault="009B4233">
      <w:pPr>
        <w:ind w:left="-15"/>
        <w:rPr>
          <w:rFonts w:ascii="Arial" w:hAnsi="Arial" w:cs="Arial"/>
          <w:sz w:val="22"/>
          <w:szCs w:val="22"/>
        </w:rPr>
      </w:pPr>
    </w:p>
    <w:p w:rsidR="009B4233" w:rsidRDefault="006B08B9">
      <w:pPr>
        <w:ind w:left="-15"/>
        <w:jc w:val="both"/>
        <w:rPr>
          <w:rFonts w:ascii="Arial" w:hAnsi="Arial" w:cs="Arial"/>
          <w:sz w:val="22"/>
          <w:szCs w:val="22"/>
        </w:rPr>
      </w:pPr>
      <w:r>
        <w:rPr>
          <w:rFonts w:ascii="Arial" w:hAnsi="Arial" w:cs="Arial"/>
          <w:sz w:val="22"/>
          <w:szCs w:val="22"/>
        </w:rPr>
        <w:t>Esta actualización permitirá alinear el importe de la tasa con el coste real del servicio, cumpliendo así con la obligación legal de evitar situaciones de financiación deficitaria en los servicios públicos de gestión de residuos, sin rebasar en</w:t>
      </w:r>
      <w:r>
        <w:rPr>
          <w:rFonts w:ascii="Arial" w:hAnsi="Arial" w:cs="Arial"/>
          <w:sz w:val="22"/>
          <w:szCs w:val="22"/>
        </w:rPr>
        <w:t xml:space="preserve"> ningún caso el coste del mismo, de acuerdo con lo dispuesto en el artículo 19.2 de la Ley 8/1989, de Tasas y Precios Públicos. </w:t>
      </w:r>
    </w:p>
    <w:p w:rsidR="009B4233" w:rsidRDefault="009B4233">
      <w:pPr>
        <w:ind w:left="-15"/>
        <w:rPr>
          <w:rFonts w:ascii="Arial" w:hAnsi="Arial" w:cs="Arial"/>
          <w:sz w:val="22"/>
          <w:szCs w:val="22"/>
        </w:rPr>
      </w:pPr>
    </w:p>
    <w:p w:rsidR="009B4233" w:rsidRDefault="006B08B9">
      <w:pPr>
        <w:spacing w:after="219" w:line="228" w:lineRule="auto"/>
        <w:ind w:left="279" w:hanging="10"/>
      </w:pPr>
      <w:r>
        <w:rPr>
          <w:rFonts w:ascii="Arial" w:eastAsia="Calibri" w:hAnsi="Arial" w:cs="Arial"/>
          <w:b/>
          <w:sz w:val="22"/>
          <w:szCs w:val="22"/>
        </w:rPr>
        <w:t>6. IMPLANTACIÓN DE SISTEMAS DE PAGO POR GENERACIÓN.</w:t>
      </w:r>
    </w:p>
    <w:p w:rsidR="009B4233" w:rsidRDefault="006B08B9">
      <w:pPr>
        <w:ind w:left="-15"/>
        <w:jc w:val="both"/>
        <w:rPr>
          <w:rFonts w:ascii="Arial" w:hAnsi="Arial" w:cs="Arial"/>
          <w:sz w:val="22"/>
          <w:szCs w:val="22"/>
        </w:rPr>
      </w:pPr>
      <w:r>
        <w:rPr>
          <w:rFonts w:ascii="Arial" w:hAnsi="Arial" w:cs="Arial"/>
          <w:sz w:val="22"/>
          <w:szCs w:val="22"/>
        </w:rPr>
        <w:t xml:space="preserve">En consonancia con los objetivos marcados por la Ley 7/2022, de 8 de </w:t>
      </w:r>
      <w:r>
        <w:rPr>
          <w:rFonts w:ascii="Arial" w:hAnsi="Arial" w:cs="Arial"/>
          <w:sz w:val="22"/>
          <w:szCs w:val="22"/>
        </w:rPr>
        <w:t>abril, de residuos y suelos contaminados para una economía circular (LRSCEC), y en particular con la orientación recogida en su artículo 11.3 y en el apartado V del Preámbulo, la presente Ordenanza introduce elementos que permiten iniciar de forma efectiva</w:t>
      </w:r>
      <w:r>
        <w:rPr>
          <w:rFonts w:ascii="Arial" w:hAnsi="Arial" w:cs="Arial"/>
          <w:sz w:val="22"/>
          <w:szCs w:val="22"/>
        </w:rPr>
        <w:t xml:space="preserve"> la transición hacia un sistema de pago por generación, sin necesidad de implantar de forma inmediata una tarifa plenamente individualizada por sujeto pasivo.</w:t>
      </w:r>
    </w:p>
    <w:p w:rsidR="009B4233" w:rsidRDefault="006B08B9">
      <w:pPr>
        <w:ind w:left="-15"/>
        <w:jc w:val="both"/>
        <w:rPr>
          <w:rFonts w:ascii="Arial" w:hAnsi="Arial" w:cs="Arial"/>
          <w:sz w:val="22"/>
          <w:szCs w:val="22"/>
        </w:rPr>
      </w:pPr>
      <w:r>
        <w:rPr>
          <w:rFonts w:ascii="Arial" w:hAnsi="Arial" w:cs="Arial"/>
          <w:sz w:val="22"/>
          <w:szCs w:val="22"/>
        </w:rPr>
        <w:t>La redacción de la cuota tributaria incorpora un modelo de cuota fija, estructurada con base en c</w:t>
      </w:r>
      <w:r>
        <w:rPr>
          <w:rFonts w:ascii="Arial" w:hAnsi="Arial" w:cs="Arial"/>
          <w:sz w:val="22"/>
          <w:szCs w:val="22"/>
        </w:rPr>
        <w:t>riterios técnicos y objetivos —uso catastral, actividad económica desarrollada y superficie del inmueble—, y ajustada conforme al déficit económico del servicio, tal como se justifica en el correspondiente informe técnico económico. Esta estructura garanti</w:t>
      </w:r>
      <w:r>
        <w:rPr>
          <w:rFonts w:ascii="Arial" w:hAnsi="Arial" w:cs="Arial"/>
          <w:sz w:val="22"/>
          <w:szCs w:val="22"/>
        </w:rPr>
        <w:t>za el principio de sostenibilidad financiera exigido por la normativa y permite una primera adaptación práctica al marco de la LRSCEC.</w:t>
      </w:r>
    </w:p>
    <w:p w:rsidR="009B4233" w:rsidRDefault="006B08B9">
      <w:pPr>
        <w:ind w:left="-15"/>
        <w:jc w:val="both"/>
        <w:rPr>
          <w:rFonts w:ascii="Arial" w:hAnsi="Arial" w:cs="Arial"/>
          <w:sz w:val="22"/>
          <w:szCs w:val="22"/>
        </w:rPr>
      </w:pPr>
      <w:r>
        <w:rPr>
          <w:rFonts w:ascii="Arial" w:hAnsi="Arial" w:cs="Arial"/>
          <w:sz w:val="22"/>
          <w:szCs w:val="22"/>
        </w:rPr>
        <w:t>Asimismo, la Ordenanza contempla un sistema de bonificaciones vinculadas al comportamiento ambiental de los contribuyente</w:t>
      </w:r>
      <w:r>
        <w:rPr>
          <w:rFonts w:ascii="Arial" w:hAnsi="Arial" w:cs="Arial"/>
          <w:sz w:val="22"/>
          <w:szCs w:val="22"/>
        </w:rPr>
        <w:t>s, lo que permite introducir desde este momento una diferenciación positiva en función de prácticas responsables en la gestión de residuos, tales como:</w:t>
      </w:r>
    </w:p>
    <w:p w:rsidR="009B4233" w:rsidRDefault="009B4233">
      <w:pPr>
        <w:ind w:left="-15"/>
        <w:jc w:val="both"/>
        <w:rPr>
          <w:rFonts w:ascii="Arial" w:hAnsi="Arial" w:cs="Arial"/>
          <w:sz w:val="22"/>
          <w:szCs w:val="22"/>
        </w:rPr>
      </w:pPr>
    </w:p>
    <w:p w:rsidR="009B4233" w:rsidRDefault="009B4233">
      <w:pPr>
        <w:ind w:left="-15"/>
        <w:jc w:val="both"/>
        <w:rPr>
          <w:rFonts w:ascii="Arial" w:hAnsi="Arial" w:cs="Arial"/>
          <w:sz w:val="22"/>
          <w:szCs w:val="22"/>
        </w:rPr>
      </w:pPr>
    </w:p>
    <w:p w:rsidR="009B4233" w:rsidRDefault="009B4233">
      <w:pPr>
        <w:ind w:left="-15"/>
        <w:jc w:val="both"/>
        <w:rPr>
          <w:rFonts w:ascii="Arial" w:hAnsi="Arial" w:cs="Arial"/>
          <w:sz w:val="22"/>
          <w:szCs w:val="22"/>
        </w:rPr>
      </w:pPr>
    </w:p>
    <w:p w:rsidR="009B4233" w:rsidRDefault="006B08B9">
      <w:pPr>
        <w:widowControl/>
        <w:numPr>
          <w:ilvl w:val="0"/>
          <w:numId w:val="57"/>
        </w:numPr>
        <w:suppressAutoHyphens w:val="0"/>
        <w:spacing w:after="9"/>
        <w:ind w:firstLine="698"/>
        <w:jc w:val="both"/>
        <w:textAlignment w:val="auto"/>
        <w:rPr>
          <w:rFonts w:ascii="Arial" w:hAnsi="Arial" w:cs="Arial"/>
          <w:sz w:val="22"/>
          <w:szCs w:val="22"/>
        </w:rPr>
      </w:pPr>
      <w:r>
        <w:rPr>
          <w:rFonts w:ascii="Arial" w:hAnsi="Arial" w:cs="Arial"/>
          <w:sz w:val="22"/>
          <w:szCs w:val="22"/>
        </w:rPr>
        <w:t>Participación en programas de compostaje comunitario o doméstico.</w:t>
      </w:r>
    </w:p>
    <w:p w:rsidR="009B4233" w:rsidRDefault="006B08B9">
      <w:pPr>
        <w:widowControl/>
        <w:numPr>
          <w:ilvl w:val="0"/>
          <w:numId w:val="57"/>
        </w:numPr>
        <w:suppressAutoHyphens w:val="0"/>
        <w:spacing w:after="9"/>
        <w:ind w:firstLine="698"/>
        <w:jc w:val="both"/>
        <w:textAlignment w:val="auto"/>
        <w:rPr>
          <w:rFonts w:ascii="Arial" w:hAnsi="Arial" w:cs="Arial"/>
          <w:sz w:val="22"/>
          <w:szCs w:val="22"/>
        </w:rPr>
      </w:pPr>
      <w:r>
        <w:rPr>
          <w:rFonts w:ascii="Arial" w:hAnsi="Arial" w:cs="Arial"/>
          <w:sz w:val="22"/>
          <w:szCs w:val="22"/>
        </w:rPr>
        <w:t>Uso habitual de puntos limpios fijo</w:t>
      </w:r>
      <w:r>
        <w:rPr>
          <w:rFonts w:ascii="Arial" w:hAnsi="Arial" w:cs="Arial"/>
          <w:sz w:val="22"/>
          <w:szCs w:val="22"/>
        </w:rPr>
        <w:t>s o móviles.</w:t>
      </w:r>
    </w:p>
    <w:p w:rsidR="009B4233" w:rsidRDefault="006B08B9">
      <w:pPr>
        <w:widowControl/>
        <w:numPr>
          <w:ilvl w:val="0"/>
          <w:numId w:val="57"/>
        </w:numPr>
        <w:suppressAutoHyphens w:val="0"/>
        <w:spacing w:after="9"/>
        <w:ind w:firstLine="698"/>
        <w:jc w:val="both"/>
        <w:textAlignment w:val="auto"/>
        <w:rPr>
          <w:rFonts w:ascii="Arial" w:hAnsi="Arial" w:cs="Arial"/>
          <w:sz w:val="22"/>
          <w:szCs w:val="22"/>
        </w:rPr>
      </w:pPr>
      <w:r>
        <w:rPr>
          <w:rFonts w:ascii="Arial" w:hAnsi="Arial" w:cs="Arial"/>
          <w:sz w:val="22"/>
          <w:szCs w:val="22"/>
        </w:rPr>
        <w:t>Solicitud del servicio municipal de recogida de voluminosos.</w:t>
      </w:r>
    </w:p>
    <w:p w:rsidR="009B4233" w:rsidRDefault="006B08B9">
      <w:pPr>
        <w:widowControl/>
        <w:numPr>
          <w:ilvl w:val="0"/>
          <w:numId w:val="57"/>
        </w:numPr>
        <w:suppressAutoHyphens w:val="0"/>
        <w:spacing w:after="246"/>
        <w:ind w:firstLine="698"/>
        <w:jc w:val="both"/>
        <w:textAlignment w:val="auto"/>
        <w:rPr>
          <w:rFonts w:ascii="Arial" w:hAnsi="Arial" w:cs="Arial"/>
          <w:sz w:val="22"/>
          <w:szCs w:val="22"/>
        </w:rPr>
      </w:pPr>
      <w:r>
        <w:rPr>
          <w:rFonts w:ascii="Arial" w:hAnsi="Arial" w:cs="Arial"/>
          <w:sz w:val="22"/>
          <w:szCs w:val="22"/>
        </w:rPr>
        <w:t>Acreditación de la gestión privada de residuos mediante gestor autorizado en los casos obligatorios.</w:t>
      </w:r>
    </w:p>
    <w:p w:rsidR="009B4233" w:rsidRDefault="006B08B9">
      <w:pPr>
        <w:spacing w:after="9"/>
        <w:ind w:left="-15"/>
        <w:jc w:val="both"/>
        <w:rPr>
          <w:rFonts w:ascii="Arial" w:hAnsi="Arial" w:cs="Arial"/>
          <w:sz w:val="22"/>
          <w:szCs w:val="22"/>
        </w:rPr>
      </w:pPr>
      <w:r>
        <w:rPr>
          <w:rFonts w:ascii="Arial" w:hAnsi="Arial" w:cs="Arial"/>
          <w:sz w:val="22"/>
          <w:szCs w:val="22"/>
        </w:rPr>
        <w:t>Con ello, el Ayuntamiento de Candelaria adopta un modelo de carácter elemental de</w:t>
      </w:r>
      <w:r>
        <w:rPr>
          <w:rFonts w:ascii="Arial" w:hAnsi="Arial" w:cs="Arial"/>
          <w:sz w:val="22"/>
          <w:szCs w:val="22"/>
        </w:rPr>
        <w:t xml:space="preserve"> pago por generación, de acuerdo con los niveles previstos en la propia Ley 7/2022, sentando las bases para una futura evolución hacia sistemas de mayor individualización y precisión en la imputación de costes conforme a la generación real de residuos.</w:t>
      </w:r>
    </w:p>
    <w:p w:rsidR="009B4233" w:rsidRDefault="009B4233">
      <w:pPr>
        <w:spacing w:after="9"/>
        <w:ind w:left="-15"/>
        <w:rPr>
          <w:rFonts w:ascii="Arial" w:hAnsi="Arial" w:cs="Arial"/>
          <w:sz w:val="22"/>
          <w:szCs w:val="22"/>
        </w:rPr>
      </w:pPr>
    </w:p>
    <w:tbl>
      <w:tblPr>
        <w:tblW w:w="8728" w:type="dxa"/>
        <w:tblInd w:w="-78" w:type="dxa"/>
        <w:tblCellMar>
          <w:left w:w="10" w:type="dxa"/>
          <w:right w:w="10" w:type="dxa"/>
        </w:tblCellMar>
        <w:tblLook w:val="0000" w:firstRow="0" w:lastRow="0" w:firstColumn="0" w:lastColumn="0" w:noHBand="0" w:noVBand="0"/>
      </w:tblPr>
      <w:tblGrid>
        <w:gridCol w:w="986"/>
        <w:gridCol w:w="3688"/>
        <w:gridCol w:w="1634"/>
        <w:gridCol w:w="1418"/>
        <w:gridCol w:w="1002"/>
      </w:tblGrid>
      <w:tr w:rsidR="009B4233">
        <w:tblPrEx>
          <w:tblCellMar>
            <w:top w:w="0" w:type="dxa"/>
            <w:bottom w:w="0" w:type="dxa"/>
          </w:tblCellMar>
        </w:tblPrEx>
        <w:trPr>
          <w:trHeight w:val="850"/>
        </w:trPr>
        <w:tc>
          <w:tcPr>
            <w:tcW w:w="986" w:type="dxa"/>
            <w:tcBorders>
              <w:top w:val="single" w:sz="4" w:space="0" w:color="000000"/>
              <w:left w:val="single" w:sz="4" w:space="0" w:color="000000"/>
              <w:bottom w:val="single" w:sz="4" w:space="0" w:color="000000"/>
              <w:right w:val="single" w:sz="4" w:space="0" w:color="000000"/>
            </w:tcBorders>
            <w:shd w:val="clear" w:color="auto" w:fill="E2EFD9"/>
            <w:tcMar>
              <w:top w:w="10" w:type="dxa"/>
              <w:left w:w="72" w:type="dxa"/>
              <w:bottom w:w="0" w:type="dxa"/>
              <w:right w:w="18" w:type="dxa"/>
            </w:tcMar>
            <w:vAlign w:val="center"/>
          </w:tcPr>
          <w:p w:rsidR="009B4233" w:rsidRDefault="006B08B9">
            <w:pPr>
              <w:spacing w:line="249" w:lineRule="auto"/>
              <w:jc w:val="center"/>
            </w:pPr>
            <w:r>
              <w:rPr>
                <w:rFonts w:ascii="Arial" w:eastAsia="Arial" w:hAnsi="Arial" w:cs="Arial"/>
                <w:b/>
                <w:sz w:val="22"/>
                <w:szCs w:val="22"/>
              </w:rPr>
              <w:t>Ep</w:t>
            </w:r>
            <w:r>
              <w:rPr>
                <w:rFonts w:ascii="Arial" w:eastAsia="Arial" w:hAnsi="Arial" w:cs="Arial"/>
                <w:b/>
                <w:sz w:val="22"/>
                <w:szCs w:val="22"/>
              </w:rPr>
              <w:t>ígrafe N°</w:t>
            </w:r>
          </w:p>
        </w:tc>
        <w:tc>
          <w:tcPr>
            <w:tcW w:w="3688" w:type="dxa"/>
            <w:tcBorders>
              <w:top w:val="single" w:sz="4" w:space="0" w:color="000000"/>
              <w:left w:val="single" w:sz="4" w:space="0" w:color="000000"/>
              <w:bottom w:val="single" w:sz="4" w:space="0" w:color="000000"/>
              <w:right w:val="single" w:sz="4" w:space="0" w:color="000000"/>
            </w:tcBorders>
            <w:shd w:val="clear" w:color="auto" w:fill="E2EFD9"/>
            <w:tcMar>
              <w:top w:w="10" w:type="dxa"/>
              <w:left w:w="72" w:type="dxa"/>
              <w:bottom w:w="0" w:type="dxa"/>
              <w:right w:w="18" w:type="dxa"/>
            </w:tcMar>
            <w:vAlign w:val="center"/>
          </w:tcPr>
          <w:p w:rsidR="009B4233" w:rsidRDefault="006B08B9">
            <w:pPr>
              <w:spacing w:line="249" w:lineRule="auto"/>
              <w:ind w:right="52"/>
              <w:jc w:val="center"/>
            </w:pPr>
            <w:r>
              <w:rPr>
                <w:rFonts w:ascii="Arial" w:eastAsia="Arial" w:hAnsi="Arial" w:cs="Arial"/>
                <w:b/>
                <w:sz w:val="22"/>
                <w:szCs w:val="22"/>
              </w:rPr>
              <w:t>Actividad</w:t>
            </w:r>
          </w:p>
        </w:tc>
        <w:tc>
          <w:tcPr>
            <w:tcW w:w="1634" w:type="dxa"/>
            <w:tcBorders>
              <w:top w:val="single" w:sz="4" w:space="0" w:color="000000"/>
              <w:left w:val="single" w:sz="4" w:space="0" w:color="000000"/>
              <w:bottom w:val="single" w:sz="4" w:space="0" w:color="000000"/>
              <w:right w:val="single" w:sz="4" w:space="0" w:color="000000"/>
            </w:tcBorders>
            <w:shd w:val="clear" w:color="auto" w:fill="E2EFD9"/>
            <w:tcMar>
              <w:top w:w="10" w:type="dxa"/>
              <w:left w:w="72" w:type="dxa"/>
              <w:bottom w:w="0" w:type="dxa"/>
              <w:right w:w="18" w:type="dxa"/>
            </w:tcMar>
            <w:vAlign w:val="center"/>
          </w:tcPr>
          <w:p w:rsidR="009B4233" w:rsidRDefault="006B08B9">
            <w:pPr>
              <w:spacing w:line="249" w:lineRule="auto"/>
              <w:ind w:left="22" w:right="22"/>
              <w:jc w:val="center"/>
            </w:pPr>
            <w:r>
              <w:rPr>
                <w:rFonts w:ascii="Arial" w:eastAsia="Arial" w:hAnsi="Arial" w:cs="Arial"/>
                <w:b/>
                <w:sz w:val="22"/>
                <w:szCs w:val="22"/>
              </w:rPr>
              <w:t>Sup. menor de 50 m²</w:t>
            </w:r>
          </w:p>
        </w:tc>
        <w:tc>
          <w:tcPr>
            <w:tcW w:w="1418" w:type="dxa"/>
            <w:tcBorders>
              <w:top w:val="single" w:sz="4" w:space="0" w:color="000000"/>
              <w:left w:val="single" w:sz="4" w:space="0" w:color="000000"/>
              <w:bottom w:val="single" w:sz="4" w:space="0" w:color="000000"/>
              <w:right w:val="single" w:sz="4" w:space="0" w:color="000000"/>
            </w:tcBorders>
            <w:shd w:val="clear" w:color="auto" w:fill="E2EFD9"/>
            <w:tcMar>
              <w:top w:w="10" w:type="dxa"/>
              <w:left w:w="72" w:type="dxa"/>
              <w:bottom w:w="0" w:type="dxa"/>
              <w:right w:w="18" w:type="dxa"/>
            </w:tcMar>
            <w:vAlign w:val="center"/>
          </w:tcPr>
          <w:p w:rsidR="009B4233" w:rsidRDefault="006B08B9">
            <w:pPr>
              <w:spacing w:line="249" w:lineRule="auto"/>
              <w:ind w:left="24" w:right="24"/>
              <w:jc w:val="center"/>
            </w:pPr>
            <w:r>
              <w:rPr>
                <w:rFonts w:ascii="Arial" w:eastAsia="Arial" w:hAnsi="Arial" w:cs="Arial"/>
                <w:b/>
                <w:sz w:val="22"/>
                <w:szCs w:val="22"/>
              </w:rPr>
              <w:t>Sup. entre 50 y 100 m²</w:t>
            </w:r>
          </w:p>
        </w:tc>
        <w:tc>
          <w:tcPr>
            <w:tcW w:w="1002" w:type="dxa"/>
            <w:tcBorders>
              <w:top w:val="single" w:sz="4" w:space="0" w:color="000000"/>
              <w:left w:val="single" w:sz="4" w:space="0" w:color="000000"/>
              <w:bottom w:val="single" w:sz="4" w:space="0" w:color="000000"/>
              <w:right w:val="single" w:sz="4" w:space="0" w:color="000000"/>
            </w:tcBorders>
            <w:shd w:val="clear" w:color="auto" w:fill="E2EFD9"/>
            <w:tcMar>
              <w:top w:w="10" w:type="dxa"/>
              <w:left w:w="72" w:type="dxa"/>
              <w:bottom w:w="0" w:type="dxa"/>
              <w:right w:w="18" w:type="dxa"/>
            </w:tcMar>
            <w:vAlign w:val="center"/>
          </w:tcPr>
          <w:p w:rsidR="009B4233" w:rsidRDefault="006B08B9">
            <w:pPr>
              <w:jc w:val="center"/>
            </w:pPr>
            <w:r>
              <w:rPr>
                <w:rFonts w:ascii="Arial" w:eastAsia="Arial" w:hAnsi="Arial" w:cs="Arial"/>
                <w:b/>
                <w:sz w:val="22"/>
                <w:szCs w:val="22"/>
              </w:rPr>
              <w:t xml:space="preserve">Cada m² a partir de </w:t>
            </w:r>
          </w:p>
          <w:p w:rsidR="009B4233" w:rsidRDefault="006B08B9">
            <w:pPr>
              <w:spacing w:line="249" w:lineRule="auto"/>
              <w:ind w:right="50"/>
              <w:jc w:val="center"/>
            </w:pPr>
            <w:r>
              <w:rPr>
                <w:rFonts w:ascii="Arial" w:eastAsia="Arial" w:hAnsi="Arial" w:cs="Arial"/>
                <w:b/>
                <w:sz w:val="22"/>
                <w:szCs w:val="22"/>
              </w:rPr>
              <w:t>100 m²</w:t>
            </w:r>
          </w:p>
        </w:tc>
      </w:tr>
      <w:tr w:rsidR="009B4233">
        <w:tblPrEx>
          <w:tblCellMar>
            <w:top w:w="0" w:type="dxa"/>
            <w:bottom w:w="0" w:type="dxa"/>
          </w:tblCellMar>
        </w:tblPrEx>
        <w:trPr>
          <w:trHeight w:val="426"/>
        </w:trPr>
        <w:tc>
          <w:tcPr>
            <w:tcW w:w="986"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18" w:type="dxa"/>
            </w:tcMar>
            <w:vAlign w:val="center"/>
          </w:tcPr>
          <w:p w:rsidR="009B4233" w:rsidRDefault="006B08B9">
            <w:pPr>
              <w:spacing w:line="249" w:lineRule="auto"/>
              <w:ind w:right="48"/>
              <w:jc w:val="center"/>
              <w:rPr>
                <w:rFonts w:ascii="Arial" w:hAnsi="Arial" w:cs="Arial"/>
                <w:sz w:val="22"/>
                <w:szCs w:val="22"/>
              </w:rPr>
            </w:pPr>
            <w:r>
              <w:rPr>
                <w:rFonts w:ascii="Arial" w:hAnsi="Arial" w:cs="Arial"/>
                <w:sz w:val="22"/>
                <w:szCs w:val="22"/>
              </w:rPr>
              <w:t>0</w:t>
            </w:r>
          </w:p>
        </w:tc>
        <w:tc>
          <w:tcPr>
            <w:tcW w:w="3688"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18" w:type="dxa"/>
            </w:tcMar>
            <w:vAlign w:val="center"/>
          </w:tcPr>
          <w:p w:rsidR="009B4233" w:rsidRDefault="006B08B9">
            <w:pPr>
              <w:spacing w:line="249" w:lineRule="auto"/>
              <w:rPr>
                <w:rFonts w:ascii="Arial" w:hAnsi="Arial" w:cs="Arial"/>
                <w:sz w:val="22"/>
                <w:szCs w:val="22"/>
              </w:rPr>
            </w:pPr>
            <w:r>
              <w:rPr>
                <w:rFonts w:ascii="Arial" w:hAnsi="Arial" w:cs="Arial"/>
                <w:sz w:val="22"/>
                <w:szCs w:val="22"/>
              </w:rPr>
              <w:t>Viviendas con uso residencial</w:t>
            </w:r>
          </w:p>
        </w:tc>
        <w:tc>
          <w:tcPr>
            <w:tcW w:w="3052" w:type="dxa"/>
            <w:gridSpan w:val="2"/>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18" w:type="dxa"/>
            </w:tcMar>
            <w:vAlign w:val="center"/>
          </w:tcPr>
          <w:p w:rsidR="009B4233" w:rsidRDefault="006B08B9">
            <w:pPr>
              <w:spacing w:line="249" w:lineRule="auto"/>
              <w:rPr>
                <w:rFonts w:ascii="Arial" w:hAnsi="Arial" w:cs="Arial"/>
                <w:sz w:val="22"/>
                <w:szCs w:val="22"/>
              </w:rPr>
            </w:pPr>
            <w:r>
              <w:rPr>
                <w:rFonts w:ascii="Arial" w:hAnsi="Arial" w:cs="Arial"/>
                <w:sz w:val="22"/>
                <w:szCs w:val="22"/>
              </w:rPr>
              <w:t>Cuota fija bimestral</w:t>
            </w:r>
          </w:p>
        </w:tc>
        <w:tc>
          <w:tcPr>
            <w:tcW w:w="1002"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18" w:type="dxa"/>
            </w:tcMar>
          </w:tcPr>
          <w:p w:rsidR="009B4233" w:rsidRDefault="006B08B9">
            <w:pPr>
              <w:spacing w:line="249" w:lineRule="auto"/>
              <w:ind w:right="54"/>
              <w:jc w:val="center"/>
              <w:rPr>
                <w:rFonts w:ascii="Arial" w:hAnsi="Arial" w:cs="Arial"/>
                <w:sz w:val="22"/>
                <w:szCs w:val="22"/>
              </w:rPr>
            </w:pPr>
            <w:r>
              <w:rPr>
                <w:rFonts w:ascii="Arial" w:hAnsi="Arial" w:cs="Arial"/>
                <w:sz w:val="22"/>
                <w:szCs w:val="22"/>
              </w:rPr>
              <w:t xml:space="preserve">                </w:t>
            </w:r>
          </w:p>
          <w:p w:rsidR="009B4233" w:rsidRDefault="006B08B9">
            <w:pPr>
              <w:spacing w:line="249" w:lineRule="auto"/>
              <w:ind w:right="50"/>
              <w:jc w:val="center"/>
              <w:rPr>
                <w:rFonts w:ascii="Arial" w:hAnsi="Arial" w:cs="Arial"/>
                <w:sz w:val="22"/>
                <w:szCs w:val="22"/>
              </w:rPr>
            </w:pPr>
            <w:r>
              <w:rPr>
                <w:rFonts w:ascii="Arial" w:hAnsi="Arial" w:cs="Arial"/>
                <w:sz w:val="22"/>
                <w:szCs w:val="22"/>
              </w:rPr>
              <w:t xml:space="preserve">20,47 € </w:t>
            </w:r>
          </w:p>
        </w:tc>
      </w:tr>
      <w:tr w:rsidR="009B4233">
        <w:tblPrEx>
          <w:tblCellMar>
            <w:top w:w="0" w:type="dxa"/>
            <w:bottom w:w="0" w:type="dxa"/>
          </w:tblCellMar>
        </w:tblPrEx>
        <w:trPr>
          <w:trHeight w:val="850"/>
        </w:trPr>
        <w:tc>
          <w:tcPr>
            <w:tcW w:w="986"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18" w:type="dxa"/>
            </w:tcMar>
            <w:vAlign w:val="center"/>
          </w:tcPr>
          <w:p w:rsidR="009B4233" w:rsidRDefault="006B08B9">
            <w:pPr>
              <w:spacing w:line="249" w:lineRule="auto"/>
              <w:ind w:right="48"/>
              <w:jc w:val="center"/>
              <w:rPr>
                <w:rFonts w:ascii="Arial" w:hAnsi="Arial" w:cs="Arial"/>
                <w:sz w:val="22"/>
                <w:szCs w:val="22"/>
              </w:rPr>
            </w:pPr>
            <w:r>
              <w:rPr>
                <w:rFonts w:ascii="Arial" w:hAnsi="Arial" w:cs="Arial"/>
                <w:sz w:val="22"/>
                <w:szCs w:val="22"/>
              </w:rPr>
              <w:t>1</w:t>
            </w:r>
          </w:p>
        </w:tc>
        <w:tc>
          <w:tcPr>
            <w:tcW w:w="3688"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18" w:type="dxa"/>
            </w:tcMar>
            <w:vAlign w:val="center"/>
          </w:tcPr>
          <w:p w:rsidR="009B4233" w:rsidRDefault="006B08B9">
            <w:pPr>
              <w:spacing w:line="249" w:lineRule="auto"/>
              <w:rPr>
                <w:rFonts w:ascii="Arial" w:hAnsi="Arial" w:cs="Arial"/>
                <w:sz w:val="22"/>
                <w:szCs w:val="22"/>
              </w:rPr>
            </w:pPr>
            <w:r>
              <w:rPr>
                <w:rFonts w:ascii="Arial" w:hAnsi="Arial" w:cs="Arial"/>
                <w:sz w:val="22"/>
                <w:szCs w:val="22"/>
              </w:rPr>
              <w:t>Actividades ind., fabriles, mineras y extractivas</w:t>
            </w:r>
          </w:p>
        </w:tc>
        <w:tc>
          <w:tcPr>
            <w:tcW w:w="1634"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18" w:type="dxa"/>
            </w:tcMar>
            <w:vAlign w:val="center"/>
          </w:tcPr>
          <w:p w:rsidR="009B4233" w:rsidRDefault="006B08B9">
            <w:pPr>
              <w:spacing w:line="249" w:lineRule="auto"/>
              <w:rPr>
                <w:rFonts w:ascii="Arial" w:hAnsi="Arial" w:cs="Arial"/>
                <w:sz w:val="22"/>
                <w:szCs w:val="22"/>
              </w:rPr>
            </w:pPr>
            <w:r>
              <w:rPr>
                <w:rFonts w:ascii="Arial" w:hAnsi="Arial" w:cs="Arial"/>
                <w:sz w:val="22"/>
                <w:szCs w:val="22"/>
              </w:rPr>
              <w:t xml:space="preserve">                              </w:t>
            </w:r>
          </w:p>
          <w:p w:rsidR="009B4233" w:rsidRDefault="006B08B9">
            <w:pPr>
              <w:spacing w:line="249" w:lineRule="auto"/>
              <w:rPr>
                <w:rFonts w:ascii="Arial" w:hAnsi="Arial" w:cs="Arial"/>
                <w:sz w:val="22"/>
                <w:szCs w:val="22"/>
              </w:rPr>
            </w:pPr>
            <w:r>
              <w:rPr>
                <w:rFonts w:ascii="Arial" w:hAnsi="Arial" w:cs="Arial"/>
                <w:sz w:val="22"/>
                <w:szCs w:val="22"/>
              </w:rPr>
              <w:t xml:space="preserve">39,47 € </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18" w:type="dxa"/>
            </w:tcMar>
            <w:vAlign w:val="center"/>
          </w:tcPr>
          <w:p w:rsidR="009B4233" w:rsidRDefault="006B08B9">
            <w:pPr>
              <w:spacing w:line="249" w:lineRule="auto"/>
              <w:rPr>
                <w:rFonts w:ascii="Arial" w:hAnsi="Arial" w:cs="Arial"/>
                <w:sz w:val="22"/>
                <w:szCs w:val="22"/>
              </w:rPr>
            </w:pPr>
            <w:r>
              <w:rPr>
                <w:rFonts w:ascii="Arial" w:hAnsi="Arial" w:cs="Arial"/>
                <w:sz w:val="22"/>
                <w:szCs w:val="22"/>
              </w:rPr>
              <w:t xml:space="preserve">                          </w:t>
            </w:r>
          </w:p>
          <w:p w:rsidR="009B4233" w:rsidRDefault="006B08B9">
            <w:pPr>
              <w:spacing w:line="249" w:lineRule="auto"/>
              <w:rPr>
                <w:rFonts w:ascii="Arial" w:hAnsi="Arial" w:cs="Arial"/>
                <w:sz w:val="22"/>
                <w:szCs w:val="22"/>
              </w:rPr>
            </w:pPr>
            <w:r>
              <w:rPr>
                <w:rFonts w:ascii="Arial" w:hAnsi="Arial" w:cs="Arial"/>
                <w:sz w:val="22"/>
                <w:szCs w:val="22"/>
              </w:rPr>
              <w:t xml:space="preserve">71,09 € </w:t>
            </w:r>
          </w:p>
        </w:tc>
        <w:tc>
          <w:tcPr>
            <w:tcW w:w="1002"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18" w:type="dxa"/>
            </w:tcMar>
            <w:vAlign w:val="center"/>
          </w:tcPr>
          <w:p w:rsidR="009B4233" w:rsidRDefault="006B08B9">
            <w:pPr>
              <w:spacing w:line="249" w:lineRule="auto"/>
              <w:jc w:val="center"/>
              <w:rPr>
                <w:rFonts w:ascii="Arial" w:hAnsi="Arial" w:cs="Arial"/>
                <w:sz w:val="22"/>
                <w:szCs w:val="22"/>
              </w:rPr>
            </w:pPr>
            <w:r>
              <w:rPr>
                <w:rFonts w:ascii="Arial" w:hAnsi="Arial" w:cs="Arial"/>
                <w:sz w:val="22"/>
                <w:szCs w:val="22"/>
              </w:rPr>
              <w:t xml:space="preserve">  </w:t>
            </w:r>
          </w:p>
          <w:p w:rsidR="009B4233" w:rsidRDefault="006B08B9">
            <w:pPr>
              <w:spacing w:line="249" w:lineRule="auto"/>
              <w:ind w:right="50"/>
              <w:jc w:val="center"/>
              <w:rPr>
                <w:rFonts w:ascii="Arial" w:hAnsi="Arial" w:cs="Arial"/>
                <w:sz w:val="22"/>
                <w:szCs w:val="22"/>
              </w:rPr>
            </w:pPr>
            <w:r>
              <w:rPr>
                <w:rFonts w:ascii="Arial" w:hAnsi="Arial" w:cs="Arial"/>
                <w:sz w:val="22"/>
                <w:szCs w:val="22"/>
              </w:rPr>
              <w:t xml:space="preserve">0,86 € </w:t>
            </w:r>
          </w:p>
        </w:tc>
      </w:tr>
      <w:tr w:rsidR="009B4233">
        <w:tblPrEx>
          <w:tblCellMar>
            <w:top w:w="0" w:type="dxa"/>
            <w:bottom w:w="0" w:type="dxa"/>
          </w:tblCellMar>
        </w:tblPrEx>
        <w:trPr>
          <w:trHeight w:val="632"/>
        </w:trPr>
        <w:tc>
          <w:tcPr>
            <w:tcW w:w="986"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18" w:type="dxa"/>
            </w:tcMar>
            <w:vAlign w:val="center"/>
          </w:tcPr>
          <w:p w:rsidR="009B4233" w:rsidRDefault="006B08B9">
            <w:pPr>
              <w:spacing w:line="249" w:lineRule="auto"/>
              <w:ind w:right="48"/>
              <w:jc w:val="center"/>
              <w:rPr>
                <w:rFonts w:ascii="Arial" w:hAnsi="Arial" w:cs="Arial"/>
                <w:sz w:val="22"/>
                <w:szCs w:val="22"/>
              </w:rPr>
            </w:pPr>
            <w:r>
              <w:rPr>
                <w:rFonts w:ascii="Arial" w:hAnsi="Arial" w:cs="Arial"/>
                <w:sz w:val="22"/>
                <w:szCs w:val="22"/>
              </w:rPr>
              <w:t>2</w:t>
            </w:r>
          </w:p>
        </w:tc>
        <w:tc>
          <w:tcPr>
            <w:tcW w:w="3688"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18" w:type="dxa"/>
            </w:tcMar>
          </w:tcPr>
          <w:p w:rsidR="009B4233" w:rsidRDefault="006B08B9">
            <w:pPr>
              <w:spacing w:line="249" w:lineRule="auto"/>
              <w:rPr>
                <w:rFonts w:ascii="Arial" w:hAnsi="Arial" w:cs="Arial"/>
                <w:sz w:val="22"/>
                <w:szCs w:val="22"/>
              </w:rPr>
            </w:pPr>
            <w:r>
              <w:rPr>
                <w:rFonts w:ascii="Arial" w:hAnsi="Arial" w:cs="Arial"/>
                <w:sz w:val="22"/>
                <w:szCs w:val="22"/>
              </w:rPr>
              <w:t>Comercio al por mayor e intermediarios del comercio Comercio menor productos no alimenticios</w:t>
            </w:r>
          </w:p>
        </w:tc>
        <w:tc>
          <w:tcPr>
            <w:tcW w:w="1634"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18" w:type="dxa"/>
            </w:tcMar>
            <w:vAlign w:val="center"/>
          </w:tcPr>
          <w:p w:rsidR="009B4233" w:rsidRDefault="006B08B9">
            <w:pPr>
              <w:spacing w:line="249" w:lineRule="auto"/>
              <w:rPr>
                <w:rFonts w:ascii="Arial" w:hAnsi="Arial" w:cs="Arial"/>
                <w:sz w:val="22"/>
                <w:szCs w:val="22"/>
              </w:rPr>
            </w:pPr>
            <w:r>
              <w:rPr>
                <w:rFonts w:ascii="Arial" w:hAnsi="Arial" w:cs="Arial"/>
                <w:sz w:val="22"/>
                <w:szCs w:val="22"/>
              </w:rPr>
              <w:t xml:space="preserve">                              </w:t>
            </w:r>
          </w:p>
          <w:p w:rsidR="009B4233" w:rsidRDefault="006B08B9">
            <w:pPr>
              <w:spacing w:line="249" w:lineRule="auto"/>
              <w:rPr>
                <w:rFonts w:ascii="Arial" w:hAnsi="Arial" w:cs="Arial"/>
                <w:sz w:val="22"/>
                <w:szCs w:val="22"/>
              </w:rPr>
            </w:pPr>
            <w:r>
              <w:rPr>
                <w:rFonts w:ascii="Arial" w:hAnsi="Arial" w:cs="Arial"/>
                <w:sz w:val="22"/>
                <w:szCs w:val="22"/>
              </w:rPr>
              <w:t xml:space="preserve">31,75 € </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18" w:type="dxa"/>
            </w:tcMar>
            <w:vAlign w:val="center"/>
          </w:tcPr>
          <w:p w:rsidR="009B4233" w:rsidRDefault="006B08B9">
            <w:pPr>
              <w:spacing w:line="249" w:lineRule="auto"/>
              <w:rPr>
                <w:rFonts w:ascii="Arial" w:hAnsi="Arial" w:cs="Arial"/>
                <w:sz w:val="22"/>
                <w:szCs w:val="22"/>
              </w:rPr>
            </w:pPr>
            <w:r>
              <w:rPr>
                <w:rFonts w:ascii="Arial" w:hAnsi="Arial" w:cs="Arial"/>
                <w:sz w:val="22"/>
                <w:szCs w:val="22"/>
              </w:rPr>
              <w:t xml:space="preserve">                          </w:t>
            </w:r>
          </w:p>
          <w:p w:rsidR="009B4233" w:rsidRDefault="006B08B9">
            <w:pPr>
              <w:spacing w:line="249" w:lineRule="auto"/>
              <w:rPr>
                <w:rFonts w:ascii="Arial" w:hAnsi="Arial" w:cs="Arial"/>
                <w:sz w:val="22"/>
                <w:szCs w:val="22"/>
              </w:rPr>
            </w:pPr>
            <w:r>
              <w:rPr>
                <w:rFonts w:ascii="Arial" w:hAnsi="Arial" w:cs="Arial"/>
                <w:sz w:val="22"/>
                <w:szCs w:val="22"/>
              </w:rPr>
              <w:t xml:space="preserve">56,42 € </w:t>
            </w:r>
          </w:p>
        </w:tc>
        <w:tc>
          <w:tcPr>
            <w:tcW w:w="1002"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18" w:type="dxa"/>
            </w:tcMar>
            <w:vAlign w:val="center"/>
          </w:tcPr>
          <w:p w:rsidR="009B4233" w:rsidRDefault="006B08B9">
            <w:pPr>
              <w:spacing w:line="249" w:lineRule="auto"/>
              <w:jc w:val="center"/>
              <w:rPr>
                <w:rFonts w:ascii="Arial" w:hAnsi="Arial" w:cs="Arial"/>
                <w:sz w:val="22"/>
                <w:szCs w:val="22"/>
              </w:rPr>
            </w:pPr>
            <w:r>
              <w:rPr>
                <w:rFonts w:ascii="Arial" w:hAnsi="Arial" w:cs="Arial"/>
                <w:sz w:val="22"/>
                <w:szCs w:val="22"/>
              </w:rPr>
              <w:t xml:space="preserve">  </w:t>
            </w:r>
          </w:p>
          <w:p w:rsidR="009B4233" w:rsidRDefault="006B08B9">
            <w:pPr>
              <w:spacing w:line="249" w:lineRule="auto"/>
              <w:ind w:right="50"/>
              <w:jc w:val="center"/>
              <w:rPr>
                <w:rFonts w:ascii="Arial" w:hAnsi="Arial" w:cs="Arial"/>
                <w:sz w:val="22"/>
                <w:szCs w:val="22"/>
              </w:rPr>
            </w:pPr>
            <w:r>
              <w:rPr>
                <w:rFonts w:ascii="Arial" w:hAnsi="Arial" w:cs="Arial"/>
                <w:sz w:val="22"/>
                <w:szCs w:val="22"/>
              </w:rPr>
              <w:t xml:space="preserve">0,64 € </w:t>
            </w:r>
          </w:p>
        </w:tc>
      </w:tr>
      <w:tr w:rsidR="009B4233">
        <w:tblPrEx>
          <w:tblCellMar>
            <w:top w:w="0" w:type="dxa"/>
            <w:bottom w:w="0" w:type="dxa"/>
          </w:tblCellMar>
        </w:tblPrEx>
        <w:trPr>
          <w:trHeight w:val="630"/>
        </w:trPr>
        <w:tc>
          <w:tcPr>
            <w:tcW w:w="986"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18" w:type="dxa"/>
            </w:tcMar>
            <w:vAlign w:val="center"/>
          </w:tcPr>
          <w:p w:rsidR="009B4233" w:rsidRDefault="006B08B9">
            <w:pPr>
              <w:spacing w:line="249" w:lineRule="auto"/>
              <w:ind w:right="48"/>
              <w:jc w:val="center"/>
              <w:rPr>
                <w:rFonts w:ascii="Arial" w:hAnsi="Arial" w:cs="Arial"/>
                <w:sz w:val="22"/>
                <w:szCs w:val="22"/>
              </w:rPr>
            </w:pPr>
            <w:r>
              <w:rPr>
                <w:rFonts w:ascii="Arial" w:hAnsi="Arial" w:cs="Arial"/>
                <w:sz w:val="22"/>
                <w:szCs w:val="22"/>
              </w:rPr>
              <w:t>3</w:t>
            </w:r>
          </w:p>
        </w:tc>
        <w:tc>
          <w:tcPr>
            <w:tcW w:w="3688"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18" w:type="dxa"/>
            </w:tcMar>
          </w:tcPr>
          <w:p w:rsidR="009B4233" w:rsidRDefault="006B08B9">
            <w:pPr>
              <w:spacing w:line="249" w:lineRule="auto"/>
              <w:rPr>
                <w:rFonts w:ascii="Arial" w:hAnsi="Arial" w:cs="Arial"/>
                <w:sz w:val="22"/>
                <w:szCs w:val="22"/>
              </w:rPr>
            </w:pPr>
            <w:r>
              <w:rPr>
                <w:rFonts w:ascii="Arial" w:hAnsi="Arial" w:cs="Arial"/>
                <w:sz w:val="22"/>
                <w:szCs w:val="22"/>
              </w:rPr>
              <w:t xml:space="preserve">Comercio al </w:t>
            </w:r>
            <w:r>
              <w:rPr>
                <w:rFonts w:ascii="Arial" w:hAnsi="Arial" w:cs="Arial"/>
                <w:sz w:val="22"/>
                <w:szCs w:val="22"/>
              </w:rPr>
              <w:t>menor productos alimenticios, bebidas y tabaco excepto los prestados en reg. de autoservicio</w:t>
            </w:r>
          </w:p>
        </w:tc>
        <w:tc>
          <w:tcPr>
            <w:tcW w:w="1634"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18" w:type="dxa"/>
            </w:tcMar>
            <w:vAlign w:val="center"/>
          </w:tcPr>
          <w:p w:rsidR="009B4233" w:rsidRDefault="006B08B9">
            <w:pPr>
              <w:spacing w:line="249" w:lineRule="auto"/>
              <w:rPr>
                <w:rFonts w:ascii="Arial" w:hAnsi="Arial" w:cs="Arial"/>
                <w:sz w:val="22"/>
                <w:szCs w:val="22"/>
              </w:rPr>
            </w:pPr>
            <w:r>
              <w:rPr>
                <w:rFonts w:ascii="Arial" w:hAnsi="Arial" w:cs="Arial"/>
                <w:sz w:val="22"/>
                <w:szCs w:val="22"/>
              </w:rPr>
              <w:t xml:space="preserve">                              </w:t>
            </w:r>
          </w:p>
          <w:p w:rsidR="009B4233" w:rsidRDefault="006B08B9">
            <w:pPr>
              <w:spacing w:line="249" w:lineRule="auto"/>
              <w:rPr>
                <w:rFonts w:ascii="Arial" w:hAnsi="Arial" w:cs="Arial"/>
                <w:sz w:val="22"/>
                <w:szCs w:val="22"/>
              </w:rPr>
            </w:pPr>
            <w:r>
              <w:rPr>
                <w:rFonts w:ascii="Arial" w:hAnsi="Arial" w:cs="Arial"/>
                <w:sz w:val="22"/>
                <w:szCs w:val="22"/>
              </w:rPr>
              <w:t xml:space="preserve">33,85 € </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18" w:type="dxa"/>
            </w:tcMar>
            <w:vAlign w:val="center"/>
          </w:tcPr>
          <w:p w:rsidR="009B4233" w:rsidRDefault="006B08B9">
            <w:pPr>
              <w:spacing w:line="249" w:lineRule="auto"/>
              <w:rPr>
                <w:rFonts w:ascii="Arial" w:hAnsi="Arial" w:cs="Arial"/>
                <w:sz w:val="22"/>
                <w:szCs w:val="22"/>
              </w:rPr>
            </w:pPr>
            <w:r>
              <w:rPr>
                <w:rFonts w:ascii="Arial" w:hAnsi="Arial" w:cs="Arial"/>
                <w:sz w:val="22"/>
                <w:szCs w:val="22"/>
              </w:rPr>
              <w:t xml:space="preserve">                          </w:t>
            </w:r>
          </w:p>
          <w:p w:rsidR="009B4233" w:rsidRDefault="006B08B9">
            <w:pPr>
              <w:spacing w:line="249" w:lineRule="auto"/>
              <w:rPr>
                <w:rFonts w:ascii="Arial" w:hAnsi="Arial" w:cs="Arial"/>
                <w:sz w:val="22"/>
                <w:szCs w:val="22"/>
              </w:rPr>
            </w:pPr>
            <w:r>
              <w:rPr>
                <w:rFonts w:ascii="Arial" w:hAnsi="Arial" w:cs="Arial"/>
                <w:sz w:val="22"/>
                <w:szCs w:val="22"/>
              </w:rPr>
              <w:t xml:space="preserve">60,92 € </w:t>
            </w:r>
          </w:p>
        </w:tc>
        <w:tc>
          <w:tcPr>
            <w:tcW w:w="1002"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18" w:type="dxa"/>
            </w:tcMar>
            <w:vAlign w:val="center"/>
          </w:tcPr>
          <w:p w:rsidR="009B4233" w:rsidRDefault="006B08B9">
            <w:pPr>
              <w:spacing w:line="249" w:lineRule="auto"/>
              <w:jc w:val="center"/>
              <w:rPr>
                <w:rFonts w:ascii="Arial" w:hAnsi="Arial" w:cs="Arial"/>
                <w:sz w:val="22"/>
                <w:szCs w:val="22"/>
              </w:rPr>
            </w:pPr>
            <w:r>
              <w:rPr>
                <w:rFonts w:ascii="Arial" w:hAnsi="Arial" w:cs="Arial"/>
                <w:sz w:val="22"/>
                <w:szCs w:val="22"/>
              </w:rPr>
              <w:t xml:space="preserve">  </w:t>
            </w:r>
          </w:p>
          <w:p w:rsidR="009B4233" w:rsidRDefault="006B08B9">
            <w:pPr>
              <w:spacing w:line="249" w:lineRule="auto"/>
              <w:ind w:right="50"/>
              <w:jc w:val="center"/>
              <w:rPr>
                <w:rFonts w:ascii="Arial" w:hAnsi="Arial" w:cs="Arial"/>
                <w:sz w:val="22"/>
                <w:szCs w:val="22"/>
              </w:rPr>
            </w:pPr>
            <w:r>
              <w:rPr>
                <w:rFonts w:ascii="Arial" w:hAnsi="Arial" w:cs="Arial"/>
                <w:sz w:val="22"/>
                <w:szCs w:val="22"/>
              </w:rPr>
              <w:t xml:space="preserve">0,67 € </w:t>
            </w:r>
          </w:p>
        </w:tc>
      </w:tr>
      <w:tr w:rsidR="009B4233">
        <w:tblPrEx>
          <w:tblCellMar>
            <w:top w:w="0" w:type="dxa"/>
            <w:bottom w:w="0" w:type="dxa"/>
          </w:tblCellMar>
        </w:tblPrEx>
        <w:trPr>
          <w:trHeight w:val="632"/>
        </w:trPr>
        <w:tc>
          <w:tcPr>
            <w:tcW w:w="986"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18" w:type="dxa"/>
            </w:tcMar>
            <w:vAlign w:val="center"/>
          </w:tcPr>
          <w:p w:rsidR="009B4233" w:rsidRDefault="006B08B9">
            <w:pPr>
              <w:spacing w:line="249" w:lineRule="auto"/>
              <w:ind w:right="48"/>
              <w:jc w:val="center"/>
              <w:rPr>
                <w:rFonts w:ascii="Arial" w:hAnsi="Arial" w:cs="Arial"/>
                <w:sz w:val="22"/>
                <w:szCs w:val="22"/>
              </w:rPr>
            </w:pPr>
            <w:r>
              <w:rPr>
                <w:rFonts w:ascii="Arial" w:hAnsi="Arial" w:cs="Arial"/>
                <w:sz w:val="22"/>
                <w:szCs w:val="22"/>
              </w:rPr>
              <w:t>4</w:t>
            </w:r>
          </w:p>
        </w:tc>
        <w:tc>
          <w:tcPr>
            <w:tcW w:w="3688"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18" w:type="dxa"/>
            </w:tcMar>
          </w:tcPr>
          <w:p w:rsidR="009B4233" w:rsidRDefault="006B08B9">
            <w:pPr>
              <w:spacing w:line="249" w:lineRule="auto"/>
              <w:rPr>
                <w:rFonts w:ascii="Arial" w:hAnsi="Arial" w:cs="Arial"/>
                <w:sz w:val="22"/>
                <w:szCs w:val="22"/>
              </w:rPr>
            </w:pPr>
            <w:r>
              <w:rPr>
                <w:rFonts w:ascii="Arial" w:hAnsi="Arial" w:cs="Arial"/>
                <w:sz w:val="22"/>
                <w:szCs w:val="22"/>
              </w:rPr>
              <w:t xml:space="preserve">Comercio al menor productos alimenticios, bebidas y tabaco prestados en </w:t>
            </w:r>
            <w:r>
              <w:rPr>
                <w:rFonts w:ascii="Arial" w:hAnsi="Arial" w:cs="Arial"/>
                <w:sz w:val="22"/>
                <w:szCs w:val="22"/>
              </w:rPr>
              <w:t>reg. de autoservicio</w:t>
            </w:r>
          </w:p>
        </w:tc>
        <w:tc>
          <w:tcPr>
            <w:tcW w:w="1634"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18" w:type="dxa"/>
            </w:tcMar>
            <w:vAlign w:val="center"/>
          </w:tcPr>
          <w:p w:rsidR="009B4233" w:rsidRDefault="006B08B9">
            <w:pPr>
              <w:spacing w:line="249" w:lineRule="auto"/>
              <w:rPr>
                <w:rFonts w:ascii="Arial" w:hAnsi="Arial" w:cs="Arial"/>
                <w:sz w:val="22"/>
                <w:szCs w:val="22"/>
              </w:rPr>
            </w:pPr>
            <w:r>
              <w:rPr>
                <w:rFonts w:ascii="Arial" w:hAnsi="Arial" w:cs="Arial"/>
                <w:sz w:val="22"/>
                <w:szCs w:val="22"/>
              </w:rPr>
              <w:t xml:space="preserve">                              </w:t>
            </w:r>
          </w:p>
          <w:p w:rsidR="009B4233" w:rsidRDefault="006B08B9">
            <w:pPr>
              <w:spacing w:line="249" w:lineRule="auto"/>
              <w:rPr>
                <w:rFonts w:ascii="Arial" w:hAnsi="Arial" w:cs="Arial"/>
                <w:sz w:val="22"/>
                <w:szCs w:val="22"/>
              </w:rPr>
            </w:pPr>
            <w:r>
              <w:rPr>
                <w:rFonts w:ascii="Arial" w:hAnsi="Arial" w:cs="Arial"/>
                <w:sz w:val="22"/>
                <w:szCs w:val="22"/>
              </w:rPr>
              <w:t xml:space="preserve">56,42 € </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18" w:type="dxa"/>
            </w:tcMar>
            <w:vAlign w:val="center"/>
          </w:tcPr>
          <w:p w:rsidR="009B4233" w:rsidRDefault="006B08B9">
            <w:pPr>
              <w:spacing w:line="249" w:lineRule="auto"/>
              <w:rPr>
                <w:rFonts w:ascii="Arial" w:hAnsi="Arial" w:cs="Arial"/>
                <w:sz w:val="22"/>
                <w:szCs w:val="22"/>
              </w:rPr>
            </w:pPr>
            <w:r>
              <w:rPr>
                <w:rFonts w:ascii="Arial" w:hAnsi="Arial" w:cs="Arial"/>
                <w:sz w:val="22"/>
                <w:szCs w:val="22"/>
              </w:rPr>
              <w:t xml:space="preserve">                         </w:t>
            </w:r>
          </w:p>
          <w:p w:rsidR="009B4233" w:rsidRDefault="006B08B9">
            <w:pPr>
              <w:spacing w:line="249" w:lineRule="auto"/>
              <w:rPr>
                <w:rFonts w:ascii="Arial" w:hAnsi="Arial" w:cs="Arial"/>
                <w:sz w:val="22"/>
                <w:szCs w:val="22"/>
              </w:rPr>
            </w:pPr>
            <w:r>
              <w:rPr>
                <w:rFonts w:ascii="Arial" w:hAnsi="Arial" w:cs="Arial"/>
                <w:sz w:val="22"/>
                <w:szCs w:val="22"/>
              </w:rPr>
              <w:t xml:space="preserve">101,57 € </w:t>
            </w:r>
          </w:p>
        </w:tc>
        <w:tc>
          <w:tcPr>
            <w:tcW w:w="1002"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18" w:type="dxa"/>
            </w:tcMar>
            <w:vAlign w:val="center"/>
          </w:tcPr>
          <w:p w:rsidR="009B4233" w:rsidRDefault="006B08B9">
            <w:pPr>
              <w:spacing w:line="249" w:lineRule="auto"/>
              <w:jc w:val="center"/>
              <w:rPr>
                <w:rFonts w:ascii="Arial" w:hAnsi="Arial" w:cs="Arial"/>
                <w:sz w:val="22"/>
                <w:szCs w:val="22"/>
              </w:rPr>
            </w:pPr>
            <w:r>
              <w:rPr>
                <w:rFonts w:ascii="Arial" w:hAnsi="Arial" w:cs="Arial"/>
                <w:sz w:val="22"/>
                <w:szCs w:val="22"/>
              </w:rPr>
              <w:t xml:space="preserve">  </w:t>
            </w:r>
          </w:p>
          <w:p w:rsidR="009B4233" w:rsidRDefault="006B08B9">
            <w:pPr>
              <w:spacing w:line="249" w:lineRule="auto"/>
              <w:ind w:right="50"/>
              <w:jc w:val="center"/>
              <w:rPr>
                <w:rFonts w:ascii="Arial" w:hAnsi="Arial" w:cs="Arial"/>
                <w:sz w:val="22"/>
                <w:szCs w:val="22"/>
              </w:rPr>
            </w:pPr>
            <w:r>
              <w:rPr>
                <w:rFonts w:ascii="Arial" w:hAnsi="Arial" w:cs="Arial"/>
                <w:sz w:val="22"/>
                <w:szCs w:val="22"/>
              </w:rPr>
              <w:t xml:space="preserve">0,67 € </w:t>
            </w:r>
          </w:p>
        </w:tc>
      </w:tr>
      <w:tr w:rsidR="009B4233">
        <w:tblPrEx>
          <w:tblCellMar>
            <w:top w:w="0" w:type="dxa"/>
            <w:bottom w:w="0" w:type="dxa"/>
          </w:tblCellMar>
        </w:tblPrEx>
        <w:trPr>
          <w:trHeight w:val="424"/>
        </w:trPr>
        <w:tc>
          <w:tcPr>
            <w:tcW w:w="986"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18" w:type="dxa"/>
            </w:tcMar>
            <w:vAlign w:val="center"/>
          </w:tcPr>
          <w:p w:rsidR="009B4233" w:rsidRDefault="006B08B9">
            <w:pPr>
              <w:spacing w:line="249" w:lineRule="auto"/>
              <w:ind w:right="48"/>
              <w:jc w:val="center"/>
              <w:rPr>
                <w:rFonts w:ascii="Arial" w:hAnsi="Arial" w:cs="Arial"/>
                <w:sz w:val="22"/>
                <w:szCs w:val="22"/>
              </w:rPr>
            </w:pPr>
            <w:r>
              <w:rPr>
                <w:rFonts w:ascii="Arial" w:hAnsi="Arial" w:cs="Arial"/>
                <w:sz w:val="22"/>
                <w:szCs w:val="22"/>
              </w:rPr>
              <w:t>5</w:t>
            </w:r>
          </w:p>
        </w:tc>
        <w:tc>
          <w:tcPr>
            <w:tcW w:w="3688"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18" w:type="dxa"/>
            </w:tcMar>
          </w:tcPr>
          <w:p w:rsidR="009B4233" w:rsidRDefault="006B08B9">
            <w:pPr>
              <w:spacing w:line="249" w:lineRule="auto"/>
              <w:rPr>
                <w:rFonts w:ascii="Arial" w:hAnsi="Arial" w:cs="Arial"/>
                <w:sz w:val="22"/>
                <w:szCs w:val="22"/>
              </w:rPr>
            </w:pPr>
            <w:r>
              <w:rPr>
                <w:rFonts w:ascii="Arial" w:hAnsi="Arial" w:cs="Arial"/>
                <w:sz w:val="22"/>
                <w:szCs w:val="22"/>
              </w:rPr>
              <w:t>Restauración y otros serv. de alimentación, servicios en restaurantes</w:t>
            </w:r>
          </w:p>
        </w:tc>
        <w:tc>
          <w:tcPr>
            <w:tcW w:w="1634"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18" w:type="dxa"/>
            </w:tcMar>
          </w:tcPr>
          <w:p w:rsidR="009B4233" w:rsidRDefault="006B08B9">
            <w:pPr>
              <w:spacing w:line="249" w:lineRule="auto"/>
              <w:rPr>
                <w:rFonts w:ascii="Arial" w:hAnsi="Arial" w:cs="Arial"/>
                <w:sz w:val="22"/>
                <w:szCs w:val="22"/>
              </w:rPr>
            </w:pPr>
            <w:r>
              <w:rPr>
                <w:rFonts w:ascii="Arial" w:hAnsi="Arial" w:cs="Arial"/>
                <w:sz w:val="22"/>
                <w:szCs w:val="22"/>
              </w:rPr>
              <w:t xml:space="preserve">                             </w:t>
            </w:r>
          </w:p>
          <w:p w:rsidR="009B4233" w:rsidRDefault="006B08B9">
            <w:pPr>
              <w:spacing w:line="249" w:lineRule="auto"/>
              <w:rPr>
                <w:rFonts w:ascii="Arial" w:hAnsi="Arial" w:cs="Arial"/>
                <w:sz w:val="22"/>
                <w:szCs w:val="22"/>
              </w:rPr>
            </w:pPr>
            <w:r>
              <w:rPr>
                <w:rFonts w:ascii="Arial" w:hAnsi="Arial" w:cs="Arial"/>
                <w:sz w:val="22"/>
                <w:szCs w:val="22"/>
              </w:rPr>
              <w:t xml:space="preserve">112,69 € </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18" w:type="dxa"/>
            </w:tcMar>
          </w:tcPr>
          <w:p w:rsidR="009B4233" w:rsidRDefault="006B08B9">
            <w:pPr>
              <w:spacing w:line="249" w:lineRule="auto"/>
              <w:rPr>
                <w:rFonts w:ascii="Arial" w:hAnsi="Arial" w:cs="Arial"/>
                <w:sz w:val="22"/>
                <w:szCs w:val="22"/>
              </w:rPr>
            </w:pPr>
            <w:r>
              <w:rPr>
                <w:rFonts w:ascii="Arial" w:hAnsi="Arial" w:cs="Arial"/>
                <w:sz w:val="22"/>
                <w:szCs w:val="22"/>
              </w:rPr>
              <w:t xml:space="preserve">                         </w:t>
            </w:r>
          </w:p>
          <w:p w:rsidR="009B4233" w:rsidRDefault="006B08B9">
            <w:pPr>
              <w:spacing w:line="249" w:lineRule="auto"/>
              <w:rPr>
                <w:rFonts w:ascii="Arial" w:hAnsi="Arial" w:cs="Arial"/>
                <w:sz w:val="22"/>
                <w:szCs w:val="22"/>
              </w:rPr>
            </w:pPr>
            <w:r>
              <w:rPr>
                <w:rFonts w:ascii="Arial" w:hAnsi="Arial" w:cs="Arial"/>
                <w:sz w:val="22"/>
                <w:szCs w:val="22"/>
              </w:rPr>
              <w:t xml:space="preserve">155,16 € </w:t>
            </w:r>
          </w:p>
        </w:tc>
        <w:tc>
          <w:tcPr>
            <w:tcW w:w="1002"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18" w:type="dxa"/>
            </w:tcMar>
          </w:tcPr>
          <w:p w:rsidR="009B4233" w:rsidRDefault="006B08B9">
            <w:pPr>
              <w:spacing w:line="249" w:lineRule="auto"/>
              <w:jc w:val="center"/>
              <w:rPr>
                <w:rFonts w:ascii="Arial" w:hAnsi="Arial" w:cs="Arial"/>
                <w:sz w:val="22"/>
                <w:szCs w:val="22"/>
              </w:rPr>
            </w:pPr>
            <w:r>
              <w:rPr>
                <w:rFonts w:ascii="Arial" w:hAnsi="Arial" w:cs="Arial"/>
                <w:sz w:val="22"/>
                <w:szCs w:val="22"/>
              </w:rPr>
              <w:t xml:space="preserve">  </w:t>
            </w:r>
          </w:p>
          <w:p w:rsidR="009B4233" w:rsidRDefault="006B08B9">
            <w:pPr>
              <w:spacing w:line="249" w:lineRule="auto"/>
              <w:ind w:right="50"/>
              <w:jc w:val="center"/>
              <w:rPr>
                <w:rFonts w:ascii="Arial" w:hAnsi="Arial" w:cs="Arial"/>
                <w:sz w:val="22"/>
                <w:szCs w:val="22"/>
              </w:rPr>
            </w:pPr>
            <w:r>
              <w:rPr>
                <w:rFonts w:ascii="Arial" w:hAnsi="Arial" w:cs="Arial"/>
                <w:sz w:val="22"/>
                <w:szCs w:val="22"/>
              </w:rPr>
              <w:t xml:space="preserve">0,69 € </w:t>
            </w:r>
          </w:p>
        </w:tc>
      </w:tr>
      <w:tr w:rsidR="009B4233">
        <w:tblPrEx>
          <w:tblCellMar>
            <w:top w:w="0" w:type="dxa"/>
            <w:bottom w:w="0" w:type="dxa"/>
          </w:tblCellMar>
        </w:tblPrEx>
        <w:trPr>
          <w:trHeight w:val="424"/>
        </w:trPr>
        <w:tc>
          <w:tcPr>
            <w:tcW w:w="986"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18" w:type="dxa"/>
            </w:tcMar>
            <w:vAlign w:val="center"/>
          </w:tcPr>
          <w:p w:rsidR="009B4233" w:rsidRDefault="006B08B9">
            <w:pPr>
              <w:spacing w:line="249" w:lineRule="auto"/>
              <w:ind w:right="48"/>
              <w:jc w:val="center"/>
              <w:rPr>
                <w:rFonts w:ascii="Arial" w:hAnsi="Arial" w:cs="Arial"/>
                <w:sz w:val="22"/>
                <w:szCs w:val="22"/>
              </w:rPr>
            </w:pPr>
            <w:r>
              <w:rPr>
                <w:rFonts w:ascii="Arial" w:hAnsi="Arial" w:cs="Arial"/>
                <w:sz w:val="22"/>
                <w:szCs w:val="22"/>
              </w:rPr>
              <w:t>6</w:t>
            </w:r>
          </w:p>
        </w:tc>
        <w:tc>
          <w:tcPr>
            <w:tcW w:w="3688"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18" w:type="dxa"/>
            </w:tcMar>
          </w:tcPr>
          <w:p w:rsidR="009B4233" w:rsidRDefault="006B08B9">
            <w:pPr>
              <w:spacing w:line="249" w:lineRule="auto"/>
              <w:rPr>
                <w:rFonts w:ascii="Arial" w:hAnsi="Arial" w:cs="Arial"/>
                <w:sz w:val="22"/>
                <w:szCs w:val="22"/>
              </w:rPr>
            </w:pPr>
            <w:r>
              <w:rPr>
                <w:rFonts w:ascii="Arial" w:hAnsi="Arial" w:cs="Arial"/>
                <w:sz w:val="22"/>
                <w:szCs w:val="22"/>
              </w:rPr>
              <w:t>Restauración y otros serv. de alimentación, excepto serv. de restaurantes</w:t>
            </w:r>
          </w:p>
        </w:tc>
        <w:tc>
          <w:tcPr>
            <w:tcW w:w="1634"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18" w:type="dxa"/>
            </w:tcMar>
          </w:tcPr>
          <w:p w:rsidR="009B4233" w:rsidRDefault="006B08B9">
            <w:pPr>
              <w:spacing w:line="249" w:lineRule="auto"/>
              <w:rPr>
                <w:rFonts w:ascii="Arial" w:hAnsi="Arial" w:cs="Arial"/>
                <w:sz w:val="22"/>
                <w:szCs w:val="22"/>
              </w:rPr>
            </w:pPr>
            <w:r>
              <w:rPr>
                <w:rFonts w:ascii="Arial" w:hAnsi="Arial" w:cs="Arial"/>
                <w:sz w:val="22"/>
                <w:szCs w:val="22"/>
              </w:rPr>
              <w:t xml:space="preserve">                              </w:t>
            </w:r>
          </w:p>
          <w:p w:rsidR="009B4233" w:rsidRDefault="006B08B9">
            <w:pPr>
              <w:spacing w:line="249" w:lineRule="auto"/>
              <w:rPr>
                <w:rFonts w:ascii="Arial" w:hAnsi="Arial" w:cs="Arial"/>
                <w:sz w:val="22"/>
                <w:szCs w:val="22"/>
              </w:rPr>
            </w:pPr>
            <w:r>
              <w:rPr>
                <w:rFonts w:ascii="Arial" w:hAnsi="Arial" w:cs="Arial"/>
                <w:sz w:val="22"/>
                <w:szCs w:val="22"/>
              </w:rPr>
              <w:t xml:space="preserve">56,36 € </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18" w:type="dxa"/>
            </w:tcMar>
          </w:tcPr>
          <w:p w:rsidR="009B4233" w:rsidRDefault="006B08B9">
            <w:pPr>
              <w:spacing w:line="249" w:lineRule="auto"/>
              <w:rPr>
                <w:rFonts w:ascii="Arial" w:hAnsi="Arial" w:cs="Arial"/>
                <w:sz w:val="22"/>
                <w:szCs w:val="22"/>
              </w:rPr>
            </w:pPr>
            <w:r>
              <w:rPr>
                <w:rFonts w:ascii="Arial" w:hAnsi="Arial" w:cs="Arial"/>
                <w:sz w:val="22"/>
                <w:szCs w:val="22"/>
              </w:rPr>
              <w:t xml:space="preserve">                          </w:t>
            </w:r>
          </w:p>
          <w:p w:rsidR="009B4233" w:rsidRDefault="006B08B9">
            <w:pPr>
              <w:spacing w:line="249" w:lineRule="auto"/>
              <w:rPr>
                <w:rFonts w:ascii="Arial" w:hAnsi="Arial" w:cs="Arial"/>
                <w:sz w:val="22"/>
                <w:szCs w:val="22"/>
              </w:rPr>
            </w:pPr>
            <w:r>
              <w:rPr>
                <w:rFonts w:ascii="Arial" w:hAnsi="Arial" w:cs="Arial"/>
                <w:sz w:val="22"/>
                <w:szCs w:val="22"/>
              </w:rPr>
              <w:t xml:space="preserve">77,57 € </w:t>
            </w:r>
          </w:p>
        </w:tc>
        <w:tc>
          <w:tcPr>
            <w:tcW w:w="1002"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18" w:type="dxa"/>
            </w:tcMar>
          </w:tcPr>
          <w:p w:rsidR="009B4233" w:rsidRDefault="006B08B9">
            <w:pPr>
              <w:spacing w:line="249" w:lineRule="auto"/>
              <w:jc w:val="center"/>
              <w:rPr>
                <w:rFonts w:ascii="Arial" w:hAnsi="Arial" w:cs="Arial"/>
                <w:sz w:val="22"/>
                <w:szCs w:val="22"/>
              </w:rPr>
            </w:pPr>
            <w:r>
              <w:rPr>
                <w:rFonts w:ascii="Arial" w:hAnsi="Arial" w:cs="Arial"/>
                <w:sz w:val="22"/>
                <w:szCs w:val="22"/>
              </w:rPr>
              <w:t xml:space="preserve">  </w:t>
            </w:r>
          </w:p>
          <w:p w:rsidR="009B4233" w:rsidRDefault="006B08B9">
            <w:pPr>
              <w:spacing w:line="249" w:lineRule="auto"/>
              <w:ind w:right="50"/>
              <w:jc w:val="center"/>
              <w:rPr>
                <w:rFonts w:ascii="Arial" w:hAnsi="Arial" w:cs="Arial"/>
                <w:sz w:val="22"/>
                <w:szCs w:val="22"/>
              </w:rPr>
            </w:pPr>
            <w:r>
              <w:rPr>
                <w:rFonts w:ascii="Arial" w:hAnsi="Arial" w:cs="Arial"/>
                <w:sz w:val="22"/>
                <w:szCs w:val="22"/>
              </w:rPr>
              <w:t xml:space="preserve">0,69 € </w:t>
            </w:r>
          </w:p>
        </w:tc>
      </w:tr>
      <w:tr w:rsidR="009B4233">
        <w:tblPrEx>
          <w:tblCellMar>
            <w:top w:w="0" w:type="dxa"/>
            <w:bottom w:w="0" w:type="dxa"/>
          </w:tblCellMar>
        </w:tblPrEx>
        <w:trPr>
          <w:trHeight w:val="470"/>
        </w:trPr>
        <w:tc>
          <w:tcPr>
            <w:tcW w:w="986"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18" w:type="dxa"/>
            </w:tcMar>
            <w:vAlign w:val="center"/>
          </w:tcPr>
          <w:p w:rsidR="009B4233" w:rsidRDefault="006B08B9">
            <w:pPr>
              <w:spacing w:line="249" w:lineRule="auto"/>
              <w:ind w:right="48"/>
              <w:jc w:val="center"/>
              <w:rPr>
                <w:rFonts w:ascii="Arial" w:hAnsi="Arial" w:cs="Arial"/>
                <w:sz w:val="22"/>
                <w:szCs w:val="22"/>
              </w:rPr>
            </w:pPr>
            <w:r>
              <w:rPr>
                <w:rFonts w:ascii="Arial" w:hAnsi="Arial" w:cs="Arial"/>
                <w:sz w:val="22"/>
                <w:szCs w:val="22"/>
              </w:rPr>
              <w:t>7</w:t>
            </w:r>
          </w:p>
        </w:tc>
        <w:tc>
          <w:tcPr>
            <w:tcW w:w="3688"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18" w:type="dxa"/>
            </w:tcMar>
            <w:vAlign w:val="center"/>
          </w:tcPr>
          <w:p w:rsidR="009B4233" w:rsidRDefault="006B08B9">
            <w:pPr>
              <w:spacing w:line="249" w:lineRule="auto"/>
              <w:rPr>
                <w:rFonts w:ascii="Arial" w:hAnsi="Arial" w:cs="Arial"/>
                <w:sz w:val="22"/>
                <w:szCs w:val="22"/>
              </w:rPr>
            </w:pPr>
            <w:r>
              <w:rPr>
                <w:rFonts w:ascii="Arial" w:hAnsi="Arial" w:cs="Arial"/>
                <w:sz w:val="22"/>
                <w:szCs w:val="22"/>
              </w:rPr>
              <w:t>Alojamiento (hotelero y extrahotelero)</w:t>
            </w:r>
          </w:p>
        </w:tc>
        <w:tc>
          <w:tcPr>
            <w:tcW w:w="4054" w:type="dxa"/>
            <w:gridSpan w:val="3"/>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18" w:type="dxa"/>
            </w:tcMar>
          </w:tcPr>
          <w:p w:rsidR="009B4233" w:rsidRDefault="006B08B9">
            <w:pPr>
              <w:spacing w:line="249" w:lineRule="auto"/>
              <w:jc w:val="center"/>
              <w:rPr>
                <w:rFonts w:ascii="Arial" w:hAnsi="Arial" w:cs="Arial"/>
                <w:sz w:val="22"/>
                <w:szCs w:val="22"/>
              </w:rPr>
            </w:pPr>
            <w:r>
              <w:rPr>
                <w:rFonts w:ascii="Arial" w:hAnsi="Arial" w:cs="Arial"/>
                <w:sz w:val="22"/>
                <w:szCs w:val="22"/>
              </w:rPr>
              <w:t xml:space="preserve">  </w:t>
            </w:r>
          </w:p>
          <w:p w:rsidR="009B4233" w:rsidRDefault="006B08B9">
            <w:pPr>
              <w:spacing w:line="249" w:lineRule="auto"/>
              <w:ind w:right="48"/>
              <w:jc w:val="center"/>
              <w:rPr>
                <w:rFonts w:ascii="Arial" w:hAnsi="Arial" w:cs="Arial"/>
                <w:sz w:val="22"/>
                <w:szCs w:val="22"/>
              </w:rPr>
            </w:pPr>
            <w:r>
              <w:rPr>
                <w:rFonts w:ascii="Arial" w:hAnsi="Arial" w:cs="Arial"/>
                <w:sz w:val="22"/>
                <w:szCs w:val="22"/>
              </w:rPr>
              <w:t>11,83 € por cama</w:t>
            </w:r>
          </w:p>
        </w:tc>
      </w:tr>
      <w:tr w:rsidR="009B4233">
        <w:tblPrEx>
          <w:tblCellMar>
            <w:top w:w="0" w:type="dxa"/>
            <w:bottom w:w="0" w:type="dxa"/>
          </w:tblCellMar>
        </w:tblPrEx>
        <w:trPr>
          <w:trHeight w:val="424"/>
        </w:trPr>
        <w:tc>
          <w:tcPr>
            <w:tcW w:w="986"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18" w:type="dxa"/>
            </w:tcMar>
            <w:vAlign w:val="center"/>
          </w:tcPr>
          <w:p w:rsidR="009B4233" w:rsidRDefault="006B08B9">
            <w:pPr>
              <w:spacing w:line="249" w:lineRule="auto"/>
              <w:ind w:right="48"/>
              <w:jc w:val="center"/>
              <w:rPr>
                <w:rFonts w:ascii="Arial" w:hAnsi="Arial" w:cs="Arial"/>
                <w:sz w:val="22"/>
                <w:szCs w:val="22"/>
              </w:rPr>
            </w:pPr>
            <w:r>
              <w:rPr>
                <w:rFonts w:ascii="Arial" w:hAnsi="Arial" w:cs="Arial"/>
                <w:sz w:val="22"/>
                <w:szCs w:val="22"/>
              </w:rPr>
              <w:t>8</w:t>
            </w:r>
          </w:p>
        </w:tc>
        <w:tc>
          <w:tcPr>
            <w:tcW w:w="3688"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18" w:type="dxa"/>
            </w:tcMar>
            <w:vAlign w:val="center"/>
          </w:tcPr>
          <w:p w:rsidR="009B4233" w:rsidRDefault="006B08B9">
            <w:pPr>
              <w:spacing w:line="249" w:lineRule="auto"/>
              <w:rPr>
                <w:rFonts w:ascii="Arial" w:hAnsi="Arial" w:cs="Arial"/>
                <w:sz w:val="22"/>
                <w:szCs w:val="22"/>
              </w:rPr>
            </w:pPr>
            <w:r>
              <w:rPr>
                <w:rFonts w:ascii="Arial" w:hAnsi="Arial" w:cs="Arial"/>
                <w:sz w:val="22"/>
                <w:szCs w:val="22"/>
              </w:rPr>
              <w:t xml:space="preserve">Transporte </w:t>
            </w:r>
            <w:r>
              <w:rPr>
                <w:rFonts w:ascii="Arial" w:hAnsi="Arial" w:cs="Arial"/>
                <w:sz w:val="22"/>
                <w:szCs w:val="22"/>
              </w:rPr>
              <w:t>marítimo y terrestre</w:t>
            </w:r>
          </w:p>
        </w:tc>
        <w:tc>
          <w:tcPr>
            <w:tcW w:w="1634"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18" w:type="dxa"/>
            </w:tcMar>
          </w:tcPr>
          <w:p w:rsidR="009B4233" w:rsidRDefault="006B08B9">
            <w:pPr>
              <w:spacing w:line="249" w:lineRule="auto"/>
              <w:rPr>
                <w:rFonts w:ascii="Arial" w:hAnsi="Arial" w:cs="Arial"/>
                <w:sz w:val="22"/>
                <w:szCs w:val="22"/>
              </w:rPr>
            </w:pPr>
            <w:r>
              <w:rPr>
                <w:rFonts w:ascii="Arial" w:hAnsi="Arial" w:cs="Arial"/>
                <w:sz w:val="22"/>
                <w:szCs w:val="22"/>
              </w:rPr>
              <w:t xml:space="preserve">                              </w:t>
            </w:r>
          </w:p>
          <w:p w:rsidR="009B4233" w:rsidRDefault="006B08B9">
            <w:pPr>
              <w:spacing w:line="249" w:lineRule="auto"/>
              <w:rPr>
                <w:rFonts w:ascii="Arial" w:hAnsi="Arial" w:cs="Arial"/>
                <w:sz w:val="22"/>
                <w:szCs w:val="22"/>
              </w:rPr>
            </w:pPr>
            <w:r>
              <w:rPr>
                <w:rFonts w:ascii="Arial" w:hAnsi="Arial" w:cs="Arial"/>
                <w:sz w:val="22"/>
                <w:szCs w:val="22"/>
              </w:rPr>
              <w:t xml:space="preserve">40,97 € </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18" w:type="dxa"/>
            </w:tcMar>
          </w:tcPr>
          <w:p w:rsidR="009B4233" w:rsidRDefault="006B08B9">
            <w:pPr>
              <w:spacing w:line="249" w:lineRule="auto"/>
              <w:rPr>
                <w:rFonts w:ascii="Arial" w:hAnsi="Arial" w:cs="Arial"/>
                <w:sz w:val="22"/>
                <w:szCs w:val="22"/>
              </w:rPr>
            </w:pPr>
            <w:r>
              <w:rPr>
                <w:rFonts w:ascii="Arial" w:hAnsi="Arial" w:cs="Arial"/>
                <w:sz w:val="22"/>
                <w:szCs w:val="22"/>
              </w:rPr>
              <w:t xml:space="preserve">                          </w:t>
            </w:r>
          </w:p>
          <w:p w:rsidR="009B4233" w:rsidRDefault="006B08B9">
            <w:pPr>
              <w:spacing w:line="249" w:lineRule="auto"/>
              <w:rPr>
                <w:rFonts w:ascii="Arial" w:hAnsi="Arial" w:cs="Arial"/>
                <w:sz w:val="22"/>
                <w:szCs w:val="22"/>
              </w:rPr>
            </w:pPr>
            <w:r>
              <w:rPr>
                <w:rFonts w:ascii="Arial" w:hAnsi="Arial" w:cs="Arial"/>
                <w:sz w:val="22"/>
                <w:szCs w:val="22"/>
              </w:rPr>
              <w:t xml:space="preserve">56,98 € </w:t>
            </w:r>
          </w:p>
        </w:tc>
        <w:tc>
          <w:tcPr>
            <w:tcW w:w="1002"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18" w:type="dxa"/>
            </w:tcMar>
          </w:tcPr>
          <w:p w:rsidR="009B4233" w:rsidRDefault="006B08B9">
            <w:pPr>
              <w:spacing w:line="249" w:lineRule="auto"/>
              <w:rPr>
                <w:rFonts w:ascii="Arial" w:hAnsi="Arial" w:cs="Arial"/>
                <w:sz w:val="22"/>
                <w:szCs w:val="22"/>
              </w:rPr>
            </w:pPr>
            <w:r>
              <w:rPr>
                <w:rFonts w:ascii="Arial" w:hAnsi="Arial" w:cs="Arial"/>
                <w:sz w:val="22"/>
                <w:szCs w:val="22"/>
              </w:rPr>
              <w:t xml:space="preserve">                  </w:t>
            </w:r>
          </w:p>
          <w:p w:rsidR="009B4233" w:rsidRDefault="006B08B9">
            <w:pPr>
              <w:spacing w:line="249" w:lineRule="auto"/>
              <w:rPr>
                <w:rFonts w:ascii="Arial" w:hAnsi="Arial" w:cs="Arial"/>
                <w:sz w:val="22"/>
                <w:szCs w:val="22"/>
              </w:rPr>
            </w:pPr>
            <w:r>
              <w:rPr>
                <w:rFonts w:ascii="Arial" w:hAnsi="Arial" w:cs="Arial"/>
                <w:sz w:val="22"/>
                <w:szCs w:val="22"/>
              </w:rPr>
              <w:t xml:space="preserve">0,67 € </w:t>
            </w:r>
          </w:p>
        </w:tc>
      </w:tr>
      <w:tr w:rsidR="009B4233">
        <w:tblPrEx>
          <w:tblCellMar>
            <w:top w:w="0" w:type="dxa"/>
            <w:bottom w:w="0" w:type="dxa"/>
          </w:tblCellMar>
        </w:tblPrEx>
        <w:trPr>
          <w:trHeight w:val="424"/>
        </w:trPr>
        <w:tc>
          <w:tcPr>
            <w:tcW w:w="986"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18" w:type="dxa"/>
            </w:tcMar>
            <w:vAlign w:val="center"/>
          </w:tcPr>
          <w:p w:rsidR="009B4233" w:rsidRDefault="006B08B9">
            <w:pPr>
              <w:spacing w:line="249" w:lineRule="auto"/>
              <w:ind w:right="48"/>
              <w:jc w:val="center"/>
              <w:rPr>
                <w:rFonts w:ascii="Arial" w:hAnsi="Arial" w:cs="Arial"/>
                <w:sz w:val="22"/>
                <w:szCs w:val="22"/>
              </w:rPr>
            </w:pPr>
            <w:r>
              <w:rPr>
                <w:rFonts w:ascii="Arial" w:hAnsi="Arial" w:cs="Arial"/>
                <w:sz w:val="22"/>
                <w:szCs w:val="22"/>
              </w:rPr>
              <w:t>9</w:t>
            </w:r>
          </w:p>
        </w:tc>
        <w:tc>
          <w:tcPr>
            <w:tcW w:w="3688"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18" w:type="dxa"/>
            </w:tcMar>
            <w:vAlign w:val="center"/>
          </w:tcPr>
          <w:p w:rsidR="009B4233" w:rsidRDefault="006B08B9">
            <w:pPr>
              <w:spacing w:line="249" w:lineRule="auto"/>
              <w:rPr>
                <w:rFonts w:ascii="Arial" w:hAnsi="Arial" w:cs="Arial"/>
                <w:sz w:val="22"/>
                <w:szCs w:val="22"/>
              </w:rPr>
            </w:pPr>
            <w:r>
              <w:rPr>
                <w:rFonts w:ascii="Arial" w:hAnsi="Arial" w:cs="Arial"/>
                <w:sz w:val="22"/>
                <w:szCs w:val="22"/>
              </w:rPr>
              <w:t>Servicios inmobiliarios, de seg. y consultoría</w:t>
            </w:r>
          </w:p>
        </w:tc>
        <w:tc>
          <w:tcPr>
            <w:tcW w:w="1634"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18" w:type="dxa"/>
            </w:tcMar>
          </w:tcPr>
          <w:p w:rsidR="009B4233" w:rsidRDefault="006B08B9">
            <w:pPr>
              <w:spacing w:line="249" w:lineRule="auto"/>
              <w:rPr>
                <w:rFonts w:ascii="Arial" w:hAnsi="Arial" w:cs="Arial"/>
                <w:sz w:val="22"/>
                <w:szCs w:val="22"/>
              </w:rPr>
            </w:pPr>
            <w:r>
              <w:rPr>
                <w:rFonts w:ascii="Arial" w:hAnsi="Arial" w:cs="Arial"/>
                <w:sz w:val="22"/>
                <w:szCs w:val="22"/>
              </w:rPr>
              <w:t xml:space="preserve">                              </w:t>
            </w:r>
          </w:p>
          <w:p w:rsidR="009B4233" w:rsidRDefault="006B08B9">
            <w:pPr>
              <w:spacing w:line="249" w:lineRule="auto"/>
              <w:rPr>
                <w:rFonts w:ascii="Arial" w:hAnsi="Arial" w:cs="Arial"/>
                <w:sz w:val="22"/>
                <w:szCs w:val="22"/>
              </w:rPr>
            </w:pPr>
            <w:r>
              <w:rPr>
                <w:rFonts w:ascii="Arial" w:hAnsi="Arial" w:cs="Arial"/>
                <w:sz w:val="22"/>
                <w:szCs w:val="22"/>
              </w:rPr>
              <w:t xml:space="preserve">20,52 € </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18" w:type="dxa"/>
            </w:tcMar>
          </w:tcPr>
          <w:p w:rsidR="009B4233" w:rsidRDefault="006B08B9">
            <w:pPr>
              <w:spacing w:line="249" w:lineRule="auto"/>
              <w:rPr>
                <w:rFonts w:ascii="Arial" w:hAnsi="Arial" w:cs="Arial"/>
                <w:sz w:val="22"/>
                <w:szCs w:val="22"/>
              </w:rPr>
            </w:pPr>
            <w:r>
              <w:rPr>
                <w:rFonts w:ascii="Arial" w:hAnsi="Arial" w:cs="Arial"/>
                <w:sz w:val="22"/>
                <w:szCs w:val="22"/>
              </w:rPr>
              <w:t xml:space="preserve">                          </w:t>
            </w:r>
          </w:p>
          <w:p w:rsidR="009B4233" w:rsidRDefault="006B08B9">
            <w:pPr>
              <w:spacing w:line="249" w:lineRule="auto"/>
              <w:rPr>
                <w:rFonts w:ascii="Arial" w:hAnsi="Arial" w:cs="Arial"/>
                <w:sz w:val="22"/>
                <w:szCs w:val="22"/>
              </w:rPr>
            </w:pPr>
            <w:r>
              <w:rPr>
                <w:rFonts w:ascii="Arial" w:hAnsi="Arial" w:cs="Arial"/>
                <w:sz w:val="22"/>
                <w:szCs w:val="22"/>
              </w:rPr>
              <w:t xml:space="preserve">36,96 € </w:t>
            </w:r>
          </w:p>
        </w:tc>
        <w:tc>
          <w:tcPr>
            <w:tcW w:w="1002"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18" w:type="dxa"/>
            </w:tcMar>
          </w:tcPr>
          <w:p w:rsidR="009B4233" w:rsidRDefault="006B08B9">
            <w:pPr>
              <w:spacing w:line="249" w:lineRule="auto"/>
              <w:rPr>
                <w:rFonts w:ascii="Arial" w:hAnsi="Arial" w:cs="Arial"/>
                <w:sz w:val="22"/>
                <w:szCs w:val="22"/>
              </w:rPr>
            </w:pPr>
            <w:r>
              <w:rPr>
                <w:rFonts w:ascii="Arial" w:hAnsi="Arial" w:cs="Arial"/>
                <w:sz w:val="22"/>
                <w:szCs w:val="22"/>
              </w:rPr>
              <w:t xml:space="preserve">                  </w:t>
            </w:r>
          </w:p>
          <w:p w:rsidR="009B4233" w:rsidRDefault="006B08B9">
            <w:pPr>
              <w:spacing w:line="249" w:lineRule="auto"/>
              <w:rPr>
                <w:rFonts w:ascii="Arial" w:hAnsi="Arial" w:cs="Arial"/>
                <w:sz w:val="22"/>
                <w:szCs w:val="22"/>
              </w:rPr>
            </w:pPr>
            <w:r>
              <w:rPr>
                <w:rFonts w:ascii="Arial" w:hAnsi="Arial" w:cs="Arial"/>
                <w:sz w:val="22"/>
                <w:szCs w:val="22"/>
              </w:rPr>
              <w:t xml:space="preserve">0,33 € </w:t>
            </w:r>
          </w:p>
        </w:tc>
      </w:tr>
      <w:tr w:rsidR="009B4233">
        <w:tblPrEx>
          <w:tblCellMar>
            <w:top w:w="0" w:type="dxa"/>
            <w:bottom w:w="0" w:type="dxa"/>
          </w:tblCellMar>
        </w:tblPrEx>
        <w:trPr>
          <w:trHeight w:val="424"/>
        </w:trPr>
        <w:tc>
          <w:tcPr>
            <w:tcW w:w="986"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18" w:type="dxa"/>
            </w:tcMar>
            <w:vAlign w:val="center"/>
          </w:tcPr>
          <w:p w:rsidR="009B4233" w:rsidRDefault="006B08B9">
            <w:pPr>
              <w:spacing w:line="249" w:lineRule="auto"/>
              <w:ind w:right="36"/>
              <w:jc w:val="center"/>
              <w:rPr>
                <w:rFonts w:ascii="Arial" w:hAnsi="Arial" w:cs="Arial"/>
                <w:sz w:val="22"/>
                <w:szCs w:val="22"/>
              </w:rPr>
            </w:pPr>
            <w:r>
              <w:rPr>
                <w:rFonts w:ascii="Arial" w:hAnsi="Arial" w:cs="Arial"/>
                <w:sz w:val="22"/>
                <w:szCs w:val="22"/>
              </w:rPr>
              <w:t>10</w:t>
            </w:r>
          </w:p>
        </w:tc>
        <w:tc>
          <w:tcPr>
            <w:tcW w:w="3688"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18" w:type="dxa"/>
            </w:tcMar>
            <w:vAlign w:val="center"/>
          </w:tcPr>
          <w:p w:rsidR="009B4233" w:rsidRDefault="006B08B9">
            <w:pPr>
              <w:spacing w:line="249" w:lineRule="auto"/>
              <w:rPr>
                <w:rFonts w:ascii="Arial" w:hAnsi="Arial" w:cs="Arial"/>
                <w:sz w:val="22"/>
                <w:szCs w:val="22"/>
              </w:rPr>
            </w:pPr>
            <w:r>
              <w:rPr>
                <w:rFonts w:ascii="Arial" w:hAnsi="Arial" w:cs="Arial"/>
                <w:sz w:val="22"/>
                <w:szCs w:val="22"/>
              </w:rPr>
              <w:t>Instituciones financieras</w:t>
            </w:r>
          </w:p>
        </w:tc>
        <w:tc>
          <w:tcPr>
            <w:tcW w:w="1634"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18" w:type="dxa"/>
            </w:tcMar>
          </w:tcPr>
          <w:p w:rsidR="009B4233" w:rsidRDefault="006B08B9">
            <w:pPr>
              <w:spacing w:line="249" w:lineRule="auto"/>
              <w:rPr>
                <w:rFonts w:ascii="Arial" w:hAnsi="Arial" w:cs="Arial"/>
                <w:sz w:val="22"/>
                <w:szCs w:val="22"/>
              </w:rPr>
            </w:pPr>
            <w:r>
              <w:rPr>
                <w:rFonts w:ascii="Arial" w:hAnsi="Arial" w:cs="Arial"/>
                <w:sz w:val="22"/>
                <w:szCs w:val="22"/>
              </w:rPr>
              <w:t xml:space="preserve">                              </w:t>
            </w:r>
          </w:p>
          <w:p w:rsidR="009B4233" w:rsidRDefault="006B08B9">
            <w:pPr>
              <w:spacing w:line="249" w:lineRule="auto"/>
              <w:rPr>
                <w:rFonts w:ascii="Arial" w:hAnsi="Arial" w:cs="Arial"/>
                <w:sz w:val="22"/>
                <w:szCs w:val="22"/>
              </w:rPr>
            </w:pPr>
            <w:r>
              <w:rPr>
                <w:rFonts w:ascii="Arial" w:hAnsi="Arial" w:cs="Arial"/>
                <w:sz w:val="22"/>
                <w:szCs w:val="22"/>
              </w:rPr>
              <w:t xml:space="preserve">47,01 € </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18" w:type="dxa"/>
            </w:tcMar>
          </w:tcPr>
          <w:p w:rsidR="009B4233" w:rsidRDefault="006B08B9">
            <w:pPr>
              <w:spacing w:line="249" w:lineRule="auto"/>
              <w:rPr>
                <w:rFonts w:ascii="Arial" w:hAnsi="Arial" w:cs="Arial"/>
                <w:sz w:val="22"/>
                <w:szCs w:val="22"/>
              </w:rPr>
            </w:pPr>
            <w:r>
              <w:rPr>
                <w:rFonts w:ascii="Arial" w:hAnsi="Arial" w:cs="Arial"/>
                <w:sz w:val="22"/>
                <w:szCs w:val="22"/>
              </w:rPr>
              <w:t xml:space="preserve">                          </w:t>
            </w:r>
          </w:p>
          <w:p w:rsidR="009B4233" w:rsidRDefault="006B08B9">
            <w:pPr>
              <w:spacing w:line="249" w:lineRule="auto"/>
              <w:rPr>
                <w:rFonts w:ascii="Arial" w:hAnsi="Arial" w:cs="Arial"/>
                <w:sz w:val="22"/>
                <w:szCs w:val="22"/>
              </w:rPr>
            </w:pPr>
            <w:r>
              <w:rPr>
                <w:rFonts w:ascii="Arial" w:hAnsi="Arial" w:cs="Arial"/>
                <w:sz w:val="22"/>
                <w:szCs w:val="22"/>
              </w:rPr>
              <w:t xml:space="preserve">84,64 € </w:t>
            </w:r>
          </w:p>
        </w:tc>
        <w:tc>
          <w:tcPr>
            <w:tcW w:w="1002"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18" w:type="dxa"/>
            </w:tcMar>
          </w:tcPr>
          <w:p w:rsidR="009B4233" w:rsidRDefault="006B08B9">
            <w:pPr>
              <w:spacing w:line="249" w:lineRule="auto"/>
              <w:rPr>
                <w:rFonts w:ascii="Arial" w:hAnsi="Arial" w:cs="Arial"/>
                <w:sz w:val="22"/>
                <w:szCs w:val="22"/>
              </w:rPr>
            </w:pPr>
            <w:r>
              <w:rPr>
                <w:rFonts w:ascii="Arial" w:hAnsi="Arial" w:cs="Arial"/>
                <w:sz w:val="22"/>
                <w:szCs w:val="22"/>
              </w:rPr>
              <w:t xml:space="preserve">                  </w:t>
            </w:r>
          </w:p>
          <w:p w:rsidR="009B4233" w:rsidRDefault="006B08B9">
            <w:pPr>
              <w:spacing w:line="249" w:lineRule="auto"/>
              <w:rPr>
                <w:rFonts w:ascii="Arial" w:hAnsi="Arial" w:cs="Arial"/>
                <w:sz w:val="22"/>
                <w:szCs w:val="22"/>
              </w:rPr>
            </w:pPr>
            <w:r>
              <w:rPr>
                <w:rFonts w:ascii="Arial" w:hAnsi="Arial" w:cs="Arial"/>
                <w:sz w:val="22"/>
                <w:szCs w:val="22"/>
              </w:rPr>
              <w:t xml:space="preserve">0,77 € </w:t>
            </w:r>
          </w:p>
        </w:tc>
      </w:tr>
      <w:tr w:rsidR="009B4233">
        <w:tblPrEx>
          <w:tblCellMar>
            <w:top w:w="0" w:type="dxa"/>
            <w:bottom w:w="0" w:type="dxa"/>
          </w:tblCellMar>
        </w:tblPrEx>
        <w:trPr>
          <w:trHeight w:val="424"/>
        </w:trPr>
        <w:tc>
          <w:tcPr>
            <w:tcW w:w="986"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18" w:type="dxa"/>
            </w:tcMar>
            <w:vAlign w:val="center"/>
          </w:tcPr>
          <w:p w:rsidR="009B4233" w:rsidRDefault="006B08B9">
            <w:pPr>
              <w:spacing w:line="249" w:lineRule="auto"/>
              <w:ind w:right="38"/>
              <w:jc w:val="center"/>
              <w:rPr>
                <w:rFonts w:ascii="Arial" w:hAnsi="Arial" w:cs="Arial"/>
                <w:sz w:val="22"/>
                <w:szCs w:val="22"/>
              </w:rPr>
            </w:pPr>
            <w:r>
              <w:rPr>
                <w:rFonts w:ascii="Arial" w:hAnsi="Arial" w:cs="Arial"/>
                <w:sz w:val="22"/>
                <w:szCs w:val="22"/>
              </w:rPr>
              <w:t>11</w:t>
            </w:r>
          </w:p>
        </w:tc>
        <w:tc>
          <w:tcPr>
            <w:tcW w:w="3688"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18" w:type="dxa"/>
            </w:tcMar>
            <w:vAlign w:val="center"/>
          </w:tcPr>
          <w:p w:rsidR="009B4233" w:rsidRDefault="006B08B9">
            <w:pPr>
              <w:spacing w:line="249" w:lineRule="auto"/>
              <w:rPr>
                <w:rFonts w:ascii="Arial" w:hAnsi="Arial" w:cs="Arial"/>
                <w:sz w:val="22"/>
                <w:szCs w:val="22"/>
              </w:rPr>
            </w:pPr>
            <w:r>
              <w:rPr>
                <w:rFonts w:ascii="Arial" w:hAnsi="Arial" w:cs="Arial"/>
                <w:sz w:val="22"/>
                <w:szCs w:val="22"/>
              </w:rPr>
              <w:t>Educación e Investigación. 93, 96.7.2</w:t>
            </w:r>
          </w:p>
        </w:tc>
        <w:tc>
          <w:tcPr>
            <w:tcW w:w="1634"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18" w:type="dxa"/>
            </w:tcMar>
          </w:tcPr>
          <w:p w:rsidR="009B4233" w:rsidRDefault="006B08B9">
            <w:pPr>
              <w:spacing w:line="249" w:lineRule="auto"/>
              <w:rPr>
                <w:rFonts w:ascii="Arial" w:hAnsi="Arial" w:cs="Arial"/>
                <w:sz w:val="22"/>
                <w:szCs w:val="22"/>
              </w:rPr>
            </w:pPr>
            <w:r>
              <w:rPr>
                <w:rFonts w:ascii="Arial" w:hAnsi="Arial" w:cs="Arial"/>
                <w:sz w:val="22"/>
                <w:szCs w:val="22"/>
              </w:rPr>
              <w:t xml:space="preserve">                              </w:t>
            </w:r>
          </w:p>
          <w:p w:rsidR="009B4233" w:rsidRDefault="006B08B9">
            <w:pPr>
              <w:spacing w:line="249" w:lineRule="auto"/>
              <w:rPr>
                <w:rFonts w:ascii="Arial" w:hAnsi="Arial" w:cs="Arial"/>
                <w:sz w:val="22"/>
                <w:szCs w:val="22"/>
              </w:rPr>
            </w:pPr>
            <w:r>
              <w:rPr>
                <w:rFonts w:ascii="Arial" w:hAnsi="Arial" w:cs="Arial"/>
                <w:sz w:val="22"/>
                <w:szCs w:val="22"/>
              </w:rPr>
              <w:t xml:space="preserve">28,26 € </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18" w:type="dxa"/>
            </w:tcMar>
          </w:tcPr>
          <w:p w:rsidR="009B4233" w:rsidRDefault="006B08B9">
            <w:pPr>
              <w:spacing w:line="249" w:lineRule="auto"/>
              <w:rPr>
                <w:rFonts w:ascii="Arial" w:hAnsi="Arial" w:cs="Arial"/>
                <w:sz w:val="22"/>
                <w:szCs w:val="22"/>
              </w:rPr>
            </w:pPr>
            <w:r>
              <w:rPr>
                <w:rFonts w:ascii="Arial" w:hAnsi="Arial" w:cs="Arial"/>
                <w:sz w:val="22"/>
                <w:szCs w:val="22"/>
              </w:rPr>
              <w:t xml:space="preserve">                          </w:t>
            </w:r>
          </w:p>
          <w:p w:rsidR="009B4233" w:rsidRDefault="006B08B9">
            <w:pPr>
              <w:spacing w:line="249" w:lineRule="auto"/>
              <w:rPr>
                <w:rFonts w:ascii="Arial" w:hAnsi="Arial" w:cs="Arial"/>
                <w:sz w:val="22"/>
                <w:szCs w:val="22"/>
              </w:rPr>
            </w:pPr>
            <w:r>
              <w:rPr>
                <w:rFonts w:ascii="Arial" w:hAnsi="Arial" w:cs="Arial"/>
                <w:sz w:val="22"/>
                <w:szCs w:val="22"/>
              </w:rPr>
              <w:t xml:space="preserve">28,86 € </w:t>
            </w:r>
          </w:p>
        </w:tc>
        <w:tc>
          <w:tcPr>
            <w:tcW w:w="1002"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18" w:type="dxa"/>
            </w:tcMar>
          </w:tcPr>
          <w:p w:rsidR="009B4233" w:rsidRDefault="006B08B9">
            <w:pPr>
              <w:spacing w:line="249" w:lineRule="auto"/>
              <w:rPr>
                <w:rFonts w:ascii="Arial" w:hAnsi="Arial" w:cs="Arial"/>
                <w:sz w:val="22"/>
                <w:szCs w:val="22"/>
              </w:rPr>
            </w:pPr>
            <w:r>
              <w:rPr>
                <w:rFonts w:ascii="Arial" w:hAnsi="Arial" w:cs="Arial"/>
                <w:sz w:val="22"/>
                <w:szCs w:val="22"/>
              </w:rPr>
              <w:t xml:space="preserve">                  </w:t>
            </w:r>
          </w:p>
          <w:p w:rsidR="009B4233" w:rsidRDefault="006B08B9">
            <w:pPr>
              <w:spacing w:line="249" w:lineRule="auto"/>
              <w:rPr>
                <w:rFonts w:ascii="Arial" w:hAnsi="Arial" w:cs="Arial"/>
                <w:sz w:val="22"/>
                <w:szCs w:val="22"/>
              </w:rPr>
            </w:pPr>
            <w:r>
              <w:rPr>
                <w:rFonts w:ascii="Arial" w:hAnsi="Arial" w:cs="Arial"/>
                <w:sz w:val="22"/>
                <w:szCs w:val="22"/>
              </w:rPr>
              <w:t xml:space="preserve">0,43 € </w:t>
            </w:r>
          </w:p>
        </w:tc>
      </w:tr>
      <w:tr w:rsidR="009B4233">
        <w:tblPrEx>
          <w:tblCellMar>
            <w:top w:w="0" w:type="dxa"/>
            <w:bottom w:w="0" w:type="dxa"/>
          </w:tblCellMar>
        </w:tblPrEx>
        <w:trPr>
          <w:trHeight w:val="424"/>
        </w:trPr>
        <w:tc>
          <w:tcPr>
            <w:tcW w:w="986"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18" w:type="dxa"/>
            </w:tcMar>
            <w:vAlign w:val="center"/>
          </w:tcPr>
          <w:p w:rsidR="009B4233" w:rsidRDefault="006B08B9">
            <w:pPr>
              <w:spacing w:line="249" w:lineRule="auto"/>
              <w:ind w:right="36"/>
              <w:jc w:val="center"/>
              <w:rPr>
                <w:rFonts w:ascii="Arial" w:hAnsi="Arial" w:cs="Arial"/>
                <w:sz w:val="22"/>
                <w:szCs w:val="22"/>
              </w:rPr>
            </w:pPr>
            <w:r>
              <w:rPr>
                <w:rFonts w:ascii="Arial" w:hAnsi="Arial" w:cs="Arial"/>
                <w:sz w:val="22"/>
                <w:szCs w:val="22"/>
              </w:rPr>
              <w:t>12</w:t>
            </w:r>
          </w:p>
        </w:tc>
        <w:tc>
          <w:tcPr>
            <w:tcW w:w="3688"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18" w:type="dxa"/>
            </w:tcMar>
            <w:vAlign w:val="center"/>
          </w:tcPr>
          <w:p w:rsidR="009B4233" w:rsidRDefault="006B08B9">
            <w:pPr>
              <w:spacing w:line="249" w:lineRule="auto"/>
              <w:rPr>
                <w:rFonts w:ascii="Arial" w:hAnsi="Arial" w:cs="Arial"/>
                <w:sz w:val="22"/>
                <w:szCs w:val="22"/>
              </w:rPr>
            </w:pPr>
            <w:r>
              <w:rPr>
                <w:rFonts w:ascii="Arial" w:hAnsi="Arial" w:cs="Arial"/>
                <w:sz w:val="22"/>
                <w:szCs w:val="22"/>
              </w:rPr>
              <w:t>Serv. de Saneamiento y Limpieza.</w:t>
            </w:r>
          </w:p>
        </w:tc>
        <w:tc>
          <w:tcPr>
            <w:tcW w:w="1634"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18" w:type="dxa"/>
            </w:tcMar>
          </w:tcPr>
          <w:p w:rsidR="009B4233" w:rsidRDefault="006B08B9">
            <w:pPr>
              <w:spacing w:line="249" w:lineRule="auto"/>
              <w:rPr>
                <w:rFonts w:ascii="Arial" w:hAnsi="Arial" w:cs="Arial"/>
                <w:sz w:val="22"/>
                <w:szCs w:val="22"/>
              </w:rPr>
            </w:pPr>
            <w:r>
              <w:rPr>
                <w:rFonts w:ascii="Arial" w:hAnsi="Arial" w:cs="Arial"/>
                <w:sz w:val="22"/>
                <w:szCs w:val="22"/>
              </w:rPr>
              <w:t xml:space="preserve">                              </w:t>
            </w:r>
          </w:p>
          <w:p w:rsidR="009B4233" w:rsidRDefault="006B08B9">
            <w:pPr>
              <w:spacing w:line="249" w:lineRule="auto"/>
              <w:rPr>
                <w:rFonts w:ascii="Arial" w:hAnsi="Arial" w:cs="Arial"/>
                <w:sz w:val="22"/>
                <w:szCs w:val="22"/>
              </w:rPr>
            </w:pPr>
            <w:r>
              <w:rPr>
                <w:rFonts w:ascii="Arial" w:hAnsi="Arial" w:cs="Arial"/>
                <w:sz w:val="22"/>
                <w:szCs w:val="22"/>
              </w:rPr>
              <w:t xml:space="preserve">54,18 € </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18" w:type="dxa"/>
            </w:tcMar>
          </w:tcPr>
          <w:p w:rsidR="009B4233" w:rsidRDefault="006B08B9">
            <w:pPr>
              <w:spacing w:line="249" w:lineRule="auto"/>
              <w:rPr>
                <w:rFonts w:ascii="Arial" w:hAnsi="Arial" w:cs="Arial"/>
                <w:sz w:val="22"/>
                <w:szCs w:val="22"/>
              </w:rPr>
            </w:pPr>
            <w:r>
              <w:rPr>
                <w:rFonts w:ascii="Arial" w:hAnsi="Arial" w:cs="Arial"/>
                <w:sz w:val="22"/>
                <w:szCs w:val="22"/>
              </w:rPr>
              <w:t xml:space="preserve">                          </w:t>
            </w:r>
          </w:p>
          <w:p w:rsidR="009B4233" w:rsidRDefault="006B08B9">
            <w:pPr>
              <w:spacing w:line="249" w:lineRule="auto"/>
              <w:rPr>
                <w:rFonts w:ascii="Arial" w:hAnsi="Arial" w:cs="Arial"/>
                <w:sz w:val="22"/>
                <w:szCs w:val="22"/>
              </w:rPr>
            </w:pPr>
            <w:r>
              <w:rPr>
                <w:rFonts w:ascii="Arial" w:hAnsi="Arial" w:cs="Arial"/>
                <w:sz w:val="22"/>
                <w:szCs w:val="22"/>
              </w:rPr>
              <w:t xml:space="preserve">60,23 € </w:t>
            </w:r>
          </w:p>
        </w:tc>
        <w:tc>
          <w:tcPr>
            <w:tcW w:w="1002"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18" w:type="dxa"/>
            </w:tcMar>
          </w:tcPr>
          <w:p w:rsidR="009B4233" w:rsidRDefault="006B08B9">
            <w:pPr>
              <w:spacing w:line="249" w:lineRule="auto"/>
              <w:rPr>
                <w:rFonts w:ascii="Arial" w:hAnsi="Arial" w:cs="Arial"/>
                <w:sz w:val="22"/>
                <w:szCs w:val="22"/>
              </w:rPr>
            </w:pPr>
            <w:r>
              <w:rPr>
                <w:rFonts w:ascii="Arial" w:hAnsi="Arial" w:cs="Arial"/>
                <w:sz w:val="22"/>
                <w:szCs w:val="22"/>
              </w:rPr>
              <w:t xml:space="preserve">                  </w:t>
            </w:r>
          </w:p>
          <w:p w:rsidR="009B4233" w:rsidRDefault="006B08B9">
            <w:pPr>
              <w:spacing w:line="249" w:lineRule="auto"/>
              <w:rPr>
                <w:rFonts w:ascii="Arial" w:hAnsi="Arial" w:cs="Arial"/>
                <w:sz w:val="22"/>
                <w:szCs w:val="22"/>
              </w:rPr>
            </w:pPr>
            <w:r>
              <w:rPr>
                <w:rFonts w:ascii="Arial" w:hAnsi="Arial" w:cs="Arial"/>
                <w:sz w:val="22"/>
                <w:szCs w:val="22"/>
              </w:rPr>
              <w:t xml:space="preserve">0,83 € </w:t>
            </w:r>
          </w:p>
        </w:tc>
      </w:tr>
      <w:tr w:rsidR="009B4233">
        <w:tblPrEx>
          <w:tblCellMar>
            <w:top w:w="0" w:type="dxa"/>
            <w:bottom w:w="0" w:type="dxa"/>
          </w:tblCellMar>
        </w:tblPrEx>
        <w:trPr>
          <w:trHeight w:val="424"/>
        </w:trPr>
        <w:tc>
          <w:tcPr>
            <w:tcW w:w="986"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18" w:type="dxa"/>
            </w:tcMar>
            <w:vAlign w:val="center"/>
          </w:tcPr>
          <w:p w:rsidR="009B4233" w:rsidRDefault="006B08B9">
            <w:pPr>
              <w:spacing w:line="249" w:lineRule="auto"/>
              <w:ind w:right="36"/>
              <w:jc w:val="center"/>
              <w:rPr>
                <w:rFonts w:ascii="Arial" w:hAnsi="Arial" w:cs="Arial"/>
                <w:sz w:val="22"/>
                <w:szCs w:val="22"/>
              </w:rPr>
            </w:pPr>
            <w:r>
              <w:rPr>
                <w:rFonts w:ascii="Arial" w:hAnsi="Arial" w:cs="Arial"/>
                <w:sz w:val="22"/>
                <w:szCs w:val="22"/>
              </w:rPr>
              <w:t>13</w:t>
            </w:r>
          </w:p>
        </w:tc>
        <w:tc>
          <w:tcPr>
            <w:tcW w:w="3688"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18" w:type="dxa"/>
            </w:tcMar>
            <w:vAlign w:val="center"/>
          </w:tcPr>
          <w:p w:rsidR="009B4233" w:rsidRDefault="006B08B9">
            <w:pPr>
              <w:spacing w:line="249" w:lineRule="auto"/>
              <w:rPr>
                <w:rFonts w:ascii="Arial" w:hAnsi="Arial" w:cs="Arial"/>
                <w:sz w:val="22"/>
                <w:szCs w:val="22"/>
              </w:rPr>
            </w:pPr>
            <w:r>
              <w:rPr>
                <w:rFonts w:ascii="Arial" w:hAnsi="Arial" w:cs="Arial"/>
                <w:sz w:val="22"/>
                <w:szCs w:val="22"/>
              </w:rPr>
              <w:t>Serv. Personales, peluquerías.</w:t>
            </w:r>
          </w:p>
        </w:tc>
        <w:tc>
          <w:tcPr>
            <w:tcW w:w="1634"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18" w:type="dxa"/>
            </w:tcMar>
          </w:tcPr>
          <w:p w:rsidR="009B4233" w:rsidRDefault="006B08B9">
            <w:pPr>
              <w:spacing w:line="249" w:lineRule="auto"/>
              <w:rPr>
                <w:rFonts w:ascii="Arial" w:hAnsi="Arial" w:cs="Arial"/>
                <w:sz w:val="22"/>
                <w:szCs w:val="22"/>
              </w:rPr>
            </w:pPr>
            <w:r>
              <w:rPr>
                <w:rFonts w:ascii="Arial" w:hAnsi="Arial" w:cs="Arial"/>
                <w:sz w:val="22"/>
                <w:szCs w:val="22"/>
              </w:rPr>
              <w:t xml:space="preserve">                              </w:t>
            </w:r>
          </w:p>
          <w:p w:rsidR="009B4233" w:rsidRDefault="006B08B9">
            <w:pPr>
              <w:spacing w:line="249" w:lineRule="auto"/>
              <w:rPr>
                <w:rFonts w:ascii="Arial" w:hAnsi="Arial" w:cs="Arial"/>
                <w:sz w:val="22"/>
                <w:szCs w:val="22"/>
              </w:rPr>
            </w:pPr>
            <w:r>
              <w:rPr>
                <w:rFonts w:ascii="Arial" w:hAnsi="Arial" w:cs="Arial"/>
                <w:sz w:val="22"/>
                <w:szCs w:val="22"/>
              </w:rPr>
              <w:t xml:space="preserve">49,64 € </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18" w:type="dxa"/>
            </w:tcMar>
          </w:tcPr>
          <w:p w:rsidR="009B4233" w:rsidRDefault="006B08B9">
            <w:pPr>
              <w:spacing w:line="249" w:lineRule="auto"/>
              <w:rPr>
                <w:rFonts w:ascii="Arial" w:hAnsi="Arial" w:cs="Arial"/>
                <w:sz w:val="22"/>
                <w:szCs w:val="22"/>
              </w:rPr>
            </w:pPr>
            <w:r>
              <w:rPr>
                <w:rFonts w:ascii="Arial" w:hAnsi="Arial" w:cs="Arial"/>
                <w:sz w:val="22"/>
                <w:szCs w:val="22"/>
              </w:rPr>
              <w:t xml:space="preserve">                          </w:t>
            </w:r>
          </w:p>
          <w:p w:rsidR="009B4233" w:rsidRDefault="006B08B9">
            <w:pPr>
              <w:spacing w:line="249" w:lineRule="auto"/>
              <w:rPr>
                <w:rFonts w:ascii="Arial" w:hAnsi="Arial" w:cs="Arial"/>
                <w:sz w:val="22"/>
                <w:szCs w:val="22"/>
              </w:rPr>
            </w:pPr>
            <w:r>
              <w:rPr>
                <w:rFonts w:ascii="Arial" w:hAnsi="Arial" w:cs="Arial"/>
                <w:sz w:val="22"/>
                <w:szCs w:val="22"/>
              </w:rPr>
              <w:t xml:space="preserve">52,56 € </w:t>
            </w:r>
          </w:p>
        </w:tc>
        <w:tc>
          <w:tcPr>
            <w:tcW w:w="1002"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18" w:type="dxa"/>
            </w:tcMar>
          </w:tcPr>
          <w:p w:rsidR="009B4233" w:rsidRDefault="006B08B9">
            <w:pPr>
              <w:spacing w:line="249" w:lineRule="auto"/>
              <w:rPr>
                <w:rFonts w:ascii="Arial" w:hAnsi="Arial" w:cs="Arial"/>
                <w:sz w:val="22"/>
                <w:szCs w:val="22"/>
              </w:rPr>
            </w:pPr>
            <w:r>
              <w:rPr>
                <w:rFonts w:ascii="Arial" w:hAnsi="Arial" w:cs="Arial"/>
                <w:sz w:val="22"/>
                <w:szCs w:val="22"/>
              </w:rPr>
              <w:t xml:space="preserve">                  </w:t>
            </w:r>
          </w:p>
          <w:p w:rsidR="009B4233" w:rsidRDefault="006B08B9">
            <w:pPr>
              <w:spacing w:line="249" w:lineRule="auto"/>
              <w:rPr>
                <w:rFonts w:ascii="Arial" w:hAnsi="Arial" w:cs="Arial"/>
                <w:sz w:val="22"/>
                <w:szCs w:val="22"/>
              </w:rPr>
            </w:pPr>
            <w:r>
              <w:rPr>
                <w:rFonts w:ascii="Arial" w:hAnsi="Arial" w:cs="Arial"/>
                <w:sz w:val="22"/>
                <w:szCs w:val="22"/>
              </w:rPr>
              <w:t xml:space="preserve">0,46 € </w:t>
            </w:r>
          </w:p>
        </w:tc>
      </w:tr>
      <w:tr w:rsidR="009B4233">
        <w:tblPrEx>
          <w:tblCellMar>
            <w:top w:w="0" w:type="dxa"/>
            <w:bottom w:w="0" w:type="dxa"/>
          </w:tblCellMar>
        </w:tblPrEx>
        <w:trPr>
          <w:trHeight w:val="470"/>
        </w:trPr>
        <w:tc>
          <w:tcPr>
            <w:tcW w:w="986"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18" w:type="dxa"/>
            </w:tcMar>
            <w:vAlign w:val="center"/>
          </w:tcPr>
          <w:p w:rsidR="009B4233" w:rsidRDefault="006B08B9">
            <w:pPr>
              <w:spacing w:line="249" w:lineRule="auto"/>
              <w:ind w:right="36"/>
              <w:jc w:val="center"/>
              <w:rPr>
                <w:rFonts w:ascii="Arial" w:hAnsi="Arial" w:cs="Arial"/>
                <w:sz w:val="22"/>
                <w:szCs w:val="22"/>
              </w:rPr>
            </w:pPr>
            <w:r>
              <w:rPr>
                <w:rFonts w:ascii="Arial" w:hAnsi="Arial" w:cs="Arial"/>
                <w:sz w:val="22"/>
                <w:szCs w:val="22"/>
              </w:rPr>
              <w:t>14</w:t>
            </w:r>
          </w:p>
        </w:tc>
        <w:tc>
          <w:tcPr>
            <w:tcW w:w="3688"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18" w:type="dxa"/>
            </w:tcMar>
            <w:vAlign w:val="center"/>
          </w:tcPr>
          <w:p w:rsidR="009B4233" w:rsidRDefault="006B08B9">
            <w:pPr>
              <w:spacing w:line="249" w:lineRule="auto"/>
              <w:rPr>
                <w:rFonts w:ascii="Arial" w:hAnsi="Arial" w:cs="Arial"/>
                <w:sz w:val="22"/>
                <w:szCs w:val="22"/>
              </w:rPr>
            </w:pPr>
            <w:r>
              <w:rPr>
                <w:rFonts w:ascii="Arial" w:hAnsi="Arial" w:cs="Arial"/>
                <w:sz w:val="22"/>
                <w:szCs w:val="22"/>
              </w:rPr>
              <w:t>Sanidad y servicios sanitarios</w:t>
            </w:r>
          </w:p>
        </w:tc>
        <w:tc>
          <w:tcPr>
            <w:tcW w:w="4054" w:type="dxa"/>
            <w:gridSpan w:val="3"/>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18" w:type="dxa"/>
            </w:tcMar>
          </w:tcPr>
          <w:p w:rsidR="009B4233" w:rsidRDefault="006B08B9">
            <w:pPr>
              <w:spacing w:line="249" w:lineRule="auto"/>
              <w:ind w:left="12"/>
              <w:jc w:val="center"/>
              <w:rPr>
                <w:rFonts w:ascii="Arial" w:hAnsi="Arial" w:cs="Arial"/>
                <w:sz w:val="22"/>
                <w:szCs w:val="22"/>
              </w:rPr>
            </w:pPr>
            <w:r>
              <w:rPr>
                <w:rFonts w:ascii="Arial" w:hAnsi="Arial" w:cs="Arial"/>
                <w:sz w:val="22"/>
                <w:szCs w:val="22"/>
              </w:rPr>
              <w:t xml:space="preserve">  </w:t>
            </w:r>
          </w:p>
          <w:p w:rsidR="009B4233" w:rsidRDefault="006B08B9">
            <w:pPr>
              <w:spacing w:line="249" w:lineRule="auto"/>
              <w:ind w:right="36"/>
              <w:jc w:val="center"/>
              <w:rPr>
                <w:rFonts w:ascii="Arial" w:hAnsi="Arial" w:cs="Arial"/>
                <w:sz w:val="22"/>
                <w:szCs w:val="22"/>
              </w:rPr>
            </w:pPr>
            <w:r>
              <w:rPr>
                <w:rFonts w:ascii="Arial" w:hAnsi="Arial" w:cs="Arial"/>
                <w:sz w:val="22"/>
                <w:szCs w:val="22"/>
              </w:rPr>
              <w:t>11,63 € por cama</w:t>
            </w:r>
          </w:p>
        </w:tc>
      </w:tr>
      <w:tr w:rsidR="009B4233">
        <w:tblPrEx>
          <w:tblCellMar>
            <w:top w:w="0" w:type="dxa"/>
            <w:bottom w:w="0" w:type="dxa"/>
          </w:tblCellMar>
        </w:tblPrEx>
        <w:trPr>
          <w:trHeight w:val="424"/>
        </w:trPr>
        <w:tc>
          <w:tcPr>
            <w:tcW w:w="986"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18" w:type="dxa"/>
            </w:tcMar>
            <w:vAlign w:val="center"/>
          </w:tcPr>
          <w:p w:rsidR="009B4233" w:rsidRDefault="006B08B9">
            <w:pPr>
              <w:spacing w:line="249" w:lineRule="auto"/>
              <w:ind w:right="36"/>
              <w:jc w:val="center"/>
              <w:rPr>
                <w:rFonts w:ascii="Arial" w:hAnsi="Arial" w:cs="Arial"/>
                <w:sz w:val="22"/>
                <w:szCs w:val="22"/>
              </w:rPr>
            </w:pPr>
            <w:r>
              <w:rPr>
                <w:rFonts w:ascii="Arial" w:hAnsi="Arial" w:cs="Arial"/>
                <w:sz w:val="22"/>
                <w:szCs w:val="22"/>
              </w:rPr>
              <w:t>15</w:t>
            </w:r>
          </w:p>
        </w:tc>
        <w:tc>
          <w:tcPr>
            <w:tcW w:w="3688"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18" w:type="dxa"/>
            </w:tcMar>
            <w:vAlign w:val="center"/>
          </w:tcPr>
          <w:p w:rsidR="009B4233" w:rsidRDefault="006B08B9">
            <w:pPr>
              <w:spacing w:line="249" w:lineRule="auto"/>
              <w:rPr>
                <w:rFonts w:ascii="Arial" w:hAnsi="Arial" w:cs="Arial"/>
                <w:sz w:val="22"/>
                <w:szCs w:val="22"/>
              </w:rPr>
            </w:pPr>
            <w:r>
              <w:rPr>
                <w:rFonts w:ascii="Arial" w:hAnsi="Arial" w:cs="Arial"/>
                <w:sz w:val="22"/>
                <w:szCs w:val="22"/>
              </w:rPr>
              <w:t>Espectáculos, cines, teatros, etc.</w:t>
            </w:r>
          </w:p>
        </w:tc>
        <w:tc>
          <w:tcPr>
            <w:tcW w:w="1634"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18" w:type="dxa"/>
            </w:tcMar>
          </w:tcPr>
          <w:p w:rsidR="009B4233" w:rsidRDefault="006B08B9">
            <w:pPr>
              <w:spacing w:line="249" w:lineRule="auto"/>
              <w:rPr>
                <w:rFonts w:ascii="Arial" w:hAnsi="Arial" w:cs="Arial"/>
                <w:sz w:val="22"/>
                <w:szCs w:val="22"/>
              </w:rPr>
            </w:pPr>
            <w:r>
              <w:rPr>
                <w:rFonts w:ascii="Arial" w:hAnsi="Arial" w:cs="Arial"/>
                <w:sz w:val="22"/>
                <w:szCs w:val="22"/>
              </w:rPr>
              <w:t xml:space="preserve">                              </w:t>
            </w:r>
          </w:p>
          <w:p w:rsidR="009B4233" w:rsidRDefault="006B08B9">
            <w:pPr>
              <w:spacing w:line="249" w:lineRule="auto"/>
              <w:rPr>
                <w:rFonts w:ascii="Arial" w:hAnsi="Arial" w:cs="Arial"/>
                <w:sz w:val="22"/>
                <w:szCs w:val="22"/>
              </w:rPr>
            </w:pPr>
            <w:r>
              <w:rPr>
                <w:rFonts w:ascii="Arial" w:hAnsi="Arial" w:cs="Arial"/>
                <w:sz w:val="22"/>
                <w:szCs w:val="22"/>
              </w:rPr>
              <w:t xml:space="preserve">46,47 € </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18" w:type="dxa"/>
            </w:tcMar>
          </w:tcPr>
          <w:p w:rsidR="009B4233" w:rsidRDefault="006B08B9">
            <w:pPr>
              <w:spacing w:line="249" w:lineRule="auto"/>
              <w:rPr>
                <w:rFonts w:ascii="Arial" w:hAnsi="Arial" w:cs="Arial"/>
                <w:sz w:val="22"/>
                <w:szCs w:val="22"/>
              </w:rPr>
            </w:pPr>
            <w:r>
              <w:rPr>
                <w:rFonts w:ascii="Arial" w:hAnsi="Arial" w:cs="Arial"/>
                <w:sz w:val="22"/>
                <w:szCs w:val="22"/>
              </w:rPr>
              <w:t xml:space="preserve">                          </w:t>
            </w:r>
          </w:p>
          <w:p w:rsidR="009B4233" w:rsidRDefault="006B08B9">
            <w:pPr>
              <w:spacing w:line="249" w:lineRule="auto"/>
              <w:rPr>
                <w:rFonts w:ascii="Arial" w:hAnsi="Arial" w:cs="Arial"/>
                <w:sz w:val="22"/>
                <w:szCs w:val="22"/>
              </w:rPr>
            </w:pPr>
            <w:r>
              <w:rPr>
                <w:rFonts w:ascii="Arial" w:hAnsi="Arial" w:cs="Arial"/>
                <w:sz w:val="22"/>
                <w:szCs w:val="22"/>
              </w:rPr>
              <w:t xml:space="preserve">51,51 € </w:t>
            </w:r>
          </w:p>
        </w:tc>
        <w:tc>
          <w:tcPr>
            <w:tcW w:w="1002"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18" w:type="dxa"/>
            </w:tcMar>
          </w:tcPr>
          <w:p w:rsidR="009B4233" w:rsidRDefault="006B08B9">
            <w:pPr>
              <w:spacing w:line="249" w:lineRule="auto"/>
              <w:rPr>
                <w:rFonts w:ascii="Arial" w:hAnsi="Arial" w:cs="Arial"/>
                <w:sz w:val="22"/>
                <w:szCs w:val="22"/>
              </w:rPr>
            </w:pPr>
            <w:r>
              <w:rPr>
                <w:rFonts w:ascii="Arial" w:hAnsi="Arial" w:cs="Arial"/>
                <w:sz w:val="22"/>
                <w:szCs w:val="22"/>
              </w:rPr>
              <w:t xml:space="preserve">                  </w:t>
            </w:r>
          </w:p>
          <w:p w:rsidR="009B4233" w:rsidRDefault="006B08B9">
            <w:pPr>
              <w:spacing w:line="249" w:lineRule="auto"/>
              <w:rPr>
                <w:rFonts w:ascii="Arial" w:hAnsi="Arial" w:cs="Arial"/>
                <w:sz w:val="22"/>
                <w:szCs w:val="22"/>
              </w:rPr>
            </w:pPr>
            <w:r>
              <w:rPr>
                <w:rFonts w:ascii="Arial" w:hAnsi="Arial" w:cs="Arial"/>
                <w:sz w:val="22"/>
                <w:szCs w:val="22"/>
              </w:rPr>
              <w:t xml:space="preserve">0,64 € </w:t>
            </w:r>
          </w:p>
        </w:tc>
      </w:tr>
      <w:tr w:rsidR="009B4233">
        <w:tblPrEx>
          <w:tblCellMar>
            <w:top w:w="0" w:type="dxa"/>
            <w:bottom w:w="0" w:type="dxa"/>
          </w:tblCellMar>
        </w:tblPrEx>
        <w:trPr>
          <w:trHeight w:val="470"/>
        </w:trPr>
        <w:tc>
          <w:tcPr>
            <w:tcW w:w="986"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18" w:type="dxa"/>
            </w:tcMar>
            <w:vAlign w:val="center"/>
          </w:tcPr>
          <w:p w:rsidR="009B4233" w:rsidRDefault="006B08B9">
            <w:pPr>
              <w:spacing w:line="249" w:lineRule="auto"/>
              <w:ind w:right="36"/>
              <w:jc w:val="center"/>
              <w:rPr>
                <w:rFonts w:ascii="Arial" w:hAnsi="Arial" w:cs="Arial"/>
                <w:sz w:val="22"/>
                <w:szCs w:val="22"/>
              </w:rPr>
            </w:pPr>
            <w:r>
              <w:rPr>
                <w:rFonts w:ascii="Arial" w:hAnsi="Arial" w:cs="Arial"/>
                <w:sz w:val="22"/>
                <w:szCs w:val="22"/>
              </w:rPr>
              <w:t>16</w:t>
            </w:r>
          </w:p>
        </w:tc>
        <w:tc>
          <w:tcPr>
            <w:tcW w:w="3688"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18" w:type="dxa"/>
            </w:tcMar>
          </w:tcPr>
          <w:p w:rsidR="009B4233" w:rsidRDefault="006B08B9">
            <w:pPr>
              <w:spacing w:line="249" w:lineRule="auto"/>
              <w:ind w:right="4"/>
              <w:rPr>
                <w:rFonts w:ascii="Arial" w:hAnsi="Arial" w:cs="Arial"/>
                <w:sz w:val="22"/>
                <w:szCs w:val="22"/>
              </w:rPr>
            </w:pPr>
            <w:r>
              <w:rPr>
                <w:rFonts w:ascii="Arial" w:hAnsi="Arial" w:cs="Arial"/>
                <w:sz w:val="22"/>
                <w:szCs w:val="22"/>
              </w:rPr>
              <w:t>Lugares de culto de las distintas confesiones religiosas</w:t>
            </w:r>
          </w:p>
        </w:tc>
        <w:tc>
          <w:tcPr>
            <w:tcW w:w="4054" w:type="dxa"/>
            <w:gridSpan w:val="3"/>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18" w:type="dxa"/>
            </w:tcMar>
          </w:tcPr>
          <w:p w:rsidR="009B4233" w:rsidRDefault="006B08B9">
            <w:pPr>
              <w:spacing w:line="249" w:lineRule="auto"/>
              <w:ind w:left="12"/>
              <w:jc w:val="center"/>
              <w:rPr>
                <w:rFonts w:ascii="Arial" w:hAnsi="Arial" w:cs="Arial"/>
                <w:sz w:val="22"/>
                <w:szCs w:val="22"/>
              </w:rPr>
            </w:pPr>
            <w:r>
              <w:rPr>
                <w:rFonts w:ascii="Arial" w:hAnsi="Arial" w:cs="Arial"/>
                <w:sz w:val="22"/>
                <w:szCs w:val="22"/>
              </w:rPr>
              <w:t xml:space="preserve">  </w:t>
            </w:r>
          </w:p>
          <w:p w:rsidR="009B4233" w:rsidRDefault="006B08B9">
            <w:pPr>
              <w:spacing w:line="249" w:lineRule="auto"/>
              <w:ind w:right="40"/>
              <w:jc w:val="center"/>
              <w:rPr>
                <w:rFonts w:ascii="Arial" w:hAnsi="Arial" w:cs="Arial"/>
                <w:sz w:val="22"/>
                <w:szCs w:val="22"/>
              </w:rPr>
            </w:pPr>
            <w:r>
              <w:rPr>
                <w:rFonts w:ascii="Arial" w:hAnsi="Arial" w:cs="Arial"/>
                <w:sz w:val="22"/>
                <w:szCs w:val="22"/>
              </w:rPr>
              <w:t>38,67 € por unidad de inmueble</w:t>
            </w:r>
          </w:p>
        </w:tc>
      </w:tr>
      <w:tr w:rsidR="009B4233">
        <w:tblPrEx>
          <w:tblCellMar>
            <w:top w:w="0" w:type="dxa"/>
            <w:bottom w:w="0" w:type="dxa"/>
          </w:tblCellMar>
        </w:tblPrEx>
        <w:trPr>
          <w:trHeight w:val="424"/>
        </w:trPr>
        <w:tc>
          <w:tcPr>
            <w:tcW w:w="986"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18" w:type="dxa"/>
            </w:tcMar>
            <w:vAlign w:val="center"/>
          </w:tcPr>
          <w:p w:rsidR="009B4233" w:rsidRDefault="006B08B9">
            <w:pPr>
              <w:spacing w:line="249" w:lineRule="auto"/>
              <w:ind w:right="36"/>
              <w:jc w:val="center"/>
              <w:rPr>
                <w:rFonts w:ascii="Arial" w:hAnsi="Arial" w:cs="Arial"/>
                <w:sz w:val="22"/>
                <w:szCs w:val="22"/>
              </w:rPr>
            </w:pPr>
            <w:r>
              <w:rPr>
                <w:rFonts w:ascii="Arial" w:hAnsi="Arial" w:cs="Arial"/>
                <w:sz w:val="22"/>
                <w:szCs w:val="22"/>
              </w:rPr>
              <w:t>17</w:t>
            </w:r>
          </w:p>
        </w:tc>
        <w:tc>
          <w:tcPr>
            <w:tcW w:w="3688"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18" w:type="dxa"/>
            </w:tcMar>
            <w:vAlign w:val="center"/>
          </w:tcPr>
          <w:p w:rsidR="009B4233" w:rsidRDefault="006B08B9">
            <w:pPr>
              <w:spacing w:line="249" w:lineRule="auto"/>
              <w:rPr>
                <w:rFonts w:ascii="Arial" w:hAnsi="Arial" w:cs="Arial"/>
                <w:sz w:val="22"/>
                <w:szCs w:val="22"/>
              </w:rPr>
            </w:pPr>
            <w:r>
              <w:rPr>
                <w:rFonts w:ascii="Arial" w:hAnsi="Arial" w:cs="Arial"/>
                <w:sz w:val="22"/>
                <w:szCs w:val="22"/>
              </w:rPr>
              <w:t>Actividades de las administraciones</w:t>
            </w:r>
          </w:p>
        </w:tc>
        <w:tc>
          <w:tcPr>
            <w:tcW w:w="1634"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18" w:type="dxa"/>
            </w:tcMar>
          </w:tcPr>
          <w:p w:rsidR="009B4233" w:rsidRDefault="006B08B9">
            <w:pPr>
              <w:spacing w:line="249" w:lineRule="auto"/>
              <w:rPr>
                <w:rFonts w:ascii="Arial" w:hAnsi="Arial" w:cs="Arial"/>
                <w:sz w:val="22"/>
                <w:szCs w:val="22"/>
              </w:rPr>
            </w:pPr>
            <w:r>
              <w:rPr>
                <w:rFonts w:ascii="Arial" w:hAnsi="Arial" w:cs="Arial"/>
                <w:sz w:val="22"/>
                <w:szCs w:val="22"/>
              </w:rPr>
              <w:t xml:space="preserve">                              </w:t>
            </w:r>
          </w:p>
          <w:p w:rsidR="009B4233" w:rsidRDefault="006B08B9">
            <w:pPr>
              <w:spacing w:line="249" w:lineRule="auto"/>
              <w:rPr>
                <w:rFonts w:ascii="Arial" w:hAnsi="Arial" w:cs="Arial"/>
                <w:sz w:val="22"/>
                <w:szCs w:val="22"/>
              </w:rPr>
            </w:pPr>
            <w:r>
              <w:rPr>
                <w:rFonts w:ascii="Arial" w:hAnsi="Arial" w:cs="Arial"/>
                <w:sz w:val="22"/>
                <w:szCs w:val="22"/>
              </w:rPr>
              <w:t xml:space="preserve">27,98 € </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18" w:type="dxa"/>
            </w:tcMar>
          </w:tcPr>
          <w:p w:rsidR="009B4233" w:rsidRDefault="006B08B9">
            <w:pPr>
              <w:spacing w:line="249" w:lineRule="auto"/>
              <w:rPr>
                <w:rFonts w:ascii="Arial" w:hAnsi="Arial" w:cs="Arial"/>
                <w:sz w:val="22"/>
                <w:szCs w:val="22"/>
              </w:rPr>
            </w:pPr>
            <w:r>
              <w:rPr>
                <w:rFonts w:ascii="Arial" w:hAnsi="Arial" w:cs="Arial"/>
                <w:sz w:val="22"/>
                <w:szCs w:val="22"/>
              </w:rPr>
              <w:t xml:space="preserve">                          </w:t>
            </w:r>
          </w:p>
          <w:p w:rsidR="009B4233" w:rsidRDefault="006B08B9">
            <w:pPr>
              <w:spacing w:line="249" w:lineRule="auto"/>
              <w:rPr>
                <w:rFonts w:ascii="Arial" w:hAnsi="Arial" w:cs="Arial"/>
                <w:sz w:val="22"/>
                <w:szCs w:val="22"/>
              </w:rPr>
            </w:pPr>
            <w:r>
              <w:rPr>
                <w:rFonts w:ascii="Arial" w:hAnsi="Arial" w:cs="Arial"/>
                <w:sz w:val="22"/>
                <w:szCs w:val="22"/>
              </w:rPr>
              <w:t xml:space="preserve">60,85 € </w:t>
            </w:r>
          </w:p>
        </w:tc>
        <w:tc>
          <w:tcPr>
            <w:tcW w:w="1002"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18" w:type="dxa"/>
            </w:tcMar>
          </w:tcPr>
          <w:p w:rsidR="009B4233" w:rsidRDefault="006B08B9">
            <w:pPr>
              <w:spacing w:line="249" w:lineRule="auto"/>
              <w:rPr>
                <w:rFonts w:ascii="Arial" w:hAnsi="Arial" w:cs="Arial"/>
                <w:sz w:val="22"/>
                <w:szCs w:val="22"/>
              </w:rPr>
            </w:pPr>
            <w:r>
              <w:rPr>
                <w:rFonts w:ascii="Arial" w:hAnsi="Arial" w:cs="Arial"/>
                <w:sz w:val="22"/>
                <w:szCs w:val="22"/>
              </w:rPr>
              <w:t xml:space="preserve">                  </w:t>
            </w:r>
          </w:p>
          <w:p w:rsidR="009B4233" w:rsidRDefault="006B08B9">
            <w:pPr>
              <w:spacing w:line="249" w:lineRule="auto"/>
              <w:rPr>
                <w:rFonts w:ascii="Arial" w:hAnsi="Arial" w:cs="Arial"/>
                <w:sz w:val="22"/>
                <w:szCs w:val="22"/>
              </w:rPr>
            </w:pPr>
            <w:r>
              <w:rPr>
                <w:rFonts w:ascii="Arial" w:hAnsi="Arial" w:cs="Arial"/>
                <w:sz w:val="22"/>
                <w:szCs w:val="22"/>
              </w:rPr>
              <w:t xml:space="preserve">0,71 € </w:t>
            </w:r>
          </w:p>
        </w:tc>
      </w:tr>
      <w:tr w:rsidR="009B4233">
        <w:tblPrEx>
          <w:tblCellMar>
            <w:top w:w="0" w:type="dxa"/>
            <w:bottom w:w="0" w:type="dxa"/>
          </w:tblCellMar>
        </w:tblPrEx>
        <w:trPr>
          <w:trHeight w:val="424"/>
        </w:trPr>
        <w:tc>
          <w:tcPr>
            <w:tcW w:w="986"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18" w:type="dxa"/>
            </w:tcMar>
            <w:vAlign w:val="center"/>
          </w:tcPr>
          <w:p w:rsidR="009B4233" w:rsidRDefault="006B08B9">
            <w:pPr>
              <w:spacing w:line="249" w:lineRule="auto"/>
              <w:ind w:right="36"/>
              <w:jc w:val="center"/>
              <w:rPr>
                <w:rFonts w:ascii="Arial" w:hAnsi="Arial" w:cs="Arial"/>
                <w:sz w:val="22"/>
                <w:szCs w:val="22"/>
              </w:rPr>
            </w:pPr>
            <w:r>
              <w:rPr>
                <w:rFonts w:ascii="Arial" w:hAnsi="Arial" w:cs="Arial"/>
                <w:sz w:val="22"/>
                <w:szCs w:val="22"/>
              </w:rPr>
              <w:t>18</w:t>
            </w:r>
          </w:p>
        </w:tc>
        <w:tc>
          <w:tcPr>
            <w:tcW w:w="3688"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18" w:type="dxa"/>
            </w:tcMar>
          </w:tcPr>
          <w:p w:rsidR="009B4233" w:rsidRDefault="006B08B9">
            <w:pPr>
              <w:spacing w:line="249" w:lineRule="auto"/>
              <w:rPr>
                <w:rFonts w:ascii="Arial" w:hAnsi="Arial" w:cs="Arial"/>
                <w:sz w:val="22"/>
                <w:szCs w:val="22"/>
              </w:rPr>
            </w:pPr>
            <w:r>
              <w:rPr>
                <w:rFonts w:ascii="Arial" w:hAnsi="Arial" w:cs="Arial"/>
                <w:sz w:val="22"/>
                <w:szCs w:val="22"/>
              </w:rPr>
              <w:t>Otras actividades económicas, o no, no relacionadas de forma expresa</w:t>
            </w:r>
          </w:p>
        </w:tc>
        <w:tc>
          <w:tcPr>
            <w:tcW w:w="1634"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18" w:type="dxa"/>
            </w:tcMar>
          </w:tcPr>
          <w:p w:rsidR="009B4233" w:rsidRDefault="006B08B9">
            <w:pPr>
              <w:spacing w:line="249" w:lineRule="auto"/>
              <w:rPr>
                <w:rFonts w:ascii="Arial" w:hAnsi="Arial" w:cs="Arial"/>
                <w:sz w:val="22"/>
                <w:szCs w:val="22"/>
              </w:rPr>
            </w:pPr>
            <w:r>
              <w:rPr>
                <w:rFonts w:ascii="Arial" w:hAnsi="Arial" w:cs="Arial"/>
                <w:sz w:val="22"/>
                <w:szCs w:val="22"/>
              </w:rPr>
              <w:t xml:space="preserve">                              </w:t>
            </w:r>
          </w:p>
          <w:p w:rsidR="009B4233" w:rsidRDefault="006B08B9">
            <w:pPr>
              <w:spacing w:line="249" w:lineRule="auto"/>
              <w:rPr>
                <w:rFonts w:ascii="Arial" w:hAnsi="Arial" w:cs="Arial"/>
                <w:sz w:val="22"/>
                <w:szCs w:val="22"/>
              </w:rPr>
            </w:pPr>
            <w:r>
              <w:rPr>
                <w:rFonts w:ascii="Arial" w:hAnsi="Arial" w:cs="Arial"/>
                <w:sz w:val="22"/>
                <w:szCs w:val="22"/>
              </w:rPr>
              <w:t xml:space="preserve">27,98 € </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18" w:type="dxa"/>
            </w:tcMar>
          </w:tcPr>
          <w:p w:rsidR="009B4233" w:rsidRDefault="006B08B9">
            <w:pPr>
              <w:spacing w:line="249" w:lineRule="auto"/>
              <w:rPr>
                <w:rFonts w:ascii="Arial" w:hAnsi="Arial" w:cs="Arial"/>
                <w:sz w:val="22"/>
                <w:szCs w:val="22"/>
              </w:rPr>
            </w:pPr>
            <w:r>
              <w:rPr>
                <w:rFonts w:ascii="Arial" w:hAnsi="Arial" w:cs="Arial"/>
                <w:sz w:val="22"/>
                <w:szCs w:val="22"/>
              </w:rPr>
              <w:t xml:space="preserve">                          </w:t>
            </w:r>
          </w:p>
          <w:p w:rsidR="009B4233" w:rsidRDefault="006B08B9">
            <w:pPr>
              <w:spacing w:line="249" w:lineRule="auto"/>
              <w:rPr>
                <w:rFonts w:ascii="Arial" w:hAnsi="Arial" w:cs="Arial"/>
                <w:sz w:val="22"/>
                <w:szCs w:val="22"/>
              </w:rPr>
            </w:pPr>
            <w:r>
              <w:rPr>
                <w:rFonts w:ascii="Arial" w:hAnsi="Arial" w:cs="Arial"/>
                <w:sz w:val="22"/>
                <w:szCs w:val="22"/>
              </w:rPr>
              <w:t xml:space="preserve">42,07 € </w:t>
            </w:r>
          </w:p>
        </w:tc>
        <w:tc>
          <w:tcPr>
            <w:tcW w:w="1002"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18" w:type="dxa"/>
            </w:tcMar>
          </w:tcPr>
          <w:p w:rsidR="009B4233" w:rsidRDefault="006B08B9">
            <w:pPr>
              <w:spacing w:line="249" w:lineRule="auto"/>
              <w:rPr>
                <w:rFonts w:ascii="Arial" w:hAnsi="Arial" w:cs="Arial"/>
                <w:sz w:val="22"/>
                <w:szCs w:val="22"/>
              </w:rPr>
            </w:pPr>
            <w:r>
              <w:rPr>
                <w:rFonts w:ascii="Arial" w:hAnsi="Arial" w:cs="Arial"/>
                <w:sz w:val="22"/>
                <w:szCs w:val="22"/>
              </w:rPr>
              <w:t xml:space="preserve">                  </w:t>
            </w:r>
          </w:p>
          <w:p w:rsidR="009B4233" w:rsidRDefault="006B08B9">
            <w:pPr>
              <w:spacing w:line="249" w:lineRule="auto"/>
              <w:rPr>
                <w:rFonts w:ascii="Arial" w:hAnsi="Arial" w:cs="Arial"/>
                <w:sz w:val="22"/>
                <w:szCs w:val="22"/>
              </w:rPr>
            </w:pPr>
            <w:r>
              <w:rPr>
                <w:rFonts w:ascii="Arial" w:hAnsi="Arial" w:cs="Arial"/>
                <w:sz w:val="22"/>
                <w:szCs w:val="22"/>
              </w:rPr>
              <w:t xml:space="preserve">0,58 € </w:t>
            </w:r>
          </w:p>
        </w:tc>
      </w:tr>
    </w:tbl>
    <w:p w:rsidR="009B4233" w:rsidRDefault="006B08B9">
      <w:pPr>
        <w:spacing w:after="35"/>
        <w:ind w:left="-15"/>
        <w:jc w:val="both"/>
        <w:rPr>
          <w:rFonts w:ascii="Arial" w:hAnsi="Arial" w:cs="Arial"/>
          <w:sz w:val="22"/>
          <w:szCs w:val="22"/>
        </w:rPr>
      </w:pPr>
      <w:r>
        <w:rPr>
          <w:rFonts w:ascii="Arial" w:hAnsi="Arial" w:cs="Arial"/>
          <w:sz w:val="22"/>
          <w:szCs w:val="22"/>
        </w:rPr>
        <w:t xml:space="preserve">Si aplicamos a </w:t>
      </w:r>
      <w:r>
        <w:rPr>
          <w:rFonts w:ascii="Arial" w:hAnsi="Arial" w:cs="Arial"/>
          <w:sz w:val="22"/>
          <w:szCs w:val="22"/>
        </w:rPr>
        <w:t>las citadas cuotas, los sujetos pasivos, obtenemos el equilibrio, con unos ingresos de 2.498.728,62 Euros, conforme siguiente detalle:</w:t>
      </w:r>
    </w:p>
    <w:tbl>
      <w:tblPr>
        <w:tblW w:w="8970" w:type="dxa"/>
        <w:tblInd w:w="-296" w:type="dxa"/>
        <w:tblCellMar>
          <w:left w:w="10" w:type="dxa"/>
          <w:right w:w="10" w:type="dxa"/>
        </w:tblCellMar>
        <w:tblLook w:val="0000" w:firstRow="0" w:lastRow="0" w:firstColumn="0" w:lastColumn="0" w:noHBand="0" w:noVBand="0"/>
      </w:tblPr>
      <w:tblGrid>
        <w:gridCol w:w="971"/>
        <w:gridCol w:w="2701"/>
        <w:gridCol w:w="983"/>
        <w:gridCol w:w="932"/>
        <w:gridCol w:w="793"/>
        <w:gridCol w:w="1130"/>
        <w:gridCol w:w="1460"/>
      </w:tblGrid>
      <w:tr w:rsidR="009B4233">
        <w:tblPrEx>
          <w:tblCellMar>
            <w:top w:w="0" w:type="dxa"/>
            <w:bottom w:w="0" w:type="dxa"/>
          </w:tblCellMar>
        </w:tblPrEx>
        <w:trPr>
          <w:trHeight w:val="553"/>
        </w:trPr>
        <w:tc>
          <w:tcPr>
            <w:tcW w:w="971" w:type="dxa"/>
            <w:tcBorders>
              <w:top w:val="single" w:sz="8" w:space="0" w:color="000000"/>
              <w:left w:val="single" w:sz="8" w:space="0" w:color="000000"/>
              <w:bottom w:val="single" w:sz="8" w:space="0" w:color="000000"/>
              <w:right w:val="single" w:sz="8" w:space="0" w:color="000000"/>
            </w:tcBorders>
            <w:shd w:val="clear" w:color="auto" w:fill="E2EFD9"/>
            <w:tcMar>
              <w:top w:w="16" w:type="dxa"/>
              <w:left w:w="72" w:type="dxa"/>
              <w:bottom w:w="5" w:type="dxa"/>
              <w:right w:w="18" w:type="dxa"/>
            </w:tcMar>
            <w:vAlign w:val="center"/>
          </w:tcPr>
          <w:p w:rsidR="009B4233" w:rsidRDefault="006B08B9">
            <w:pPr>
              <w:spacing w:line="249" w:lineRule="auto"/>
              <w:jc w:val="center"/>
            </w:pPr>
            <w:r>
              <w:rPr>
                <w:rFonts w:ascii="Arial" w:eastAsia="Arial" w:hAnsi="Arial" w:cs="Arial"/>
                <w:b/>
                <w:sz w:val="22"/>
                <w:szCs w:val="22"/>
              </w:rPr>
              <w:t>Epígrafe N°</w:t>
            </w:r>
          </w:p>
        </w:tc>
        <w:tc>
          <w:tcPr>
            <w:tcW w:w="2701" w:type="dxa"/>
            <w:tcBorders>
              <w:top w:val="single" w:sz="8" w:space="0" w:color="000000"/>
              <w:left w:val="single" w:sz="8" w:space="0" w:color="000000"/>
              <w:bottom w:val="single" w:sz="8" w:space="0" w:color="000000"/>
              <w:right w:val="single" w:sz="8" w:space="0" w:color="000000"/>
            </w:tcBorders>
            <w:shd w:val="clear" w:color="auto" w:fill="E2EFD9"/>
            <w:tcMar>
              <w:top w:w="16" w:type="dxa"/>
              <w:left w:w="72" w:type="dxa"/>
              <w:bottom w:w="5" w:type="dxa"/>
              <w:right w:w="18" w:type="dxa"/>
            </w:tcMar>
            <w:vAlign w:val="center"/>
          </w:tcPr>
          <w:p w:rsidR="009B4233" w:rsidRDefault="006B08B9">
            <w:pPr>
              <w:spacing w:line="249" w:lineRule="auto"/>
              <w:ind w:right="51"/>
              <w:jc w:val="center"/>
            </w:pPr>
            <w:r>
              <w:rPr>
                <w:rFonts w:ascii="Arial" w:eastAsia="Arial" w:hAnsi="Arial" w:cs="Arial"/>
                <w:b/>
                <w:sz w:val="22"/>
                <w:szCs w:val="22"/>
              </w:rPr>
              <w:t>Actividad</w:t>
            </w:r>
          </w:p>
        </w:tc>
        <w:tc>
          <w:tcPr>
            <w:tcW w:w="983" w:type="dxa"/>
            <w:tcBorders>
              <w:top w:val="single" w:sz="8" w:space="0" w:color="000000"/>
              <w:left w:val="single" w:sz="8" w:space="0" w:color="000000"/>
              <w:bottom w:val="single" w:sz="8" w:space="0" w:color="000000"/>
              <w:right w:val="single" w:sz="8" w:space="0" w:color="000000"/>
            </w:tcBorders>
            <w:shd w:val="clear" w:color="auto" w:fill="E2EFD9"/>
            <w:tcMar>
              <w:top w:w="16" w:type="dxa"/>
              <w:left w:w="72" w:type="dxa"/>
              <w:bottom w:w="5" w:type="dxa"/>
              <w:right w:w="18" w:type="dxa"/>
            </w:tcMar>
          </w:tcPr>
          <w:p w:rsidR="009B4233" w:rsidRDefault="006B08B9">
            <w:pPr>
              <w:spacing w:line="249" w:lineRule="auto"/>
              <w:ind w:right="51"/>
              <w:jc w:val="center"/>
            </w:pPr>
            <w:r>
              <w:rPr>
                <w:rFonts w:ascii="Arial" w:eastAsia="Arial" w:hAnsi="Arial" w:cs="Arial"/>
                <w:b/>
                <w:sz w:val="22"/>
                <w:szCs w:val="22"/>
              </w:rPr>
              <w:t xml:space="preserve">Sup. </w:t>
            </w:r>
          </w:p>
          <w:p w:rsidR="009B4233" w:rsidRDefault="006B08B9">
            <w:pPr>
              <w:spacing w:line="249" w:lineRule="auto"/>
              <w:ind w:left="42"/>
            </w:pPr>
            <w:r>
              <w:rPr>
                <w:rFonts w:ascii="Arial" w:eastAsia="Arial" w:hAnsi="Arial" w:cs="Arial"/>
                <w:b/>
                <w:sz w:val="22"/>
                <w:szCs w:val="22"/>
              </w:rPr>
              <w:t xml:space="preserve">menor de </w:t>
            </w:r>
          </w:p>
          <w:p w:rsidR="009B4233" w:rsidRDefault="006B08B9">
            <w:pPr>
              <w:spacing w:line="249" w:lineRule="auto"/>
              <w:ind w:right="50"/>
              <w:jc w:val="center"/>
            </w:pPr>
            <w:r>
              <w:rPr>
                <w:rFonts w:ascii="Arial" w:eastAsia="Arial" w:hAnsi="Arial" w:cs="Arial"/>
                <w:b/>
                <w:sz w:val="22"/>
                <w:szCs w:val="22"/>
              </w:rPr>
              <w:t>50 m²</w:t>
            </w:r>
          </w:p>
        </w:tc>
        <w:tc>
          <w:tcPr>
            <w:tcW w:w="932" w:type="dxa"/>
            <w:tcBorders>
              <w:top w:val="single" w:sz="8" w:space="0" w:color="000000"/>
              <w:left w:val="single" w:sz="8" w:space="0" w:color="000000"/>
              <w:bottom w:val="single" w:sz="8" w:space="0" w:color="000000"/>
              <w:right w:val="single" w:sz="8" w:space="0" w:color="000000"/>
            </w:tcBorders>
            <w:shd w:val="clear" w:color="auto" w:fill="E2EFD9"/>
            <w:tcMar>
              <w:top w:w="16" w:type="dxa"/>
              <w:left w:w="72" w:type="dxa"/>
              <w:bottom w:w="5" w:type="dxa"/>
              <w:right w:w="18" w:type="dxa"/>
            </w:tcMar>
            <w:vAlign w:val="center"/>
          </w:tcPr>
          <w:p w:rsidR="009B4233" w:rsidRDefault="006B08B9">
            <w:pPr>
              <w:spacing w:line="249" w:lineRule="auto"/>
              <w:ind w:left="6" w:right="17"/>
              <w:jc w:val="center"/>
            </w:pPr>
            <w:r>
              <w:rPr>
                <w:rFonts w:ascii="Arial" w:eastAsia="Arial" w:hAnsi="Arial" w:cs="Arial"/>
                <w:b/>
                <w:sz w:val="22"/>
                <w:szCs w:val="22"/>
              </w:rPr>
              <w:t>Sup. entre 50 y 100 m²</w:t>
            </w:r>
          </w:p>
        </w:tc>
        <w:tc>
          <w:tcPr>
            <w:tcW w:w="793" w:type="dxa"/>
            <w:tcBorders>
              <w:top w:val="single" w:sz="8" w:space="0" w:color="000000"/>
              <w:left w:val="single" w:sz="8" w:space="0" w:color="000000"/>
              <w:bottom w:val="single" w:sz="8" w:space="0" w:color="000000"/>
              <w:right w:val="single" w:sz="8" w:space="0" w:color="000000"/>
            </w:tcBorders>
            <w:shd w:val="clear" w:color="auto" w:fill="E2EFD9"/>
            <w:tcMar>
              <w:top w:w="16" w:type="dxa"/>
              <w:left w:w="72" w:type="dxa"/>
              <w:bottom w:w="5" w:type="dxa"/>
              <w:right w:w="18" w:type="dxa"/>
            </w:tcMar>
          </w:tcPr>
          <w:p w:rsidR="009B4233" w:rsidRDefault="006B08B9">
            <w:pPr>
              <w:spacing w:after="2" w:line="230" w:lineRule="auto"/>
              <w:ind w:left="76" w:hanging="56"/>
            </w:pPr>
            <w:r>
              <w:rPr>
                <w:rFonts w:ascii="Arial" w:eastAsia="Arial" w:hAnsi="Arial" w:cs="Arial"/>
                <w:b/>
                <w:sz w:val="22"/>
                <w:szCs w:val="22"/>
              </w:rPr>
              <w:t xml:space="preserve">Cada m² a partir de </w:t>
            </w:r>
          </w:p>
          <w:p w:rsidR="009B4233" w:rsidRDefault="006B08B9">
            <w:pPr>
              <w:spacing w:line="249" w:lineRule="auto"/>
              <w:ind w:right="50"/>
              <w:jc w:val="center"/>
            </w:pPr>
            <w:r>
              <w:rPr>
                <w:rFonts w:ascii="Arial" w:eastAsia="Arial" w:hAnsi="Arial" w:cs="Arial"/>
                <w:b/>
                <w:sz w:val="22"/>
                <w:szCs w:val="22"/>
              </w:rPr>
              <w:t>100 m²</w:t>
            </w:r>
          </w:p>
        </w:tc>
        <w:tc>
          <w:tcPr>
            <w:tcW w:w="1130" w:type="dxa"/>
            <w:tcBorders>
              <w:top w:val="single" w:sz="8" w:space="0" w:color="000000"/>
              <w:left w:val="single" w:sz="8" w:space="0" w:color="000000"/>
              <w:bottom w:val="single" w:sz="4" w:space="0" w:color="000000"/>
              <w:right w:val="single" w:sz="8" w:space="0" w:color="000000"/>
            </w:tcBorders>
            <w:shd w:val="clear" w:color="auto" w:fill="E2EFD9"/>
            <w:tcMar>
              <w:top w:w="16" w:type="dxa"/>
              <w:left w:w="72" w:type="dxa"/>
              <w:bottom w:w="5" w:type="dxa"/>
              <w:right w:w="18" w:type="dxa"/>
            </w:tcMar>
            <w:vAlign w:val="center"/>
          </w:tcPr>
          <w:p w:rsidR="009B4233" w:rsidRDefault="006B08B9">
            <w:pPr>
              <w:spacing w:line="249" w:lineRule="auto"/>
              <w:ind w:right="49"/>
              <w:jc w:val="center"/>
            </w:pPr>
            <w:r>
              <w:rPr>
                <w:rFonts w:ascii="Arial" w:eastAsia="Arial" w:hAnsi="Arial" w:cs="Arial"/>
                <w:b/>
                <w:sz w:val="22"/>
                <w:szCs w:val="22"/>
              </w:rPr>
              <w:t>Unidades</w:t>
            </w:r>
          </w:p>
        </w:tc>
        <w:tc>
          <w:tcPr>
            <w:tcW w:w="1460" w:type="dxa"/>
            <w:tcBorders>
              <w:top w:val="single" w:sz="8" w:space="0" w:color="000000"/>
              <w:left w:val="single" w:sz="8" w:space="0" w:color="000000"/>
              <w:bottom w:val="single" w:sz="4" w:space="0" w:color="000000"/>
              <w:right w:val="single" w:sz="8" w:space="0" w:color="000000"/>
            </w:tcBorders>
            <w:shd w:val="clear" w:color="auto" w:fill="E2EFD9"/>
            <w:tcMar>
              <w:top w:w="16" w:type="dxa"/>
              <w:left w:w="72" w:type="dxa"/>
              <w:bottom w:w="5" w:type="dxa"/>
              <w:right w:w="18" w:type="dxa"/>
            </w:tcMar>
            <w:vAlign w:val="center"/>
          </w:tcPr>
          <w:p w:rsidR="009B4233" w:rsidRDefault="006B08B9">
            <w:pPr>
              <w:spacing w:line="249" w:lineRule="auto"/>
              <w:jc w:val="center"/>
            </w:pPr>
            <w:r>
              <w:rPr>
                <w:rFonts w:ascii="Arial" w:eastAsia="Arial" w:hAnsi="Arial" w:cs="Arial"/>
                <w:b/>
                <w:sz w:val="22"/>
                <w:szCs w:val="22"/>
              </w:rPr>
              <w:t>Recaudación Anual</w:t>
            </w:r>
          </w:p>
        </w:tc>
      </w:tr>
      <w:tr w:rsidR="009B4233">
        <w:tblPrEx>
          <w:tblCellMar>
            <w:top w:w="0" w:type="dxa"/>
            <w:bottom w:w="0" w:type="dxa"/>
          </w:tblCellMar>
        </w:tblPrEx>
        <w:trPr>
          <w:trHeight w:val="318"/>
        </w:trPr>
        <w:tc>
          <w:tcPr>
            <w:tcW w:w="971" w:type="dxa"/>
            <w:tcBorders>
              <w:top w:val="single" w:sz="8" w:space="0" w:color="000000"/>
              <w:left w:val="single" w:sz="8" w:space="0" w:color="000000"/>
              <w:bottom w:val="single" w:sz="8" w:space="0" w:color="000000"/>
              <w:right w:val="single" w:sz="8" w:space="0" w:color="000000"/>
            </w:tcBorders>
            <w:shd w:val="clear" w:color="auto" w:fill="auto"/>
            <w:tcMar>
              <w:top w:w="16" w:type="dxa"/>
              <w:left w:w="72" w:type="dxa"/>
              <w:bottom w:w="5" w:type="dxa"/>
              <w:right w:w="18" w:type="dxa"/>
            </w:tcMar>
          </w:tcPr>
          <w:p w:rsidR="009B4233" w:rsidRDefault="006B08B9">
            <w:pPr>
              <w:spacing w:line="249" w:lineRule="auto"/>
              <w:ind w:right="52"/>
              <w:jc w:val="center"/>
              <w:rPr>
                <w:rFonts w:ascii="Arial" w:hAnsi="Arial" w:cs="Arial"/>
                <w:sz w:val="22"/>
                <w:szCs w:val="22"/>
              </w:rPr>
            </w:pPr>
            <w:r>
              <w:rPr>
                <w:rFonts w:ascii="Arial" w:hAnsi="Arial" w:cs="Arial"/>
                <w:sz w:val="22"/>
                <w:szCs w:val="22"/>
              </w:rPr>
              <w:t>0</w:t>
            </w:r>
          </w:p>
        </w:tc>
        <w:tc>
          <w:tcPr>
            <w:tcW w:w="2701" w:type="dxa"/>
            <w:tcBorders>
              <w:top w:val="single" w:sz="8" w:space="0" w:color="000000"/>
              <w:left w:val="single" w:sz="8" w:space="0" w:color="000000"/>
              <w:bottom w:val="single" w:sz="8" w:space="0" w:color="000000"/>
              <w:right w:val="single" w:sz="8" w:space="0" w:color="000000"/>
            </w:tcBorders>
            <w:shd w:val="clear" w:color="auto" w:fill="auto"/>
            <w:tcMar>
              <w:top w:w="16" w:type="dxa"/>
              <w:left w:w="72" w:type="dxa"/>
              <w:bottom w:w="5" w:type="dxa"/>
              <w:right w:w="18" w:type="dxa"/>
            </w:tcMar>
          </w:tcPr>
          <w:p w:rsidR="009B4233" w:rsidRDefault="006B08B9">
            <w:pPr>
              <w:spacing w:line="249" w:lineRule="auto"/>
              <w:rPr>
                <w:rFonts w:ascii="Arial" w:hAnsi="Arial" w:cs="Arial"/>
                <w:sz w:val="22"/>
                <w:szCs w:val="22"/>
              </w:rPr>
            </w:pPr>
            <w:r>
              <w:rPr>
                <w:rFonts w:ascii="Arial" w:hAnsi="Arial" w:cs="Arial"/>
                <w:sz w:val="22"/>
                <w:szCs w:val="22"/>
              </w:rPr>
              <w:t>Viviendas con uso residencial</w:t>
            </w:r>
          </w:p>
        </w:tc>
        <w:tc>
          <w:tcPr>
            <w:tcW w:w="983" w:type="dxa"/>
            <w:tcBorders>
              <w:top w:val="single" w:sz="8" w:space="0" w:color="000000"/>
              <w:left w:val="single" w:sz="8" w:space="0" w:color="000000"/>
              <w:bottom w:val="single" w:sz="4" w:space="0" w:color="000000"/>
            </w:tcBorders>
            <w:shd w:val="clear" w:color="auto" w:fill="auto"/>
            <w:tcMar>
              <w:top w:w="16" w:type="dxa"/>
              <w:left w:w="72" w:type="dxa"/>
              <w:bottom w:w="5" w:type="dxa"/>
              <w:right w:w="18" w:type="dxa"/>
            </w:tcMar>
            <w:vAlign w:val="bottom"/>
          </w:tcPr>
          <w:p w:rsidR="009B4233" w:rsidRDefault="006B08B9">
            <w:pPr>
              <w:spacing w:line="249" w:lineRule="auto"/>
            </w:pPr>
            <w:r>
              <w:rPr>
                <w:rFonts w:ascii="Arial" w:eastAsia="Calibri" w:hAnsi="Arial" w:cs="Arial"/>
                <w:sz w:val="22"/>
                <w:szCs w:val="22"/>
              </w:rPr>
              <w:t xml:space="preserve"> </w:t>
            </w:r>
          </w:p>
        </w:tc>
        <w:tc>
          <w:tcPr>
            <w:tcW w:w="932" w:type="dxa"/>
            <w:tcBorders>
              <w:top w:val="single" w:sz="8" w:space="0" w:color="000000"/>
              <w:bottom w:val="single" w:sz="4" w:space="0" w:color="000000"/>
            </w:tcBorders>
            <w:shd w:val="clear" w:color="auto" w:fill="auto"/>
            <w:tcMar>
              <w:top w:w="16" w:type="dxa"/>
              <w:left w:w="72" w:type="dxa"/>
              <w:bottom w:w="5" w:type="dxa"/>
              <w:right w:w="18" w:type="dxa"/>
            </w:tcMar>
            <w:vAlign w:val="bottom"/>
          </w:tcPr>
          <w:p w:rsidR="009B4233" w:rsidRDefault="006B08B9">
            <w:pPr>
              <w:spacing w:line="249" w:lineRule="auto"/>
              <w:ind w:right="49"/>
              <w:jc w:val="right"/>
            </w:pPr>
            <w:r>
              <w:rPr>
                <w:rFonts w:ascii="Arial" w:eastAsia="Calibri" w:hAnsi="Arial" w:cs="Arial"/>
                <w:sz w:val="22"/>
                <w:szCs w:val="22"/>
              </w:rPr>
              <w:t>20,47 €</w:t>
            </w:r>
          </w:p>
        </w:tc>
        <w:tc>
          <w:tcPr>
            <w:tcW w:w="793" w:type="dxa"/>
            <w:tcBorders>
              <w:top w:val="single" w:sz="8" w:space="0" w:color="000000"/>
              <w:bottom w:val="single" w:sz="4" w:space="0" w:color="000000"/>
              <w:right w:val="single" w:sz="4" w:space="0" w:color="000000"/>
            </w:tcBorders>
            <w:shd w:val="clear" w:color="auto" w:fill="auto"/>
            <w:tcMar>
              <w:top w:w="16" w:type="dxa"/>
              <w:left w:w="72" w:type="dxa"/>
              <w:bottom w:w="5" w:type="dxa"/>
              <w:right w:w="18" w:type="dxa"/>
            </w:tcMar>
            <w:vAlign w:val="bottom"/>
          </w:tcPr>
          <w:p w:rsidR="009B4233" w:rsidRDefault="006B08B9">
            <w:pPr>
              <w:spacing w:line="249" w:lineRule="auto"/>
            </w:pPr>
            <w:r>
              <w:rPr>
                <w:rFonts w:ascii="Arial" w:eastAsia="Calibri" w:hAnsi="Arial" w:cs="Arial"/>
                <w:sz w:val="22"/>
                <w:szCs w:val="22"/>
              </w:rPr>
              <w:t xml:space="preserve"> </w:t>
            </w:r>
          </w:p>
        </w:tc>
        <w:tc>
          <w:tcPr>
            <w:tcW w:w="1130" w:type="dxa"/>
            <w:tcBorders>
              <w:top w:val="single" w:sz="4" w:space="0" w:color="000000"/>
              <w:left w:val="single" w:sz="4" w:space="0" w:color="000000"/>
              <w:bottom w:val="single" w:sz="4" w:space="0" w:color="000000"/>
              <w:right w:val="single" w:sz="4" w:space="0" w:color="000000"/>
            </w:tcBorders>
            <w:shd w:val="clear" w:color="auto" w:fill="auto"/>
            <w:tcMar>
              <w:top w:w="16" w:type="dxa"/>
              <w:left w:w="72" w:type="dxa"/>
              <w:bottom w:w="5" w:type="dxa"/>
              <w:right w:w="18" w:type="dxa"/>
            </w:tcMar>
            <w:vAlign w:val="bottom"/>
          </w:tcPr>
          <w:p w:rsidR="009B4233" w:rsidRDefault="006B08B9">
            <w:pPr>
              <w:spacing w:line="249" w:lineRule="auto"/>
              <w:ind w:right="50"/>
              <w:jc w:val="right"/>
            </w:pPr>
            <w:r>
              <w:rPr>
                <w:rFonts w:ascii="Arial" w:eastAsia="Calibri" w:hAnsi="Arial" w:cs="Arial"/>
                <w:sz w:val="22"/>
                <w:szCs w:val="22"/>
              </w:rPr>
              <w:t>13.451,00</w:t>
            </w:r>
          </w:p>
        </w:tc>
        <w:tc>
          <w:tcPr>
            <w:tcW w:w="1460" w:type="dxa"/>
            <w:tcBorders>
              <w:top w:val="single" w:sz="4" w:space="0" w:color="000000"/>
              <w:left w:val="single" w:sz="4" w:space="0" w:color="000000"/>
              <w:bottom w:val="single" w:sz="4" w:space="0" w:color="000000"/>
              <w:right w:val="single" w:sz="4" w:space="0" w:color="000000"/>
            </w:tcBorders>
            <w:shd w:val="clear" w:color="auto" w:fill="auto"/>
            <w:tcMar>
              <w:top w:w="16" w:type="dxa"/>
              <w:left w:w="72" w:type="dxa"/>
              <w:bottom w:w="5" w:type="dxa"/>
              <w:right w:w="18" w:type="dxa"/>
            </w:tcMar>
            <w:vAlign w:val="bottom"/>
          </w:tcPr>
          <w:p w:rsidR="009B4233" w:rsidRDefault="006B08B9">
            <w:pPr>
              <w:spacing w:line="249" w:lineRule="auto"/>
              <w:ind w:left="42"/>
            </w:pPr>
            <w:r>
              <w:rPr>
                <w:rFonts w:ascii="Arial" w:eastAsia="Calibri" w:hAnsi="Arial" w:cs="Arial"/>
                <w:sz w:val="22"/>
                <w:szCs w:val="22"/>
              </w:rPr>
              <w:t>1.652.051,82</w:t>
            </w:r>
          </w:p>
        </w:tc>
      </w:tr>
      <w:tr w:rsidR="009B4233">
        <w:tblPrEx>
          <w:tblCellMar>
            <w:top w:w="0" w:type="dxa"/>
            <w:bottom w:w="0" w:type="dxa"/>
          </w:tblCellMar>
        </w:tblPrEx>
        <w:trPr>
          <w:trHeight w:val="494"/>
        </w:trPr>
        <w:tc>
          <w:tcPr>
            <w:tcW w:w="971" w:type="dxa"/>
            <w:tcBorders>
              <w:top w:val="single" w:sz="8" w:space="0" w:color="000000"/>
              <w:left w:val="single" w:sz="8" w:space="0" w:color="000000"/>
              <w:bottom w:val="single" w:sz="8" w:space="0" w:color="000000"/>
              <w:right w:val="single" w:sz="8" w:space="0" w:color="000000"/>
            </w:tcBorders>
            <w:shd w:val="clear" w:color="auto" w:fill="auto"/>
            <w:tcMar>
              <w:top w:w="16" w:type="dxa"/>
              <w:left w:w="72" w:type="dxa"/>
              <w:bottom w:w="5" w:type="dxa"/>
              <w:right w:w="18" w:type="dxa"/>
            </w:tcMar>
            <w:vAlign w:val="center"/>
          </w:tcPr>
          <w:p w:rsidR="009B4233" w:rsidRDefault="006B08B9">
            <w:pPr>
              <w:spacing w:line="249" w:lineRule="auto"/>
              <w:ind w:right="52"/>
              <w:jc w:val="center"/>
              <w:rPr>
                <w:rFonts w:ascii="Arial" w:hAnsi="Arial" w:cs="Arial"/>
                <w:sz w:val="22"/>
                <w:szCs w:val="22"/>
              </w:rPr>
            </w:pPr>
            <w:r>
              <w:rPr>
                <w:rFonts w:ascii="Arial" w:hAnsi="Arial" w:cs="Arial"/>
                <w:sz w:val="22"/>
                <w:szCs w:val="22"/>
              </w:rPr>
              <w:t>1</w:t>
            </w:r>
          </w:p>
        </w:tc>
        <w:tc>
          <w:tcPr>
            <w:tcW w:w="2701" w:type="dxa"/>
            <w:tcBorders>
              <w:top w:val="single" w:sz="8" w:space="0" w:color="000000"/>
              <w:left w:val="single" w:sz="8" w:space="0" w:color="000000"/>
              <w:bottom w:val="single" w:sz="8" w:space="0" w:color="000000"/>
              <w:right w:val="single" w:sz="8" w:space="0" w:color="000000"/>
            </w:tcBorders>
            <w:shd w:val="clear" w:color="auto" w:fill="auto"/>
            <w:tcMar>
              <w:top w:w="16" w:type="dxa"/>
              <w:left w:w="72" w:type="dxa"/>
              <w:bottom w:w="5" w:type="dxa"/>
              <w:right w:w="18" w:type="dxa"/>
            </w:tcMar>
          </w:tcPr>
          <w:p w:rsidR="009B4233" w:rsidRDefault="006B08B9">
            <w:pPr>
              <w:spacing w:line="249" w:lineRule="auto"/>
              <w:rPr>
                <w:rFonts w:ascii="Arial" w:hAnsi="Arial" w:cs="Arial"/>
                <w:sz w:val="22"/>
                <w:szCs w:val="22"/>
              </w:rPr>
            </w:pPr>
            <w:r>
              <w:rPr>
                <w:rFonts w:ascii="Arial" w:hAnsi="Arial" w:cs="Arial"/>
                <w:sz w:val="22"/>
                <w:szCs w:val="22"/>
              </w:rPr>
              <w:t>Actividades ind., fabriles, mineras y extractivas</w:t>
            </w:r>
          </w:p>
        </w:tc>
        <w:tc>
          <w:tcPr>
            <w:tcW w:w="983" w:type="dxa"/>
            <w:tcBorders>
              <w:top w:val="single" w:sz="4" w:space="0" w:color="000000"/>
              <w:left w:val="single" w:sz="8" w:space="0" w:color="000000"/>
              <w:bottom w:val="single" w:sz="8" w:space="0" w:color="000000"/>
              <w:right w:val="single" w:sz="8" w:space="0" w:color="000000"/>
            </w:tcBorders>
            <w:shd w:val="clear" w:color="auto" w:fill="auto"/>
            <w:tcMar>
              <w:top w:w="16" w:type="dxa"/>
              <w:left w:w="72" w:type="dxa"/>
              <w:bottom w:w="5" w:type="dxa"/>
              <w:right w:w="18" w:type="dxa"/>
            </w:tcMar>
            <w:vAlign w:val="center"/>
          </w:tcPr>
          <w:p w:rsidR="009B4233" w:rsidRDefault="006B08B9">
            <w:pPr>
              <w:spacing w:line="249" w:lineRule="auto"/>
              <w:ind w:right="49"/>
              <w:jc w:val="right"/>
              <w:rPr>
                <w:rFonts w:ascii="Arial" w:hAnsi="Arial" w:cs="Arial"/>
                <w:sz w:val="22"/>
                <w:szCs w:val="22"/>
              </w:rPr>
            </w:pPr>
            <w:r>
              <w:rPr>
                <w:rFonts w:ascii="Arial" w:hAnsi="Arial" w:cs="Arial"/>
                <w:sz w:val="22"/>
                <w:szCs w:val="22"/>
              </w:rPr>
              <w:t>39,47 €</w:t>
            </w:r>
          </w:p>
        </w:tc>
        <w:tc>
          <w:tcPr>
            <w:tcW w:w="932" w:type="dxa"/>
            <w:tcBorders>
              <w:top w:val="single" w:sz="4" w:space="0" w:color="000000"/>
              <w:left w:val="single" w:sz="8" w:space="0" w:color="000000"/>
              <w:bottom w:val="single" w:sz="8" w:space="0" w:color="000000"/>
              <w:right w:val="single" w:sz="8" w:space="0" w:color="000000"/>
            </w:tcBorders>
            <w:shd w:val="clear" w:color="auto" w:fill="auto"/>
            <w:tcMar>
              <w:top w:w="16" w:type="dxa"/>
              <w:left w:w="72" w:type="dxa"/>
              <w:bottom w:w="5" w:type="dxa"/>
              <w:right w:w="18" w:type="dxa"/>
            </w:tcMar>
            <w:vAlign w:val="center"/>
          </w:tcPr>
          <w:p w:rsidR="009B4233" w:rsidRDefault="006B08B9">
            <w:pPr>
              <w:spacing w:line="249" w:lineRule="auto"/>
              <w:ind w:right="49"/>
              <w:jc w:val="right"/>
              <w:rPr>
                <w:rFonts w:ascii="Arial" w:hAnsi="Arial" w:cs="Arial"/>
                <w:sz w:val="22"/>
                <w:szCs w:val="22"/>
              </w:rPr>
            </w:pPr>
            <w:r>
              <w:rPr>
                <w:rFonts w:ascii="Arial" w:hAnsi="Arial" w:cs="Arial"/>
                <w:sz w:val="22"/>
                <w:szCs w:val="22"/>
              </w:rPr>
              <w:t>71,09 €</w:t>
            </w:r>
          </w:p>
        </w:tc>
        <w:tc>
          <w:tcPr>
            <w:tcW w:w="793" w:type="dxa"/>
            <w:tcBorders>
              <w:top w:val="single" w:sz="4" w:space="0" w:color="000000"/>
              <w:left w:val="single" w:sz="8" w:space="0" w:color="000000"/>
              <w:bottom w:val="single" w:sz="8" w:space="0" w:color="000000"/>
              <w:right w:val="single" w:sz="4" w:space="0" w:color="000000"/>
            </w:tcBorders>
            <w:shd w:val="clear" w:color="auto" w:fill="auto"/>
            <w:tcMar>
              <w:top w:w="16" w:type="dxa"/>
              <w:left w:w="72" w:type="dxa"/>
              <w:bottom w:w="5" w:type="dxa"/>
              <w:right w:w="18" w:type="dxa"/>
            </w:tcMar>
            <w:vAlign w:val="center"/>
          </w:tcPr>
          <w:p w:rsidR="009B4233" w:rsidRDefault="006B08B9">
            <w:pPr>
              <w:spacing w:line="249" w:lineRule="auto"/>
              <w:ind w:right="51"/>
              <w:jc w:val="center"/>
              <w:rPr>
                <w:rFonts w:ascii="Arial" w:hAnsi="Arial" w:cs="Arial"/>
                <w:sz w:val="22"/>
                <w:szCs w:val="22"/>
              </w:rPr>
            </w:pPr>
            <w:r>
              <w:rPr>
                <w:rFonts w:ascii="Arial" w:hAnsi="Arial" w:cs="Arial"/>
                <w:sz w:val="22"/>
                <w:szCs w:val="22"/>
              </w:rPr>
              <w:t>0,86 €</w:t>
            </w:r>
          </w:p>
        </w:tc>
        <w:tc>
          <w:tcPr>
            <w:tcW w:w="1130" w:type="dxa"/>
            <w:tcBorders>
              <w:top w:val="single" w:sz="4" w:space="0" w:color="000000"/>
              <w:left w:val="single" w:sz="4" w:space="0" w:color="000000"/>
              <w:bottom w:val="single" w:sz="4" w:space="0" w:color="000000"/>
              <w:right w:val="single" w:sz="4" w:space="0" w:color="000000"/>
            </w:tcBorders>
            <w:shd w:val="clear" w:color="auto" w:fill="auto"/>
            <w:tcMar>
              <w:top w:w="16" w:type="dxa"/>
              <w:left w:w="72" w:type="dxa"/>
              <w:bottom w:w="5" w:type="dxa"/>
              <w:right w:w="18" w:type="dxa"/>
            </w:tcMar>
            <w:vAlign w:val="bottom"/>
          </w:tcPr>
          <w:p w:rsidR="009B4233" w:rsidRDefault="006B08B9">
            <w:pPr>
              <w:spacing w:line="249" w:lineRule="auto"/>
              <w:ind w:right="49"/>
              <w:jc w:val="right"/>
            </w:pPr>
            <w:r>
              <w:rPr>
                <w:rFonts w:ascii="Arial" w:eastAsia="Calibri" w:hAnsi="Arial" w:cs="Arial"/>
                <w:sz w:val="22"/>
                <w:szCs w:val="22"/>
              </w:rPr>
              <w:t>95,00</w:t>
            </w:r>
          </w:p>
        </w:tc>
        <w:tc>
          <w:tcPr>
            <w:tcW w:w="1460" w:type="dxa"/>
            <w:tcBorders>
              <w:top w:val="single" w:sz="4" w:space="0" w:color="000000"/>
              <w:left w:val="single" w:sz="4" w:space="0" w:color="000000"/>
              <w:bottom w:val="single" w:sz="4" w:space="0" w:color="000000"/>
              <w:right w:val="single" w:sz="4" w:space="0" w:color="000000"/>
            </w:tcBorders>
            <w:shd w:val="clear" w:color="auto" w:fill="auto"/>
            <w:tcMar>
              <w:top w:w="16" w:type="dxa"/>
              <w:left w:w="72" w:type="dxa"/>
              <w:bottom w:w="5" w:type="dxa"/>
              <w:right w:w="18" w:type="dxa"/>
            </w:tcMar>
            <w:vAlign w:val="bottom"/>
          </w:tcPr>
          <w:p w:rsidR="009B4233" w:rsidRDefault="006B08B9">
            <w:pPr>
              <w:spacing w:line="249" w:lineRule="auto"/>
              <w:ind w:right="50"/>
              <w:jc w:val="right"/>
            </w:pPr>
            <w:r>
              <w:rPr>
                <w:rFonts w:ascii="Arial" w:eastAsia="Calibri" w:hAnsi="Arial" w:cs="Arial"/>
                <w:sz w:val="22"/>
                <w:szCs w:val="22"/>
              </w:rPr>
              <w:t>245.868,12</w:t>
            </w:r>
          </w:p>
        </w:tc>
      </w:tr>
      <w:tr w:rsidR="009B4233">
        <w:tblPrEx>
          <w:tblCellMar>
            <w:top w:w="0" w:type="dxa"/>
            <w:bottom w:w="0" w:type="dxa"/>
          </w:tblCellMar>
        </w:tblPrEx>
        <w:trPr>
          <w:trHeight w:val="736"/>
        </w:trPr>
        <w:tc>
          <w:tcPr>
            <w:tcW w:w="971" w:type="dxa"/>
            <w:tcBorders>
              <w:top w:val="single" w:sz="8" w:space="0" w:color="000000"/>
              <w:left w:val="single" w:sz="8" w:space="0" w:color="000000"/>
              <w:bottom w:val="single" w:sz="8" w:space="0" w:color="000000"/>
              <w:right w:val="single" w:sz="8" w:space="0" w:color="000000"/>
            </w:tcBorders>
            <w:shd w:val="clear" w:color="auto" w:fill="auto"/>
            <w:tcMar>
              <w:top w:w="16" w:type="dxa"/>
              <w:left w:w="72" w:type="dxa"/>
              <w:bottom w:w="5" w:type="dxa"/>
              <w:right w:w="18" w:type="dxa"/>
            </w:tcMar>
            <w:vAlign w:val="center"/>
          </w:tcPr>
          <w:p w:rsidR="009B4233" w:rsidRDefault="006B08B9">
            <w:pPr>
              <w:spacing w:line="249" w:lineRule="auto"/>
              <w:ind w:right="52"/>
              <w:jc w:val="center"/>
              <w:rPr>
                <w:rFonts w:ascii="Arial" w:hAnsi="Arial" w:cs="Arial"/>
                <w:sz w:val="22"/>
                <w:szCs w:val="22"/>
              </w:rPr>
            </w:pPr>
            <w:r>
              <w:rPr>
                <w:rFonts w:ascii="Arial" w:hAnsi="Arial" w:cs="Arial"/>
                <w:sz w:val="22"/>
                <w:szCs w:val="22"/>
              </w:rPr>
              <w:t>2</w:t>
            </w:r>
          </w:p>
        </w:tc>
        <w:tc>
          <w:tcPr>
            <w:tcW w:w="2701" w:type="dxa"/>
            <w:tcBorders>
              <w:top w:val="single" w:sz="8" w:space="0" w:color="000000"/>
              <w:left w:val="single" w:sz="8" w:space="0" w:color="000000"/>
              <w:bottom w:val="single" w:sz="8" w:space="0" w:color="000000"/>
              <w:right w:val="single" w:sz="8" w:space="0" w:color="000000"/>
            </w:tcBorders>
            <w:shd w:val="clear" w:color="auto" w:fill="auto"/>
            <w:tcMar>
              <w:top w:w="16" w:type="dxa"/>
              <w:left w:w="72" w:type="dxa"/>
              <w:bottom w:w="5" w:type="dxa"/>
              <w:right w:w="18" w:type="dxa"/>
            </w:tcMar>
          </w:tcPr>
          <w:p w:rsidR="009B4233" w:rsidRDefault="006B08B9">
            <w:pPr>
              <w:spacing w:line="249" w:lineRule="auto"/>
              <w:ind w:right="10"/>
              <w:rPr>
                <w:rFonts w:ascii="Arial" w:hAnsi="Arial" w:cs="Arial"/>
                <w:sz w:val="22"/>
                <w:szCs w:val="22"/>
              </w:rPr>
            </w:pPr>
            <w:r>
              <w:rPr>
                <w:rFonts w:ascii="Arial" w:hAnsi="Arial" w:cs="Arial"/>
                <w:sz w:val="22"/>
                <w:szCs w:val="22"/>
              </w:rPr>
              <w:t xml:space="preserve">Comercio al por mayor e intermediarios del comercio Comercio menor productos no </w:t>
            </w:r>
            <w:r>
              <w:rPr>
                <w:rFonts w:ascii="Arial" w:hAnsi="Arial" w:cs="Arial"/>
                <w:sz w:val="22"/>
                <w:szCs w:val="22"/>
              </w:rPr>
              <w:t>alimenticios</w:t>
            </w:r>
          </w:p>
        </w:tc>
        <w:tc>
          <w:tcPr>
            <w:tcW w:w="983" w:type="dxa"/>
            <w:tcBorders>
              <w:top w:val="single" w:sz="8" w:space="0" w:color="000000"/>
              <w:left w:val="single" w:sz="8" w:space="0" w:color="000000"/>
              <w:bottom w:val="single" w:sz="8" w:space="0" w:color="000000"/>
              <w:right w:val="single" w:sz="8" w:space="0" w:color="000000"/>
            </w:tcBorders>
            <w:shd w:val="clear" w:color="auto" w:fill="auto"/>
            <w:tcMar>
              <w:top w:w="16" w:type="dxa"/>
              <w:left w:w="72" w:type="dxa"/>
              <w:bottom w:w="5" w:type="dxa"/>
              <w:right w:w="18" w:type="dxa"/>
            </w:tcMar>
            <w:vAlign w:val="center"/>
          </w:tcPr>
          <w:p w:rsidR="009B4233" w:rsidRDefault="006B08B9">
            <w:pPr>
              <w:spacing w:line="249" w:lineRule="auto"/>
              <w:ind w:right="49"/>
              <w:jc w:val="right"/>
              <w:rPr>
                <w:rFonts w:ascii="Arial" w:hAnsi="Arial" w:cs="Arial"/>
                <w:sz w:val="22"/>
                <w:szCs w:val="22"/>
              </w:rPr>
            </w:pPr>
            <w:r>
              <w:rPr>
                <w:rFonts w:ascii="Arial" w:hAnsi="Arial" w:cs="Arial"/>
                <w:sz w:val="22"/>
                <w:szCs w:val="22"/>
              </w:rPr>
              <w:t>31,75 €</w:t>
            </w:r>
          </w:p>
        </w:tc>
        <w:tc>
          <w:tcPr>
            <w:tcW w:w="932" w:type="dxa"/>
            <w:tcBorders>
              <w:top w:val="single" w:sz="8" w:space="0" w:color="000000"/>
              <w:left w:val="single" w:sz="8" w:space="0" w:color="000000"/>
              <w:bottom w:val="single" w:sz="8" w:space="0" w:color="000000"/>
              <w:right w:val="single" w:sz="8" w:space="0" w:color="000000"/>
            </w:tcBorders>
            <w:shd w:val="clear" w:color="auto" w:fill="auto"/>
            <w:tcMar>
              <w:top w:w="16" w:type="dxa"/>
              <w:left w:w="72" w:type="dxa"/>
              <w:bottom w:w="5" w:type="dxa"/>
              <w:right w:w="18" w:type="dxa"/>
            </w:tcMar>
            <w:vAlign w:val="center"/>
          </w:tcPr>
          <w:p w:rsidR="009B4233" w:rsidRDefault="006B08B9">
            <w:pPr>
              <w:spacing w:line="249" w:lineRule="auto"/>
              <w:ind w:right="49"/>
              <w:jc w:val="right"/>
              <w:rPr>
                <w:rFonts w:ascii="Arial" w:hAnsi="Arial" w:cs="Arial"/>
                <w:sz w:val="22"/>
                <w:szCs w:val="22"/>
              </w:rPr>
            </w:pPr>
            <w:r>
              <w:rPr>
                <w:rFonts w:ascii="Arial" w:hAnsi="Arial" w:cs="Arial"/>
                <w:sz w:val="22"/>
                <w:szCs w:val="22"/>
              </w:rPr>
              <w:t>56,42 €</w:t>
            </w:r>
          </w:p>
        </w:tc>
        <w:tc>
          <w:tcPr>
            <w:tcW w:w="793" w:type="dxa"/>
            <w:tcBorders>
              <w:top w:val="single" w:sz="8" w:space="0" w:color="000000"/>
              <w:left w:val="single" w:sz="8" w:space="0" w:color="000000"/>
              <w:bottom w:val="single" w:sz="8" w:space="0" w:color="000000"/>
              <w:right w:val="single" w:sz="4" w:space="0" w:color="000000"/>
            </w:tcBorders>
            <w:shd w:val="clear" w:color="auto" w:fill="auto"/>
            <w:tcMar>
              <w:top w:w="16" w:type="dxa"/>
              <w:left w:w="72" w:type="dxa"/>
              <w:bottom w:w="5" w:type="dxa"/>
              <w:right w:w="18" w:type="dxa"/>
            </w:tcMar>
            <w:vAlign w:val="center"/>
          </w:tcPr>
          <w:p w:rsidR="009B4233" w:rsidRDefault="006B08B9">
            <w:pPr>
              <w:spacing w:line="249" w:lineRule="auto"/>
              <w:ind w:right="51"/>
              <w:jc w:val="center"/>
              <w:rPr>
                <w:rFonts w:ascii="Arial" w:hAnsi="Arial" w:cs="Arial"/>
                <w:sz w:val="22"/>
                <w:szCs w:val="22"/>
              </w:rPr>
            </w:pPr>
            <w:r>
              <w:rPr>
                <w:rFonts w:ascii="Arial" w:hAnsi="Arial" w:cs="Arial"/>
                <w:sz w:val="22"/>
                <w:szCs w:val="22"/>
              </w:rPr>
              <w:t>0,64 €</w:t>
            </w:r>
          </w:p>
        </w:tc>
        <w:tc>
          <w:tcPr>
            <w:tcW w:w="1130" w:type="dxa"/>
            <w:tcBorders>
              <w:top w:val="single" w:sz="4" w:space="0" w:color="000000"/>
              <w:left w:val="single" w:sz="4" w:space="0" w:color="000000"/>
              <w:bottom w:val="single" w:sz="4" w:space="0" w:color="000000"/>
              <w:right w:val="single" w:sz="4" w:space="0" w:color="000000"/>
            </w:tcBorders>
            <w:shd w:val="clear" w:color="auto" w:fill="auto"/>
            <w:tcMar>
              <w:top w:w="16" w:type="dxa"/>
              <w:left w:w="72" w:type="dxa"/>
              <w:bottom w:w="5" w:type="dxa"/>
              <w:right w:w="18" w:type="dxa"/>
            </w:tcMar>
            <w:vAlign w:val="bottom"/>
          </w:tcPr>
          <w:p w:rsidR="009B4233" w:rsidRDefault="006B08B9">
            <w:pPr>
              <w:spacing w:line="249" w:lineRule="auto"/>
              <w:ind w:right="49"/>
              <w:jc w:val="right"/>
            </w:pPr>
            <w:r>
              <w:rPr>
                <w:rFonts w:ascii="Arial" w:eastAsia="Calibri" w:hAnsi="Arial" w:cs="Arial"/>
                <w:sz w:val="22"/>
                <w:szCs w:val="22"/>
              </w:rPr>
              <w:t>51,00</w:t>
            </w:r>
          </w:p>
        </w:tc>
        <w:tc>
          <w:tcPr>
            <w:tcW w:w="1460" w:type="dxa"/>
            <w:tcBorders>
              <w:top w:val="single" w:sz="4" w:space="0" w:color="000000"/>
              <w:left w:val="single" w:sz="4" w:space="0" w:color="000000"/>
              <w:bottom w:val="single" w:sz="4" w:space="0" w:color="000000"/>
              <w:right w:val="single" w:sz="4" w:space="0" w:color="000000"/>
            </w:tcBorders>
            <w:shd w:val="clear" w:color="auto" w:fill="auto"/>
            <w:tcMar>
              <w:top w:w="16" w:type="dxa"/>
              <w:left w:w="72" w:type="dxa"/>
              <w:bottom w:w="5" w:type="dxa"/>
              <w:right w:w="18" w:type="dxa"/>
            </w:tcMar>
            <w:vAlign w:val="bottom"/>
          </w:tcPr>
          <w:p w:rsidR="009B4233" w:rsidRDefault="006B08B9">
            <w:pPr>
              <w:spacing w:line="249" w:lineRule="auto"/>
              <w:ind w:right="50"/>
              <w:jc w:val="right"/>
            </w:pPr>
            <w:r>
              <w:rPr>
                <w:rFonts w:ascii="Arial" w:eastAsia="Calibri" w:hAnsi="Arial" w:cs="Arial"/>
                <w:sz w:val="22"/>
                <w:szCs w:val="22"/>
              </w:rPr>
              <w:t>29.798,82</w:t>
            </w:r>
          </w:p>
        </w:tc>
      </w:tr>
      <w:tr w:rsidR="009B4233">
        <w:tblPrEx>
          <w:tblCellMar>
            <w:top w:w="0" w:type="dxa"/>
            <w:bottom w:w="0" w:type="dxa"/>
          </w:tblCellMar>
        </w:tblPrEx>
        <w:trPr>
          <w:trHeight w:val="734"/>
        </w:trPr>
        <w:tc>
          <w:tcPr>
            <w:tcW w:w="971" w:type="dxa"/>
            <w:tcBorders>
              <w:top w:val="single" w:sz="8" w:space="0" w:color="000000"/>
              <w:left w:val="single" w:sz="8" w:space="0" w:color="000000"/>
              <w:bottom w:val="single" w:sz="8" w:space="0" w:color="000000"/>
              <w:right w:val="single" w:sz="8" w:space="0" w:color="000000"/>
            </w:tcBorders>
            <w:shd w:val="clear" w:color="auto" w:fill="auto"/>
            <w:tcMar>
              <w:top w:w="16" w:type="dxa"/>
              <w:left w:w="72" w:type="dxa"/>
              <w:bottom w:w="5" w:type="dxa"/>
              <w:right w:w="18" w:type="dxa"/>
            </w:tcMar>
            <w:vAlign w:val="center"/>
          </w:tcPr>
          <w:p w:rsidR="009B4233" w:rsidRDefault="006B08B9">
            <w:pPr>
              <w:spacing w:line="249" w:lineRule="auto"/>
              <w:ind w:right="52"/>
              <w:jc w:val="center"/>
              <w:rPr>
                <w:rFonts w:ascii="Arial" w:hAnsi="Arial" w:cs="Arial"/>
                <w:sz w:val="22"/>
                <w:szCs w:val="22"/>
              </w:rPr>
            </w:pPr>
            <w:r>
              <w:rPr>
                <w:rFonts w:ascii="Arial" w:hAnsi="Arial" w:cs="Arial"/>
                <w:sz w:val="22"/>
                <w:szCs w:val="22"/>
              </w:rPr>
              <w:t>3</w:t>
            </w:r>
          </w:p>
        </w:tc>
        <w:tc>
          <w:tcPr>
            <w:tcW w:w="2701" w:type="dxa"/>
            <w:tcBorders>
              <w:top w:val="single" w:sz="8" w:space="0" w:color="000000"/>
              <w:left w:val="single" w:sz="8" w:space="0" w:color="000000"/>
              <w:bottom w:val="single" w:sz="8" w:space="0" w:color="000000"/>
              <w:right w:val="single" w:sz="8" w:space="0" w:color="000000"/>
            </w:tcBorders>
            <w:shd w:val="clear" w:color="auto" w:fill="auto"/>
            <w:tcMar>
              <w:top w:w="16" w:type="dxa"/>
              <w:left w:w="72" w:type="dxa"/>
              <w:bottom w:w="5" w:type="dxa"/>
              <w:right w:w="18" w:type="dxa"/>
            </w:tcMar>
          </w:tcPr>
          <w:p w:rsidR="009B4233" w:rsidRDefault="006B08B9">
            <w:pPr>
              <w:spacing w:line="249" w:lineRule="auto"/>
              <w:ind w:right="40"/>
              <w:rPr>
                <w:rFonts w:ascii="Arial" w:hAnsi="Arial" w:cs="Arial"/>
                <w:sz w:val="22"/>
                <w:szCs w:val="22"/>
              </w:rPr>
            </w:pPr>
            <w:r>
              <w:rPr>
                <w:rFonts w:ascii="Arial" w:hAnsi="Arial" w:cs="Arial"/>
                <w:sz w:val="22"/>
                <w:szCs w:val="22"/>
              </w:rPr>
              <w:t>Comercio al menor productos alimenticios, bebidas y tabaco excepto los prestados en reg. de autoservicio</w:t>
            </w:r>
          </w:p>
        </w:tc>
        <w:tc>
          <w:tcPr>
            <w:tcW w:w="983" w:type="dxa"/>
            <w:tcBorders>
              <w:top w:val="single" w:sz="8" w:space="0" w:color="000000"/>
              <w:left w:val="single" w:sz="8" w:space="0" w:color="000000"/>
              <w:bottom w:val="single" w:sz="8" w:space="0" w:color="000000"/>
              <w:right w:val="single" w:sz="8" w:space="0" w:color="000000"/>
            </w:tcBorders>
            <w:shd w:val="clear" w:color="auto" w:fill="auto"/>
            <w:tcMar>
              <w:top w:w="16" w:type="dxa"/>
              <w:left w:w="72" w:type="dxa"/>
              <w:bottom w:w="5" w:type="dxa"/>
              <w:right w:w="18" w:type="dxa"/>
            </w:tcMar>
            <w:vAlign w:val="center"/>
          </w:tcPr>
          <w:p w:rsidR="009B4233" w:rsidRDefault="006B08B9">
            <w:pPr>
              <w:spacing w:line="249" w:lineRule="auto"/>
              <w:ind w:right="49"/>
              <w:jc w:val="right"/>
              <w:rPr>
                <w:rFonts w:ascii="Arial" w:hAnsi="Arial" w:cs="Arial"/>
                <w:sz w:val="22"/>
                <w:szCs w:val="22"/>
              </w:rPr>
            </w:pPr>
            <w:r>
              <w:rPr>
                <w:rFonts w:ascii="Arial" w:hAnsi="Arial" w:cs="Arial"/>
                <w:sz w:val="22"/>
                <w:szCs w:val="22"/>
              </w:rPr>
              <w:t>33,85 €</w:t>
            </w:r>
          </w:p>
        </w:tc>
        <w:tc>
          <w:tcPr>
            <w:tcW w:w="932" w:type="dxa"/>
            <w:tcBorders>
              <w:top w:val="single" w:sz="8" w:space="0" w:color="000000"/>
              <w:left w:val="single" w:sz="8" w:space="0" w:color="000000"/>
              <w:bottom w:val="single" w:sz="8" w:space="0" w:color="000000"/>
              <w:right w:val="single" w:sz="8" w:space="0" w:color="000000"/>
            </w:tcBorders>
            <w:shd w:val="clear" w:color="auto" w:fill="auto"/>
            <w:tcMar>
              <w:top w:w="16" w:type="dxa"/>
              <w:left w:w="72" w:type="dxa"/>
              <w:bottom w:w="5" w:type="dxa"/>
              <w:right w:w="18" w:type="dxa"/>
            </w:tcMar>
            <w:vAlign w:val="center"/>
          </w:tcPr>
          <w:p w:rsidR="009B4233" w:rsidRDefault="006B08B9">
            <w:pPr>
              <w:spacing w:line="249" w:lineRule="auto"/>
              <w:ind w:right="49"/>
              <w:jc w:val="right"/>
              <w:rPr>
                <w:rFonts w:ascii="Arial" w:hAnsi="Arial" w:cs="Arial"/>
                <w:sz w:val="22"/>
                <w:szCs w:val="22"/>
              </w:rPr>
            </w:pPr>
            <w:r>
              <w:rPr>
                <w:rFonts w:ascii="Arial" w:hAnsi="Arial" w:cs="Arial"/>
                <w:sz w:val="22"/>
                <w:szCs w:val="22"/>
              </w:rPr>
              <w:t>60,92 €</w:t>
            </w:r>
          </w:p>
        </w:tc>
        <w:tc>
          <w:tcPr>
            <w:tcW w:w="793" w:type="dxa"/>
            <w:tcBorders>
              <w:top w:val="single" w:sz="8" w:space="0" w:color="000000"/>
              <w:left w:val="single" w:sz="8" w:space="0" w:color="000000"/>
              <w:bottom w:val="single" w:sz="8" w:space="0" w:color="000000"/>
              <w:right w:val="single" w:sz="4" w:space="0" w:color="000000"/>
            </w:tcBorders>
            <w:shd w:val="clear" w:color="auto" w:fill="auto"/>
            <w:tcMar>
              <w:top w:w="16" w:type="dxa"/>
              <w:left w:w="72" w:type="dxa"/>
              <w:bottom w:w="5" w:type="dxa"/>
              <w:right w:w="18" w:type="dxa"/>
            </w:tcMar>
            <w:vAlign w:val="center"/>
          </w:tcPr>
          <w:p w:rsidR="009B4233" w:rsidRDefault="006B08B9">
            <w:pPr>
              <w:spacing w:line="249" w:lineRule="auto"/>
              <w:ind w:right="51"/>
              <w:jc w:val="center"/>
              <w:rPr>
                <w:rFonts w:ascii="Arial" w:hAnsi="Arial" w:cs="Arial"/>
                <w:sz w:val="22"/>
                <w:szCs w:val="22"/>
              </w:rPr>
            </w:pPr>
            <w:r>
              <w:rPr>
                <w:rFonts w:ascii="Arial" w:hAnsi="Arial" w:cs="Arial"/>
                <w:sz w:val="22"/>
                <w:szCs w:val="22"/>
              </w:rPr>
              <w:t>0,67 €</w:t>
            </w:r>
          </w:p>
        </w:tc>
        <w:tc>
          <w:tcPr>
            <w:tcW w:w="1130" w:type="dxa"/>
            <w:tcBorders>
              <w:top w:val="single" w:sz="4" w:space="0" w:color="000000"/>
              <w:left w:val="single" w:sz="4" w:space="0" w:color="000000"/>
              <w:bottom w:val="single" w:sz="4" w:space="0" w:color="000000"/>
              <w:right w:val="single" w:sz="4" w:space="0" w:color="000000"/>
            </w:tcBorders>
            <w:shd w:val="clear" w:color="auto" w:fill="auto"/>
            <w:tcMar>
              <w:top w:w="16" w:type="dxa"/>
              <w:left w:w="72" w:type="dxa"/>
              <w:bottom w:w="5" w:type="dxa"/>
              <w:right w:w="18" w:type="dxa"/>
            </w:tcMar>
            <w:vAlign w:val="bottom"/>
          </w:tcPr>
          <w:p w:rsidR="009B4233" w:rsidRDefault="006B08B9">
            <w:pPr>
              <w:spacing w:line="249" w:lineRule="auto"/>
              <w:ind w:right="49"/>
              <w:jc w:val="right"/>
            </w:pPr>
            <w:r>
              <w:rPr>
                <w:rFonts w:ascii="Arial" w:eastAsia="Calibri" w:hAnsi="Arial" w:cs="Arial"/>
                <w:sz w:val="22"/>
                <w:szCs w:val="22"/>
              </w:rPr>
              <w:t>189,00</w:t>
            </w:r>
          </w:p>
        </w:tc>
        <w:tc>
          <w:tcPr>
            <w:tcW w:w="1460" w:type="dxa"/>
            <w:tcBorders>
              <w:top w:val="single" w:sz="4" w:space="0" w:color="000000"/>
              <w:left w:val="single" w:sz="4" w:space="0" w:color="000000"/>
              <w:bottom w:val="single" w:sz="4" w:space="0" w:color="000000"/>
              <w:right w:val="single" w:sz="4" w:space="0" w:color="000000"/>
            </w:tcBorders>
            <w:shd w:val="clear" w:color="auto" w:fill="auto"/>
            <w:tcMar>
              <w:top w:w="16" w:type="dxa"/>
              <w:left w:w="72" w:type="dxa"/>
              <w:bottom w:w="5" w:type="dxa"/>
              <w:right w:w="18" w:type="dxa"/>
            </w:tcMar>
            <w:vAlign w:val="bottom"/>
          </w:tcPr>
          <w:p w:rsidR="009B4233" w:rsidRDefault="006B08B9">
            <w:pPr>
              <w:spacing w:line="249" w:lineRule="auto"/>
              <w:ind w:right="50"/>
              <w:jc w:val="right"/>
            </w:pPr>
            <w:r>
              <w:rPr>
                <w:rFonts w:ascii="Arial" w:eastAsia="Calibri" w:hAnsi="Arial" w:cs="Arial"/>
                <w:sz w:val="22"/>
                <w:szCs w:val="22"/>
              </w:rPr>
              <w:t>148.327,74</w:t>
            </w:r>
          </w:p>
        </w:tc>
      </w:tr>
      <w:tr w:rsidR="009B4233">
        <w:tblPrEx>
          <w:tblCellMar>
            <w:top w:w="0" w:type="dxa"/>
            <w:bottom w:w="0" w:type="dxa"/>
          </w:tblCellMar>
        </w:tblPrEx>
        <w:trPr>
          <w:trHeight w:val="736"/>
        </w:trPr>
        <w:tc>
          <w:tcPr>
            <w:tcW w:w="971" w:type="dxa"/>
            <w:tcBorders>
              <w:top w:val="single" w:sz="8" w:space="0" w:color="000000"/>
              <w:left w:val="single" w:sz="8" w:space="0" w:color="000000"/>
              <w:bottom w:val="single" w:sz="8" w:space="0" w:color="000000"/>
              <w:right w:val="single" w:sz="8" w:space="0" w:color="000000"/>
            </w:tcBorders>
            <w:shd w:val="clear" w:color="auto" w:fill="auto"/>
            <w:tcMar>
              <w:top w:w="16" w:type="dxa"/>
              <w:left w:w="72" w:type="dxa"/>
              <w:bottom w:w="5" w:type="dxa"/>
              <w:right w:w="18" w:type="dxa"/>
            </w:tcMar>
            <w:vAlign w:val="center"/>
          </w:tcPr>
          <w:p w:rsidR="009B4233" w:rsidRDefault="006B08B9">
            <w:pPr>
              <w:spacing w:line="249" w:lineRule="auto"/>
              <w:ind w:right="52"/>
              <w:jc w:val="center"/>
              <w:rPr>
                <w:rFonts w:ascii="Arial" w:hAnsi="Arial" w:cs="Arial"/>
                <w:sz w:val="22"/>
                <w:szCs w:val="22"/>
              </w:rPr>
            </w:pPr>
            <w:r>
              <w:rPr>
                <w:rFonts w:ascii="Arial" w:hAnsi="Arial" w:cs="Arial"/>
                <w:sz w:val="22"/>
                <w:szCs w:val="22"/>
              </w:rPr>
              <w:t>4</w:t>
            </w:r>
          </w:p>
        </w:tc>
        <w:tc>
          <w:tcPr>
            <w:tcW w:w="2701" w:type="dxa"/>
            <w:tcBorders>
              <w:top w:val="single" w:sz="8" w:space="0" w:color="000000"/>
              <w:left w:val="single" w:sz="8" w:space="0" w:color="000000"/>
              <w:bottom w:val="single" w:sz="8" w:space="0" w:color="000000"/>
              <w:right w:val="single" w:sz="8" w:space="0" w:color="000000"/>
            </w:tcBorders>
            <w:shd w:val="clear" w:color="auto" w:fill="auto"/>
            <w:tcMar>
              <w:top w:w="16" w:type="dxa"/>
              <w:left w:w="72" w:type="dxa"/>
              <w:bottom w:w="5" w:type="dxa"/>
              <w:right w:w="18" w:type="dxa"/>
            </w:tcMar>
          </w:tcPr>
          <w:p w:rsidR="009B4233" w:rsidRDefault="006B08B9">
            <w:pPr>
              <w:spacing w:line="249" w:lineRule="auto"/>
              <w:rPr>
                <w:rFonts w:ascii="Arial" w:hAnsi="Arial" w:cs="Arial"/>
                <w:sz w:val="22"/>
                <w:szCs w:val="22"/>
              </w:rPr>
            </w:pPr>
            <w:r>
              <w:rPr>
                <w:rFonts w:ascii="Arial" w:hAnsi="Arial" w:cs="Arial"/>
                <w:sz w:val="22"/>
                <w:szCs w:val="22"/>
              </w:rPr>
              <w:t xml:space="preserve">Comercio al menor productos alimenticios, bebidas y </w:t>
            </w:r>
            <w:r>
              <w:rPr>
                <w:rFonts w:ascii="Arial" w:hAnsi="Arial" w:cs="Arial"/>
                <w:sz w:val="22"/>
                <w:szCs w:val="22"/>
              </w:rPr>
              <w:t>tabaco prestados en reg. de autoservicio</w:t>
            </w:r>
          </w:p>
        </w:tc>
        <w:tc>
          <w:tcPr>
            <w:tcW w:w="983" w:type="dxa"/>
            <w:tcBorders>
              <w:top w:val="single" w:sz="8" w:space="0" w:color="000000"/>
              <w:left w:val="single" w:sz="8" w:space="0" w:color="000000"/>
              <w:bottom w:val="single" w:sz="8" w:space="0" w:color="000000"/>
              <w:right w:val="single" w:sz="8" w:space="0" w:color="000000"/>
            </w:tcBorders>
            <w:shd w:val="clear" w:color="auto" w:fill="auto"/>
            <w:tcMar>
              <w:top w:w="16" w:type="dxa"/>
              <w:left w:w="72" w:type="dxa"/>
              <w:bottom w:w="5" w:type="dxa"/>
              <w:right w:w="18" w:type="dxa"/>
            </w:tcMar>
            <w:vAlign w:val="center"/>
          </w:tcPr>
          <w:p w:rsidR="009B4233" w:rsidRDefault="006B08B9">
            <w:pPr>
              <w:spacing w:line="249" w:lineRule="auto"/>
              <w:ind w:right="49"/>
              <w:jc w:val="right"/>
              <w:rPr>
                <w:rFonts w:ascii="Arial" w:hAnsi="Arial" w:cs="Arial"/>
                <w:sz w:val="22"/>
                <w:szCs w:val="22"/>
              </w:rPr>
            </w:pPr>
            <w:r>
              <w:rPr>
                <w:rFonts w:ascii="Arial" w:hAnsi="Arial" w:cs="Arial"/>
                <w:sz w:val="22"/>
                <w:szCs w:val="22"/>
              </w:rPr>
              <w:t>56,42 €</w:t>
            </w:r>
          </w:p>
        </w:tc>
        <w:tc>
          <w:tcPr>
            <w:tcW w:w="932" w:type="dxa"/>
            <w:tcBorders>
              <w:top w:val="single" w:sz="8" w:space="0" w:color="000000"/>
              <w:left w:val="single" w:sz="8" w:space="0" w:color="000000"/>
              <w:bottom w:val="single" w:sz="8" w:space="0" w:color="000000"/>
              <w:right w:val="single" w:sz="8" w:space="0" w:color="000000"/>
            </w:tcBorders>
            <w:shd w:val="clear" w:color="auto" w:fill="auto"/>
            <w:tcMar>
              <w:top w:w="16" w:type="dxa"/>
              <w:left w:w="72" w:type="dxa"/>
              <w:bottom w:w="5" w:type="dxa"/>
              <w:right w:w="18" w:type="dxa"/>
            </w:tcMar>
            <w:vAlign w:val="center"/>
          </w:tcPr>
          <w:p w:rsidR="009B4233" w:rsidRDefault="006B08B9">
            <w:pPr>
              <w:spacing w:line="249" w:lineRule="auto"/>
              <w:ind w:right="49"/>
              <w:jc w:val="right"/>
              <w:rPr>
                <w:rFonts w:ascii="Arial" w:hAnsi="Arial" w:cs="Arial"/>
                <w:sz w:val="22"/>
                <w:szCs w:val="22"/>
              </w:rPr>
            </w:pPr>
            <w:r>
              <w:rPr>
                <w:rFonts w:ascii="Arial" w:hAnsi="Arial" w:cs="Arial"/>
                <w:sz w:val="22"/>
                <w:szCs w:val="22"/>
              </w:rPr>
              <w:t>101,57 €</w:t>
            </w:r>
          </w:p>
        </w:tc>
        <w:tc>
          <w:tcPr>
            <w:tcW w:w="793" w:type="dxa"/>
            <w:tcBorders>
              <w:top w:val="single" w:sz="8" w:space="0" w:color="000000"/>
              <w:left w:val="single" w:sz="8" w:space="0" w:color="000000"/>
              <w:bottom w:val="single" w:sz="8" w:space="0" w:color="000000"/>
              <w:right w:val="single" w:sz="4" w:space="0" w:color="000000"/>
            </w:tcBorders>
            <w:shd w:val="clear" w:color="auto" w:fill="auto"/>
            <w:tcMar>
              <w:top w:w="16" w:type="dxa"/>
              <w:left w:w="72" w:type="dxa"/>
              <w:bottom w:w="5" w:type="dxa"/>
              <w:right w:w="18" w:type="dxa"/>
            </w:tcMar>
            <w:vAlign w:val="center"/>
          </w:tcPr>
          <w:p w:rsidR="009B4233" w:rsidRDefault="006B08B9">
            <w:pPr>
              <w:spacing w:line="249" w:lineRule="auto"/>
              <w:ind w:right="51"/>
              <w:jc w:val="center"/>
              <w:rPr>
                <w:rFonts w:ascii="Arial" w:hAnsi="Arial" w:cs="Arial"/>
                <w:sz w:val="22"/>
                <w:szCs w:val="22"/>
              </w:rPr>
            </w:pPr>
            <w:r>
              <w:rPr>
                <w:rFonts w:ascii="Arial" w:hAnsi="Arial" w:cs="Arial"/>
                <w:sz w:val="22"/>
                <w:szCs w:val="22"/>
              </w:rPr>
              <w:t>0,67 €</w:t>
            </w:r>
          </w:p>
        </w:tc>
        <w:tc>
          <w:tcPr>
            <w:tcW w:w="1130" w:type="dxa"/>
            <w:tcBorders>
              <w:top w:val="single" w:sz="4" w:space="0" w:color="000000"/>
              <w:left w:val="single" w:sz="4" w:space="0" w:color="000000"/>
              <w:bottom w:val="single" w:sz="4" w:space="0" w:color="000000"/>
              <w:right w:val="single" w:sz="4" w:space="0" w:color="000000"/>
            </w:tcBorders>
            <w:shd w:val="clear" w:color="auto" w:fill="auto"/>
            <w:tcMar>
              <w:top w:w="16" w:type="dxa"/>
              <w:left w:w="72" w:type="dxa"/>
              <w:bottom w:w="5" w:type="dxa"/>
              <w:right w:w="18" w:type="dxa"/>
            </w:tcMar>
            <w:vAlign w:val="bottom"/>
          </w:tcPr>
          <w:p w:rsidR="009B4233" w:rsidRDefault="006B08B9">
            <w:pPr>
              <w:spacing w:line="249" w:lineRule="auto"/>
              <w:ind w:right="49"/>
              <w:jc w:val="right"/>
            </w:pPr>
            <w:r>
              <w:rPr>
                <w:rFonts w:ascii="Arial" w:eastAsia="Calibri" w:hAnsi="Arial" w:cs="Arial"/>
                <w:sz w:val="22"/>
                <w:szCs w:val="22"/>
              </w:rPr>
              <w:t>81,00</w:t>
            </w:r>
          </w:p>
        </w:tc>
        <w:tc>
          <w:tcPr>
            <w:tcW w:w="1460" w:type="dxa"/>
            <w:tcBorders>
              <w:top w:val="single" w:sz="4" w:space="0" w:color="000000"/>
              <w:left w:val="single" w:sz="4" w:space="0" w:color="000000"/>
              <w:bottom w:val="single" w:sz="4" w:space="0" w:color="000000"/>
              <w:right w:val="single" w:sz="4" w:space="0" w:color="000000"/>
            </w:tcBorders>
            <w:shd w:val="clear" w:color="auto" w:fill="auto"/>
            <w:tcMar>
              <w:top w:w="16" w:type="dxa"/>
              <w:left w:w="72" w:type="dxa"/>
              <w:bottom w:w="5" w:type="dxa"/>
              <w:right w:w="18" w:type="dxa"/>
            </w:tcMar>
            <w:vAlign w:val="bottom"/>
          </w:tcPr>
          <w:p w:rsidR="009B4233" w:rsidRDefault="006B08B9">
            <w:pPr>
              <w:spacing w:line="249" w:lineRule="auto"/>
              <w:ind w:right="50"/>
              <w:jc w:val="right"/>
            </w:pPr>
            <w:r>
              <w:rPr>
                <w:rFonts w:ascii="Arial" w:eastAsia="Calibri" w:hAnsi="Arial" w:cs="Arial"/>
                <w:sz w:val="22"/>
                <w:szCs w:val="22"/>
              </w:rPr>
              <w:t>30.070,50</w:t>
            </w:r>
          </w:p>
        </w:tc>
      </w:tr>
      <w:tr w:rsidR="009B4233">
        <w:tblPrEx>
          <w:tblCellMar>
            <w:top w:w="0" w:type="dxa"/>
            <w:bottom w:w="0" w:type="dxa"/>
          </w:tblCellMar>
        </w:tblPrEx>
        <w:trPr>
          <w:trHeight w:val="494"/>
        </w:trPr>
        <w:tc>
          <w:tcPr>
            <w:tcW w:w="971" w:type="dxa"/>
            <w:tcBorders>
              <w:top w:val="single" w:sz="8" w:space="0" w:color="000000"/>
              <w:left w:val="single" w:sz="8" w:space="0" w:color="000000"/>
              <w:bottom w:val="single" w:sz="8" w:space="0" w:color="000000"/>
              <w:right w:val="single" w:sz="8" w:space="0" w:color="000000"/>
            </w:tcBorders>
            <w:shd w:val="clear" w:color="auto" w:fill="auto"/>
            <w:tcMar>
              <w:top w:w="16" w:type="dxa"/>
              <w:left w:w="72" w:type="dxa"/>
              <w:bottom w:w="5" w:type="dxa"/>
              <w:right w:w="18" w:type="dxa"/>
            </w:tcMar>
            <w:vAlign w:val="center"/>
          </w:tcPr>
          <w:p w:rsidR="009B4233" w:rsidRDefault="006B08B9">
            <w:pPr>
              <w:spacing w:line="249" w:lineRule="auto"/>
              <w:ind w:right="52"/>
              <w:jc w:val="center"/>
              <w:rPr>
                <w:rFonts w:ascii="Arial" w:hAnsi="Arial" w:cs="Arial"/>
                <w:sz w:val="22"/>
                <w:szCs w:val="22"/>
              </w:rPr>
            </w:pPr>
            <w:r>
              <w:rPr>
                <w:rFonts w:ascii="Arial" w:hAnsi="Arial" w:cs="Arial"/>
                <w:sz w:val="22"/>
                <w:szCs w:val="22"/>
              </w:rPr>
              <w:t>5</w:t>
            </w:r>
          </w:p>
        </w:tc>
        <w:tc>
          <w:tcPr>
            <w:tcW w:w="2701" w:type="dxa"/>
            <w:tcBorders>
              <w:top w:val="single" w:sz="8" w:space="0" w:color="000000"/>
              <w:left w:val="single" w:sz="8" w:space="0" w:color="000000"/>
              <w:bottom w:val="single" w:sz="8" w:space="0" w:color="000000"/>
              <w:right w:val="single" w:sz="8" w:space="0" w:color="000000"/>
            </w:tcBorders>
            <w:shd w:val="clear" w:color="auto" w:fill="auto"/>
            <w:tcMar>
              <w:top w:w="16" w:type="dxa"/>
              <w:left w:w="72" w:type="dxa"/>
              <w:bottom w:w="5" w:type="dxa"/>
              <w:right w:w="18" w:type="dxa"/>
            </w:tcMar>
          </w:tcPr>
          <w:p w:rsidR="009B4233" w:rsidRDefault="006B08B9">
            <w:pPr>
              <w:spacing w:line="249" w:lineRule="auto"/>
              <w:rPr>
                <w:rFonts w:ascii="Arial" w:hAnsi="Arial" w:cs="Arial"/>
                <w:sz w:val="22"/>
                <w:szCs w:val="22"/>
              </w:rPr>
            </w:pPr>
            <w:r>
              <w:rPr>
                <w:rFonts w:ascii="Arial" w:hAnsi="Arial" w:cs="Arial"/>
                <w:sz w:val="22"/>
                <w:szCs w:val="22"/>
              </w:rPr>
              <w:t>Restauración y otros serv. de alimentación, servicios en restaurantes</w:t>
            </w:r>
          </w:p>
        </w:tc>
        <w:tc>
          <w:tcPr>
            <w:tcW w:w="983" w:type="dxa"/>
            <w:tcBorders>
              <w:top w:val="single" w:sz="8" w:space="0" w:color="000000"/>
              <w:left w:val="single" w:sz="8" w:space="0" w:color="000000"/>
              <w:bottom w:val="single" w:sz="8" w:space="0" w:color="000000"/>
              <w:right w:val="single" w:sz="8" w:space="0" w:color="000000"/>
            </w:tcBorders>
            <w:shd w:val="clear" w:color="auto" w:fill="auto"/>
            <w:tcMar>
              <w:top w:w="16" w:type="dxa"/>
              <w:left w:w="72" w:type="dxa"/>
              <w:bottom w:w="5" w:type="dxa"/>
              <w:right w:w="18" w:type="dxa"/>
            </w:tcMar>
            <w:vAlign w:val="center"/>
          </w:tcPr>
          <w:p w:rsidR="009B4233" w:rsidRDefault="006B08B9">
            <w:pPr>
              <w:spacing w:line="249" w:lineRule="auto"/>
              <w:ind w:right="49"/>
              <w:jc w:val="right"/>
              <w:rPr>
                <w:rFonts w:ascii="Arial" w:hAnsi="Arial" w:cs="Arial"/>
                <w:sz w:val="22"/>
                <w:szCs w:val="22"/>
              </w:rPr>
            </w:pPr>
            <w:r>
              <w:rPr>
                <w:rFonts w:ascii="Arial" w:hAnsi="Arial" w:cs="Arial"/>
                <w:sz w:val="22"/>
                <w:szCs w:val="22"/>
              </w:rPr>
              <w:t>112,69 €</w:t>
            </w:r>
          </w:p>
        </w:tc>
        <w:tc>
          <w:tcPr>
            <w:tcW w:w="932" w:type="dxa"/>
            <w:tcBorders>
              <w:top w:val="single" w:sz="8" w:space="0" w:color="000000"/>
              <w:left w:val="single" w:sz="8" w:space="0" w:color="000000"/>
              <w:bottom w:val="single" w:sz="8" w:space="0" w:color="000000"/>
              <w:right w:val="single" w:sz="8" w:space="0" w:color="000000"/>
            </w:tcBorders>
            <w:shd w:val="clear" w:color="auto" w:fill="auto"/>
            <w:tcMar>
              <w:top w:w="16" w:type="dxa"/>
              <w:left w:w="72" w:type="dxa"/>
              <w:bottom w:w="5" w:type="dxa"/>
              <w:right w:w="18" w:type="dxa"/>
            </w:tcMar>
            <w:vAlign w:val="center"/>
          </w:tcPr>
          <w:p w:rsidR="009B4233" w:rsidRDefault="006B08B9">
            <w:pPr>
              <w:spacing w:line="249" w:lineRule="auto"/>
              <w:ind w:right="49"/>
              <w:jc w:val="right"/>
              <w:rPr>
                <w:rFonts w:ascii="Arial" w:hAnsi="Arial" w:cs="Arial"/>
                <w:sz w:val="22"/>
                <w:szCs w:val="22"/>
              </w:rPr>
            </w:pPr>
            <w:r>
              <w:rPr>
                <w:rFonts w:ascii="Arial" w:hAnsi="Arial" w:cs="Arial"/>
                <w:sz w:val="22"/>
                <w:szCs w:val="22"/>
              </w:rPr>
              <w:t>155,16 €</w:t>
            </w:r>
          </w:p>
        </w:tc>
        <w:tc>
          <w:tcPr>
            <w:tcW w:w="793" w:type="dxa"/>
            <w:tcBorders>
              <w:top w:val="single" w:sz="8" w:space="0" w:color="000000"/>
              <w:left w:val="single" w:sz="8" w:space="0" w:color="000000"/>
              <w:bottom w:val="single" w:sz="8" w:space="0" w:color="000000"/>
              <w:right w:val="single" w:sz="4" w:space="0" w:color="000000"/>
            </w:tcBorders>
            <w:shd w:val="clear" w:color="auto" w:fill="auto"/>
            <w:tcMar>
              <w:top w:w="16" w:type="dxa"/>
              <w:left w:w="72" w:type="dxa"/>
              <w:bottom w:w="5" w:type="dxa"/>
              <w:right w:w="18" w:type="dxa"/>
            </w:tcMar>
            <w:vAlign w:val="center"/>
          </w:tcPr>
          <w:p w:rsidR="009B4233" w:rsidRDefault="006B08B9">
            <w:pPr>
              <w:spacing w:line="249" w:lineRule="auto"/>
              <w:ind w:right="51"/>
              <w:jc w:val="center"/>
              <w:rPr>
                <w:rFonts w:ascii="Arial" w:hAnsi="Arial" w:cs="Arial"/>
                <w:sz w:val="22"/>
                <w:szCs w:val="22"/>
              </w:rPr>
            </w:pPr>
            <w:r>
              <w:rPr>
                <w:rFonts w:ascii="Arial" w:hAnsi="Arial" w:cs="Arial"/>
                <w:sz w:val="22"/>
                <w:szCs w:val="22"/>
              </w:rPr>
              <w:t>0,69 €</w:t>
            </w:r>
          </w:p>
        </w:tc>
        <w:tc>
          <w:tcPr>
            <w:tcW w:w="1130" w:type="dxa"/>
            <w:tcBorders>
              <w:top w:val="single" w:sz="4" w:space="0" w:color="000000"/>
              <w:left w:val="single" w:sz="4" w:space="0" w:color="000000"/>
              <w:bottom w:val="single" w:sz="4" w:space="0" w:color="000000"/>
              <w:right w:val="single" w:sz="4" w:space="0" w:color="000000"/>
            </w:tcBorders>
            <w:shd w:val="clear" w:color="auto" w:fill="auto"/>
            <w:tcMar>
              <w:top w:w="16" w:type="dxa"/>
              <w:left w:w="72" w:type="dxa"/>
              <w:bottom w:w="5" w:type="dxa"/>
              <w:right w:w="18" w:type="dxa"/>
            </w:tcMar>
            <w:vAlign w:val="bottom"/>
          </w:tcPr>
          <w:p w:rsidR="009B4233" w:rsidRDefault="006B08B9">
            <w:pPr>
              <w:spacing w:line="249" w:lineRule="auto"/>
              <w:ind w:right="49"/>
              <w:jc w:val="right"/>
            </w:pPr>
            <w:r>
              <w:rPr>
                <w:rFonts w:ascii="Arial" w:eastAsia="Calibri" w:hAnsi="Arial" w:cs="Arial"/>
                <w:sz w:val="22"/>
                <w:szCs w:val="22"/>
              </w:rPr>
              <w:t>141,00</w:t>
            </w:r>
          </w:p>
        </w:tc>
        <w:tc>
          <w:tcPr>
            <w:tcW w:w="1460" w:type="dxa"/>
            <w:tcBorders>
              <w:top w:val="single" w:sz="4" w:space="0" w:color="000000"/>
              <w:left w:val="single" w:sz="4" w:space="0" w:color="000000"/>
              <w:bottom w:val="single" w:sz="4" w:space="0" w:color="000000"/>
              <w:right w:val="single" w:sz="4" w:space="0" w:color="000000"/>
            </w:tcBorders>
            <w:shd w:val="clear" w:color="auto" w:fill="auto"/>
            <w:tcMar>
              <w:top w:w="16" w:type="dxa"/>
              <w:left w:w="72" w:type="dxa"/>
              <w:bottom w:w="5" w:type="dxa"/>
              <w:right w:w="18" w:type="dxa"/>
            </w:tcMar>
            <w:vAlign w:val="bottom"/>
          </w:tcPr>
          <w:p w:rsidR="009B4233" w:rsidRDefault="006B08B9">
            <w:pPr>
              <w:spacing w:line="249" w:lineRule="auto"/>
              <w:ind w:right="50"/>
              <w:jc w:val="right"/>
            </w:pPr>
            <w:r>
              <w:rPr>
                <w:rFonts w:ascii="Arial" w:eastAsia="Calibri" w:hAnsi="Arial" w:cs="Arial"/>
                <w:sz w:val="22"/>
                <w:szCs w:val="22"/>
              </w:rPr>
              <w:t>199.347,66</w:t>
            </w:r>
          </w:p>
        </w:tc>
      </w:tr>
      <w:tr w:rsidR="009B4233">
        <w:tblPrEx>
          <w:tblCellMar>
            <w:top w:w="0" w:type="dxa"/>
            <w:bottom w:w="0" w:type="dxa"/>
          </w:tblCellMar>
        </w:tblPrEx>
        <w:trPr>
          <w:trHeight w:val="642"/>
        </w:trPr>
        <w:tc>
          <w:tcPr>
            <w:tcW w:w="971" w:type="dxa"/>
            <w:tcBorders>
              <w:top w:val="single" w:sz="8" w:space="0" w:color="000000"/>
              <w:left w:val="single" w:sz="8" w:space="0" w:color="000000"/>
              <w:bottom w:val="single" w:sz="8" w:space="0" w:color="000000"/>
              <w:right w:val="single" w:sz="8" w:space="0" w:color="000000"/>
            </w:tcBorders>
            <w:shd w:val="clear" w:color="auto" w:fill="auto"/>
            <w:tcMar>
              <w:top w:w="16" w:type="dxa"/>
              <w:left w:w="72" w:type="dxa"/>
              <w:bottom w:w="5" w:type="dxa"/>
              <w:right w:w="18" w:type="dxa"/>
            </w:tcMar>
            <w:vAlign w:val="center"/>
          </w:tcPr>
          <w:p w:rsidR="009B4233" w:rsidRDefault="006B08B9">
            <w:pPr>
              <w:spacing w:line="249" w:lineRule="auto"/>
              <w:ind w:right="52"/>
              <w:jc w:val="center"/>
              <w:rPr>
                <w:rFonts w:ascii="Arial" w:hAnsi="Arial" w:cs="Arial"/>
                <w:sz w:val="22"/>
                <w:szCs w:val="22"/>
              </w:rPr>
            </w:pPr>
            <w:r>
              <w:rPr>
                <w:rFonts w:ascii="Arial" w:hAnsi="Arial" w:cs="Arial"/>
                <w:sz w:val="22"/>
                <w:szCs w:val="22"/>
              </w:rPr>
              <w:t>6</w:t>
            </w:r>
          </w:p>
        </w:tc>
        <w:tc>
          <w:tcPr>
            <w:tcW w:w="2701" w:type="dxa"/>
            <w:tcBorders>
              <w:top w:val="single" w:sz="8" w:space="0" w:color="000000"/>
              <w:left w:val="single" w:sz="8" w:space="0" w:color="000000"/>
              <w:bottom w:val="single" w:sz="8" w:space="0" w:color="000000"/>
              <w:right w:val="single" w:sz="8" w:space="0" w:color="000000"/>
            </w:tcBorders>
            <w:shd w:val="clear" w:color="auto" w:fill="auto"/>
            <w:tcMar>
              <w:top w:w="16" w:type="dxa"/>
              <w:left w:w="72" w:type="dxa"/>
              <w:bottom w:w="5" w:type="dxa"/>
              <w:right w:w="18" w:type="dxa"/>
            </w:tcMar>
          </w:tcPr>
          <w:p w:rsidR="009B4233" w:rsidRDefault="006B08B9">
            <w:pPr>
              <w:spacing w:line="249" w:lineRule="auto"/>
              <w:rPr>
                <w:rFonts w:ascii="Arial" w:hAnsi="Arial" w:cs="Arial"/>
                <w:sz w:val="22"/>
                <w:szCs w:val="22"/>
              </w:rPr>
            </w:pPr>
            <w:r>
              <w:rPr>
                <w:rFonts w:ascii="Arial" w:hAnsi="Arial" w:cs="Arial"/>
                <w:sz w:val="22"/>
                <w:szCs w:val="22"/>
              </w:rPr>
              <w:t xml:space="preserve">Restauración y otros serv. de alimentación, excepto </w:t>
            </w:r>
            <w:r>
              <w:rPr>
                <w:rFonts w:ascii="Arial" w:hAnsi="Arial" w:cs="Arial"/>
                <w:sz w:val="22"/>
                <w:szCs w:val="22"/>
              </w:rPr>
              <w:t>serv. de restaurantes</w:t>
            </w:r>
          </w:p>
        </w:tc>
        <w:tc>
          <w:tcPr>
            <w:tcW w:w="983" w:type="dxa"/>
            <w:tcBorders>
              <w:top w:val="single" w:sz="8" w:space="0" w:color="000000"/>
              <w:left w:val="single" w:sz="8" w:space="0" w:color="000000"/>
              <w:bottom w:val="single" w:sz="8" w:space="0" w:color="000000"/>
              <w:right w:val="single" w:sz="8" w:space="0" w:color="000000"/>
            </w:tcBorders>
            <w:shd w:val="clear" w:color="auto" w:fill="auto"/>
            <w:tcMar>
              <w:top w:w="16" w:type="dxa"/>
              <w:left w:w="72" w:type="dxa"/>
              <w:bottom w:w="5" w:type="dxa"/>
              <w:right w:w="18" w:type="dxa"/>
            </w:tcMar>
            <w:vAlign w:val="center"/>
          </w:tcPr>
          <w:p w:rsidR="009B4233" w:rsidRDefault="006B08B9">
            <w:pPr>
              <w:spacing w:line="249" w:lineRule="auto"/>
              <w:ind w:right="49"/>
              <w:jc w:val="right"/>
              <w:rPr>
                <w:rFonts w:ascii="Arial" w:hAnsi="Arial" w:cs="Arial"/>
                <w:sz w:val="22"/>
                <w:szCs w:val="22"/>
              </w:rPr>
            </w:pPr>
            <w:r>
              <w:rPr>
                <w:rFonts w:ascii="Arial" w:hAnsi="Arial" w:cs="Arial"/>
                <w:sz w:val="22"/>
                <w:szCs w:val="22"/>
              </w:rPr>
              <w:t>56,36 €</w:t>
            </w:r>
          </w:p>
        </w:tc>
        <w:tc>
          <w:tcPr>
            <w:tcW w:w="932" w:type="dxa"/>
            <w:tcBorders>
              <w:top w:val="single" w:sz="8" w:space="0" w:color="000000"/>
              <w:left w:val="single" w:sz="8" w:space="0" w:color="000000"/>
              <w:bottom w:val="single" w:sz="8" w:space="0" w:color="000000"/>
              <w:right w:val="single" w:sz="8" w:space="0" w:color="000000"/>
            </w:tcBorders>
            <w:shd w:val="clear" w:color="auto" w:fill="auto"/>
            <w:tcMar>
              <w:top w:w="16" w:type="dxa"/>
              <w:left w:w="72" w:type="dxa"/>
              <w:bottom w:w="5" w:type="dxa"/>
              <w:right w:w="18" w:type="dxa"/>
            </w:tcMar>
            <w:vAlign w:val="center"/>
          </w:tcPr>
          <w:p w:rsidR="009B4233" w:rsidRDefault="006B08B9">
            <w:pPr>
              <w:spacing w:line="249" w:lineRule="auto"/>
              <w:ind w:right="49"/>
              <w:jc w:val="right"/>
              <w:rPr>
                <w:rFonts w:ascii="Arial" w:hAnsi="Arial" w:cs="Arial"/>
                <w:sz w:val="22"/>
                <w:szCs w:val="22"/>
              </w:rPr>
            </w:pPr>
            <w:r>
              <w:rPr>
                <w:rFonts w:ascii="Arial" w:hAnsi="Arial" w:cs="Arial"/>
                <w:sz w:val="22"/>
                <w:szCs w:val="22"/>
              </w:rPr>
              <w:t>77,57 €</w:t>
            </w:r>
          </w:p>
        </w:tc>
        <w:tc>
          <w:tcPr>
            <w:tcW w:w="793" w:type="dxa"/>
            <w:tcBorders>
              <w:top w:val="single" w:sz="8" w:space="0" w:color="000000"/>
              <w:left w:val="single" w:sz="8" w:space="0" w:color="000000"/>
              <w:bottom w:val="single" w:sz="8" w:space="0" w:color="000000"/>
              <w:right w:val="single" w:sz="4" w:space="0" w:color="000000"/>
            </w:tcBorders>
            <w:shd w:val="clear" w:color="auto" w:fill="auto"/>
            <w:tcMar>
              <w:top w:w="16" w:type="dxa"/>
              <w:left w:w="72" w:type="dxa"/>
              <w:bottom w:w="5" w:type="dxa"/>
              <w:right w:w="18" w:type="dxa"/>
            </w:tcMar>
            <w:vAlign w:val="center"/>
          </w:tcPr>
          <w:p w:rsidR="009B4233" w:rsidRDefault="006B08B9">
            <w:pPr>
              <w:spacing w:line="249" w:lineRule="auto"/>
              <w:ind w:right="51"/>
              <w:jc w:val="center"/>
              <w:rPr>
                <w:rFonts w:ascii="Arial" w:hAnsi="Arial" w:cs="Arial"/>
                <w:sz w:val="22"/>
                <w:szCs w:val="22"/>
              </w:rPr>
            </w:pPr>
            <w:r>
              <w:rPr>
                <w:rFonts w:ascii="Arial" w:hAnsi="Arial" w:cs="Arial"/>
                <w:sz w:val="22"/>
                <w:szCs w:val="22"/>
              </w:rPr>
              <w:t>0,69 €</w:t>
            </w:r>
          </w:p>
        </w:tc>
        <w:tc>
          <w:tcPr>
            <w:tcW w:w="1130" w:type="dxa"/>
            <w:tcBorders>
              <w:top w:val="single" w:sz="4" w:space="0" w:color="000000"/>
              <w:left w:val="single" w:sz="4" w:space="0" w:color="000000"/>
              <w:bottom w:val="single" w:sz="4" w:space="0" w:color="000000"/>
              <w:right w:val="single" w:sz="4" w:space="0" w:color="000000"/>
            </w:tcBorders>
            <w:shd w:val="clear" w:color="auto" w:fill="auto"/>
            <w:tcMar>
              <w:top w:w="16" w:type="dxa"/>
              <w:left w:w="72" w:type="dxa"/>
              <w:bottom w:w="5" w:type="dxa"/>
              <w:right w:w="18" w:type="dxa"/>
            </w:tcMar>
            <w:vAlign w:val="bottom"/>
          </w:tcPr>
          <w:p w:rsidR="009B4233" w:rsidRDefault="006B08B9">
            <w:pPr>
              <w:spacing w:line="249" w:lineRule="auto"/>
              <w:ind w:right="49"/>
              <w:jc w:val="right"/>
            </w:pPr>
            <w:r>
              <w:rPr>
                <w:rFonts w:ascii="Arial" w:eastAsia="Calibri" w:hAnsi="Arial" w:cs="Arial"/>
                <w:sz w:val="22"/>
                <w:szCs w:val="22"/>
              </w:rPr>
              <w:t>112,00</w:t>
            </w:r>
          </w:p>
        </w:tc>
        <w:tc>
          <w:tcPr>
            <w:tcW w:w="1460" w:type="dxa"/>
            <w:tcBorders>
              <w:top w:val="single" w:sz="4" w:space="0" w:color="000000"/>
              <w:left w:val="single" w:sz="4" w:space="0" w:color="000000"/>
              <w:bottom w:val="single" w:sz="4" w:space="0" w:color="000000"/>
              <w:right w:val="single" w:sz="4" w:space="0" w:color="000000"/>
            </w:tcBorders>
            <w:shd w:val="clear" w:color="auto" w:fill="auto"/>
            <w:tcMar>
              <w:top w:w="16" w:type="dxa"/>
              <w:left w:w="72" w:type="dxa"/>
              <w:bottom w:w="5" w:type="dxa"/>
              <w:right w:w="18" w:type="dxa"/>
            </w:tcMar>
            <w:vAlign w:val="bottom"/>
          </w:tcPr>
          <w:p w:rsidR="009B4233" w:rsidRDefault="006B08B9">
            <w:pPr>
              <w:spacing w:line="249" w:lineRule="auto"/>
              <w:ind w:right="50"/>
              <w:jc w:val="right"/>
            </w:pPr>
            <w:r>
              <w:rPr>
                <w:rFonts w:ascii="Arial" w:eastAsia="Calibri" w:hAnsi="Arial" w:cs="Arial"/>
                <w:sz w:val="22"/>
                <w:szCs w:val="22"/>
              </w:rPr>
              <w:t>41.737,02</w:t>
            </w:r>
          </w:p>
        </w:tc>
      </w:tr>
      <w:tr w:rsidR="009B4233">
        <w:tblPrEx>
          <w:tblCellMar>
            <w:top w:w="0" w:type="dxa"/>
            <w:bottom w:w="0" w:type="dxa"/>
          </w:tblCellMar>
        </w:tblPrEx>
        <w:trPr>
          <w:trHeight w:val="572"/>
        </w:trPr>
        <w:tc>
          <w:tcPr>
            <w:tcW w:w="971" w:type="dxa"/>
            <w:tcBorders>
              <w:top w:val="single" w:sz="8" w:space="0" w:color="000000"/>
              <w:left w:val="single" w:sz="8" w:space="0" w:color="000000"/>
              <w:bottom w:val="single" w:sz="8" w:space="0" w:color="000000"/>
              <w:right w:val="single" w:sz="8" w:space="0" w:color="000000"/>
            </w:tcBorders>
            <w:shd w:val="clear" w:color="auto" w:fill="auto"/>
            <w:tcMar>
              <w:top w:w="16" w:type="dxa"/>
              <w:left w:w="72" w:type="dxa"/>
              <w:bottom w:w="5" w:type="dxa"/>
              <w:right w:w="18" w:type="dxa"/>
            </w:tcMar>
            <w:vAlign w:val="center"/>
          </w:tcPr>
          <w:p w:rsidR="009B4233" w:rsidRDefault="006B08B9">
            <w:pPr>
              <w:spacing w:line="249" w:lineRule="auto"/>
              <w:ind w:right="52"/>
              <w:jc w:val="center"/>
              <w:rPr>
                <w:rFonts w:ascii="Arial" w:hAnsi="Arial" w:cs="Arial"/>
                <w:sz w:val="22"/>
                <w:szCs w:val="22"/>
              </w:rPr>
            </w:pPr>
            <w:r>
              <w:rPr>
                <w:rFonts w:ascii="Arial" w:hAnsi="Arial" w:cs="Arial"/>
                <w:sz w:val="22"/>
                <w:szCs w:val="22"/>
              </w:rPr>
              <w:t>7</w:t>
            </w:r>
          </w:p>
        </w:tc>
        <w:tc>
          <w:tcPr>
            <w:tcW w:w="2701" w:type="dxa"/>
            <w:tcBorders>
              <w:top w:val="single" w:sz="8" w:space="0" w:color="000000"/>
              <w:left w:val="single" w:sz="8" w:space="0" w:color="000000"/>
              <w:bottom w:val="single" w:sz="8" w:space="0" w:color="000000"/>
              <w:right w:val="single" w:sz="8" w:space="0" w:color="000000"/>
            </w:tcBorders>
            <w:shd w:val="clear" w:color="auto" w:fill="auto"/>
            <w:tcMar>
              <w:top w:w="16" w:type="dxa"/>
              <w:left w:w="72" w:type="dxa"/>
              <w:bottom w:w="5" w:type="dxa"/>
              <w:right w:w="18" w:type="dxa"/>
            </w:tcMar>
            <w:vAlign w:val="center"/>
          </w:tcPr>
          <w:p w:rsidR="009B4233" w:rsidRDefault="006B08B9">
            <w:pPr>
              <w:spacing w:line="249" w:lineRule="auto"/>
              <w:rPr>
                <w:rFonts w:ascii="Arial" w:hAnsi="Arial" w:cs="Arial"/>
                <w:sz w:val="22"/>
                <w:szCs w:val="22"/>
              </w:rPr>
            </w:pPr>
            <w:r>
              <w:rPr>
                <w:rFonts w:ascii="Arial" w:hAnsi="Arial" w:cs="Arial"/>
                <w:sz w:val="22"/>
                <w:szCs w:val="22"/>
              </w:rPr>
              <w:t>Alojamiento (hotelero y extrahotelero)</w:t>
            </w:r>
          </w:p>
        </w:tc>
        <w:tc>
          <w:tcPr>
            <w:tcW w:w="983" w:type="dxa"/>
            <w:vMerge w:val="restart"/>
            <w:tcBorders>
              <w:top w:val="single" w:sz="8" w:space="0" w:color="000000"/>
              <w:left w:val="single" w:sz="8" w:space="0" w:color="000000"/>
              <w:bottom w:val="single" w:sz="8" w:space="0" w:color="000000"/>
              <w:right w:val="single" w:sz="8" w:space="0" w:color="000000"/>
            </w:tcBorders>
            <w:shd w:val="clear" w:color="auto" w:fill="auto"/>
            <w:tcMar>
              <w:top w:w="16" w:type="dxa"/>
              <w:left w:w="72" w:type="dxa"/>
              <w:bottom w:w="5" w:type="dxa"/>
              <w:right w:w="18" w:type="dxa"/>
            </w:tcMar>
            <w:vAlign w:val="bottom"/>
          </w:tcPr>
          <w:p w:rsidR="009B4233" w:rsidRDefault="006B08B9">
            <w:pPr>
              <w:spacing w:line="249" w:lineRule="auto"/>
              <w:ind w:right="49"/>
              <w:jc w:val="right"/>
              <w:rPr>
                <w:rFonts w:ascii="Arial" w:hAnsi="Arial" w:cs="Arial"/>
                <w:sz w:val="22"/>
                <w:szCs w:val="22"/>
              </w:rPr>
            </w:pPr>
            <w:r>
              <w:rPr>
                <w:rFonts w:ascii="Arial" w:hAnsi="Arial" w:cs="Arial"/>
                <w:sz w:val="22"/>
                <w:szCs w:val="22"/>
              </w:rPr>
              <w:t>40,97 €</w:t>
            </w:r>
          </w:p>
        </w:tc>
        <w:tc>
          <w:tcPr>
            <w:tcW w:w="932" w:type="dxa"/>
            <w:tcBorders>
              <w:top w:val="single" w:sz="8" w:space="0" w:color="000000"/>
              <w:left w:val="single" w:sz="8" w:space="0" w:color="000000"/>
              <w:bottom w:val="single" w:sz="8" w:space="0" w:color="000000"/>
            </w:tcBorders>
            <w:shd w:val="clear" w:color="auto" w:fill="auto"/>
            <w:tcMar>
              <w:top w:w="16" w:type="dxa"/>
              <w:left w:w="72" w:type="dxa"/>
              <w:bottom w:w="5" w:type="dxa"/>
              <w:right w:w="18" w:type="dxa"/>
            </w:tcMar>
          </w:tcPr>
          <w:p w:rsidR="009B4233" w:rsidRDefault="006B08B9">
            <w:pPr>
              <w:spacing w:line="249" w:lineRule="auto"/>
              <w:ind w:right="6"/>
              <w:jc w:val="right"/>
              <w:rPr>
                <w:rFonts w:ascii="Arial" w:hAnsi="Arial" w:cs="Arial"/>
                <w:sz w:val="22"/>
                <w:szCs w:val="22"/>
              </w:rPr>
            </w:pPr>
            <w:r>
              <w:rPr>
                <w:rFonts w:ascii="Arial" w:hAnsi="Arial" w:cs="Arial"/>
                <w:sz w:val="22"/>
                <w:szCs w:val="22"/>
              </w:rPr>
              <w:t xml:space="preserve">  </w:t>
            </w:r>
          </w:p>
          <w:p w:rsidR="009B4233" w:rsidRDefault="006B08B9">
            <w:pPr>
              <w:spacing w:line="249" w:lineRule="auto"/>
              <w:ind w:right="51"/>
              <w:jc w:val="right"/>
              <w:rPr>
                <w:rFonts w:ascii="Arial" w:hAnsi="Arial" w:cs="Arial"/>
                <w:sz w:val="22"/>
                <w:szCs w:val="22"/>
              </w:rPr>
            </w:pPr>
            <w:r>
              <w:rPr>
                <w:rFonts w:ascii="Arial" w:hAnsi="Arial" w:cs="Arial"/>
                <w:sz w:val="22"/>
                <w:szCs w:val="22"/>
              </w:rPr>
              <w:t xml:space="preserve">11,63 </w:t>
            </w:r>
          </w:p>
          <w:p w:rsidR="009B4233" w:rsidRDefault="006B08B9">
            <w:pPr>
              <w:spacing w:line="249" w:lineRule="auto"/>
              <w:ind w:right="51"/>
              <w:jc w:val="right"/>
              <w:rPr>
                <w:rFonts w:ascii="Arial" w:hAnsi="Arial" w:cs="Arial"/>
                <w:sz w:val="22"/>
                <w:szCs w:val="22"/>
              </w:rPr>
            </w:pPr>
            <w:r>
              <w:rPr>
                <w:rFonts w:ascii="Arial" w:hAnsi="Arial" w:cs="Arial"/>
                <w:sz w:val="22"/>
                <w:szCs w:val="22"/>
              </w:rPr>
              <w:t>€/cama</w:t>
            </w:r>
          </w:p>
        </w:tc>
        <w:tc>
          <w:tcPr>
            <w:tcW w:w="793" w:type="dxa"/>
            <w:tcBorders>
              <w:top w:val="single" w:sz="8" w:space="0" w:color="000000"/>
              <w:bottom w:val="single" w:sz="8" w:space="0" w:color="000000"/>
              <w:right w:val="single" w:sz="4" w:space="0" w:color="000000"/>
            </w:tcBorders>
            <w:shd w:val="clear" w:color="auto" w:fill="auto"/>
            <w:tcMar>
              <w:top w:w="16" w:type="dxa"/>
              <w:left w:w="72" w:type="dxa"/>
              <w:bottom w:w="5" w:type="dxa"/>
              <w:right w:w="18" w:type="dxa"/>
            </w:tcMar>
            <w:vAlign w:val="center"/>
          </w:tcPr>
          <w:p w:rsidR="009B4233" w:rsidRDefault="006B08B9">
            <w:pPr>
              <w:spacing w:line="249" w:lineRule="auto"/>
              <w:ind w:right="50"/>
              <w:jc w:val="right"/>
              <w:rPr>
                <w:rFonts w:ascii="Arial" w:hAnsi="Arial" w:cs="Arial"/>
                <w:sz w:val="22"/>
                <w:szCs w:val="22"/>
              </w:rPr>
            </w:pPr>
            <w:r>
              <w:rPr>
                <w:rFonts w:ascii="Arial" w:hAnsi="Arial" w:cs="Arial"/>
                <w:sz w:val="22"/>
                <w:szCs w:val="22"/>
              </w:rPr>
              <w:t xml:space="preserve"> </w:t>
            </w:r>
          </w:p>
        </w:tc>
        <w:tc>
          <w:tcPr>
            <w:tcW w:w="1130" w:type="dxa"/>
            <w:tcBorders>
              <w:top w:val="single" w:sz="4" w:space="0" w:color="000000"/>
              <w:left w:val="single" w:sz="4" w:space="0" w:color="000000"/>
              <w:bottom w:val="single" w:sz="4" w:space="0" w:color="000000"/>
              <w:right w:val="single" w:sz="4" w:space="0" w:color="000000"/>
            </w:tcBorders>
            <w:shd w:val="clear" w:color="auto" w:fill="auto"/>
            <w:tcMar>
              <w:top w:w="16" w:type="dxa"/>
              <w:left w:w="72" w:type="dxa"/>
              <w:bottom w:w="5" w:type="dxa"/>
              <w:right w:w="18" w:type="dxa"/>
            </w:tcMar>
            <w:vAlign w:val="bottom"/>
          </w:tcPr>
          <w:p w:rsidR="009B4233" w:rsidRDefault="006B08B9">
            <w:pPr>
              <w:spacing w:line="249" w:lineRule="auto"/>
            </w:pPr>
            <w:r>
              <w:rPr>
                <w:rFonts w:ascii="Arial" w:eastAsia="Calibri" w:hAnsi="Arial" w:cs="Arial"/>
                <w:sz w:val="22"/>
                <w:szCs w:val="22"/>
              </w:rPr>
              <w:t xml:space="preserve"> </w:t>
            </w:r>
          </w:p>
        </w:tc>
        <w:tc>
          <w:tcPr>
            <w:tcW w:w="1460" w:type="dxa"/>
            <w:tcBorders>
              <w:top w:val="single" w:sz="4" w:space="0" w:color="000000"/>
              <w:left w:val="single" w:sz="4" w:space="0" w:color="000000"/>
              <w:bottom w:val="single" w:sz="4" w:space="0" w:color="000000"/>
              <w:right w:val="single" w:sz="4" w:space="0" w:color="000000"/>
            </w:tcBorders>
            <w:shd w:val="clear" w:color="auto" w:fill="auto"/>
            <w:tcMar>
              <w:top w:w="16" w:type="dxa"/>
              <w:left w:w="72" w:type="dxa"/>
              <w:bottom w:w="5" w:type="dxa"/>
              <w:right w:w="18" w:type="dxa"/>
            </w:tcMar>
            <w:vAlign w:val="bottom"/>
          </w:tcPr>
          <w:p w:rsidR="009B4233" w:rsidRDefault="006B08B9">
            <w:pPr>
              <w:spacing w:line="249" w:lineRule="auto"/>
              <w:ind w:right="50"/>
              <w:jc w:val="right"/>
            </w:pPr>
            <w:r>
              <w:rPr>
                <w:rFonts w:ascii="Arial" w:eastAsia="Calibri" w:hAnsi="Arial" w:cs="Arial"/>
                <w:sz w:val="22"/>
                <w:szCs w:val="22"/>
              </w:rPr>
              <w:t>72.292,08</w:t>
            </w:r>
          </w:p>
        </w:tc>
      </w:tr>
      <w:tr w:rsidR="009B4233">
        <w:tblPrEx>
          <w:tblCellMar>
            <w:top w:w="0" w:type="dxa"/>
            <w:bottom w:w="0" w:type="dxa"/>
          </w:tblCellMar>
        </w:tblPrEx>
        <w:trPr>
          <w:trHeight w:val="314"/>
        </w:trPr>
        <w:tc>
          <w:tcPr>
            <w:tcW w:w="971" w:type="dxa"/>
            <w:tcBorders>
              <w:top w:val="single" w:sz="8" w:space="0" w:color="000000"/>
              <w:left w:val="single" w:sz="8" w:space="0" w:color="000000"/>
              <w:bottom w:val="single" w:sz="8" w:space="0" w:color="000000"/>
              <w:right w:val="single" w:sz="8" w:space="0" w:color="000000"/>
            </w:tcBorders>
            <w:shd w:val="clear" w:color="auto" w:fill="auto"/>
            <w:tcMar>
              <w:top w:w="16" w:type="dxa"/>
              <w:left w:w="72" w:type="dxa"/>
              <w:bottom w:w="5" w:type="dxa"/>
              <w:right w:w="18" w:type="dxa"/>
            </w:tcMar>
          </w:tcPr>
          <w:p w:rsidR="009B4233" w:rsidRDefault="006B08B9">
            <w:pPr>
              <w:spacing w:line="249" w:lineRule="auto"/>
              <w:ind w:right="52"/>
              <w:jc w:val="center"/>
              <w:rPr>
                <w:rFonts w:ascii="Arial" w:hAnsi="Arial" w:cs="Arial"/>
                <w:sz w:val="22"/>
                <w:szCs w:val="22"/>
              </w:rPr>
            </w:pPr>
            <w:r>
              <w:rPr>
                <w:rFonts w:ascii="Arial" w:hAnsi="Arial" w:cs="Arial"/>
                <w:sz w:val="22"/>
                <w:szCs w:val="22"/>
              </w:rPr>
              <w:t>8</w:t>
            </w:r>
          </w:p>
        </w:tc>
        <w:tc>
          <w:tcPr>
            <w:tcW w:w="2701" w:type="dxa"/>
            <w:tcBorders>
              <w:top w:val="single" w:sz="8" w:space="0" w:color="000000"/>
              <w:left w:val="single" w:sz="8" w:space="0" w:color="000000"/>
              <w:bottom w:val="single" w:sz="8" w:space="0" w:color="000000"/>
              <w:right w:val="single" w:sz="8" w:space="0" w:color="000000"/>
            </w:tcBorders>
            <w:shd w:val="clear" w:color="auto" w:fill="auto"/>
            <w:tcMar>
              <w:top w:w="16" w:type="dxa"/>
              <w:left w:w="72" w:type="dxa"/>
              <w:bottom w:w="5" w:type="dxa"/>
              <w:right w:w="18" w:type="dxa"/>
            </w:tcMar>
          </w:tcPr>
          <w:p w:rsidR="009B4233" w:rsidRDefault="006B08B9">
            <w:pPr>
              <w:spacing w:line="249" w:lineRule="auto"/>
              <w:rPr>
                <w:rFonts w:ascii="Arial" w:hAnsi="Arial" w:cs="Arial"/>
                <w:sz w:val="22"/>
                <w:szCs w:val="22"/>
              </w:rPr>
            </w:pPr>
            <w:r>
              <w:rPr>
                <w:rFonts w:ascii="Arial" w:hAnsi="Arial" w:cs="Arial"/>
                <w:sz w:val="22"/>
                <w:szCs w:val="22"/>
              </w:rPr>
              <w:t>Transporte marítimo y terrestre</w:t>
            </w:r>
          </w:p>
        </w:tc>
        <w:tc>
          <w:tcPr>
            <w:tcW w:w="983" w:type="dxa"/>
            <w:vMerge/>
            <w:tcBorders>
              <w:top w:val="single" w:sz="8" w:space="0" w:color="000000"/>
              <w:left w:val="single" w:sz="8" w:space="0" w:color="000000"/>
              <w:bottom w:val="single" w:sz="8" w:space="0" w:color="000000"/>
              <w:right w:val="single" w:sz="8" w:space="0" w:color="000000"/>
            </w:tcBorders>
            <w:shd w:val="clear" w:color="auto" w:fill="auto"/>
            <w:tcMar>
              <w:top w:w="16" w:type="dxa"/>
              <w:left w:w="72" w:type="dxa"/>
              <w:bottom w:w="5" w:type="dxa"/>
              <w:right w:w="18" w:type="dxa"/>
            </w:tcMar>
            <w:vAlign w:val="bottom"/>
          </w:tcPr>
          <w:p w:rsidR="009B4233" w:rsidRDefault="009B4233">
            <w:pPr>
              <w:spacing w:after="160" w:line="249" w:lineRule="auto"/>
              <w:rPr>
                <w:rFonts w:ascii="Arial" w:hAnsi="Arial" w:cs="Arial"/>
                <w:sz w:val="22"/>
                <w:szCs w:val="22"/>
              </w:rPr>
            </w:pPr>
          </w:p>
        </w:tc>
        <w:tc>
          <w:tcPr>
            <w:tcW w:w="932" w:type="dxa"/>
            <w:tcBorders>
              <w:top w:val="single" w:sz="8" w:space="0" w:color="000000"/>
              <w:left w:val="single" w:sz="8" w:space="0" w:color="000000"/>
              <w:bottom w:val="single" w:sz="8" w:space="0" w:color="000000"/>
              <w:right w:val="single" w:sz="8" w:space="0" w:color="000000"/>
            </w:tcBorders>
            <w:shd w:val="clear" w:color="auto" w:fill="auto"/>
            <w:tcMar>
              <w:top w:w="16" w:type="dxa"/>
              <w:left w:w="72" w:type="dxa"/>
              <w:bottom w:w="5" w:type="dxa"/>
              <w:right w:w="18" w:type="dxa"/>
            </w:tcMar>
          </w:tcPr>
          <w:p w:rsidR="009B4233" w:rsidRDefault="006B08B9">
            <w:pPr>
              <w:spacing w:line="249" w:lineRule="auto"/>
              <w:ind w:right="49"/>
              <w:jc w:val="right"/>
              <w:rPr>
                <w:rFonts w:ascii="Arial" w:hAnsi="Arial" w:cs="Arial"/>
                <w:sz w:val="22"/>
                <w:szCs w:val="22"/>
              </w:rPr>
            </w:pPr>
            <w:r>
              <w:rPr>
                <w:rFonts w:ascii="Arial" w:hAnsi="Arial" w:cs="Arial"/>
                <w:sz w:val="22"/>
                <w:szCs w:val="22"/>
              </w:rPr>
              <w:t>56,98 €</w:t>
            </w:r>
          </w:p>
        </w:tc>
        <w:tc>
          <w:tcPr>
            <w:tcW w:w="793" w:type="dxa"/>
            <w:tcBorders>
              <w:top w:val="single" w:sz="8" w:space="0" w:color="000000"/>
              <w:left w:val="single" w:sz="8" w:space="0" w:color="000000"/>
              <w:bottom w:val="single" w:sz="8" w:space="0" w:color="000000"/>
              <w:right w:val="single" w:sz="4" w:space="0" w:color="000000"/>
            </w:tcBorders>
            <w:shd w:val="clear" w:color="auto" w:fill="auto"/>
            <w:tcMar>
              <w:top w:w="16" w:type="dxa"/>
              <w:left w:w="72" w:type="dxa"/>
              <w:bottom w:w="5" w:type="dxa"/>
              <w:right w:w="18" w:type="dxa"/>
            </w:tcMar>
          </w:tcPr>
          <w:p w:rsidR="009B4233" w:rsidRDefault="006B08B9">
            <w:pPr>
              <w:spacing w:line="249" w:lineRule="auto"/>
              <w:ind w:right="49"/>
              <w:jc w:val="right"/>
              <w:rPr>
                <w:rFonts w:ascii="Arial" w:hAnsi="Arial" w:cs="Arial"/>
                <w:sz w:val="22"/>
                <w:szCs w:val="22"/>
              </w:rPr>
            </w:pPr>
            <w:r>
              <w:rPr>
                <w:rFonts w:ascii="Arial" w:hAnsi="Arial" w:cs="Arial"/>
                <w:sz w:val="22"/>
                <w:szCs w:val="22"/>
              </w:rPr>
              <w:t>0,67 €</w:t>
            </w:r>
          </w:p>
        </w:tc>
        <w:tc>
          <w:tcPr>
            <w:tcW w:w="1130" w:type="dxa"/>
            <w:tcBorders>
              <w:top w:val="single" w:sz="4" w:space="0" w:color="000000"/>
              <w:left w:val="single" w:sz="4" w:space="0" w:color="000000"/>
              <w:bottom w:val="single" w:sz="4" w:space="0" w:color="000000"/>
              <w:right w:val="single" w:sz="4" w:space="0" w:color="000000"/>
            </w:tcBorders>
            <w:shd w:val="clear" w:color="auto" w:fill="auto"/>
            <w:tcMar>
              <w:top w:w="16" w:type="dxa"/>
              <w:left w:w="72" w:type="dxa"/>
              <w:bottom w:w="5" w:type="dxa"/>
              <w:right w:w="18" w:type="dxa"/>
            </w:tcMar>
            <w:vAlign w:val="bottom"/>
          </w:tcPr>
          <w:p w:rsidR="009B4233" w:rsidRDefault="006B08B9">
            <w:pPr>
              <w:spacing w:line="249" w:lineRule="auto"/>
              <w:ind w:right="49"/>
              <w:jc w:val="right"/>
            </w:pPr>
            <w:r>
              <w:rPr>
                <w:rFonts w:ascii="Arial" w:eastAsia="Calibri" w:hAnsi="Arial" w:cs="Arial"/>
                <w:sz w:val="22"/>
                <w:szCs w:val="22"/>
              </w:rPr>
              <w:t>9,00</w:t>
            </w:r>
          </w:p>
        </w:tc>
        <w:tc>
          <w:tcPr>
            <w:tcW w:w="1460" w:type="dxa"/>
            <w:tcBorders>
              <w:top w:val="single" w:sz="4" w:space="0" w:color="000000"/>
              <w:left w:val="single" w:sz="4" w:space="0" w:color="000000"/>
              <w:bottom w:val="single" w:sz="4" w:space="0" w:color="000000"/>
              <w:right w:val="single" w:sz="4" w:space="0" w:color="000000"/>
            </w:tcBorders>
            <w:shd w:val="clear" w:color="auto" w:fill="auto"/>
            <w:tcMar>
              <w:top w:w="16" w:type="dxa"/>
              <w:left w:w="72" w:type="dxa"/>
              <w:bottom w:w="5" w:type="dxa"/>
              <w:right w:w="18" w:type="dxa"/>
            </w:tcMar>
            <w:vAlign w:val="bottom"/>
          </w:tcPr>
          <w:p w:rsidR="009B4233" w:rsidRDefault="006B08B9">
            <w:pPr>
              <w:spacing w:line="249" w:lineRule="auto"/>
              <w:ind w:right="49"/>
              <w:jc w:val="right"/>
            </w:pPr>
            <w:r>
              <w:rPr>
                <w:rFonts w:ascii="Arial" w:eastAsia="Calibri" w:hAnsi="Arial" w:cs="Arial"/>
                <w:sz w:val="22"/>
                <w:szCs w:val="22"/>
              </w:rPr>
              <w:t>2.150,88</w:t>
            </w:r>
          </w:p>
        </w:tc>
      </w:tr>
      <w:tr w:rsidR="009B4233">
        <w:tblPrEx>
          <w:tblCellMar>
            <w:top w:w="0" w:type="dxa"/>
            <w:bottom w:w="0" w:type="dxa"/>
          </w:tblCellMar>
        </w:tblPrEx>
        <w:trPr>
          <w:trHeight w:val="434"/>
        </w:trPr>
        <w:tc>
          <w:tcPr>
            <w:tcW w:w="971" w:type="dxa"/>
            <w:tcBorders>
              <w:top w:val="single" w:sz="8" w:space="0" w:color="000000"/>
              <w:left w:val="single" w:sz="8" w:space="0" w:color="000000"/>
              <w:bottom w:val="single" w:sz="8" w:space="0" w:color="000000"/>
              <w:right w:val="single" w:sz="8" w:space="0" w:color="000000"/>
            </w:tcBorders>
            <w:shd w:val="clear" w:color="auto" w:fill="auto"/>
            <w:tcMar>
              <w:top w:w="16" w:type="dxa"/>
              <w:left w:w="72" w:type="dxa"/>
              <w:bottom w:w="5" w:type="dxa"/>
              <w:right w:w="18" w:type="dxa"/>
            </w:tcMar>
            <w:vAlign w:val="center"/>
          </w:tcPr>
          <w:p w:rsidR="009B4233" w:rsidRDefault="006B08B9">
            <w:pPr>
              <w:spacing w:line="249" w:lineRule="auto"/>
              <w:ind w:right="52"/>
              <w:jc w:val="center"/>
              <w:rPr>
                <w:rFonts w:ascii="Arial" w:hAnsi="Arial" w:cs="Arial"/>
                <w:sz w:val="22"/>
                <w:szCs w:val="22"/>
              </w:rPr>
            </w:pPr>
            <w:r>
              <w:rPr>
                <w:rFonts w:ascii="Arial" w:hAnsi="Arial" w:cs="Arial"/>
                <w:sz w:val="22"/>
                <w:szCs w:val="22"/>
              </w:rPr>
              <w:t>9</w:t>
            </w:r>
          </w:p>
        </w:tc>
        <w:tc>
          <w:tcPr>
            <w:tcW w:w="2701" w:type="dxa"/>
            <w:tcBorders>
              <w:top w:val="single" w:sz="8" w:space="0" w:color="000000"/>
              <w:left w:val="single" w:sz="8" w:space="0" w:color="000000"/>
              <w:bottom w:val="single" w:sz="8" w:space="0" w:color="000000"/>
              <w:right w:val="single" w:sz="8" w:space="0" w:color="000000"/>
            </w:tcBorders>
            <w:shd w:val="clear" w:color="auto" w:fill="auto"/>
            <w:tcMar>
              <w:top w:w="16" w:type="dxa"/>
              <w:left w:w="72" w:type="dxa"/>
              <w:bottom w:w="5" w:type="dxa"/>
              <w:right w:w="18" w:type="dxa"/>
            </w:tcMar>
          </w:tcPr>
          <w:p w:rsidR="009B4233" w:rsidRDefault="006B08B9">
            <w:pPr>
              <w:spacing w:line="249" w:lineRule="auto"/>
              <w:rPr>
                <w:rFonts w:ascii="Arial" w:hAnsi="Arial" w:cs="Arial"/>
                <w:sz w:val="22"/>
                <w:szCs w:val="22"/>
              </w:rPr>
            </w:pPr>
            <w:r>
              <w:rPr>
                <w:rFonts w:ascii="Arial" w:hAnsi="Arial" w:cs="Arial"/>
                <w:sz w:val="22"/>
                <w:szCs w:val="22"/>
              </w:rPr>
              <w:t xml:space="preserve">Servicios inmobiliarios, de seg. y </w:t>
            </w:r>
            <w:r>
              <w:rPr>
                <w:rFonts w:ascii="Arial" w:hAnsi="Arial" w:cs="Arial"/>
                <w:sz w:val="22"/>
                <w:szCs w:val="22"/>
              </w:rPr>
              <w:t>consultoría</w:t>
            </w:r>
          </w:p>
        </w:tc>
        <w:tc>
          <w:tcPr>
            <w:tcW w:w="983" w:type="dxa"/>
            <w:tcBorders>
              <w:top w:val="single" w:sz="8" w:space="0" w:color="000000"/>
              <w:left w:val="single" w:sz="8" w:space="0" w:color="000000"/>
              <w:bottom w:val="single" w:sz="8" w:space="0" w:color="000000"/>
              <w:right w:val="single" w:sz="8" w:space="0" w:color="000000"/>
            </w:tcBorders>
            <w:shd w:val="clear" w:color="auto" w:fill="auto"/>
            <w:tcMar>
              <w:top w:w="16" w:type="dxa"/>
              <w:left w:w="72" w:type="dxa"/>
              <w:bottom w:w="5" w:type="dxa"/>
              <w:right w:w="18" w:type="dxa"/>
            </w:tcMar>
            <w:vAlign w:val="center"/>
          </w:tcPr>
          <w:p w:rsidR="009B4233" w:rsidRDefault="006B08B9">
            <w:pPr>
              <w:spacing w:line="249" w:lineRule="auto"/>
              <w:ind w:right="49"/>
              <w:jc w:val="right"/>
              <w:rPr>
                <w:rFonts w:ascii="Arial" w:hAnsi="Arial" w:cs="Arial"/>
                <w:sz w:val="22"/>
                <w:szCs w:val="22"/>
              </w:rPr>
            </w:pPr>
            <w:r>
              <w:rPr>
                <w:rFonts w:ascii="Arial" w:hAnsi="Arial" w:cs="Arial"/>
                <w:sz w:val="22"/>
                <w:szCs w:val="22"/>
              </w:rPr>
              <w:t>20,52 €</w:t>
            </w:r>
          </w:p>
        </w:tc>
        <w:tc>
          <w:tcPr>
            <w:tcW w:w="932" w:type="dxa"/>
            <w:tcBorders>
              <w:top w:val="single" w:sz="8" w:space="0" w:color="000000"/>
              <w:left w:val="single" w:sz="8" w:space="0" w:color="000000"/>
              <w:bottom w:val="single" w:sz="8" w:space="0" w:color="000000"/>
              <w:right w:val="single" w:sz="8" w:space="0" w:color="000000"/>
            </w:tcBorders>
            <w:shd w:val="clear" w:color="auto" w:fill="auto"/>
            <w:tcMar>
              <w:top w:w="16" w:type="dxa"/>
              <w:left w:w="72" w:type="dxa"/>
              <w:bottom w:w="5" w:type="dxa"/>
              <w:right w:w="18" w:type="dxa"/>
            </w:tcMar>
            <w:vAlign w:val="center"/>
          </w:tcPr>
          <w:p w:rsidR="009B4233" w:rsidRDefault="006B08B9">
            <w:pPr>
              <w:spacing w:line="249" w:lineRule="auto"/>
              <w:ind w:right="49"/>
              <w:jc w:val="right"/>
              <w:rPr>
                <w:rFonts w:ascii="Arial" w:hAnsi="Arial" w:cs="Arial"/>
                <w:sz w:val="22"/>
                <w:szCs w:val="22"/>
              </w:rPr>
            </w:pPr>
            <w:r>
              <w:rPr>
                <w:rFonts w:ascii="Arial" w:hAnsi="Arial" w:cs="Arial"/>
                <w:sz w:val="22"/>
                <w:szCs w:val="22"/>
              </w:rPr>
              <w:t>36,96 €</w:t>
            </w:r>
          </w:p>
        </w:tc>
        <w:tc>
          <w:tcPr>
            <w:tcW w:w="793" w:type="dxa"/>
            <w:tcBorders>
              <w:top w:val="single" w:sz="8" w:space="0" w:color="000000"/>
              <w:left w:val="single" w:sz="8" w:space="0" w:color="000000"/>
              <w:bottom w:val="single" w:sz="8" w:space="0" w:color="000000"/>
              <w:right w:val="single" w:sz="4" w:space="0" w:color="000000"/>
            </w:tcBorders>
            <w:shd w:val="clear" w:color="auto" w:fill="auto"/>
            <w:tcMar>
              <w:top w:w="16" w:type="dxa"/>
              <w:left w:w="72" w:type="dxa"/>
              <w:bottom w:w="5" w:type="dxa"/>
              <w:right w:w="18" w:type="dxa"/>
            </w:tcMar>
            <w:vAlign w:val="center"/>
          </w:tcPr>
          <w:p w:rsidR="009B4233" w:rsidRDefault="006B08B9">
            <w:pPr>
              <w:spacing w:line="249" w:lineRule="auto"/>
              <w:ind w:right="49"/>
              <w:jc w:val="right"/>
              <w:rPr>
                <w:rFonts w:ascii="Arial" w:hAnsi="Arial" w:cs="Arial"/>
                <w:sz w:val="22"/>
                <w:szCs w:val="22"/>
              </w:rPr>
            </w:pPr>
            <w:r>
              <w:rPr>
                <w:rFonts w:ascii="Arial" w:hAnsi="Arial" w:cs="Arial"/>
                <w:sz w:val="22"/>
                <w:szCs w:val="22"/>
              </w:rPr>
              <w:t>0,33 €</w:t>
            </w:r>
          </w:p>
        </w:tc>
        <w:tc>
          <w:tcPr>
            <w:tcW w:w="1130" w:type="dxa"/>
            <w:tcBorders>
              <w:top w:val="single" w:sz="4" w:space="0" w:color="000000"/>
              <w:left w:val="single" w:sz="4" w:space="0" w:color="000000"/>
              <w:bottom w:val="single" w:sz="4" w:space="0" w:color="000000"/>
              <w:right w:val="single" w:sz="4" w:space="0" w:color="000000"/>
            </w:tcBorders>
            <w:shd w:val="clear" w:color="auto" w:fill="auto"/>
            <w:tcMar>
              <w:top w:w="16" w:type="dxa"/>
              <w:left w:w="72" w:type="dxa"/>
              <w:bottom w:w="5" w:type="dxa"/>
              <w:right w:w="18" w:type="dxa"/>
            </w:tcMar>
            <w:vAlign w:val="bottom"/>
          </w:tcPr>
          <w:p w:rsidR="009B4233" w:rsidRDefault="006B08B9">
            <w:pPr>
              <w:spacing w:line="249" w:lineRule="auto"/>
              <w:ind w:right="49"/>
              <w:jc w:val="right"/>
            </w:pPr>
            <w:r>
              <w:rPr>
                <w:rFonts w:ascii="Arial" w:eastAsia="Calibri" w:hAnsi="Arial" w:cs="Arial"/>
                <w:sz w:val="22"/>
                <w:szCs w:val="22"/>
              </w:rPr>
              <w:t>118,00</w:t>
            </w:r>
          </w:p>
        </w:tc>
        <w:tc>
          <w:tcPr>
            <w:tcW w:w="1460" w:type="dxa"/>
            <w:tcBorders>
              <w:top w:val="single" w:sz="4" w:space="0" w:color="000000"/>
              <w:left w:val="single" w:sz="4" w:space="0" w:color="000000"/>
              <w:bottom w:val="single" w:sz="4" w:space="0" w:color="000000"/>
              <w:right w:val="single" w:sz="4" w:space="0" w:color="000000"/>
            </w:tcBorders>
            <w:shd w:val="clear" w:color="auto" w:fill="auto"/>
            <w:tcMar>
              <w:top w:w="16" w:type="dxa"/>
              <w:left w:w="72" w:type="dxa"/>
              <w:bottom w:w="5" w:type="dxa"/>
              <w:right w:w="18" w:type="dxa"/>
            </w:tcMar>
            <w:vAlign w:val="bottom"/>
          </w:tcPr>
          <w:p w:rsidR="009B4233" w:rsidRDefault="006B08B9">
            <w:pPr>
              <w:spacing w:line="249" w:lineRule="auto"/>
              <w:ind w:right="50"/>
              <w:jc w:val="right"/>
            </w:pPr>
            <w:r>
              <w:rPr>
                <w:rFonts w:ascii="Arial" w:eastAsia="Calibri" w:hAnsi="Arial" w:cs="Arial"/>
                <w:sz w:val="22"/>
                <w:szCs w:val="22"/>
              </w:rPr>
              <w:t>19.314,72</w:t>
            </w:r>
          </w:p>
        </w:tc>
      </w:tr>
      <w:tr w:rsidR="009B4233">
        <w:tblPrEx>
          <w:tblCellMar>
            <w:top w:w="0" w:type="dxa"/>
            <w:bottom w:w="0" w:type="dxa"/>
          </w:tblCellMar>
        </w:tblPrEx>
        <w:trPr>
          <w:trHeight w:val="316"/>
        </w:trPr>
        <w:tc>
          <w:tcPr>
            <w:tcW w:w="971" w:type="dxa"/>
            <w:tcBorders>
              <w:top w:val="single" w:sz="8" w:space="0" w:color="000000"/>
              <w:left w:val="single" w:sz="8" w:space="0" w:color="000000"/>
              <w:bottom w:val="single" w:sz="8" w:space="0" w:color="000000"/>
              <w:right w:val="single" w:sz="8" w:space="0" w:color="000000"/>
            </w:tcBorders>
            <w:shd w:val="clear" w:color="auto" w:fill="auto"/>
            <w:tcMar>
              <w:top w:w="16" w:type="dxa"/>
              <w:left w:w="72" w:type="dxa"/>
              <w:bottom w:w="5" w:type="dxa"/>
              <w:right w:w="18" w:type="dxa"/>
            </w:tcMar>
          </w:tcPr>
          <w:p w:rsidR="009B4233" w:rsidRDefault="006B08B9">
            <w:pPr>
              <w:spacing w:line="249" w:lineRule="auto"/>
              <w:ind w:right="52"/>
              <w:jc w:val="center"/>
              <w:rPr>
                <w:rFonts w:ascii="Arial" w:hAnsi="Arial" w:cs="Arial"/>
                <w:sz w:val="22"/>
                <w:szCs w:val="22"/>
              </w:rPr>
            </w:pPr>
            <w:r>
              <w:rPr>
                <w:rFonts w:ascii="Arial" w:hAnsi="Arial" w:cs="Arial"/>
                <w:sz w:val="22"/>
                <w:szCs w:val="22"/>
              </w:rPr>
              <w:t>10</w:t>
            </w:r>
          </w:p>
        </w:tc>
        <w:tc>
          <w:tcPr>
            <w:tcW w:w="2701" w:type="dxa"/>
            <w:tcBorders>
              <w:top w:val="single" w:sz="8" w:space="0" w:color="000000"/>
              <w:left w:val="single" w:sz="8" w:space="0" w:color="000000"/>
              <w:bottom w:val="single" w:sz="8" w:space="0" w:color="000000"/>
              <w:right w:val="single" w:sz="8" w:space="0" w:color="000000"/>
            </w:tcBorders>
            <w:shd w:val="clear" w:color="auto" w:fill="auto"/>
            <w:tcMar>
              <w:top w:w="16" w:type="dxa"/>
              <w:left w:w="72" w:type="dxa"/>
              <w:bottom w:w="5" w:type="dxa"/>
              <w:right w:w="18" w:type="dxa"/>
            </w:tcMar>
          </w:tcPr>
          <w:p w:rsidR="009B4233" w:rsidRDefault="006B08B9">
            <w:pPr>
              <w:spacing w:line="249" w:lineRule="auto"/>
              <w:rPr>
                <w:rFonts w:ascii="Arial" w:hAnsi="Arial" w:cs="Arial"/>
                <w:sz w:val="22"/>
                <w:szCs w:val="22"/>
              </w:rPr>
            </w:pPr>
            <w:r>
              <w:rPr>
                <w:rFonts w:ascii="Arial" w:hAnsi="Arial" w:cs="Arial"/>
                <w:sz w:val="22"/>
                <w:szCs w:val="22"/>
              </w:rPr>
              <w:t>Instituciones financieras</w:t>
            </w:r>
          </w:p>
        </w:tc>
        <w:tc>
          <w:tcPr>
            <w:tcW w:w="983" w:type="dxa"/>
            <w:tcBorders>
              <w:top w:val="single" w:sz="8" w:space="0" w:color="000000"/>
              <w:left w:val="single" w:sz="8" w:space="0" w:color="000000"/>
              <w:bottom w:val="single" w:sz="8" w:space="0" w:color="000000"/>
              <w:right w:val="single" w:sz="8" w:space="0" w:color="000000"/>
            </w:tcBorders>
            <w:shd w:val="clear" w:color="auto" w:fill="auto"/>
            <w:tcMar>
              <w:top w:w="16" w:type="dxa"/>
              <w:left w:w="72" w:type="dxa"/>
              <w:bottom w:w="5" w:type="dxa"/>
              <w:right w:w="18" w:type="dxa"/>
            </w:tcMar>
          </w:tcPr>
          <w:p w:rsidR="009B4233" w:rsidRDefault="006B08B9">
            <w:pPr>
              <w:spacing w:line="249" w:lineRule="auto"/>
              <w:ind w:right="49"/>
              <w:jc w:val="right"/>
              <w:rPr>
                <w:rFonts w:ascii="Arial" w:hAnsi="Arial" w:cs="Arial"/>
                <w:sz w:val="22"/>
                <w:szCs w:val="22"/>
              </w:rPr>
            </w:pPr>
            <w:r>
              <w:rPr>
                <w:rFonts w:ascii="Arial" w:hAnsi="Arial" w:cs="Arial"/>
                <w:sz w:val="22"/>
                <w:szCs w:val="22"/>
              </w:rPr>
              <w:t>47,01 €</w:t>
            </w:r>
          </w:p>
        </w:tc>
        <w:tc>
          <w:tcPr>
            <w:tcW w:w="932" w:type="dxa"/>
            <w:tcBorders>
              <w:top w:val="single" w:sz="8" w:space="0" w:color="000000"/>
              <w:left w:val="single" w:sz="8" w:space="0" w:color="000000"/>
              <w:bottom w:val="single" w:sz="8" w:space="0" w:color="000000"/>
              <w:right w:val="single" w:sz="8" w:space="0" w:color="000000"/>
            </w:tcBorders>
            <w:shd w:val="clear" w:color="auto" w:fill="auto"/>
            <w:tcMar>
              <w:top w:w="16" w:type="dxa"/>
              <w:left w:w="72" w:type="dxa"/>
              <w:bottom w:w="5" w:type="dxa"/>
              <w:right w:w="18" w:type="dxa"/>
            </w:tcMar>
          </w:tcPr>
          <w:p w:rsidR="009B4233" w:rsidRDefault="006B08B9">
            <w:pPr>
              <w:spacing w:line="249" w:lineRule="auto"/>
              <w:ind w:right="49"/>
              <w:jc w:val="right"/>
              <w:rPr>
                <w:rFonts w:ascii="Arial" w:hAnsi="Arial" w:cs="Arial"/>
                <w:sz w:val="22"/>
                <w:szCs w:val="22"/>
              </w:rPr>
            </w:pPr>
            <w:r>
              <w:rPr>
                <w:rFonts w:ascii="Arial" w:hAnsi="Arial" w:cs="Arial"/>
                <w:sz w:val="22"/>
                <w:szCs w:val="22"/>
              </w:rPr>
              <w:t>84,64 €</w:t>
            </w:r>
          </w:p>
        </w:tc>
        <w:tc>
          <w:tcPr>
            <w:tcW w:w="793" w:type="dxa"/>
            <w:tcBorders>
              <w:top w:val="single" w:sz="8" w:space="0" w:color="000000"/>
              <w:left w:val="single" w:sz="8" w:space="0" w:color="000000"/>
              <w:bottom w:val="single" w:sz="8" w:space="0" w:color="000000"/>
              <w:right w:val="single" w:sz="4" w:space="0" w:color="000000"/>
            </w:tcBorders>
            <w:shd w:val="clear" w:color="auto" w:fill="auto"/>
            <w:tcMar>
              <w:top w:w="16" w:type="dxa"/>
              <w:left w:w="72" w:type="dxa"/>
              <w:bottom w:w="5" w:type="dxa"/>
              <w:right w:w="18" w:type="dxa"/>
            </w:tcMar>
          </w:tcPr>
          <w:p w:rsidR="009B4233" w:rsidRDefault="006B08B9">
            <w:pPr>
              <w:spacing w:line="249" w:lineRule="auto"/>
              <w:ind w:right="49"/>
              <w:jc w:val="right"/>
              <w:rPr>
                <w:rFonts w:ascii="Arial" w:hAnsi="Arial" w:cs="Arial"/>
                <w:sz w:val="22"/>
                <w:szCs w:val="22"/>
              </w:rPr>
            </w:pPr>
            <w:r>
              <w:rPr>
                <w:rFonts w:ascii="Arial" w:hAnsi="Arial" w:cs="Arial"/>
                <w:sz w:val="22"/>
                <w:szCs w:val="22"/>
              </w:rPr>
              <w:t>0,77 €</w:t>
            </w:r>
          </w:p>
        </w:tc>
        <w:tc>
          <w:tcPr>
            <w:tcW w:w="1130" w:type="dxa"/>
            <w:tcBorders>
              <w:top w:val="single" w:sz="4" w:space="0" w:color="000000"/>
              <w:left w:val="single" w:sz="4" w:space="0" w:color="000000"/>
              <w:bottom w:val="single" w:sz="4" w:space="0" w:color="000000"/>
              <w:right w:val="single" w:sz="4" w:space="0" w:color="000000"/>
            </w:tcBorders>
            <w:shd w:val="clear" w:color="auto" w:fill="auto"/>
            <w:tcMar>
              <w:top w:w="16" w:type="dxa"/>
              <w:left w:w="72" w:type="dxa"/>
              <w:bottom w:w="5" w:type="dxa"/>
              <w:right w:w="18" w:type="dxa"/>
            </w:tcMar>
            <w:vAlign w:val="bottom"/>
          </w:tcPr>
          <w:p w:rsidR="009B4233" w:rsidRDefault="006B08B9">
            <w:pPr>
              <w:spacing w:line="249" w:lineRule="auto"/>
              <w:ind w:right="49"/>
              <w:jc w:val="right"/>
            </w:pPr>
            <w:r>
              <w:rPr>
                <w:rFonts w:ascii="Arial" w:eastAsia="Calibri" w:hAnsi="Arial" w:cs="Arial"/>
                <w:sz w:val="22"/>
                <w:szCs w:val="22"/>
              </w:rPr>
              <w:t>10,00</w:t>
            </w:r>
          </w:p>
        </w:tc>
        <w:tc>
          <w:tcPr>
            <w:tcW w:w="1460" w:type="dxa"/>
            <w:tcBorders>
              <w:top w:val="single" w:sz="4" w:space="0" w:color="000000"/>
              <w:left w:val="single" w:sz="4" w:space="0" w:color="000000"/>
              <w:bottom w:val="single" w:sz="4" w:space="0" w:color="000000"/>
              <w:right w:val="single" w:sz="4" w:space="0" w:color="000000"/>
            </w:tcBorders>
            <w:shd w:val="clear" w:color="auto" w:fill="auto"/>
            <w:tcMar>
              <w:top w:w="16" w:type="dxa"/>
              <w:left w:w="72" w:type="dxa"/>
              <w:bottom w:w="5" w:type="dxa"/>
              <w:right w:w="18" w:type="dxa"/>
            </w:tcMar>
            <w:vAlign w:val="bottom"/>
          </w:tcPr>
          <w:p w:rsidR="009B4233" w:rsidRDefault="006B08B9">
            <w:pPr>
              <w:spacing w:line="249" w:lineRule="auto"/>
              <w:ind w:right="49"/>
              <w:jc w:val="right"/>
            </w:pPr>
            <w:r>
              <w:rPr>
                <w:rFonts w:ascii="Arial" w:eastAsia="Calibri" w:hAnsi="Arial" w:cs="Arial"/>
                <w:sz w:val="22"/>
                <w:szCs w:val="22"/>
              </w:rPr>
              <w:t>6.048,24</w:t>
            </w:r>
          </w:p>
        </w:tc>
      </w:tr>
      <w:tr w:rsidR="009B4233">
        <w:tblPrEx>
          <w:tblCellMar>
            <w:top w:w="0" w:type="dxa"/>
            <w:bottom w:w="0" w:type="dxa"/>
          </w:tblCellMar>
        </w:tblPrEx>
        <w:trPr>
          <w:trHeight w:val="314"/>
        </w:trPr>
        <w:tc>
          <w:tcPr>
            <w:tcW w:w="971" w:type="dxa"/>
            <w:tcBorders>
              <w:top w:val="single" w:sz="8" w:space="0" w:color="000000"/>
              <w:left w:val="single" w:sz="8" w:space="0" w:color="000000"/>
              <w:bottom w:val="single" w:sz="8" w:space="0" w:color="000000"/>
              <w:right w:val="single" w:sz="8" w:space="0" w:color="000000"/>
            </w:tcBorders>
            <w:shd w:val="clear" w:color="auto" w:fill="auto"/>
            <w:tcMar>
              <w:top w:w="16" w:type="dxa"/>
              <w:left w:w="72" w:type="dxa"/>
              <w:bottom w:w="5" w:type="dxa"/>
              <w:right w:w="18" w:type="dxa"/>
            </w:tcMar>
          </w:tcPr>
          <w:p w:rsidR="009B4233" w:rsidRDefault="006B08B9">
            <w:pPr>
              <w:spacing w:line="249" w:lineRule="auto"/>
              <w:ind w:right="52"/>
              <w:jc w:val="center"/>
              <w:rPr>
                <w:rFonts w:ascii="Arial" w:hAnsi="Arial" w:cs="Arial"/>
                <w:sz w:val="22"/>
                <w:szCs w:val="22"/>
              </w:rPr>
            </w:pPr>
            <w:r>
              <w:rPr>
                <w:rFonts w:ascii="Arial" w:hAnsi="Arial" w:cs="Arial"/>
                <w:sz w:val="22"/>
                <w:szCs w:val="22"/>
              </w:rPr>
              <w:t>11</w:t>
            </w:r>
          </w:p>
        </w:tc>
        <w:tc>
          <w:tcPr>
            <w:tcW w:w="2701" w:type="dxa"/>
            <w:tcBorders>
              <w:top w:val="single" w:sz="8" w:space="0" w:color="000000"/>
              <w:left w:val="single" w:sz="8" w:space="0" w:color="000000"/>
              <w:bottom w:val="single" w:sz="8" w:space="0" w:color="000000"/>
              <w:right w:val="single" w:sz="8" w:space="0" w:color="000000"/>
            </w:tcBorders>
            <w:shd w:val="clear" w:color="auto" w:fill="auto"/>
            <w:tcMar>
              <w:top w:w="16" w:type="dxa"/>
              <w:left w:w="72" w:type="dxa"/>
              <w:bottom w:w="5" w:type="dxa"/>
              <w:right w:w="18" w:type="dxa"/>
            </w:tcMar>
          </w:tcPr>
          <w:p w:rsidR="009B4233" w:rsidRDefault="006B08B9">
            <w:pPr>
              <w:spacing w:line="249" w:lineRule="auto"/>
              <w:rPr>
                <w:rFonts w:ascii="Arial" w:hAnsi="Arial" w:cs="Arial"/>
                <w:sz w:val="22"/>
                <w:szCs w:val="22"/>
              </w:rPr>
            </w:pPr>
            <w:r>
              <w:rPr>
                <w:rFonts w:ascii="Arial" w:hAnsi="Arial" w:cs="Arial"/>
                <w:sz w:val="22"/>
                <w:szCs w:val="22"/>
              </w:rPr>
              <w:t>Educación e Investigación. 93, 96.7.2</w:t>
            </w:r>
          </w:p>
        </w:tc>
        <w:tc>
          <w:tcPr>
            <w:tcW w:w="983" w:type="dxa"/>
            <w:tcBorders>
              <w:top w:val="single" w:sz="8" w:space="0" w:color="000000"/>
              <w:left w:val="single" w:sz="8" w:space="0" w:color="000000"/>
              <w:bottom w:val="single" w:sz="8" w:space="0" w:color="000000"/>
              <w:right w:val="single" w:sz="8" w:space="0" w:color="000000"/>
            </w:tcBorders>
            <w:shd w:val="clear" w:color="auto" w:fill="auto"/>
            <w:tcMar>
              <w:top w:w="16" w:type="dxa"/>
              <w:left w:w="72" w:type="dxa"/>
              <w:bottom w:w="5" w:type="dxa"/>
              <w:right w:w="18" w:type="dxa"/>
            </w:tcMar>
          </w:tcPr>
          <w:p w:rsidR="009B4233" w:rsidRDefault="006B08B9">
            <w:pPr>
              <w:spacing w:line="249" w:lineRule="auto"/>
              <w:ind w:right="49"/>
              <w:jc w:val="right"/>
              <w:rPr>
                <w:rFonts w:ascii="Arial" w:hAnsi="Arial" w:cs="Arial"/>
                <w:sz w:val="22"/>
                <w:szCs w:val="22"/>
              </w:rPr>
            </w:pPr>
            <w:r>
              <w:rPr>
                <w:rFonts w:ascii="Arial" w:hAnsi="Arial" w:cs="Arial"/>
                <w:sz w:val="22"/>
                <w:szCs w:val="22"/>
              </w:rPr>
              <w:t>28,26 €</w:t>
            </w:r>
          </w:p>
        </w:tc>
        <w:tc>
          <w:tcPr>
            <w:tcW w:w="932" w:type="dxa"/>
            <w:tcBorders>
              <w:top w:val="single" w:sz="8" w:space="0" w:color="000000"/>
              <w:left w:val="single" w:sz="8" w:space="0" w:color="000000"/>
              <w:bottom w:val="single" w:sz="8" w:space="0" w:color="000000"/>
              <w:right w:val="single" w:sz="8" w:space="0" w:color="000000"/>
            </w:tcBorders>
            <w:shd w:val="clear" w:color="auto" w:fill="auto"/>
            <w:tcMar>
              <w:top w:w="16" w:type="dxa"/>
              <w:left w:w="72" w:type="dxa"/>
              <w:bottom w:w="5" w:type="dxa"/>
              <w:right w:w="18" w:type="dxa"/>
            </w:tcMar>
          </w:tcPr>
          <w:p w:rsidR="009B4233" w:rsidRDefault="006B08B9">
            <w:pPr>
              <w:spacing w:line="249" w:lineRule="auto"/>
              <w:ind w:right="49"/>
              <w:jc w:val="right"/>
              <w:rPr>
                <w:rFonts w:ascii="Arial" w:hAnsi="Arial" w:cs="Arial"/>
                <w:sz w:val="22"/>
                <w:szCs w:val="22"/>
              </w:rPr>
            </w:pPr>
            <w:r>
              <w:rPr>
                <w:rFonts w:ascii="Arial" w:hAnsi="Arial" w:cs="Arial"/>
                <w:sz w:val="22"/>
                <w:szCs w:val="22"/>
              </w:rPr>
              <w:t>28,86 €</w:t>
            </w:r>
          </w:p>
        </w:tc>
        <w:tc>
          <w:tcPr>
            <w:tcW w:w="793" w:type="dxa"/>
            <w:tcBorders>
              <w:top w:val="single" w:sz="8" w:space="0" w:color="000000"/>
              <w:left w:val="single" w:sz="8" w:space="0" w:color="000000"/>
              <w:bottom w:val="single" w:sz="8" w:space="0" w:color="000000"/>
              <w:right w:val="single" w:sz="4" w:space="0" w:color="000000"/>
            </w:tcBorders>
            <w:shd w:val="clear" w:color="auto" w:fill="auto"/>
            <w:tcMar>
              <w:top w:w="16" w:type="dxa"/>
              <w:left w:w="72" w:type="dxa"/>
              <w:bottom w:w="5" w:type="dxa"/>
              <w:right w:w="18" w:type="dxa"/>
            </w:tcMar>
          </w:tcPr>
          <w:p w:rsidR="009B4233" w:rsidRDefault="006B08B9">
            <w:pPr>
              <w:spacing w:line="249" w:lineRule="auto"/>
              <w:ind w:right="49"/>
              <w:jc w:val="right"/>
              <w:rPr>
                <w:rFonts w:ascii="Arial" w:hAnsi="Arial" w:cs="Arial"/>
                <w:sz w:val="22"/>
                <w:szCs w:val="22"/>
              </w:rPr>
            </w:pPr>
            <w:r>
              <w:rPr>
                <w:rFonts w:ascii="Arial" w:hAnsi="Arial" w:cs="Arial"/>
                <w:sz w:val="22"/>
                <w:szCs w:val="22"/>
              </w:rPr>
              <w:t>0,43 €</w:t>
            </w:r>
          </w:p>
        </w:tc>
        <w:tc>
          <w:tcPr>
            <w:tcW w:w="1130" w:type="dxa"/>
            <w:tcBorders>
              <w:top w:val="single" w:sz="4" w:space="0" w:color="000000"/>
              <w:left w:val="single" w:sz="4" w:space="0" w:color="000000"/>
              <w:bottom w:val="single" w:sz="4" w:space="0" w:color="000000"/>
              <w:right w:val="single" w:sz="4" w:space="0" w:color="000000"/>
            </w:tcBorders>
            <w:shd w:val="clear" w:color="auto" w:fill="auto"/>
            <w:tcMar>
              <w:top w:w="16" w:type="dxa"/>
              <w:left w:w="72" w:type="dxa"/>
              <w:bottom w:w="5" w:type="dxa"/>
              <w:right w:w="18" w:type="dxa"/>
            </w:tcMar>
            <w:vAlign w:val="bottom"/>
          </w:tcPr>
          <w:p w:rsidR="009B4233" w:rsidRDefault="006B08B9">
            <w:pPr>
              <w:spacing w:line="249" w:lineRule="auto"/>
              <w:ind w:right="49"/>
              <w:jc w:val="right"/>
            </w:pPr>
            <w:r>
              <w:rPr>
                <w:rFonts w:ascii="Arial" w:eastAsia="Calibri" w:hAnsi="Arial" w:cs="Arial"/>
                <w:sz w:val="22"/>
                <w:szCs w:val="22"/>
              </w:rPr>
              <w:t>21,00</w:t>
            </w:r>
          </w:p>
        </w:tc>
        <w:tc>
          <w:tcPr>
            <w:tcW w:w="1460" w:type="dxa"/>
            <w:tcBorders>
              <w:top w:val="single" w:sz="4" w:space="0" w:color="000000"/>
              <w:left w:val="single" w:sz="4" w:space="0" w:color="000000"/>
              <w:bottom w:val="single" w:sz="4" w:space="0" w:color="000000"/>
              <w:right w:val="single" w:sz="4" w:space="0" w:color="000000"/>
            </w:tcBorders>
            <w:shd w:val="clear" w:color="auto" w:fill="auto"/>
            <w:tcMar>
              <w:top w:w="16" w:type="dxa"/>
              <w:left w:w="72" w:type="dxa"/>
              <w:bottom w:w="5" w:type="dxa"/>
              <w:right w:w="18" w:type="dxa"/>
            </w:tcMar>
            <w:vAlign w:val="bottom"/>
          </w:tcPr>
          <w:p w:rsidR="009B4233" w:rsidRDefault="006B08B9">
            <w:pPr>
              <w:spacing w:line="249" w:lineRule="auto"/>
              <w:ind w:right="49"/>
              <w:jc w:val="right"/>
            </w:pPr>
            <w:r>
              <w:rPr>
                <w:rFonts w:ascii="Arial" w:eastAsia="Calibri" w:hAnsi="Arial" w:cs="Arial"/>
                <w:sz w:val="22"/>
                <w:szCs w:val="22"/>
              </w:rPr>
              <w:t>4.334,40</w:t>
            </w:r>
          </w:p>
        </w:tc>
      </w:tr>
      <w:tr w:rsidR="009B4233">
        <w:tblPrEx>
          <w:tblCellMar>
            <w:top w:w="0" w:type="dxa"/>
            <w:bottom w:w="0" w:type="dxa"/>
          </w:tblCellMar>
        </w:tblPrEx>
        <w:trPr>
          <w:trHeight w:val="316"/>
        </w:trPr>
        <w:tc>
          <w:tcPr>
            <w:tcW w:w="971" w:type="dxa"/>
            <w:tcBorders>
              <w:top w:val="single" w:sz="8" w:space="0" w:color="000000"/>
              <w:left w:val="single" w:sz="8" w:space="0" w:color="000000"/>
              <w:bottom w:val="single" w:sz="8" w:space="0" w:color="000000"/>
              <w:right w:val="single" w:sz="8" w:space="0" w:color="000000"/>
            </w:tcBorders>
            <w:shd w:val="clear" w:color="auto" w:fill="auto"/>
            <w:tcMar>
              <w:top w:w="16" w:type="dxa"/>
              <w:left w:w="72" w:type="dxa"/>
              <w:bottom w:w="5" w:type="dxa"/>
              <w:right w:w="18" w:type="dxa"/>
            </w:tcMar>
          </w:tcPr>
          <w:p w:rsidR="009B4233" w:rsidRDefault="006B08B9">
            <w:pPr>
              <w:spacing w:line="249" w:lineRule="auto"/>
              <w:ind w:right="52"/>
              <w:jc w:val="center"/>
              <w:rPr>
                <w:rFonts w:ascii="Arial" w:hAnsi="Arial" w:cs="Arial"/>
                <w:sz w:val="22"/>
                <w:szCs w:val="22"/>
              </w:rPr>
            </w:pPr>
            <w:r>
              <w:rPr>
                <w:rFonts w:ascii="Arial" w:hAnsi="Arial" w:cs="Arial"/>
                <w:sz w:val="22"/>
                <w:szCs w:val="22"/>
              </w:rPr>
              <w:t>12</w:t>
            </w:r>
          </w:p>
        </w:tc>
        <w:tc>
          <w:tcPr>
            <w:tcW w:w="2701" w:type="dxa"/>
            <w:tcBorders>
              <w:top w:val="single" w:sz="8" w:space="0" w:color="000000"/>
              <w:left w:val="single" w:sz="8" w:space="0" w:color="000000"/>
              <w:bottom w:val="single" w:sz="8" w:space="0" w:color="000000"/>
              <w:right w:val="single" w:sz="8" w:space="0" w:color="000000"/>
            </w:tcBorders>
            <w:shd w:val="clear" w:color="auto" w:fill="auto"/>
            <w:tcMar>
              <w:top w:w="16" w:type="dxa"/>
              <w:left w:w="72" w:type="dxa"/>
              <w:bottom w:w="5" w:type="dxa"/>
              <w:right w:w="18" w:type="dxa"/>
            </w:tcMar>
          </w:tcPr>
          <w:p w:rsidR="009B4233" w:rsidRDefault="006B08B9">
            <w:pPr>
              <w:spacing w:line="249" w:lineRule="auto"/>
              <w:rPr>
                <w:rFonts w:ascii="Arial" w:hAnsi="Arial" w:cs="Arial"/>
                <w:sz w:val="22"/>
                <w:szCs w:val="22"/>
              </w:rPr>
            </w:pPr>
            <w:r>
              <w:rPr>
                <w:rFonts w:ascii="Arial" w:hAnsi="Arial" w:cs="Arial"/>
                <w:sz w:val="22"/>
                <w:szCs w:val="22"/>
              </w:rPr>
              <w:t>Serv. de Saneamiento y Limpieza.</w:t>
            </w:r>
          </w:p>
        </w:tc>
        <w:tc>
          <w:tcPr>
            <w:tcW w:w="983" w:type="dxa"/>
            <w:tcBorders>
              <w:top w:val="single" w:sz="8" w:space="0" w:color="000000"/>
              <w:left w:val="single" w:sz="8" w:space="0" w:color="000000"/>
              <w:bottom w:val="single" w:sz="8" w:space="0" w:color="000000"/>
              <w:right w:val="single" w:sz="8" w:space="0" w:color="000000"/>
            </w:tcBorders>
            <w:shd w:val="clear" w:color="auto" w:fill="auto"/>
            <w:tcMar>
              <w:top w:w="16" w:type="dxa"/>
              <w:left w:w="72" w:type="dxa"/>
              <w:bottom w:w="5" w:type="dxa"/>
              <w:right w:w="18" w:type="dxa"/>
            </w:tcMar>
          </w:tcPr>
          <w:p w:rsidR="009B4233" w:rsidRDefault="006B08B9">
            <w:pPr>
              <w:spacing w:line="249" w:lineRule="auto"/>
              <w:ind w:right="49"/>
              <w:jc w:val="right"/>
              <w:rPr>
                <w:rFonts w:ascii="Arial" w:hAnsi="Arial" w:cs="Arial"/>
                <w:sz w:val="22"/>
                <w:szCs w:val="22"/>
              </w:rPr>
            </w:pPr>
            <w:r>
              <w:rPr>
                <w:rFonts w:ascii="Arial" w:hAnsi="Arial" w:cs="Arial"/>
                <w:sz w:val="22"/>
                <w:szCs w:val="22"/>
              </w:rPr>
              <w:t>54,18 €</w:t>
            </w:r>
          </w:p>
        </w:tc>
        <w:tc>
          <w:tcPr>
            <w:tcW w:w="932" w:type="dxa"/>
            <w:tcBorders>
              <w:top w:val="single" w:sz="8" w:space="0" w:color="000000"/>
              <w:left w:val="single" w:sz="8" w:space="0" w:color="000000"/>
              <w:bottom w:val="single" w:sz="8" w:space="0" w:color="000000"/>
              <w:right w:val="single" w:sz="8" w:space="0" w:color="000000"/>
            </w:tcBorders>
            <w:shd w:val="clear" w:color="auto" w:fill="auto"/>
            <w:tcMar>
              <w:top w:w="16" w:type="dxa"/>
              <w:left w:w="72" w:type="dxa"/>
              <w:bottom w:w="5" w:type="dxa"/>
              <w:right w:w="18" w:type="dxa"/>
            </w:tcMar>
          </w:tcPr>
          <w:p w:rsidR="009B4233" w:rsidRDefault="006B08B9">
            <w:pPr>
              <w:spacing w:line="249" w:lineRule="auto"/>
              <w:ind w:right="49"/>
              <w:jc w:val="right"/>
              <w:rPr>
                <w:rFonts w:ascii="Arial" w:hAnsi="Arial" w:cs="Arial"/>
                <w:sz w:val="22"/>
                <w:szCs w:val="22"/>
              </w:rPr>
            </w:pPr>
            <w:r>
              <w:rPr>
                <w:rFonts w:ascii="Arial" w:hAnsi="Arial" w:cs="Arial"/>
                <w:sz w:val="22"/>
                <w:szCs w:val="22"/>
              </w:rPr>
              <w:t>60,23 €</w:t>
            </w:r>
          </w:p>
        </w:tc>
        <w:tc>
          <w:tcPr>
            <w:tcW w:w="793" w:type="dxa"/>
            <w:tcBorders>
              <w:top w:val="single" w:sz="8" w:space="0" w:color="000000"/>
              <w:left w:val="single" w:sz="8" w:space="0" w:color="000000"/>
              <w:bottom w:val="single" w:sz="8" w:space="0" w:color="000000"/>
              <w:right w:val="single" w:sz="4" w:space="0" w:color="000000"/>
            </w:tcBorders>
            <w:shd w:val="clear" w:color="auto" w:fill="auto"/>
            <w:tcMar>
              <w:top w:w="16" w:type="dxa"/>
              <w:left w:w="72" w:type="dxa"/>
              <w:bottom w:w="5" w:type="dxa"/>
              <w:right w:w="18" w:type="dxa"/>
            </w:tcMar>
          </w:tcPr>
          <w:p w:rsidR="009B4233" w:rsidRDefault="006B08B9">
            <w:pPr>
              <w:spacing w:line="249" w:lineRule="auto"/>
              <w:ind w:right="49"/>
              <w:jc w:val="right"/>
              <w:rPr>
                <w:rFonts w:ascii="Arial" w:hAnsi="Arial" w:cs="Arial"/>
                <w:sz w:val="22"/>
                <w:szCs w:val="22"/>
              </w:rPr>
            </w:pPr>
            <w:r>
              <w:rPr>
                <w:rFonts w:ascii="Arial" w:hAnsi="Arial" w:cs="Arial"/>
                <w:sz w:val="22"/>
                <w:szCs w:val="22"/>
              </w:rPr>
              <w:t>0,83 €</w:t>
            </w:r>
          </w:p>
        </w:tc>
        <w:tc>
          <w:tcPr>
            <w:tcW w:w="1130" w:type="dxa"/>
            <w:tcBorders>
              <w:top w:val="single" w:sz="4" w:space="0" w:color="000000"/>
              <w:left w:val="single" w:sz="4" w:space="0" w:color="000000"/>
              <w:bottom w:val="single" w:sz="4" w:space="0" w:color="000000"/>
              <w:right w:val="single" w:sz="4" w:space="0" w:color="000000"/>
            </w:tcBorders>
            <w:shd w:val="clear" w:color="auto" w:fill="auto"/>
            <w:tcMar>
              <w:top w:w="16" w:type="dxa"/>
              <w:left w:w="72" w:type="dxa"/>
              <w:bottom w:w="5" w:type="dxa"/>
              <w:right w:w="18" w:type="dxa"/>
            </w:tcMar>
            <w:vAlign w:val="bottom"/>
          </w:tcPr>
          <w:p w:rsidR="009B4233" w:rsidRDefault="006B08B9">
            <w:pPr>
              <w:spacing w:line="249" w:lineRule="auto"/>
              <w:ind w:right="49"/>
              <w:jc w:val="right"/>
            </w:pPr>
            <w:r>
              <w:rPr>
                <w:rFonts w:ascii="Arial" w:eastAsia="Calibri" w:hAnsi="Arial" w:cs="Arial"/>
                <w:sz w:val="22"/>
                <w:szCs w:val="22"/>
              </w:rPr>
              <w:t>2,00</w:t>
            </w:r>
          </w:p>
        </w:tc>
        <w:tc>
          <w:tcPr>
            <w:tcW w:w="1460" w:type="dxa"/>
            <w:tcBorders>
              <w:top w:val="single" w:sz="4" w:space="0" w:color="000000"/>
              <w:left w:val="single" w:sz="4" w:space="0" w:color="000000"/>
              <w:bottom w:val="single" w:sz="4" w:space="0" w:color="000000"/>
              <w:right w:val="single" w:sz="4" w:space="0" w:color="000000"/>
            </w:tcBorders>
            <w:shd w:val="clear" w:color="auto" w:fill="auto"/>
            <w:tcMar>
              <w:top w:w="16" w:type="dxa"/>
              <w:left w:w="72" w:type="dxa"/>
              <w:bottom w:w="5" w:type="dxa"/>
              <w:right w:w="18" w:type="dxa"/>
            </w:tcMar>
            <w:vAlign w:val="bottom"/>
          </w:tcPr>
          <w:p w:rsidR="009B4233" w:rsidRDefault="006B08B9">
            <w:pPr>
              <w:spacing w:line="249" w:lineRule="auto"/>
              <w:ind w:right="49"/>
              <w:jc w:val="right"/>
            </w:pPr>
            <w:r>
              <w:rPr>
                <w:rFonts w:ascii="Arial" w:eastAsia="Calibri" w:hAnsi="Arial" w:cs="Arial"/>
                <w:sz w:val="22"/>
                <w:szCs w:val="22"/>
              </w:rPr>
              <w:t>660,18</w:t>
            </w:r>
          </w:p>
        </w:tc>
      </w:tr>
      <w:tr w:rsidR="009B4233">
        <w:tblPrEx>
          <w:tblCellMar>
            <w:top w:w="0" w:type="dxa"/>
            <w:bottom w:w="0" w:type="dxa"/>
          </w:tblCellMar>
        </w:tblPrEx>
        <w:trPr>
          <w:trHeight w:val="314"/>
        </w:trPr>
        <w:tc>
          <w:tcPr>
            <w:tcW w:w="971" w:type="dxa"/>
            <w:tcBorders>
              <w:top w:val="single" w:sz="8" w:space="0" w:color="000000"/>
              <w:left w:val="single" w:sz="8" w:space="0" w:color="000000"/>
              <w:bottom w:val="single" w:sz="8" w:space="0" w:color="000000"/>
              <w:right w:val="single" w:sz="8" w:space="0" w:color="000000"/>
            </w:tcBorders>
            <w:shd w:val="clear" w:color="auto" w:fill="auto"/>
            <w:tcMar>
              <w:top w:w="16" w:type="dxa"/>
              <w:left w:w="72" w:type="dxa"/>
              <w:bottom w:w="5" w:type="dxa"/>
              <w:right w:w="18" w:type="dxa"/>
            </w:tcMar>
          </w:tcPr>
          <w:p w:rsidR="009B4233" w:rsidRDefault="006B08B9">
            <w:pPr>
              <w:spacing w:line="249" w:lineRule="auto"/>
              <w:ind w:right="52"/>
              <w:jc w:val="center"/>
              <w:rPr>
                <w:rFonts w:ascii="Arial" w:hAnsi="Arial" w:cs="Arial"/>
                <w:sz w:val="22"/>
                <w:szCs w:val="22"/>
              </w:rPr>
            </w:pPr>
            <w:r>
              <w:rPr>
                <w:rFonts w:ascii="Arial" w:hAnsi="Arial" w:cs="Arial"/>
                <w:sz w:val="22"/>
                <w:szCs w:val="22"/>
              </w:rPr>
              <w:t>13</w:t>
            </w:r>
          </w:p>
        </w:tc>
        <w:tc>
          <w:tcPr>
            <w:tcW w:w="2701" w:type="dxa"/>
            <w:tcBorders>
              <w:top w:val="single" w:sz="8" w:space="0" w:color="000000"/>
              <w:left w:val="single" w:sz="8" w:space="0" w:color="000000"/>
              <w:bottom w:val="single" w:sz="8" w:space="0" w:color="000000"/>
              <w:right w:val="single" w:sz="8" w:space="0" w:color="000000"/>
            </w:tcBorders>
            <w:shd w:val="clear" w:color="auto" w:fill="auto"/>
            <w:tcMar>
              <w:top w:w="16" w:type="dxa"/>
              <w:left w:w="72" w:type="dxa"/>
              <w:bottom w:w="5" w:type="dxa"/>
              <w:right w:w="18" w:type="dxa"/>
            </w:tcMar>
          </w:tcPr>
          <w:p w:rsidR="009B4233" w:rsidRDefault="006B08B9">
            <w:pPr>
              <w:spacing w:line="249" w:lineRule="auto"/>
              <w:rPr>
                <w:rFonts w:ascii="Arial" w:hAnsi="Arial" w:cs="Arial"/>
                <w:sz w:val="22"/>
                <w:szCs w:val="22"/>
              </w:rPr>
            </w:pPr>
            <w:r>
              <w:rPr>
                <w:rFonts w:ascii="Arial" w:hAnsi="Arial" w:cs="Arial"/>
                <w:sz w:val="22"/>
                <w:szCs w:val="22"/>
              </w:rPr>
              <w:t>Serv. Personales, peluquerías.</w:t>
            </w:r>
          </w:p>
        </w:tc>
        <w:tc>
          <w:tcPr>
            <w:tcW w:w="983" w:type="dxa"/>
            <w:tcBorders>
              <w:top w:val="single" w:sz="8" w:space="0" w:color="000000"/>
              <w:left w:val="single" w:sz="8" w:space="0" w:color="000000"/>
              <w:bottom w:val="single" w:sz="8" w:space="0" w:color="000000"/>
              <w:right w:val="single" w:sz="8" w:space="0" w:color="000000"/>
            </w:tcBorders>
            <w:shd w:val="clear" w:color="auto" w:fill="auto"/>
            <w:tcMar>
              <w:top w:w="16" w:type="dxa"/>
              <w:left w:w="72" w:type="dxa"/>
              <w:bottom w:w="5" w:type="dxa"/>
              <w:right w:w="18" w:type="dxa"/>
            </w:tcMar>
          </w:tcPr>
          <w:p w:rsidR="009B4233" w:rsidRDefault="006B08B9">
            <w:pPr>
              <w:spacing w:line="249" w:lineRule="auto"/>
              <w:ind w:right="49"/>
              <w:jc w:val="right"/>
              <w:rPr>
                <w:rFonts w:ascii="Arial" w:hAnsi="Arial" w:cs="Arial"/>
                <w:sz w:val="22"/>
                <w:szCs w:val="22"/>
              </w:rPr>
            </w:pPr>
            <w:r>
              <w:rPr>
                <w:rFonts w:ascii="Arial" w:hAnsi="Arial" w:cs="Arial"/>
                <w:sz w:val="22"/>
                <w:szCs w:val="22"/>
              </w:rPr>
              <w:t>49,64 €</w:t>
            </w:r>
          </w:p>
        </w:tc>
        <w:tc>
          <w:tcPr>
            <w:tcW w:w="932" w:type="dxa"/>
            <w:tcBorders>
              <w:top w:val="single" w:sz="8" w:space="0" w:color="000000"/>
              <w:left w:val="single" w:sz="8" w:space="0" w:color="000000"/>
              <w:bottom w:val="single" w:sz="8" w:space="0" w:color="000000"/>
              <w:right w:val="single" w:sz="8" w:space="0" w:color="000000"/>
            </w:tcBorders>
            <w:shd w:val="clear" w:color="auto" w:fill="auto"/>
            <w:tcMar>
              <w:top w:w="16" w:type="dxa"/>
              <w:left w:w="72" w:type="dxa"/>
              <w:bottom w:w="5" w:type="dxa"/>
              <w:right w:w="18" w:type="dxa"/>
            </w:tcMar>
          </w:tcPr>
          <w:p w:rsidR="009B4233" w:rsidRDefault="006B08B9">
            <w:pPr>
              <w:spacing w:line="249" w:lineRule="auto"/>
              <w:ind w:right="49"/>
              <w:jc w:val="right"/>
              <w:rPr>
                <w:rFonts w:ascii="Arial" w:hAnsi="Arial" w:cs="Arial"/>
                <w:sz w:val="22"/>
                <w:szCs w:val="22"/>
              </w:rPr>
            </w:pPr>
            <w:r>
              <w:rPr>
                <w:rFonts w:ascii="Arial" w:hAnsi="Arial" w:cs="Arial"/>
                <w:sz w:val="22"/>
                <w:szCs w:val="22"/>
              </w:rPr>
              <w:t>52,56 €</w:t>
            </w:r>
          </w:p>
        </w:tc>
        <w:tc>
          <w:tcPr>
            <w:tcW w:w="793" w:type="dxa"/>
            <w:tcBorders>
              <w:top w:val="single" w:sz="8" w:space="0" w:color="000000"/>
              <w:left w:val="single" w:sz="8" w:space="0" w:color="000000"/>
              <w:bottom w:val="single" w:sz="8" w:space="0" w:color="000000"/>
              <w:right w:val="single" w:sz="4" w:space="0" w:color="000000"/>
            </w:tcBorders>
            <w:shd w:val="clear" w:color="auto" w:fill="auto"/>
            <w:tcMar>
              <w:top w:w="16" w:type="dxa"/>
              <w:left w:w="72" w:type="dxa"/>
              <w:bottom w:w="5" w:type="dxa"/>
              <w:right w:w="18" w:type="dxa"/>
            </w:tcMar>
          </w:tcPr>
          <w:p w:rsidR="009B4233" w:rsidRDefault="006B08B9">
            <w:pPr>
              <w:spacing w:line="249" w:lineRule="auto"/>
              <w:ind w:right="49"/>
              <w:jc w:val="right"/>
              <w:rPr>
                <w:rFonts w:ascii="Arial" w:hAnsi="Arial" w:cs="Arial"/>
                <w:sz w:val="22"/>
                <w:szCs w:val="22"/>
              </w:rPr>
            </w:pPr>
            <w:r>
              <w:rPr>
                <w:rFonts w:ascii="Arial" w:hAnsi="Arial" w:cs="Arial"/>
                <w:sz w:val="22"/>
                <w:szCs w:val="22"/>
              </w:rPr>
              <w:t>0,46 €</w:t>
            </w:r>
          </w:p>
        </w:tc>
        <w:tc>
          <w:tcPr>
            <w:tcW w:w="1130" w:type="dxa"/>
            <w:tcBorders>
              <w:top w:val="single" w:sz="4" w:space="0" w:color="000000"/>
              <w:left w:val="single" w:sz="4" w:space="0" w:color="000000"/>
              <w:bottom w:val="single" w:sz="4" w:space="0" w:color="000000"/>
              <w:right w:val="single" w:sz="4" w:space="0" w:color="000000"/>
            </w:tcBorders>
            <w:shd w:val="clear" w:color="auto" w:fill="auto"/>
            <w:tcMar>
              <w:top w:w="16" w:type="dxa"/>
              <w:left w:w="72" w:type="dxa"/>
              <w:bottom w:w="5" w:type="dxa"/>
              <w:right w:w="18" w:type="dxa"/>
            </w:tcMar>
            <w:vAlign w:val="bottom"/>
          </w:tcPr>
          <w:p w:rsidR="009B4233" w:rsidRDefault="006B08B9">
            <w:pPr>
              <w:spacing w:line="249" w:lineRule="auto"/>
              <w:ind w:right="49"/>
              <w:jc w:val="right"/>
            </w:pPr>
            <w:r>
              <w:rPr>
                <w:rFonts w:ascii="Arial" w:eastAsia="Calibri" w:hAnsi="Arial" w:cs="Arial"/>
                <w:sz w:val="22"/>
                <w:szCs w:val="22"/>
              </w:rPr>
              <w:t>75,00</w:t>
            </w:r>
          </w:p>
        </w:tc>
        <w:tc>
          <w:tcPr>
            <w:tcW w:w="1460" w:type="dxa"/>
            <w:tcBorders>
              <w:top w:val="single" w:sz="4" w:space="0" w:color="000000"/>
              <w:left w:val="single" w:sz="4" w:space="0" w:color="000000"/>
              <w:bottom w:val="single" w:sz="4" w:space="0" w:color="000000"/>
              <w:right w:val="single" w:sz="4" w:space="0" w:color="000000"/>
            </w:tcBorders>
            <w:shd w:val="clear" w:color="auto" w:fill="auto"/>
            <w:tcMar>
              <w:top w:w="16" w:type="dxa"/>
              <w:left w:w="72" w:type="dxa"/>
              <w:bottom w:w="5" w:type="dxa"/>
              <w:right w:w="18" w:type="dxa"/>
            </w:tcMar>
            <w:vAlign w:val="bottom"/>
          </w:tcPr>
          <w:p w:rsidR="009B4233" w:rsidRDefault="006B08B9">
            <w:pPr>
              <w:spacing w:line="249" w:lineRule="auto"/>
              <w:ind w:right="50"/>
              <w:jc w:val="right"/>
            </w:pPr>
            <w:r>
              <w:rPr>
                <w:rFonts w:ascii="Arial" w:eastAsia="Calibri" w:hAnsi="Arial" w:cs="Arial"/>
                <w:sz w:val="22"/>
                <w:szCs w:val="22"/>
              </w:rPr>
              <w:t>36.821,10</w:t>
            </w:r>
          </w:p>
        </w:tc>
      </w:tr>
      <w:tr w:rsidR="009B4233">
        <w:tblPrEx>
          <w:tblCellMar>
            <w:top w:w="0" w:type="dxa"/>
            <w:bottom w:w="0" w:type="dxa"/>
          </w:tblCellMar>
        </w:tblPrEx>
        <w:trPr>
          <w:trHeight w:val="388"/>
        </w:trPr>
        <w:tc>
          <w:tcPr>
            <w:tcW w:w="971" w:type="dxa"/>
            <w:tcBorders>
              <w:top w:val="single" w:sz="8" w:space="0" w:color="000000"/>
              <w:left w:val="single" w:sz="8" w:space="0" w:color="000000"/>
              <w:bottom w:val="single" w:sz="8" w:space="0" w:color="000000"/>
              <w:right w:val="single" w:sz="8" w:space="0" w:color="000000"/>
            </w:tcBorders>
            <w:shd w:val="clear" w:color="auto" w:fill="auto"/>
            <w:tcMar>
              <w:top w:w="16" w:type="dxa"/>
              <w:left w:w="72" w:type="dxa"/>
              <w:bottom w:w="5" w:type="dxa"/>
              <w:right w:w="18" w:type="dxa"/>
            </w:tcMar>
          </w:tcPr>
          <w:p w:rsidR="009B4233" w:rsidRDefault="006B08B9">
            <w:pPr>
              <w:spacing w:line="249" w:lineRule="auto"/>
              <w:ind w:right="52"/>
              <w:jc w:val="center"/>
              <w:rPr>
                <w:rFonts w:ascii="Arial" w:hAnsi="Arial" w:cs="Arial"/>
                <w:sz w:val="22"/>
                <w:szCs w:val="22"/>
              </w:rPr>
            </w:pPr>
            <w:r>
              <w:rPr>
                <w:rFonts w:ascii="Arial" w:hAnsi="Arial" w:cs="Arial"/>
                <w:sz w:val="22"/>
                <w:szCs w:val="22"/>
              </w:rPr>
              <w:t>14</w:t>
            </w:r>
          </w:p>
        </w:tc>
        <w:tc>
          <w:tcPr>
            <w:tcW w:w="2701" w:type="dxa"/>
            <w:tcBorders>
              <w:top w:val="single" w:sz="8" w:space="0" w:color="000000"/>
              <w:left w:val="single" w:sz="8" w:space="0" w:color="000000"/>
              <w:bottom w:val="single" w:sz="8" w:space="0" w:color="000000"/>
              <w:right w:val="single" w:sz="8" w:space="0" w:color="000000"/>
            </w:tcBorders>
            <w:shd w:val="clear" w:color="auto" w:fill="auto"/>
            <w:tcMar>
              <w:top w:w="16" w:type="dxa"/>
              <w:left w:w="72" w:type="dxa"/>
              <w:bottom w:w="5" w:type="dxa"/>
              <w:right w:w="18" w:type="dxa"/>
            </w:tcMar>
          </w:tcPr>
          <w:p w:rsidR="009B4233" w:rsidRDefault="006B08B9">
            <w:pPr>
              <w:spacing w:line="249" w:lineRule="auto"/>
              <w:rPr>
                <w:rFonts w:ascii="Arial" w:hAnsi="Arial" w:cs="Arial"/>
                <w:sz w:val="22"/>
                <w:szCs w:val="22"/>
              </w:rPr>
            </w:pPr>
            <w:r>
              <w:rPr>
                <w:rFonts w:ascii="Arial" w:hAnsi="Arial" w:cs="Arial"/>
                <w:sz w:val="22"/>
                <w:szCs w:val="22"/>
              </w:rPr>
              <w:t>Sanidad y servicios sanitarios</w:t>
            </w:r>
          </w:p>
        </w:tc>
        <w:tc>
          <w:tcPr>
            <w:tcW w:w="983" w:type="dxa"/>
            <w:vMerge w:val="restart"/>
            <w:tcBorders>
              <w:top w:val="single" w:sz="8" w:space="0" w:color="000000"/>
              <w:left w:val="single" w:sz="8" w:space="0" w:color="000000"/>
              <w:bottom w:val="single" w:sz="8" w:space="0" w:color="000000"/>
            </w:tcBorders>
            <w:shd w:val="clear" w:color="auto" w:fill="auto"/>
            <w:tcMar>
              <w:top w:w="16" w:type="dxa"/>
              <w:left w:w="72" w:type="dxa"/>
              <w:bottom w:w="5" w:type="dxa"/>
              <w:right w:w="18" w:type="dxa"/>
            </w:tcMar>
            <w:vAlign w:val="bottom"/>
          </w:tcPr>
          <w:p w:rsidR="009B4233" w:rsidRDefault="006B08B9">
            <w:pPr>
              <w:spacing w:line="249" w:lineRule="auto"/>
              <w:ind w:right="49"/>
              <w:jc w:val="right"/>
              <w:rPr>
                <w:rFonts w:ascii="Arial" w:hAnsi="Arial" w:cs="Arial"/>
                <w:sz w:val="22"/>
                <w:szCs w:val="22"/>
              </w:rPr>
            </w:pPr>
            <w:r>
              <w:rPr>
                <w:rFonts w:ascii="Arial" w:hAnsi="Arial" w:cs="Arial"/>
                <w:sz w:val="22"/>
                <w:szCs w:val="22"/>
              </w:rPr>
              <w:t>46,47 €</w:t>
            </w:r>
          </w:p>
        </w:tc>
        <w:tc>
          <w:tcPr>
            <w:tcW w:w="932" w:type="dxa"/>
            <w:tcBorders>
              <w:top w:val="single" w:sz="8" w:space="0" w:color="000000"/>
              <w:bottom w:val="single" w:sz="8" w:space="0" w:color="000000"/>
              <w:right w:val="single" w:sz="8" w:space="0" w:color="000000"/>
            </w:tcBorders>
            <w:shd w:val="clear" w:color="auto" w:fill="auto"/>
            <w:tcMar>
              <w:top w:w="16" w:type="dxa"/>
              <w:left w:w="72" w:type="dxa"/>
              <w:bottom w:w="5" w:type="dxa"/>
              <w:right w:w="18" w:type="dxa"/>
            </w:tcMar>
          </w:tcPr>
          <w:p w:rsidR="009B4233" w:rsidRDefault="006B08B9">
            <w:pPr>
              <w:spacing w:line="249" w:lineRule="auto"/>
              <w:jc w:val="center"/>
              <w:rPr>
                <w:rFonts w:ascii="Arial" w:hAnsi="Arial" w:cs="Arial"/>
                <w:sz w:val="22"/>
                <w:szCs w:val="22"/>
              </w:rPr>
            </w:pPr>
            <w:r>
              <w:rPr>
                <w:rFonts w:ascii="Arial" w:hAnsi="Arial" w:cs="Arial"/>
                <w:sz w:val="22"/>
                <w:szCs w:val="22"/>
              </w:rPr>
              <w:t>11,63 €/cama</w:t>
            </w:r>
          </w:p>
        </w:tc>
        <w:tc>
          <w:tcPr>
            <w:tcW w:w="793" w:type="dxa"/>
            <w:vMerge w:val="restart"/>
            <w:tcBorders>
              <w:top w:val="single" w:sz="8" w:space="0" w:color="000000"/>
              <w:left w:val="single" w:sz="8" w:space="0" w:color="000000"/>
              <w:bottom w:val="single" w:sz="8" w:space="0" w:color="000000"/>
              <w:right w:val="single" w:sz="4" w:space="0" w:color="000000"/>
            </w:tcBorders>
            <w:shd w:val="clear" w:color="auto" w:fill="auto"/>
            <w:tcMar>
              <w:top w:w="16" w:type="dxa"/>
              <w:left w:w="72" w:type="dxa"/>
              <w:bottom w:w="5" w:type="dxa"/>
              <w:right w:w="18" w:type="dxa"/>
            </w:tcMar>
            <w:vAlign w:val="bottom"/>
          </w:tcPr>
          <w:p w:rsidR="009B4233" w:rsidRDefault="006B08B9">
            <w:pPr>
              <w:spacing w:after="55" w:line="249" w:lineRule="auto"/>
            </w:pPr>
            <w:r>
              <w:rPr>
                <w:rFonts w:ascii="Arial" w:eastAsia="Calibri" w:hAnsi="Arial" w:cs="Arial"/>
                <w:sz w:val="22"/>
                <w:szCs w:val="22"/>
              </w:rPr>
              <w:t xml:space="preserve"> </w:t>
            </w:r>
          </w:p>
          <w:p w:rsidR="009B4233" w:rsidRDefault="006B08B9">
            <w:pPr>
              <w:spacing w:line="249" w:lineRule="auto"/>
              <w:ind w:right="49"/>
              <w:jc w:val="right"/>
              <w:rPr>
                <w:rFonts w:ascii="Arial" w:hAnsi="Arial" w:cs="Arial"/>
                <w:sz w:val="22"/>
                <w:szCs w:val="22"/>
              </w:rPr>
            </w:pPr>
            <w:r>
              <w:rPr>
                <w:rFonts w:ascii="Arial" w:hAnsi="Arial" w:cs="Arial"/>
                <w:sz w:val="22"/>
                <w:szCs w:val="22"/>
              </w:rPr>
              <w:t>0,64 €</w:t>
            </w:r>
          </w:p>
        </w:tc>
        <w:tc>
          <w:tcPr>
            <w:tcW w:w="1130" w:type="dxa"/>
            <w:tcBorders>
              <w:top w:val="single" w:sz="4" w:space="0" w:color="000000"/>
              <w:left w:val="single" w:sz="4" w:space="0" w:color="000000"/>
              <w:bottom w:val="single" w:sz="4" w:space="0" w:color="000000"/>
              <w:right w:val="single" w:sz="4" w:space="0" w:color="000000"/>
            </w:tcBorders>
            <w:shd w:val="clear" w:color="auto" w:fill="auto"/>
            <w:tcMar>
              <w:top w:w="16" w:type="dxa"/>
              <w:left w:w="72" w:type="dxa"/>
              <w:bottom w:w="5" w:type="dxa"/>
              <w:right w:w="18" w:type="dxa"/>
            </w:tcMar>
            <w:vAlign w:val="bottom"/>
          </w:tcPr>
          <w:p w:rsidR="009B4233" w:rsidRDefault="006B08B9">
            <w:pPr>
              <w:spacing w:line="249" w:lineRule="auto"/>
            </w:pPr>
            <w:r>
              <w:rPr>
                <w:rFonts w:ascii="Arial" w:eastAsia="Calibri" w:hAnsi="Arial" w:cs="Arial"/>
                <w:sz w:val="22"/>
                <w:szCs w:val="22"/>
              </w:rPr>
              <w:t xml:space="preserve"> </w:t>
            </w:r>
          </w:p>
        </w:tc>
        <w:tc>
          <w:tcPr>
            <w:tcW w:w="1460" w:type="dxa"/>
            <w:tcBorders>
              <w:top w:val="single" w:sz="4" w:space="0" w:color="000000"/>
              <w:left w:val="single" w:sz="4" w:space="0" w:color="000000"/>
              <w:bottom w:val="single" w:sz="4" w:space="0" w:color="000000"/>
              <w:right w:val="single" w:sz="4" w:space="0" w:color="000000"/>
            </w:tcBorders>
            <w:shd w:val="clear" w:color="auto" w:fill="auto"/>
            <w:tcMar>
              <w:top w:w="16" w:type="dxa"/>
              <w:left w:w="72" w:type="dxa"/>
              <w:bottom w:w="5" w:type="dxa"/>
              <w:right w:w="18" w:type="dxa"/>
            </w:tcMar>
            <w:vAlign w:val="bottom"/>
          </w:tcPr>
          <w:p w:rsidR="009B4233" w:rsidRDefault="006B08B9">
            <w:pPr>
              <w:spacing w:line="249" w:lineRule="auto"/>
            </w:pPr>
            <w:r>
              <w:rPr>
                <w:rFonts w:ascii="Arial" w:eastAsia="Calibri" w:hAnsi="Arial" w:cs="Arial"/>
                <w:sz w:val="22"/>
                <w:szCs w:val="22"/>
              </w:rPr>
              <w:t xml:space="preserve"> </w:t>
            </w:r>
          </w:p>
        </w:tc>
      </w:tr>
      <w:tr w:rsidR="009B4233">
        <w:tblPrEx>
          <w:tblCellMar>
            <w:top w:w="0" w:type="dxa"/>
            <w:bottom w:w="0" w:type="dxa"/>
          </w:tblCellMar>
        </w:tblPrEx>
        <w:trPr>
          <w:trHeight w:val="316"/>
        </w:trPr>
        <w:tc>
          <w:tcPr>
            <w:tcW w:w="971" w:type="dxa"/>
            <w:tcBorders>
              <w:top w:val="single" w:sz="8" w:space="0" w:color="000000"/>
              <w:left w:val="single" w:sz="8" w:space="0" w:color="000000"/>
              <w:bottom w:val="single" w:sz="8" w:space="0" w:color="000000"/>
              <w:right w:val="single" w:sz="8" w:space="0" w:color="000000"/>
            </w:tcBorders>
            <w:shd w:val="clear" w:color="auto" w:fill="auto"/>
            <w:tcMar>
              <w:top w:w="16" w:type="dxa"/>
              <w:left w:w="72" w:type="dxa"/>
              <w:bottom w:w="5" w:type="dxa"/>
              <w:right w:w="18" w:type="dxa"/>
            </w:tcMar>
          </w:tcPr>
          <w:p w:rsidR="009B4233" w:rsidRDefault="006B08B9">
            <w:pPr>
              <w:spacing w:line="249" w:lineRule="auto"/>
              <w:ind w:right="52"/>
              <w:jc w:val="center"/>
              <w:rPr>
                <w:rFonts w:ascii="Arial" w:hAnsi="Arial" w:cs="Arial"/>
                <w:sz w:val="22"/>
                <w:szCs w:val="22"/>
              </w:rPr>
            </w:pPr>
            <w:r>
              <w:rPr>
                <w:rFonts w:ascii="Arial" w:hAnsi="Arial" w:cs="Arial"/>
                <w:sz w:val="22"/>
                <w:szCs w:val="22"/>
              </w:rPr>
              <w:t>15</w:t>
            </w:r>
          </w:p>
        </w:tc>
        <w:tc>
          <w:tcPr>
            <w:tcW w:w="2701" w:type="dxa"/>
            <w:tcBorders>
              <w:top w:val="single" w:sz="8" w:space="0" w:color="000000"/>
              <w:left w:val="single" w:sz="8" w:space="0" w:color="000000"/>
              <w:bottom w:val="single" w:sz="8" w:space="0" w:color="000000"/>
              <w:right w:val="single" w:sz="8" w:space="0" w:color="000000"/>
            </w:tcBorders>
            <w:shd w:val="clear" w:color="auto" w:fill="auto"/>
            <w:tcMar>
              <w:top w:w="16" w:type="dxa"/>
              <w:left w:w="72" w:type="dxa"/>
              <w:bottom w:w="5" w:type="dxa"/>
              <w:right w:w="18" w:type="dxa"/>
            </w:tcMar>
          </w:tcPr>
          <w:p w:rsidR="009B4233" w:rsidRDefault="006B08B9">
            <w:pPr>
              <w:spacing w:line="249" w:lineRule="auto"/>
              <w:rPr>
                <w:rFonts w:ascii="Arial" w:hAnsi="Arial" w:cs="Arial"/>
                <w:sz w:val="22"/>
                <w:szCs w:val="22"/>
              </w:rPr>
            </w:pPr>
            <w:r>
              <w:rPr>
                <w:rFonts w:ascii="Arial" w:hAnsi="Arial" w:cs="Arial"/>
                <w:sz w:val="22"/>
                <w:szCs w:val="22"/>
              </w:rPr>
              <w:t>Espectáculos, cines, teatros, etc.</w:t>
            </w:r>
          </w:p>
        </w:tc>
        <w:tc>
          <w:tcPr>
            <w:tcW w:w="983" w:type="dxa"/>
            <w:vMerge/>
            <w:tcBorders>
              <w:top w:val="single" w:sz="8" w:space="0" w:color="000000"/>
              <w:left w:val="single" w:sz="8" w:space="0" w:color="000000"/>
              <w:bottom w:val="single" w:sz="8" w:space="0" w:color="000000"/>
            </w:tcBorders>
            <w:shd w:val="clear" w:color="auto" w:fill="auto"/>
            <w:tcMar>
              <w:top w:w="16" w:type="dxa"/>
              <w:left w:w="72" w:type="dxa"/>
              <w:bottom w:w="5" w:type="dxa"/>
              <w:right w:w="18" w:type="dxa"/>
            </w:tcMar>
            <w:vAlign w:val="bottom"/>
          </w:tcPr>
          <w:p w:rsidR="009B4233" w:rsidRDefault="009B4233">
            <w:pPr>
              <w:spacing w:after="160" w:line="249" w:lineRule="auto"/>
              <w:rPr>
                <w:rFonts w:ascii="Arial" w:hAnsi="Arial" w:cs="Arial"/>
                <w:sz w:val="22"/>
                <w:szCs w:val="22"/>
              </w:rPr>
            </w:pPr>
          </w:p>
        </w:tc>
        <w:tc>
          <w:tcPr>
            <w:tcW w:w="932" w:type="dxa"/>
            <w:tcBorders>
              <w:top w:val="single" w:sz="8" w:space="0" w:color="000000"/>
              <w:left w:val="single" w:sz="8" w:space="0" w:color="000000"/>
              <w:bottom w:val="single" w:sz="8" w:space="0" w:color="000000"/>
              <w:right w:val="single" w:sz="8" w:space="0" w:color="000000"/>
            </w:tcBorders>
            <w:shd w:val="clear" w:color="auto" w:fill="auto"/>
            <w:tcMar>
              <w:top w:w="16" w:type="dxa"/>
              <w:left w:w="72" w:type="dxa"/>
              <w:bottom w:w="5" w:type="dxa"/>
              <w:right w:w="18" w:type="dxa"/>
            </w:tcMar>
          </w:tcPr>
          <w:p w:rsidR="009B4233" w:rsidRDefault="006B08B9">
            <w:pPr>
              <w:spacing w:line="249" w:lineRule="auto"/>
              <w:ind w:right="49"/>
              <w:jc w:val="right"/>
              <w:rPr>
                <w:rFonts w:ascii="Arial" w:hAnsi="Arial" w:cs="Arial"/>
                <w:sz w:val="22"/>
                <w:szCs w:val="22"/>
              </w:rPr>
            </w:pPr>
            <w:r>
              <w:rPr>
                <w:rFonts w:ascii="Arial" w:hAnsi="Arial" w:cs="Arial"/>
                <w:sz w:val="22"/>
                <w:szCs w:val="22"/>
              </w:rPr>
              <w:t>51,51 €</w:t>
            </w:r>
          </w:p>
        </w:tc>
        <w:tc>
          <w:tcPr>
            <w:tcW w:w="793" w:type="dxa"/>
            <w:vMerge/>
            <w:tcBorders>
              <w:top w:val="single" w:sz="8" w:space="0" w:color="000000"/>
              <w:left w:val="single" w:sz="8" w:space="0" w:color="000000"/>
              <w:bottom w:val="single" w:sz="8" w:space="0" w:color="000000"/>
              <w:right w:val="single" w:sz="4" w:space="0" w:color="000000"/>
            </w:tcBorders>
            <w:shd w:val="clear" w:color="auto" w:fill="auto"/>
            <w:tcMar>
              <w:top w:w="16" w:type="dxa"/>
              <w:left w:w="72" w:type="dxa"/>
              <w:bottom w:w="5" w:type="dxa"/>
              <w:right w:w="18" w:type="dxa"/>
            </w:tcMar>
            <w:vAlign w:val="bottom"/>
          </w:tcPr>
          <w:p w:rsidR="009B4233" w:rsidRDefault="009B4233">
            <w:pPr>
              <w:spacing w:after="160" w:line="249" w:lineRule="auto"/>
              <w:rPr>
                <w:rFonts w:ascii="Arial" w:hAnsi="Arial" w:cs="Arial"/>
                <w:sz w:val="22"/>
                <w:szCs w:val="22"/>
              </w:rPr>
            </w:pPr>
          </w:p>
        </w:tc>
        <w:tc>
          <w:tcPr>
            <w:tcW w:w="1130" w:type="dxa"/>
            <w:tcBorders>
              <w:top w:val="single" w:sz="4" w:space="0" w:color="000000"/>
              <w:left w:val="single" w:sz="4" w:space="0" w:color="000000"/>
              <w:bottom w:val="single" w:sz="4" w:space="0" w:color="000000"/>
              <w:right w:val="single" w:sz="4" w:space="0" w:color="000000"/>
            </w:tcBorders>
            <w:shd w:val="clear" w:color="auto" w:fill="auto"/>
            <w:tcMar>
              <w:top w:w="16" w:type="dxa"/>
              <w:left w:w="72" w:type="dxa"/>
              <w:bottom w:w="5" w:type="dxa"/>
              <w:right w:w="18" w:type="dxa"/>
            </w:tcMar>
            <w:vAlign w:val="bottom"/>
          </w:tcPr>
          <w:p w:rsidR="009B4233" w:rsidRDefault="006B08B9">
            <w:pPr>
              <w:spacing w:line="249" w:lineRule="auto"/>
              <w:ind w:right="49"/>
              <w:jc w:val="right"/>
            </w:pPr>
            <w:r>
              <w:rPr>
                <w:rFonts w:ascii="Arial" w:eastAsia="Calibri" w:hAnsi="Arial" w:cs="Arial"/>
                <w:sz w:val="22"/>
                <w:szCs w:val="22"/>
              </w:rPr>
              <w:t>8,00</w:t>
            </w:r>
          </w:p>
        </w:tc>
        <w:tc>
          <w:tcPr>
            <w:tcW w:w="1460" w:type="dxa"/>
            <w:tcBorders>
              <w:top w:val="single" w:sz="4" w:space="0" w:color="000000"/>
              <w:left w:val="single" w:sz="4" w:space="0" w:color="000000"/>
              <w:bottom w:val="single" w:sz="4" w:space="0" w:color="000000"/>
              <w:right w:val="single" w:sz="4" w:space="0" w:color="000000"/>
            </w:tcBorders>
            <w:shd w:val="clear" w:color="auto" w:fill="auto"/>
            <w:tcMar>
              <w:top w:w="16" w:type="dxa"/>
              <w:left w:w="72" w:type="dxa"/>
              <w:bottom w:w="5" w:type="dxa"/>
              <w:right w:w="18" w:type="dxa"/>
            </w:tcMar>
            <w:vAlign w:val="bottom"/>
          </w:tcPr>
          <w:p w:rsidR="009B4233" w:rsidRDefault="006B08B9">
            <w:pPr>
              <w:spacing w:line="249" w:lineRule="auto"/>
              <w:ind w:right="49"/>
              <w:jc w:val="right"/>
            </w:pPr>
            <w:r>
              <w:rPr>
                <w:rFonts w:ascii="Arial" w:eastAsia="Calibri" w:hAnsi="Arial" w:cs="Arial"/>
                <w:sz w:val="22"/>
                <w:szCs w:val="22"/>
              </w:rPr>
              <w:t>2.664,48</w:t>
            </w:r>
          </w:p>
        </w:tc>
      </w:tr>
      <w:tr w:rsidR="009B4233">
        <w:tblPrEx>
          <w:tblCellMar>
            <w:top w:w="0" w:type="dxa"/>
            <w:bottom w:w="0" w:type="dxa"/>
          </w:tblCellMar>
        </w:tblPrEx>
        <w:trPr>
          <w:trHeight w:val="444"/>
        </w:trPr>
        <w:tc>
          <w:tcPr>
            <w:tcW w:w="971" w:type="dxa"/>
            <w:tcBorders>
              <w:top w:val="single" w:sz="8" w:space="0" w:color="000000"/>
              <w:left w:val="single" w:sz="8" w:space="0" w:color="000000"/>
              <w:bottom w:val="single" w:sz="8" w:space="0" w:color="000000"/>
              <w:right w:val="single" w:sz="8" w:space="0" w:color="000000"/>
            </w:tcBorders>
            <w:shd w:val="clear" w:color="auto" w:fill="auto"/>
            <w:tcMar>
              <w:top w:w="16" w:type="dxa"/>
              <w:left w:w="72" w:type="dxa"/>
              <w:bottom w:w="5" w:type="dxa"/>
              <w:right w:w="18" w:type="dxa"/>
            </w:tcMar>
            <w:vAlign w:val="center"/>
          </w:tcPr>
          <w:p w:rsidR="009B4233" w:rsidRDefault="006B08B9">
            <w:pPr>
              <w:spacing w:line="249" w:lineRule="auto"/>
              <w:ind w:right="52"/>
              <w:jc w:val="center"/>
              <w:rPr>
                <w:rFonts w:ascii="Arial" w:hAnsi="Arial" w:cs="Arial"/>
                <w:sz w:val="22"/>
                <w:szCs w:val="22"/>
              </w:rPr>
            </w:pPr>
            <w:r>
              <w:rPr>
                <w:rFonts w:ascii="Arial" w:hAnsi="Arial" w:cs="Arial"/>
                <w:sz w:val="22"/>
                <w:szCs w:val="22"/>
              </w:rPr>
              <w:t>16</w:t>
            </w:r>
          </w:p>
        </w:tc>
        <w:tc>
          <w:tcPr>
            <w:tcW w:w="2701" w:type="dxa"/>
            <w:tcBorders>
              <w:top w:val="single" w:sz="8" w:space="0" w:color="000000"/>
              <w:left w:val="single" w:sz="8" w:space="0" w:color="000000"/>
              <w:bottom w:val="single" w:sz="8" w:space="0" w:color="000000"/>
              <w:right w:val="single" w:sz="8" w:space="0" w:color="000000"/>
            </w:tcBorders>
            <w:shd w:val="clear" w:color="auto" w:fill="auto"/>
            <w:tcMar>
              <w:top w:w="16" w:type="dxa"/>
              <w:left w:w="72" w:type="dxa"/>
              <w:bottom w:w="5" w:type="dxa"/>
              <w:right w:w="18" w:type="dxa"/>
            </w:tcMar>
          </w:tcPr>
          <w:p w:rsidR="009B4233" w:rsidRDefault="006B08B9">
            <w:pPr>
              <w:spacing w:line="249" w:lineRule="auto"/>
              <w:rPr>
                <w:rFonts w:ascii="Arial" w:hAnsi="Arial" w:cs="Arial"/>
                <w:sz w:val="22"/>
                <w:szCs w:val="22"/>
              </w:rPr>
            </w:pPr>
            <w:r>
              <w:rPr>
                <w:rFonts w:ascii="Arial" w:hAnsi="Arial" w:cs="Arial"/>
                <w:sz w:val="22"/>
                <w:szCs w:val="22"/>
              </w:rPr>
              <w:t xml:space="preserve">Lugares de culto de las </w:t>
            </w:r>
            <w:r>
              <w:rPr>
                <w:rFonts w:ascii="Arial" w:hAnsi="Arial" w:cs="Arial"/>
                <w:sz w:val="22"/>
                <w:szCs w:val="22"/>
              </w:rPr>
              <w:t>distintas confesiones religiosas</w:t>
            </w:r>
          </w:p>
        </w:tc>
        <w:tc>
          <w:tcPr>
            <w:tcW w:w="983" w:type="dxa"/>
            <w:tcBorders>
              <w:top w:val="single" w:sz="8" w:space="0" w:color="000000"/>
              <w:left w:val="single" w:sz="8" w:space="0" w:color="000000"/>
              <w:bottom w:val="single" w:sz="8" w:space="0" w:color="000000"/>
            </w:tcBorders>
            <w:shd w:val="clear" w:color="auto" w:fill="auto"/>
            <w:tcMar>
              <w:top w:w="16" w:type="dxa"/>
              <w:left w:w="72" w:type="dxa"/>
              <w:bottom w:w="5" w:type="dxa"/>
              <w:right w:w="18" w:type="dxa"/>
            </w:tcMar>
          </w:tcPr>
          <w:p w:rsidR="009B4233" w:rsidRDefault="006B08B9">
            <w:pPr>
              <w:spacing w:line="249" w:lineRule="auto"/>
              <w:ind w:right="6"/>
              <w:jc w:val="center"/>
              <w:rPr>
                <w:rFonts w:ascii="Arial" w:hAnsi="Arial" w:cs="Arial"/>
                <w:sz w:val="22"/>
                <w:szCs w:val="22"/>
              </w:rPr>
            </w:pPr>
            <w:r>
              <w:rPr>
                <w:rFonts w:ascii="Arial" w:hAnsi="Arial" w:cs="Arial"/>
                <w:sz w:val="22"/>
                <w:szCs w:val="22"/>
              </w:rPr>
              <w:t xml:space="preserve">  </w:t>
            </w:r>
          </w:p>
          <w:p w:rsidR="009B4233" w:rsidRDefault="006B08B9">
            <w:pPr>
              <w:spacing w:line="249" w:lineRule="auto"/>
              <w:ind w:right="49"/>
              <w:jc w:val="center"/>
              <w:rPr>
                <w:rFonts w:ascii="Arial" w:hAnsi="Arial" w:cs="Arial"/>
                <w:sz w:val="22"/>
                <w:szCs w:val="22"/>
              </w:rPr>
            </w:pPr>
            <w:r>
              <w:rPr>
                <w:rFonts w:ascii="Arial" w:hAnsi="Arial" w:cs="Arial"/>
                <w:sz w:val="22"/>
                <w:szCs w:val="22"/>
              </w:rPr>
              <w:t xml:space="preserve">38,67 € </w:t>
            </w:r>
          </w:p>
        </w:tc>
        <w:tc>
          <w:tcPr>
            <w:tcW w:w="932" w:type="dxa"/>
            <w:tcBorders>
              <w:top w:val="single" w:sz="8" w:space="0" w:color="000000"/>
              <w:bottom w:val="single" w:sz="8" w:space="0" w:color="000000"/>
            </w:tcBorders>
            <w:shd w:val="clear" w:color="auto" w:fill="auto"/>
            <w:tcMar>
              <w:top w:w="16" w:type="dxa"/>
              <w:left w:w="72" w:type="dxa"/>
              <w:bottom w:w="5" w:type="dxa"/>
              <w:right w:w="18" w:type="dxa"/>
            </w:tcMar>
            <w:vAlign w:val="center"/>
          </w:tcPr>
          <w:p w:rsidR="009B4233" w:rsidRDefault="006B08B9">
            <w:pPr>
              <w:spacing w:line="249" w:lineRule="auto"/>
              <w:ind w:right="50"/>
              <w:jc w:val="center"/>
              <w:rPr>
                <w:rFonts w:ascii="Arial" w:hAnsi="Arial" w:cs="Arial"/>
                <w:sz w:val="22"/>
                <w:szCs w:val="22"/>
              </w:rPr>
            </w:pPr>
            <w:r>
              <w:rPr>
                <w:rFonts w:ascii="Arial" w:hAnsi="Arial" w:cs="Arial"/>
                <w:sz w:val="22"/>
                <w:szCs w:val="22"/>
              </w:rPr>
              <w:t xml:space="preserve"> </w:t>
            </w:r>
          </w:p>
        </w:tc>
        <w:tc>
          <w:tcPr>
            <w:tcW w:w="793" w:type="dxa"/>
            <w:tcBorders>
              <w:top w:val="single" w:sz="8" w:space="0" w:color="000000"/>
              <w:bottom w:val="single" w:sz="8" w:space="0" w:color="000000"/>
              <w:right w:val="single" w:sz="4" w:space="0" w:color="000000"/>
            </w:tcBorders>
            <w:shd w:val="clear" w:color="auto" w:fill="auto"/>
            <w:tcMar>
              <w:top w:w="16" w:type="dxa"/>
              <w:left w:w="72" w:type="dxa"/>
              <w:bottom w:w="5" w:type="dxa"/>
              <w:right w:w="18" w:type="dxa"/>
            </w:tcMar>
            <w:vAlign w:val="center"/>
          </w:tcPr>
          <w:p w:rsidR="009B4233" w:rsidRDefault="006B08B9">
            <w:pPr>
              <w:spacing w:line="249" w:lineRule="auto"/>
              <w:ind w:right="52"/>
              <w:jc w:val="center"/>
              <w:rPr>
                <w:rFonts w:ascii="Arial" w:hAnsi="Arial" w:cs="Arial"/>
                <w:sz w:val="22"/>
                <w:szCs w:val="22"/>
              </w:rPr>
            </w:pPr>
            <w:r>
              <w:rPr>
                <w:rFonts w:ascii="Arial" w:hAnsi="Arial" w:cs="Arial"/>
                <w:sz w:val="22"/>
                <w:szCs w:val="22"/>
              </w:rPr>
              <w:t xml:space="preserve"> </w:t>
            </w:r>
          </w:p>
        </w:tc>
        <w:tc>
          <w:tcPr>
            <w:tcW w:w="1130" w:type="dxa"/>
            <w:tcBorders>
              <w:top w:val="single" w:sz="4" w:space="0" w:color="000000"/>
              <w:left w:val="single" w:sz="4" w:space="0" w:color="000000"/>
              <w:bottom w:val="single" w:sz="4" w:space="0" w:color="000000"/>
              <w:right w:val="single" w:sz="4" w:space="0" w:color="000000"/>
            </w:tcBorders>
            <w:shd w:val="clear" w:color="auto" w:fill="auto"/>
            <w:tcMar>
              <w:top w:w="16" w:type="dxa"/>
              <w:left w:w="72" w:type="dxa"/>
              <w:bottom w:w="5" w:type="dxa"/>
              <w:right w:w="18" w:type="dxa"/>
            </w:tcMar>
            <w:vAlign w:val="bottom"/>
          </w:tcPr>
          <w:p w:rsidR="009B4233" w:rsidRDefault="006B08B9">
            <w:pPr>
              <w:spacing w:line="249" w:lineRule="auto"/>
              <w:ind w:right="49"/>
              <w:jc w:val="right"/>
            </w:pPr>
            <w:r>
              <w:rPr>
                <w:rFonts w:ascii="Arial" w:eastAsia="Calibri" w:hAnsi="Arial" w:cs="Arial"/>
                <w:sz w:val="22"/>
                <w:szCs w:val="22"/>
              </w:rPr>
              <w:t>6,00</w:t>
            </w:r>
          </w:p>
        </w:tc>
        <w:tc>
          <w:tcPr>
            <w:tcW w:w="1460" w:type="dxa"/>
            <w:tcBorders>
              <w:top w:val="single" w:sz="4" w:space="0" w:color="000000"/>
              <w:left w:val="single" w:sz="4" w:space="0" w:color="000000"/>
              <w:bottom w:val="single" w:sz="4" w:space="0" w:color="000000"/>
              <w:right w:val="single" w:sz="4" w:space="0" w:color="000000"/>
            </w:tcBorders>
            <w:shd w:val="clear" w:color="auto" w:fill="auto"/>
            <w:tcMar>
              <w:top w:w="16" w:type="dxa"/>
              <w:left w:w="72" w:type="dxa"/>
              <w:bottom w:w="5" w:type="dxa"/>
              <w:right w:w="18" w:type="dxa"/>
            </w:tcMar>
            <w:vAlign w:val="bottom"/>
          </w:tcPr>
          <w:p w:rsidR="009B4233" w:rsidRDefault="006B08B9">
            <w:pPr>
              <w:spacing w:line="249" w:lineRule="auto"/>
              <w:ind w:right="49"/>
              <w:jc w:val="right"/>
            </w:pPr>
            <w:r>
              <w:rPr>
                <w:rFonts w:ascii="Arial" w:eastAsia="Calibri" w:hAnsi="Arial" w:cs="Arial"/>
                <w:sz w:val="22"/>
                <w:szCs w:val="22"/>
              </w:rPr>
              <w:t>232,02</w:t>
            </w:r>
          </w:p>
        </w:tc>
      </w:tr>
      <w:tr w:rsidR="009B4233">
        <w:tblPrEx>
          <w:tblCellMar>
            <w:top w:w="0" w:type="dxa"/>
            <w:bottom w:w="0" w:type="dxa"/>
          </w:tblCellMar>
        </w:tblPrEx>
        <w:trPr>
          <w:trHeight w:val="581"/>
        </w:trPr>
        <w:tc>
          <w:tcPr>
            <w:tcW w:w="971" w:type="dxa"/>
            <w:tcBorders>
              <w:left w:val="single" w:sz="8" w:space="0" w:color="000000"/>
              <w:bottom w:val="single" w:sz="8" w:space="0" w:color="000000"/>
              <w:right w:val="single" w:sz="8" w:space="0" w:color="000000"/>
            </w:tcBorders>
            <w:shd w:val="clear" w:color="auto" w:fill="auto"/>
            <w:tcMar>
              <w:top w:w="16" w:type="dxa"/>
              <w:left w:w="72" w:type="dxa"/>
              <w:bottom w:w="5" w:type="dxa"/>
              <w:right w:w="18" w:type="dxa"/>
            </w:tcMar>
          </w:tcPr>
          <w:p w:rsidR="009B4233" w:rsidRDefault="009B4233">
            <w:pPr>
              <w:spacing w:after="160" w:line="249" w:lineRule="auto"/>
              <w:rPr>
                <w:rFonts w:ascii="Arial" w:hAnsi="Arial" w:cs="Arial"/>
                <w:sz w:val="22"/>
                <w:szCs w:val="22"/>
              </w:rPr>
            </w:pPr>
          </w:p>
        </w:tc>
        <w:tc>
          <w:tcPr>
            <w:tcW w:w="2701" w:type="dxa"/>
            <w:tcBorders>
              <w:left w:val="single" w:sz="8" w:space="0" w:color="000000"/>
              <w:bottom w:val="single" w:sz="8" w:space="0" w:color="000000"/>
              <w:right w:val="single" w:sz="8" w:space="0" w:color="000000"/>
            </w:tcBorders>
            <w:shd w:val="clear" w:color="auto" w:fill="auto"/>
            <w:tcMar>
              <w:top w:w="16" w:type="dxa"/>
              <w:left w:w="72" w:type="dxa"/>
              <w:bottom w:w="5" w:type="dxa"/>
              <w:right w:w="18" w:type="dxa"/>
            </w:tcMar>
          </w:tcPr>
          <w:p w:rsidR="009B4233" w:rsidRDefault="009B4233">
            <w:pPr>
              <w:spacing w:after="160" w:line="249" w:lineRule="auto"/>
              <w:rPr>
                <w:rFonts w:ascii="Arial" w:hAnsi="Arial" w:cs="Arial"/>
                <w:sz w:val="22"/>
                <w:szCs w:val="22"/>
              </w:rPr>
            </w:pPr>
          </w:p>
        </w:tc>
        <w:tc>
          <w:tcPr>
            <w:tcW w:w="983" w:type="dxa"/>
            <w:tcBorders>
              <w:left w:val="single" w:sz="8" w:space="0" w:color="000000"/>
              <w:bottom w:val="single" w:sz="8" w:space="0" w:color="000000"/>
            </w:tcBorders>
            <w:shd w:val="clear" w:color="auto" w:fill="auto"/>
            <w:tcMar>
              <w:top w:w="16" w:type="dxa"/>
              <w:left w:w="72" w:type="dxa"/>
              <w:bottom w:w="5" w:type="dxa"/>
              <w:right w:w="18" w:type="dxa"/>
            </w:tcMar>
          </w:tcPr>
          <w:p w:rsidR="009B4233" w:rsidRDefault="006B08B9">
            <w:pPr>
              <w:spacing w:line="249" w:lineRule="auto"/>
              <w:ind w:right="43"/>
              <w:jc w:val="center"/>
              <w:rPr>
                <w:rFonts w:ascii="Arial" w:hAnsi="Arial" w:cs="Arial"/>
                <w:sz w:val="22"/>
                <w:szCs w:val="22"/>
              </w:rPr>
            </w:pPr>
            <w:r>
              <w:rPr>
                <w:rFonts w:ascii="Arial" w:hAnsi="Arial" w:cs="Arial"/>
                <w:sz w:val="22"/>
                <w:szCs w:val="22"/>
              </w:rPr>
              <w:t xml:space="preserve">por </w:t>
            </w:r>
          </w:p>
          <w:p w:rsidR="009B4233" w:rsidRDefault="006B08B9">
            <w:pPr>
              <w:spacing w:line="249" w:lineRule="auto"/>
              <w:jc w:val="center"/>
              <w:rPr>
                <w:rFonts w:ascii="Arial" w:hAnsi="Arial" w:cs="Arial"/>
                <w:sz w:val="22"/>
                <w:szCs w:val="22"/>
              </w:rPr>
            </w:pPr>
            <w:r>
              <w:rPr>
                <w:rFonts w:ascii="Arial" w:hAnsi="Arial" w:cs="Arial"/>
                <w:sz w:val="22"/>
                <w:szCs w:val="22"/>
              </w:rPr>
              <w:t>unidad de inmueble</w:t>
            </w:r>
          </w:p>
        </w:tc>
        <w:tc>
          <w:tcPr>
            <w:tcW w:w="932" w:type="dxa"/>
            <w:tcBorders>
              <w:bottom w:val="single" w:sz="8" w:space="0" w:color="000000"/>
            </w:tcBorders>
            <w:shd w:val="clear" w:color="auto" w:fill="auto"/>
            <w:tcMar>
              <w:top w:w="16" w:type="dxa"/>
              <w:left w:w="72" w:type="dxa"/>
              <w:bottom w:w="5" w:type="dxa"/>
              <w:right w:w="18" w:type="dxa"/>
            </w:tcMar>
          </w:tcPr>
          <w:p w:rsidR="009B4233" w:rsidRDefault="009B4233">
            <w:pPr>
              <w:spacing w:after="160" w:line="249" w:lineRule="auto"/>
              <w:rPr>
                <w:rFonts w:ascii="Arial" w:hAnsi="Arial" w:cs="Arial"/>
                <w:sz w:val="22"/>
                <w:szCs w:val="22"/>
              </w:rPr>
            </w:pPr>
          </w:p>
        </w:tc>
        <w:tc>
          <w:tcPr>
            <w:tcW w:w="793" w:type="dxa"/>
            <w:tcBorders>
              <w:bottom w:val="single" w:sz="8" w:space="0" w:color="000000"/>
              <w:right w:val="single" w:sz="4" w:space="0" w:color="000000"/>
            </w:tcBorders>
            <w:shd w:val="clear" w:color="auto" w:fill="auto"/>
            <w:tcMar>
              <w:top w:w="16" w:type="dxa"/>
              <w:left w:w="72" w:type="dxa"/>
              <w:bottom w:w="5" w:type="dxa"/>
              <w:right w:w="18" w:type="dxa"/>
            </w:tcMar>
          </w:tcPr>
          <w:p w:rsidR="009B4233" w:rsidRDefault="009B4233">
            <w:pPr>
              <w:spacing w:after="160" w:line="249" w:lineRule="auto"/>
              <w:rPr>
                <w:rFonts w:ascii="Arial" w:hAnsi="Arial" w:cs="Arial"/>
                <w:sz w:val="22"/>
                <w:szCs w:val="22"/>
              </w:rPr>
            </w:pPr>
          </w:p>
        </w:tc>
        <w:tc>
          <w:tcPr>
            <w:tcW w:w="1130" w:type="dxa"/>
            <w:tcBorders>
              <w:left w:val="single" w:sz="4" w:space="0" w:color="000000"/>
              <w:bottom w:val="single" w:sz="4" w:space="0" w:color="000000"/>
              <w:right w:val="single" w:sz="4" w:space="0" w:color="000000"/>
            </w:tcBorders>
            <w:shd w:val="clear" w:color="auto" w:fill="auto"/>
            <w:tcMar>
              <w:top w:w="16" w:type="dxa"/>
              <w:left w:w="72" w:type="dxa"/>
              <w:bottom w:w="5" w:type="dxa"/>
              <w:right w:w="18" w:type="dxa"/>
            </w:tcMar>
          </w:tcPr>
          <w:p w:rsidR="009B4233" w:rsidRDefault="009B4233">
            <w:pPr>
              <w:spacing w:after="160" w:line="249" w:lineRule="auto"/>
              <w:rPr>
                <w:rFonts w:ascii="Arial" w:hAnsi="Arial" w:cs="Arial"/>
                <w:sz w:val="22"/>
                <w:szCs w:val="22"/>
              </w:rPr>
            </w:pPr>
          </w:p>
        </w:tc>
        <w:tc>
          <w:tcPr>
            <w:tcW w:w="1460" w:type="dxa"/>
            <w:tcBorders>
              <w:left w:val="single" w:sz="4" w:space="0" w:color="000000"/>
              <w:bottom w:val="single" w:sz="4" w:space="0" w:color="000000"/>
              <w:right w:val="single" w:sz="4" w:space="0" w:color="000000"/>
            </w:tcBorders>
            <w:shd w:val="clear" w:color="auto" w:fill="auto"/>
            <w:tcMar>
              <w:top w:w="16" w:type="dxa"/>
              <w:left w:w="72" w:type="dxa"/>
              <w:bottom w:w="5" w:type="dxa"/>
              <w:right w:w="18" w:type="dxa"/>
            </w:tcMar>
          </w:tcPr>
          <w:p w:rsidR="009B4233" w:rsidRDefault="009B4233">
            <w:pPr>
              <w:spacing w:after="160" w:line="249" w:lineRule="auto"/>
              <w:rPr>
                <w:rFonts w:ascii="Arial" w:hAnsi="Arial" w:cs="Arial"/>
                <w:sz w:val="22"/>
                <w:szCs w:val="22"/>
              </w:rPr>
            </w:pPr>
          </w:p>
        </w:tc>
      </w:tr>
      <w:tr w:rsidR="009B4233">
        <w:tblPrEx>
          <w:tblCellMar>
            <w:top w:w="0" w:type="dxa"/>
            <w:bottom w:w="0" w:type="dxa"/>
          </w:tblCellMar>
        </w:tblPrEx>
        <w:trPr>
          <w:trHeight w:val="316"/>
        </w:trPr>
        <w:tc>
          <w:tcPr>
            <w:tcW w:w="971" w:type="dxa"/>
            <w:tcBorders>
              <w:top w:val="single" w:sz="8" w:space="0" w:color="000000"/>
              <w:left w:val="single" w:sz="8" w:space="0" w:color="000000"/>
              <w:bottom w:val="single" w:sz="8" w:space="0" w:color="000000"/>
              <w:right w:val="single" w:sz="8" w:space="0" w:color="000000"/>
            </w:tcBorders>
            <w:shd w:val="clear" w:color="auto" w:fill="auto"/>
            <w:tcMar>
              <w:top w:w="16" w:type="dxa"/>
              <w:left w:w="72" w:type="dxa"/>
              <w:bottom w:w="5" w:type="dxa"/>
              <w:right w:w="18" w:type="dxa"/>
            </w:tcMar>
          </w:tcPr>
          <w:p w:rsidR="009B4233" w:rsidRDefault="006B08B9">
            <w:pPr>
              <w:spacing w:line="249" w:lineRule="auto"/>
              <w:ind w:right="42"/>
              <w:jc w:val="center"/>
              <w:rPr>
                <w:rFonts w:ascii="Arial" w:hAnsi="Arial" w:cs="Arial"/>
                <w:sz w:val="22"/>
                <w:szCs w:val="22"/>
              </w:rPr>
            </w:pPr>
            <w:r>
              <w:rPr>
                <w:rFonts w:ascii="Arial" w:hAnsi="Arial" w:cs="Arial"/>
                <w:sz w:val="22"/>
                <w:szCs w:val="22"/>
              </w:rPr>
              <w:t>17</w:t>
            </w:r>
          </w:p>
        </w:tc>
        <w:tc>
          <w:tcPr>
            <w:tcW w:w="2701" w:type="dxa"/>
            <w:tcBorders>
              <w:top w:val="single" w:sz="8" w:space="0" w:color="000000"/>
              <w:left w:val="single" w:sz="8" w:space="0" w:color="000000"/>
              <w:bottom w:val="single" w:sz="8" w:space="0" w:color="000000"/>
              <w:right w:val="single" w:sz="8" w:space="0" w:color="000000"/>
            </w:tcBorders>
            <w:shd w:val="clear" w:color="auto" w:fill="auto"/>
            <w:tcMar>
              <w:top w:w="16" w:type="dxa"/>
              <w:left w:w="72" w:type="dxa"/>
              <w:bottom w:w="5" w:type="dxa"/>
              <w:right w:w="18" w:type="dxa"/>
            </w:tcMar>
          </w:tcPr>
          <w:p w:rsidR="009B4233" w:rsidRDefault="006B08B9">
            <w:pPr>
              <w:spacing w:line="249" w:lineRule="auto"/>
              <w:rPr>
                <w:rFonts w:ascii="Arial" w:hAnsi="Arial" w:cs="Arial"/>
                <w:sz w:val="22"/>
                <w:szCs w:val="22"/>
              </w:rPr>
            </w:pPr>
            <w:r>
              <w:rPr>
                <w:rFonts w:ascii="Arial" w:hAnsi="Arial" w:cs="Arial"/>
                <w:sz w:val="22"/>
                <w:szCs w:val="22"/>
              </w:rPr>
              <w:t>Actividades de las administraciones</w:t>
            </w:r>
          </w:p>
        </w:tc>
        <w:tc>
          <w:tcPr>
            <w:tcW w:w="983" w:type="dxa"/>
            <w:tcBorders>
              <w:top w:val="single" w:sz="8" w:space="0" w:color="000000"/>
              <w:left w:val="single" w:sz="8" w:space="0" w:color="000000"/>
              <w:bottom w:val="single" w:sz="8" w:space="0" w:color="000000"/>
              <w:right w:val="single" w:sz="8" w:space="0" w:color="000000"/>
            </w:tcBorders>
            <w:shd w:val="clear" w:color="auto" w:fill="auto"/>
            <w:tcMar>
              <w:top w:w="16" w:type="dxa"/>
              <w:left w:w="72" w:type="dxa"/>
              <w:bottom w:w="5" w:type="dxa"/>
              <w:right w:w="18" w:type="dxa"/>
            </w:tcMar>
          </w:tcPr>
          <w:p w:rsidR="009B4233" w:rsidRDefault="006B08B9">
            <w:pPr>
              <w:spacing w:line="249" w:lineRule="auto"/>
              <w:ind w:right="40"/>
              <w:jc w:val="right"/>
              <w:rPr>
                <w:rFonts w:ascii="Arial" w:hAnsi="Arial" w:cs="Arial"/>
                <w:sz w:val="22"/>
                <w:szCs w:val="22"/>
              </w:rPr>
            </w:pPr>
            <w:r>
              <w:rPr>
                <w:rFonts w:ascii="Arial" w:hAnsi="Arial" w:cs="Arial"/>
                <w:sz w:val="22"/>
                <w:szCs w:val="22"/>
              </w:rPr>
              <w:t>27,98 €</w:t>
            </w:r>
          </w:p>
        </w:tc>
        <w:tc>
          <w:tcPr>
            <w:tcW w:w="932" w:type="dxa"/>
            <w:tcBorders>
              <w:top w:val="single" w:sz="8" w:space="0" w:color="000000"/>
              <w:left w:val="single" w:sz="8" w:space="0" w:color="000000"/>
              <w:bottom w:val="single" w:sz="8" w:space="0" w:color="000000"/>
              <w:right w:val="single" w:sz="8" w:space="0" w:color="000000"/>
            </w:tcBorders>
            <w:shd w:val="clear" w:color="auto" w:fill="auto"/>
            <w:tcMar>
              <w:top w:w="16" w:type="dxa"/>
              <w:left w:w="72" w:type="dxa"/>
              <w:bottom w:w="5" w:type="dxa"/>
              <w:right w:w="18" w:type="dxa"/>
            </w:tcMar>
          </w:tcPr>
          <w:p w:rsidR="009B4233" w:rsidRDefault="006B08B9">
            <w:pPr>
              <w:spacing w:line="249" w:lineRule="auto"/>
              <w:ind w:right="40"/>
              <w:jc w:val="right"/>
              <w:rPr>
                <w:rFonts w:ascii="Arial" w:hAnsi="Arial" w:cs="Arial"/>
                <w:sz w:val="22"/>
                <w:szCs w:val="22"/>
              </w:rPr>
            </w:pPr>
            <w:r>
              <w:rPr>
                <w:rFonts w:ascii="Arial" w:hAnsi="Arial" w:cs="Arial"/>
                <w:sz w:val="22"/>
                <w:szCs w:val="22"/>
              </w:rPr>
              <w:t>60,85 €</w:t>
            </w:r>
          </w:p>
        </w:tc>
        <w:tc>
          <w:tcPr>
            <w:tcW w:w="793" w:type="dxa"/>
            <w:tcBorders>
              <w:top w:val="single" w:sz="8" w:space="0" w:color="000000"/>
              <w:left w:val="single" w:sz="8" w:space="0" w:color="000000"/>
              <w:bottom w:val="single" w:sz="8" w:space="0" w:color="000000"/>
              <w:right w:val="single" w:sz="4" w:space="0" w:color="000000"/>
            </w:tcBorders>
            <w:shd w:val="clear" w:color="auto" w:fill="auto"/>
            <w:tcMar>
              <w:top w:w="16" w:type="dxa"/>
              <w:left w:w="72" w:type="dxa"/>
              <w:bottom w:w="5" w:type="dxa"/>
              <w:right w:w="18" w:type="dxa"/>
            </w:tcMar>
          </w:tcPr>
          <w:p w:rsidR="009B4233" w:rsidRDefault="006B08B9">
            <w:pPr>
              <w:spacing w:line="249" w:lineRule="auto"/>
              <w:ind w:right="40"/>
              <w:jc w:val="right"/>
              <w:rPr>
                <w:rFonts w:ascii="Arial" w:hAnsi="Arial" w:cs="Arial"/>
                <w:sz w:val="22"/>
                <w:szCs w:val="22"/>
              </w:rPr>
            </w:pPr>
            <w:r>
              <w:rPr>
                <w:rFonts w:ascii="Arial" w:hAnsi="Arial" w:cs="Arial"/>
                <w:sz w:val="22"/>
                <w:szCs w:val="22"/>
              </w:rPr>
              <w:t>0,71 €</w:t>
            </w:r>
          </w:p>
        </w:tc>
        <w:tc>
          <w:tcPr>
            <w:tcW w:w="1130" w:type="dxa"/>
            <w:tcBorders>
              <w:top w:val="single" w:sz="4" w:space="0" w:color="000000"/>
              <w:left w:val="single" w:sz="4" w:space="0" w:color="000000"/>
              <w:bottom w:val="single" w:sz="4" w:space="0" w:color="000000"/>
              <w:right w:val="single" w:sz="4" w:space="0" w:color="000000"/>
            </w:tcBorders>
            <w:shd w:val="clear" w:color="auto" w:fill="auto"/>
            <w:tcMar>
              <w:top w:w="16" w:type="dxa"/>
              <w:left w:w="72" w:type="dxa"/>
              <w:bottom w:w="5" w:type="dxa"/>
              <w:right w:w="18" w:type="dxa"/>
            </w:tcMar>
            <w:vAlign w:val="bottom"/>
          </w:tcPr>
          <w:p w:rsidR="009B4233" w:rsidRDefault="006B08B9">
            <w:pPr>
              <w:spacing w:line="249" w:lineRule="auto"/>
            </w:pPr>
            <w:r>
              <w:rPr>
                <w:rFonts w:ascii="Arial" w:eastAsia="Calibri" w:hAnsi="Arial" w:cs="Arial"/>
                <w:sz w:val="22"/>
                <w:szCs w:val="22"/>
              </w:rPr>
              <w:t xml:space="preserve"> </w:t>
            </w:r>
          </w:p>
        </w:tc>
        <w:tc>
          <w:tcPr>
            <w:tcW w:w="1460" w:type="dxa"/>
            <w:tcBorders>
              <w:top w:val="single" w:sz="4" w:space="0" w:color="000000"/>
              <w:left w:val="single" w:sz="4" w:space="0" w:color="000000"/>
              <w:bottom w:val="single" w:sz="4" w:space="0" w:color="000000"/>
              <w:right w:val="single" w:sz="4" w:space="0" w:color="000000"/>
            </w:tcBorders>
            <w:shd w:val="clear" w:color="auto" w:fill="auto"/>
            <w:tcMar>
              <w:top w:w="16" w:type="dxa"/>
              <w:left w:w="72" w:type="dxa"/>
              <w:bottom w:w="5" w:type="dxa"/>
              <w:right w:w="18" w:type="dxa"/>
            </w:tcMar>
            <w:vAlign w:val="bottom"/>
          </w:tcPr>
          <w:p w:rsidR="009B4233" w:rsidRDefault="006B08B9">
            <w:pPr>
              <w:spacing w:line="249" w:lineRule="auto"/>
              <w:ind w:right="40"/>
              <w:jc w:val="right"/>
            </w:pPr>
            <w:r>
              <w:rPr>
                <w:rFonts w:ascii="Arial" w:eastAsia="Calibri" w:hAnsi="Arial" w:cs="Arial"/>
                <w:sz w:val="22"/>
                <w:szCs w:val="22"/>
              </w:rPr>
              <w:t>0,00</w:t>
            </w:r>
          </w:p>
        </w:tc>
      </w:tr>
      <w:tr w:rsidR="009B4233">
        <w:tblPrEx>
          <w:tblCellMar>
            <w:top w:w="0" w:type="dxa"/>
            <w:bottom w:w="0" w:type="dxa"/>
          </w:tblCellMar>
        </w:tblPrEx>
        <w:trPr>
          <w:trHeight w:val="494"/>
        </w:trPr>
        <w:tc>
          <w:tcPr>
            <w:tcW w:w="971" w:type="dxa"/>
            <w:tcBorders>
              <w:top w:val="single" w:sz="8" w:space="0" w:color="000000"/>
              <w:left w:val="single" w:sz="8" w:space="0" w:color="000000"/>
              <w:bottom w:val="single" w:sz="8" w:space="0" w:color="000000"/>
              <w:right w:val="single" w:sz="8" w:space="0" w:color="000000"/>
            </w:tcBorders>
            <w:shd w:val="clear" w:color="auto" w:fill="auto"/>
            <w:tcMar>
              <w:top w:w="16" w:type="dxa"/>
              <w:left w:w="72" w:type="dxa"/>
              <w:bottom w:w="5" w:type="dxa"/>
              <w:right w:w="18" w:type="dxa"/>
            </w:tcMar>
            <w:vAlign w:val="center"/>
          </w:tcPr>
          <w:p w:rsidR="009B4233" w:rsidRDefault="006B08B9">
            <w:pPr>
              <w:spacing w:line="249" w:lineRule="auto"/>
              <w:ind w:right="42"/>
              <w:jc w:val="center"/>
              <w:rPr>
                <w:rFonts w:ascii="Arial" w:hAnsi="Arial" w:cs="Arial"/>
                <w:sz w:val="22"/>
                <w:szCs w:val="22"/>
              </w:rPr>
            </w:pPr>
            <w:r>
              <w:rPr>
                <w:rFonts w:ascii="Arial" w:hAnsi="Arial" w:cs="Arial"/>
                <w:sz w:val="22"/>
                <w:szCs w:val="22"/>
              </w:rPr>
              <w:t>18</w:t>
            </w:r>
          </w:p>
        </w:tc>
        <w:tc>
          <w:tcPr>
            <w:tcW w:w="2701" w:type="dxa"/>
            <w:tcBorders>
              <w:top w:val="single" w:sz="8" w:space="0" w:color="000000"/>
              <w:left w:val="single" w:sz="8" w:space="0" w:color="000000"/>
              <w:bottom w:val="single" w:sz="8" w:space="0" w:color="000000"/>
              <w:right w:val="single" w:sz="8" w:space="0" w:color="000000"/>
            </w:tcBorders>
            <w:shd w:val="clear" w:color="auto" w:fill="auto"/>
            <w:tcMar>
              <w:top w:w="16" w:type="dxa"/>
              <w:left w:w="72" w:type="dxa"/>
              <w:bottom w:w="5" w:type="dxa"/>
              <w:right w:w="18" w:type="dxa"/>
            </w:tcMar>
          </w:tcPr>
          <w:p w:rsidR="009B4233" w:rsidRDefault="006B08B9">
            <w:pPr>
              <w:spacing w:line="249" w:lineRule="auto"/>
              <w:rPr>
                <w:rFonts w:ascii="Arial" w:hAnsi="Arial" w:cs="Arial"/>
                <w:sz w:val="22"/>
                <w:szCs w:val="22"/>
              </w:rPr>
            </w:pPr>
            <w:r>
              <w:rPr>
                <w:rFonts w:ascii="Arial" w:hAnsi="Arial" w:cs="Arial"/>
                <w:sz w:val="22"/>
                <w:szCs w:val="22"/>
              </w:rPr>
              <w:t>Otras actividades económicas, o no, no relacionadas de forma expresa</w:t>
            </w:r>
          </w:p>
        </w:tc>
        <w:tc>
          <w:tcPr>
            <w:tcW w:w="983" w:type="dxa"/>
            <w:tcBorders>
              <w:top w:val="single" w:sz="8" w:space="0" w:color="000000"/>
              <w:left w:val="single" w:sz="8" w:space="0" w:color="000000"/>
              <w:bottom w:val="single" w:sz="8" w:space="0" w:color="000000"/>
              <w:right w:val="single" w:sz="8" w:space="0" w:color="000000"/>
            </w:tcBorders>
            <w:shd w:val="clear" w:color="auto" w:fill="auto"/>
            <w:tcMar>
              <w:top w:w="16" w:type="dxa"/>
              <w:left w:w="72" w:type="dxa"/>
              <w:bottom w:w="5" w:type="dxa"/>
              <w:right w:w="18" w:type="dxa"/>
            </w:tcMar>
            <w:vAlign w:val="center"/>
          </w:tcPr>
          <w:p w:rsidR="009B4233" w:rsidRDefault="006B08B9">
            <w:pPr>
              <w:spacing w:line="249" w:lineRule="auto"/>
              <w:ind w:right="40"/>
              <w:jc w:val="right"/>
              <w:rPr>
                <w:rFonts w:ascii="Arial" w:hAnsi="Arial" w:cs="Arial"/>
                <w:sz w:val="22"/>
                <w:szCs w:val="22"/>
              </w:rPr>
            </w:pPr>
            <w:r>
              <w:rPr>
                <w:rFonts w:ascii="Arial" w:hAnsi="Arial" w:cs="Arial"/>
                <w:sz w:val="22"/>
                <w:szCs w:val="22"/>
              </w:rPr>
              <w:t>27,98 €</w:t>
            </w:r>
          </w:p>
        </w:tc>
        <w:tc>
          <w:tcPr>
            <w:tcW w:w="932" w:type="dxa"/>
            <w:tcBorders>
              <w:top w:val="single" w:sz="8" w:space="0" w:color="000000"/>
              <w:left w:val="single" w:sz="8" w:space="0" w:color="000000"/>
              <w:bottom w:val="single" w:sz="8" w:space="0" w:color="000000"/>
              <w:right w:val="single" w:sz="8" w:space="0" w:color="000000"/>
            </w:tcBorders>
            <w:shd w:val="clear" w:color="auto" w:fill="auto"/>
            <w:tcMar>
              <w:top w:w="16" w:type="dxa"/>
              <w:left w:w="72" w:type="dxa"/>
              <w:bottom w:w="5" w:type="dxa"/>
              <w:right w:w="18" w:type="dxa"/>
            </w:tcMar>
            <w:vAlign w:val="center"/>
          </w:tcPr>
          <w:p w:rsidR="009B4233" w:rsidRDefault="006B08B9">
            <w:pPr>
              <w:spacing w:line="249" w:lineRule="auto"/>
              <w:ind w:right="40"/>
              <w:jc w:val="right"/>
              <w:rPr>
                <w:rFonts w:ascii="Arial" w:hAnsi="Arial" w:cs="Arial"/>
                <w:sz w:val="22"/>
                <w:szCs w:val="22"/>
              </w:rPr>
            </w:pPr>
            <w:r>
              <w:rPr>
                <w:rFonts w:ascii="Arial" w:hAnsi="Arial" w:cs="Arial"/>
                <w:sz w:val="22"/>
                <w:szCs w:val="22"/>
              </w:rPr>
              <w:t>42,07 €</w:t>
            </w:r>
          </w:p>
        </w:tc>
        <w:tc>
          <w:tcPr>
            <w:tcW w:w="793" w:type="dxa"/>
            <w:tcBorders>
              <w:top w:val="single" w:sz="8" w:space="0" w:color="000000"/>
              <w:left w:val="single" w:sz="8" w:space="0" w:color="000000"/>
              <w:bottom w:val="single" w:sz="8" w:space="0" w:color="000000"/>
              <w:right w:val="single" w:sz="4" w:space="0" w:color="000000"/>
            </w:tcBorders>
            <w:shd w:val="clear" w:color="auto" w:fill="auto"/>
            <w:tcMar>
              <w:top w:w="16" w:type="dxa"/>
              <w:left w:w="72" w:type="dxa"/>
              <w:bottom w:w="5" w:type="dxa"/>
              <w:right w:w="18" w:type="dxa"/>
            </w:tcMar>
            <w:vAlign w:val="center"/>
          </w:tcPr>
          <w:p w:rsidR="009B4233" w:rsidRDefault="006B08B9">
            <w:pPr>
              <w:spacing w:line="249" w:lineRule="auto"/>
              <w:ind w:right="40"/>
              <w:jc w:val="right"/>
              <w:rPr>
                <w:rFonts w:ascii="Arial" w:hAnsi="Arial" w:cs="Arial"/>
                <w:sz w:val="22"/>
                <w:szCs w:val="22"/>
              </w:rPr>
            </w:pPr>
            <w:r>
              <w:rPr>
                <w:rFonts w:ascii="Arial" w:hAnsi="Arial" w:cs="Arial"/>
                <w:sz w:val="22"/>
                <w:szCs w:val="22"/>
              </w:rPr>
              <w:t xml:space="preserve">0,58 </w:t>
            </w:r>
            <w:r>
              <w:rPr>
                <w:rFonts w:ascii="Arial" w:hAnsi="Arial" w:cs="Arial"/>
                <w:sz w:val="22"/>
                <w:szCs w:val="22"/>
              </w:rPr>
              <w:t>€</w:t>
            </w:r>
          </w:p>
        </w:tc>
        <w:tc>
          <w:tcPr>
            <w:tcW w:w="1130" w:type="dxa"/>
            <w:tcBorders>
              <w:top w:val="single" w:sz="4" w:space="0" w:color="000000"/>
              <w:left w:val="single" w:sz="4" w:space="0" w:color="000000"/>
              <w:bottom w:val="single" w:sz="4" w:space="0" w:color="000000"/>
              <w:right w:val="single" w:sz="4" w:space="0" w:color="000000"/>
            </w:tcBorders>
            <w:shd w:val="clear" w:color="auto" w:fill="auto"/>
            <w:tcMar>
              <w:top w:w="16" w:type="dxa"/>
              <w:left w:w="72" w:type="dxa"/>
              <w:bottom w:w="5" w:type="dxa"/>
              <w:right w:w="18" w:type="dxa"/>
            </w:tcMar>
            <w:vAlign w:val="bottom"/>
          </w:tcPr>
          <w:p w:rsidR="009B4233" w:rsidRDefault="006B08B9">
            <w:pPr>
              <w:spacing w:line="249" w:lineRule="auto"/>
              <w:ind w:right="40"/>
              <w:jc w:val="right"/>
            </w:pPr>
            <w:r>
              <w:rPr>
                <w:rFonts w:ascii="Arial" w:eastAsia="Calibri" w:hAnsi="Arial" w:cs="Arial"/>
                <w:sz w:val="22"/>
                <w:szCs w:val="22"/>
              </w:rPr>
              <w:t>11,00</w:t>
            </w:r>
          </w:p>
        </w:tc>
        <w:tc>
          <w:tcPr>
            <w:tcW w:w="1460" w:type="dxa"/>
            <w:tcBorders>
              <w:top w:val="single" w:sz="4" w:space="0" w:color="000000"/>
              <w:left w:val="single" w:sz="4" w:space="0" w:color="000000"/>
              <w:bottom w:val="single" w:sz="4" w:space="0" w:color="000000"/>
              <w:right w:val="single" w:sz="4" w:space="0" w:color="000000"/>
            </w:tcBorders>
            <w:shd w:val="clear" w:color="auto" w:fill="auto"/>
            <w:tcMar>
              <w:top w:w="16" w:type="dxa"/>
              <w:left w:w="72" w:type="dxa"/>
              <w:bottom w:w="5" w:type="dxa"/>
              <w:right w:w="18" w:type="dxa"/>
            </w:tcMar>
            <w:vAlign w:val="bottom"/>
          </w:tcPr>
          <w:p w:rsidR="009B4233" w:rsidRDefault="006B08B9">
            <w:pPr>
              <w:spacing w:line="249" w:lineRule="auto"/>
              <w:ind w:right="40"/>
              <w:jc w:val="right"/>
            </w:pPr>
            <w:r>
              <w:rPr>
                <w:rFonts w:ascii="Arial" w:eastAsia="Calibri" w:hAnsi="Arial" w:cs="Arial"/>
                <w:sz w:val="22"/>
                <w:szCs w:val="22"/>
              </w:rPr>
              <w:t>7.008,84</w:t>
            </w:r>
          </w:p>
        </w:tc>
      </w:tr>
      <w:tr w:rsidR="009B4233">
        <w:tblPrEx>
          <w:tblCellMar>
            <w:top w:w="0" w:type="dxa"/>
            <w:bottom w:w="0" w:type="dxa"/>
          </w:tblCellMar>
        </w:tblPrEx>
        <w:trPr>
          <w:trHeight w:val="296"/>
        </w:trPr>
        <w:tc>
          <w:tcPr>
            <w:tcW w:w="971" w:type="dxa"/>
            <w:tcBorders>
              <w:top w:val="single" w:sz="8" w:space="0" w:color="000000"/>
            </w:tcBorders>
            <w:shd w:val="clear" w:color="auto" w:fill="auto"/>
            <w:tcMar>
              <w:top w:w="16" w:type="dxa"/>
              <w:left w:w="72" w:type="dxa"/>
              <w:bottom w:w="5" w:type="dxa"/>
              <w:right w:w="18" w:type="dxa"/>
            </w:tcMar>
          </w:tcPr>
          <w:p w:rsidR="009B4233" w:rsidRDefault="009B4233">
            <w:pPr>
              <w:spacing w:after="160" w:line="249" w:lineRule="auto"/>
              <w:rPr>
                <w:rFonts w:ascii="Arial" w:hAnsi="Arial" w:cs="Arial"/>
                <w:sz w:val="22"/>
                <w:szCs w:val="22"/>
              </w:rPr>
            </w:pPr>
          </w:p>
        </w:tc>
        <w:tc>
          <w:tcPr>
            <w:tcW w:w="2701" w:type="dxa"/>
            <w:tcBorders>
              <w:top w:val="single" w:sz="8" w:space="0" w:color="000000"/>
            </w:tcBorders>
            <w:shd w:val="clear" w:color="auto" w:fill="auto"/>
            <w:tcMar>
              <w:top w:w="16" w:type="dxa"/>
              <w:left w:w="72" w:type="dxa"/>
              <w:bottom w:w="5" w:type="dxa"/>
              <w:right w:w="18" w:type="dxa"/>
            </w:tcMar>
          </w:tcPr>
          <w:p w:rsidR="009B4233" w:rsidRDefault="009B4233">
            <w:pPr>
              <w:spacing w:after="160" w:line="249" w:lineRule="auto"/>
              <w:rPr>
                <w:rFonts w:ascii="Arial" w:hAnsi="Arial" w:cs="Arial"/>
                <w:sz w:val="22"/>
                <w:szCs w:val="22"/>
              </w:rPr>
            </w:pPr>
          </w:p>
        </w:tc>
        <w:tc>
          <w:tcPr>
            <w:tcW w:w="983" w:type="dxa"/>
            <w:tcBorders>
              <w:top w:val="single" w:sz="8" w:space="0" w:color="000000"/>
            </w:tcBorders>
            <w:shd w:val="clear" w:color="auto" w:fill="auto"/>
            <w:tcMar>
              <w:top w:w="16" w:type="dxa"/>
              <w:left w:w="72" w:type="dxa"/>
              <w:bottom w:w="5" w:type="dxa"/>
              <w:right w:w="18" w:type="dxa"/>
            </w:tcMar>
          </w:tcPr>
          <w:p w:rsidR="009B4233" w:rsidRDefault="009B4233">
            <w:pPr>
              <w:spacing w:after="160" w:line="249" w:lineRule="auto"/>
              <w:rPr>
                <w:rFonts w:ascii="Arial" w:hAnsi="Arial" w:cs="Arial"/>
                <w:sz w:val="22"/>
                <w:szCs w:val="22"/>
              </w:rPr>
            </w:pPr>
          </w:p>
        </w:tc>
        <w:tc>
          <w:tcPr>
            <w:tcW w:w="932" w:type="dxa"/>
            <w:tcBorders>
              <w:top w:val="single" w:sz="8" w:space="0" w:color="000000"/>
            </w:tcBorders>
            <w:shd w:val="clear" w:color="auto" w:fill="auto"/>
            <w:tcMar>
              <w:top w:w="16" w:type="dxa"/>
              <w:left w:w="72" w:type="dxa"/>
              <w:bottom w:w="5" w:type="dxa"/>
              <w:right w:w="18" w:type="dxa"/>
            </w:tcMar>
          </w:tcPr>
          <w:p w:rsidR="009B4233" w:rsidRDefault="009B4233">
            <w:pPr>
              <w:spacing w:after="160" w:line="249" w:lineRule="auto"/>
              <w:rPr>
                <w:rFonts w:ascii="Arial" w:hAnsi="Arial" w:cs="Arial"/>
                <w:sz w:val="22"/>
                <w:szCs w:val="22"/>
              </w:rPr>
            </w:pPr>
          </w:p>
        </w:tc>
        <w:tc>
          <w:tcPr>
            <w:tcW w:w="793" w:type="dxa"/>
            <w:tcBorders>
              <w:top w:val="single" w:sz="8" w:space="0" w:color="000000"/>
              <w:right w:val="single" w:sz="4" w:space="0" w:color="000000"/>
            </w:tcBorders>
            <w:shd w:val="clear" w:color="auto" w:fill="auto"/>
            <w:tcMar>
              <w:top w:w="16" w:type="dxa"/>
              <w:left w:w="72" w:type="dxa"/>
              <w:bottom w:w="5" w:type="dxa"/>
              <w:right w:w="18" w:type="dxa"/>
            </w:tcMar>
          </w:tcPr>
          <w:p w:rsidR="009B4233" w:rsidRDefault="009B4233">
            <w:pPr>
              <w:spacing w:after="160" w:line="249" w:lineRule="auto"/>
              <w:rPr>
                <w:rFonts w:ascii="Arial" w:hAnsi="Arial" w:cs="Arial"/>
                <w:sz w:val="22"/>
                <w:szCs w:val="22"/>
              </w:rPr>
            </w:pPr>
          </w:p>
        </w:tc>
        <w:tc>
          <w:tcPr>
            <w:tcW w:w="2590" w:type="dxa"/>
            <w:gridSpan w:val="2"/>
            <w:tcBorders>
              <w:top w:val="single" w:sz="4" w:space="0" w:color="000000"/>
              <w:left w:val="single" w:sz="4" w:space="0" w:color="000000"/>
              <w:bottom w:val="single" w:sz="4" w:space="0" w:color="000000"/>
              <w:right w:val="single" w:sz="4" w:space="0" w:color="000000"/>
            </w:tcBorders>
            <w:shd w:val="clear" w:color="auto" w:fill="auto"/>
            <w:tcMar>
              <w:top w:w="16" w:type="dxa"/>
              <w:left w:w="72" w:type="dxa"/>
              <w:bottom w:w="5" w:type="dxa"/>
              <w:right w:w="18" w:type="dxa"/>
            </w:tcMar>
            <w:vAlign w:val="bottom"/>
          </w:tcPr>
          <w:p w:rsidR="009B4233" w:rsidRDefault="006B08B9">
            <w:pPr>
              <w:tabs>
                <w:tab w:val="right" w:pos="1934"/>
              </w:tabs>
              <w:spacing w:line="249" w:lineRule="auto"/>
            </w:pPr>
            <w:r>
              <w:rPr>
                <w:rFonts w:ascii="Arial" w:eastAsia="Calibri" w:hAnsi="Arial" w:cs="Arial"/>
                <w:sz w:val="22"/>
                <w:szCs w:val="22"/>
              </w:rPr>
              <w:t xml:space="preserve"> </w:t>
            </w:r>
            <w:r>
              <w:rPr>
                <w:rFonts w:ascii="Arial" w:eastAsia="Calibri" w:hAnsi="Arial" w:cs="Arial"/>
                <w:sz w:val="22"/>
                <w:szCs w:val="22"/>
              </w:rPr>
              <w:tab/>
              <w:t>2.498.728,62</w:t>
            </w:r>
          </w:p>
        </w:tc>
      </w:tr>
    </w:tbl>
    <w:p w:rsidR="009B4233" w:rsidRDefault="006B08B9">
      <w:pPr>
        <w:spacing w:after="314"/>
        <w:ind w:left="-15"/>
        <w:jc w:val="both"/>
        <w:rPr>
          <w:rFonts w:ascii="Arial" w:hAnsi="Arial" w:cs="Arial"/>
          <w:sz w:val="22"/>
          <w:szCs w:val="22"/>
        </w:rPr>
      </w:pPr>
      <w:r>
        <w:rPr>
          <w:rFonts w:ascii="Arial" w:hAnsi="Arial" w:cs="Arial"/>
          <w:sz w:val="22"/>
          <w:szCs w:val="22"/>
        </w:rPr>
        <w:t xml:space="preserve">Esta actualización parte del análisis económico del coste real del servicio, calculado en función de los datos de ejecución presupuestaria y los informes técnicos disponibles, que reflejan un importe total de </w:t>
      </w:r>
      <w:r>
        <w:rPr>
          <w:rFonts w:ascii="Arial" w:hAnsi="Arial" w:cs="Arial"/>
          <w:sz w:val="22"/>
          <w:szCs w:val="22"/>
        </w:rPr>
        <w:t xml:space="preserve">2.498.728,62 euros. </w:t>
      </w:r>
    </w:p>
    <w:p w:rsidR="009B4233" w:rsidRDefault="006B08B9">
      <w:pPr>
        <w:spacing w:after="71"/>
        <w:ind w:left="-15"/>
        <w:jc w:val="both"/>
        <w:rPr>
          <w:rFonts w:ascii="Arial" w:hAnsi="Arial" w:cs="Arial"/>
          <w:sz w:val="22"/>
          <w:szCs w:val="22"/>
        </w:rPr>
      </w:pPr>
      <w:r>
        <w:rPr>
          <w:rFonts w:ascii="Arial" w:hAnsi="Arial" w:cs="Arial"/>
          <w:sz w:val="22"/>
          <w:szCs w:val="22"/>
        </w:rPr>
        <w:t>De dicho importe, aproximadamente el 63 % corresponde a costes de naturaleza fija, fundamentalmente asociados a la prestación del servicio de recogida y los pagos al Consorcio de Tributos por la gestión de la tasa. El 37 % restante cor</w:t>
      </w:r>
      <w:r>
        <w:rPr>
          <w:rFonts w:ascii="Arial" w:hAnsi="Arial" w:cs="Arial"/>
          <w:sz w:val="22"/>
          <w:szCs w:val="22"/>
        </w:rPr>
        <w:t>responde a costes variables, directamente vinculados al tratamiento de los residuos. Se anexa tabla con los cálculos anteriormente expuestos.</w:t>
      </w:r>
    </w:p>
    <w:p w:rsidR="009B4233" w:rsidRDefault="009B4233">
      <w:pPr>
        <w:spacing w:after="71"/>
        <w:ind w:left="-15"/>
        <w:jc w:val="both"/>
        <w:rPr>
          <w:rFonts w:ascii="Arial" w:hAnsi="Arial" w:cs="Arial"/>
          <w:sz w:val="22"/>
          <w:szCs w:val="22"/>
        </w:rPr>
      </w:pPr>
    </w:p>
    <w:p w:rsidR="009B4233" w:rsidRDefault="009B4233">
      <w:pPr>
        <w:spacing w:after="71"/>
        <w:ind w:left="-15"/>
        <w:jc w:val="both"/>
        <w:rPr>
          <w:rFonts w:ascii="Arial" w:hAnsi="Arial" w:cs="Arial"/>
          <w:sz w:val="22"/>
          <w:szCs w:val="22"/>
        </w:rPr>
      </w:pPr>
    </w:p>
    <w:p w:rsidR="009B4233" w:rsidRDefault="009B4233">
      <w:pPr>
        <w:spacing w:after="71"/>
        <w:ind w:left="-15"/>
        <w:jc w:val="both"/>
        <w:rPr>
          <w:rFonts w:ascii="Arial" w:hAnsi="Arial" w:cs="Arial"/>
          <w:sz w:val="22"/>
          <w:szCs w:val="22"/>
        </w:rPr>
      </w:pPr>
    </w:p>
    <w:p w:rsidR="009B4233" w:rsidRDefault="009B4233">
      <w:pPr>
        <w:spacing w:after="71"/>
        <w:ind w:left="-15"/>
        <w:jc w:val="both"/>
        <w:rPr>
          <w:rFonts w:ascii="Arial" w:hAnsi="Arial" w:cs="Arial"/>
          <w:sz w:val="22"/>
          <w:szCs w:val="22"/>
        </w:rPr>
      </w:pPr>
    </w:p>
    <w:p w:rsidR="009B4233" w:rsidRDefault="009B4233">
      <w:pPr>
        <w:spacing w:after="71"/>
        <w:ind w:left="-15"/>
        <w:jc w:val="both"/>
        <w:rPr>
          <w:rFonts w:ascii="Arial" w:hAnsi="Arial" w:cs="Arial"/>
          <w:sz w:val="22"/>
          <w:szCs w:val="22"/>
        </w:rPr>
      </w:pPr>
    </w:p>
    <w:p w:rsidR="009B4233" w:rsidRDefault="009B4233">
      <w:pPr>
        <w:spacing w:after="71"/>
        <w:ind w:left="-15"/>
        <w:jc w:val="both"/>
        <w:rPr>
          <w:rFonts w:ascii="Arial" w:hAnsi="Arial" w:cs="Arial"/>
          <w:sz w:val="22"/>
          <w:szCs w:val="22"/>
        </w:rPr>
      </w:pPr>
    </w:p>
    <w:p w:rsidR="009B4233" w:rsidRDefault="009B4233">
      <w:pPr>
        <w:spacing w:after="71"/>
        <w:ind w:left="-15"/>
        <w:jc w:val="both"/>
        <w:rPr>
          <w:rFonts w:ascii="Arial" w:hAnsi="Arial" w:cs="Arial"/>
          <w:sz w:val="22"/>
          <w:szCs w:val="22"/>
        </w:rPr>
      </w:pPr>
    </w:p>
    <w:p w:rsidR="009B4233" w:rsidRDefault="009B4233">
      <w:pPr>
        <w:spacing w:after="71"/>
        <w:ind w:left="-15"/>
        <w:jc w:val="both"/>
        <w:rPr>
          <w:rFonts w:ascii="Arial" w:hAnsi="Arial" w:cs="Arial"/>
          <w:sz w:val="22"/>
          <w:szCs w:val="22"/>
        </w:rPr>
      </w:pPr>
    </w:p>
    <w:p w:rsidR="009B4233" w:rsidRDefault="009B4233">
      <w:pPr>
        <w:spacing w:after="71"/>
        <w:ind w:left="-15"/>
        <w:jc w:val="both"/>
        <w:rPr>
          <w:rFonts w:ascii="Arial" w:hAnsi="Arial" w:cs="Arial"/>
          <w:sz w:val="22"/>
          <w:szCs w:val="22"/>
        </w:rPr>
      </w:pPr>
    </w:p>
    <w:p w:rsidR="009B4233" w:rsidRDefault="009B4233">
      <w:pPr>
        <w:spacing w:after="71"/>
        <w:ind w:left="-15"/>
        <w:jc w:val="both"/>
        <w:rPr>
          <w:rFonts w:ascii="Arial" w:hAnsi="Arial" w:cs="Arial"/>
          <w:sz w:val="22"/>
          <w:szCs w:val="22"/>
        </w:rPr>
      </w:pPr>
    </w:p>
    <w:tbl>
      <w:tblPr>
        <w:tblW w:w="8594" w:type="dxa"/>
        <w:tblInd w:w="-82" w:type="dxa"/>
        <w:tblCellMar>
          <w:left w:w="10" w:type="dxa"/>
          <w:right w:w="10" w:type="dxa"/>
        </w:tblCellMar>
        <w:tblLook w:val="0000" w:firstRow="0" w:lastRow="0" w:firstColumn="0" w:lastColumn="0" w:noHBand="0" w:noVBand="0"/>
      </w:tblPr>
      <w:tblGrid>
        <w:gridCol w:w="3534"/>
        <w:gridCol w:w="2426"/>
        <w:gridCol w:w="2634"/>
      </w:tblGrid>
      <w:tr w:rsidR="009B4233">
        <w:tblPrEx>
          <w:tblCellMar>
            <w:top w:w="0" w:type="dxa"/>
            <w:bottom w:w="0" w:type="dxa"/>
          </w:tblCellMar>
        </w:tblPrEx>
        <w:trPr>
          <w:trHeight w:val="525"/>
        </w:trPr>
        <w:tc>
          <w:tcPr>
            <w:tcW w:w="3534" w:type="dxa"/>
            <w:tcBorders>
              <w:top w:val="single" w:sz="8" w:space="0" w:color="000000"/>
              <w:left w:val="single" w:sz="8" w:space="0" w:color="000000"/>
              <w:bottom w:val="single" w:sz="8" w:space="0" w:color="000000"/>
              <w:right w:val="single" w:sz="8" w:space="0" w:color="000000"/>
            </w:tcBorders>
            <w:shd w:val="clear" w:color="auto" w:fill="E2EFD9"/>
            <w:tcMar>
              <w:top w:w="17" w:type="dxa"/>
              <w:left w:w="72" w:type="dxa"/>
              <w:bottom w:w="0" w:type="dxa"/>
              <w:right w:w="115" w:type="dxa"/>
            </w:tcMar>
            <w:vAlign w:val="center"/>
          </w:tcPr>
          <w:p w:rsidR="009B4233" w:rsidRDefault="006B08B9">
            <w:pPr>
              <w:spacing w:line="249" w:lineRule="auto"/>
            </w:pPr>
            <w:r>
              <w:rPr>
                <w:rFonts w:ascii="Arial" w:eastAsia="Arial" w:hAnsi="Arial" w:cs="Arial"/>
                <w:b/>
                <w:sz w:val="22"/>
                <w:szCs w:val="22"/>
              </w:rPr>
              <w:t>CONCEPTO</w:t>
            </w:r>
          </w:p>
        </w:tc>
        <w:tc>
          <w:tcPr>
            <w:tcW w:w="2426" w:type="dxa"/>
            <w:tcBorders>
              <w:top w:val="single" w:sz="8" w:space="0" w:color="000000"/>
              <w:left w:val="single" w:sz="8" w:space="0" w:color="000000"/>
              <w:bottom w:val="single" w:sz="8" w:space="0" w:color="000000"/>
              <w:right w:val="single" w:sz="8" w:space="0" w:color="000000"/>
            </w:tcBorders>
            <w:shd w:val="clear" w:color="auto" w:fill="E2EFD9"/>
            <w:tcMar>
              <w:top w:w="17" w:type="dxa"/>
              <w:left w:w="72" w:type="dxa"/>
              <w:bottom w:w="0" w:type="dxa"/>
              <w:right w:w="115" w:type="dxa"/>
            </w:tcMar>
            <w:vAlign w:val="center"/>
          </w:tcPr>
          <w:p w:rsidR="009B4233" w:rsidRDefault="006B08B9">
            <w:pPr>
              <w:spacing w:line="249" w:lineRule="auto"/>
            </w:pPr>
            <w:r>
              <w:rPr>
                <w:rFonts w:ascii="Arial" w:eastAsia="Arial" w:hAnsi="Arial" w:cs="Arial"/>
                <w:b/>
                <w:sz w:val="22"/>
                <w:szCs w:val="22"/>
              </w:rPr>
              <w:t>IMPORTE (€)</w:t>
            </w:r>
          </w:p>
        </w:tc>
        <w:tc>
          <w:tcPr>
            <w:tcW w:w="2634" w:type="dxa"/>
            <w:tcBorders>
              <w:top w:val="single" w:sz="8" w:space="0" w:color="000000"/>
              <w:left w:val="single" w:sz="8" w:space="0" w:color="000000"/>
              <w:bottom w:val="single" w:sz="8" w:space="0" w:color="000000"/>
              <w:right w:val="single" w:sz="8" w:space="0" w:color="000000"/>
            </w:tcBorders>
            <w:shd w:val="clear" w:color="auto" w:fill="E2EFD9"/>
            <w:tcMar>
              <w:top w:w="17" w:type="dxa"/>
              <w:left w:w="72" w:type="dxa"/>
              <w:bottom w:w="0" w:type="dxa"/>
              <w:right w:w="115" w:type="dxa"/>
            </w:tcMar>
          </w:tcPr>
          <w:p w:rsidR="009B4233" w:rsidRDefault="006B08B9">
            <w:pPr>
              <w:spacing w:line="249" w:lineRule="auto"/>
            </w:pPr>
            <w:r>
              <w:rPr>
                <w:rFonts w:ascii="Arial" w:eastAsia="Arial" w:hAnsi="Arial" w:cs="Arial"/>
                <w:b/>
                <w:sz w:val="22"/>
                <w:szCs w:val="22"/>
              </w:rPr>
              <w:t xml:space="preserve">% SOBRE COSTES </w:t>
            </w:r>
          </w:p>
          <w:p w:rsidR="009B4233" w:rsidRDefault="006B08B9">
            <w:pPr>
              <w:spacing w:line="249" w:lineRule="auto"/>
            </w:pPr>
            <w:r>
              <w:rPr>
                <w:rFonts w:ascii="Arial" w:eastAsia="Arial" w:hAnsi="Arial" w:cs="Arial"/>
                <w:b/>
                <w:sz w:val="22"/>
                <w:szCs w:val="22"/>
              </w:rPr>
              <w:t>GENERALES</w:t>
            </w:r>
          </w:p>
        </w:tc>
      </w:tr>
      <w:tr w:rsidR="009B4233">
        <w:tblPrEx>
          <w:tblCellMar>
            <w:top w:w="0" w:type="dxa"/>
            <w:bottom w:w="0" w:type="dxa"/>
          </w:tblCellMar>
        </w:tblPrEx>
        <w:trPr>
          <w:trHeight w:val="529"/>
        </w:trPr>
        <w:tc>
          <w:tcPr>
            <w:tcW w:w="3534" w:type="dxa"/>
            <w:tcBorders>
              <w:top w:val="single" w:sz="8" w:space="0" w:color="000000"/>
              <w:left w:val="single" w:sz="8" w:space="0" w:color="000000"/>
              <w:bottom w:val="single" w:sz="8" w:space="0" w:color="000000"/>
              <w:right w:val="single" w:sz="8" w:space="0" w:color="000000"/>
            </w:tcBorders>
            <w:shd w:val="clear" w:color="auto" w:fill="auto"/>
            <w:tcMar>
              <w:top w:w="17" w:type="dxa"/>
              <w:left w:w="72" w:type="dxa"/>
              <w:bottom w:w="0" w:type="dxa"/>
              <w:right w:w="115" w:type="dxa"/>
            </w:tcMar>
          </w:tcPr>
          <w:p w:rsidR="009B4233" w:rsidRDefault="006B08B9">
            <w:pPr>
              <w:spacing w:line="249" w:lineRule="auto"/>
            </w:pPr>
            <w:r>
              <w:rPr>
                <w:rFonts w:ascii="Arial" w:eastAsia="Arial" w:hAnsi="Arial" w:cs="Arial"/>
                <w:b/>
                <w:sz w:val="22"/>
                <w:szCs w:val="22"/>
              </w:rPr>
              <w:t>COSTES TOTALES GENERALES</w:t>
            </w:r>
          </w:p>
        </w:tc>
        <w:tc>
          <w:tcPr>
            <w:tcW w:w="2426" w:type="dxa"/>
            <w:tcBorders>
              <w:top w:val="single" w:sz="8" w:space="0" w:color="000000"/>
              <w:left w:val="single" w:sz="8" w:space="0" w:color="000000"/>
              <w:bottom w:val="single" w:sz="8" w:space="0" w:color="000000"/>
              <w:right w:val="single" w:sz="8" w:space="0" w:color="000000"/>
            </w:tcBorders>
            <w:shd w:val="clear" w:color="auto" w:fill="auto"/>
            <w:tcMar>
              <w:top w:w="17" w:type="dxa"/>
              <w:left w:w="72" w:type="dxa"/>
              <w:bottom w:w="0" w:type="dxa"/>
              <w:right w:w="115" w:type="dxa"/>
            </w:tcMar>
            <w:vAlign w:val="center"/>
          </w:tcPr>
          <w:p w:rsidR="009B4233" w:rsidRDefault="006B08B9">
            <w:pPr>
              <w:spacing w:line="249" w:lineRule="auto"/>
            </w:pPr>
            <w:r>
              <w:rPr>
                <w:rFonts w:ascii="Arial" w:eastAsia="Calibri" w:hAnsi="Arial" w:cs="Arial"/>
                <w:sz w:val="22"/>
                <w:szCs w:val="22"/>
              </w:rPr>
              <w:t>2.498.728,62 €</w:t>
            </w:r>
          </w:p>
        </w:tc>
        <w:tc>
          <w:tcPr>
            <w:tcW w:w="2634" w:type="dxa"/>
            <w:tcBorders>
              <w:top w:val="single" w:sz="8" w:space="0" w:color="000000"/>
              <w:left w:val="single" w:sz="8" w:space="0" w:color="000000"/>
              <w:bottom w:val="single" w:sz="8" w:space="0" w:color="000000"/>
              <w:right w:val="single" w:sz="8" w:space="0" w:color="000000"/>
            </w:tcBorders>
            <w:shd w:val="clear" w:color="auto" w:fill="auto"/>
            <w:tcMar>
              <w:top w:w="17" w:type="dxa"/>
              <w:left w:w="72" w:type="dxa"/>
              <w:bottom w:w="0" w:type="dxa"/>
              <w:right w:w="115" w:type="dxa"/>
            </w:tcMar>
            <w:vAlign w:val="center"/>
          </w:tcPr>
          <w:p w:rsidR="009B4233" w:rsidRDefault="006B08B9">
            <w:pPr>
              <w:spacing w:line="249" w:lineRule="auto"/>
              <w:rPr>
                <w:rFonts w:ascii="Arial" w:hAnsi="Arial" w:cs="Arial"/>
                <w:sz w:val="22"/>
                <w:szCs w:val="22"/>
              </w:rPr>
            </w:pPr>
            <w:r>
              <w:rPr>
                <w:rFonts w:ascii="Arial" w:hAnsi="Arial" w:cs="Arial"/>
                <w:sz w:val="22"/>
                <w:szCs w:val="22"/>
              </w:rPr>
              <w:t>100%</w:t>
            </w:r>
          </w:p>
        </w:tc>
      </w:tr>
      <w:tr w:rsidR="009B4233">
        <w:tblPrEx>
          <w:tblCellMar>
            <w:top w:w="0" w:type="dxa"/>
            <w:bottom w:w="0" w:type="dxa"/>
          </w:tblCellMar>
        </w:tblPrEx>
        <w:trPr>
          <w:trHeight w:val="274"/>
        </w:trPr>
        <w:tc>
          <w:tcPr>
            <w:tcW w:w="3534" w:type="dxa"/>
            <w:tcBorders>
              <w:top w:val="single" w:sz="8" w:space="0" w:color="000000"/>
              <w:left w:val="single" w:sz="8" w:space="0" w:color="000000"/>
              <w:bottom w:val="single" w:sz="8" w:space="0" w:color="000000"/>
              <w:right w:val="single" w:sz="8" w:space="0" w:color="000000"/>
            </w:tcBorders>
            <w:shd w:val="clear" w:color="auto" w:fill="auto"/>
            <w:tcMar>
              <w:top w:w="17" w:type="dxa"/>
              <w:left w:w="72" w:type="dxa"/>
              <w:bottom w:w="0" w:type="dxa"/>
              <w:right w:w="115" w:type="dxa"/>
            </w:tcMar>
          </w:tcPr>
          <w:p w:rsidR="009B4233" w:rsidRDefault="006B08B9">
            <w:pPr>
              <w:spacing w:line="249" w:lineRule="auto"/>
              <w:rPr>
                <w:rFonts w:ascii="Arial" w:hAnsi="Arial" w:cs="Arial"/>
                <w:sz w:val="22"/>
                <w:szCs w:val="22"/>
              </w:rPr>
            </w:pPr>
            <w:r>
              <w:rPr>
                <w:rFonts w:ascii="Arial" w:hAnsi="Arial" w:cs="Arial"/>
                <w:sz w:val="22"/>
                <w:szCs w:val="22"/>
              </w:rPr>
              <w:t xml:space="preserve">— Coste </w:t>
            </w:r>
            <w:r>
              <w:rPr>
                <w:rFonts w:ascii="Arial" w:hAnsi="Arial" w:cs="Arial"/>
                <w:sz w:val="22"/>
                <w:szCs w:val="22"/>
              </w:rPr>
              <w:t>del servicio de recogida</w:t>
            </w:r>
          </w:p>
        </w:tc>
        <w:tc>
          <w:tcPr>
            <w:tcW w:w="2426" w:type="dxa"/>
            <w:tcBorders>
              <w:top w:val="single" w:sz="8" w:space="0" w:color="000000"/>
              <w:left w:val="single" w:sz="8" w:space="0" w:color="000000"/>
              <w:bottom w:val="single" w:sz="8" w:space="0" w:color="000000"/>
              <w:right w:val="single" w:sz="8" w:space="0" w:color="000000"/>
            </w:tcBorders>
            <w:shd w:val="clear" w:color="auto" w:fill="auto"/>
            <w:tcMar>
              <w:top w:w="17" w:type="dxa"/>
              <w:left w:w="72" w:type="dxa"/>
              <w:bottom w:w="0" w:type="dxa"/>
              <w:right w:w="115" w:type="dxa"/>
            </w:tcMar>
          </w:tcPr>
          <w:p w:rsidR="009B4233" w:rsidRDefault="006B08B9">
            <w:pPr>
              <w:spacing w:line="249" w:lineRule="auto"/>
              <w:rPr>
                <w:rFonts w:ascii="Arial" w:hAnsi="Arial" w:cs="Arial"/>
                <w:sz w:val="22"/>
                <w:szCs w:val="22"/>
              </w:rPr>
            </w:pPr>
            <w:r>
              <w:rPr>
                <w:rFonts w:ascii="Arial" w:hAnsi="Arial" w:cs="Arial"/>
                <w:sz w:val="22"/>
                <w:szCs w:val="22"/>
              </w:rPr>
              <w:t>1.518.014,84 €</w:t>
            </w:r>
          </w:p>
        </w:tc>
        <w:tc>
          <w:tcPr>
            <w:tcW w:w="2634" w:type="dxa"/>
            <w:tcBorders>
              <w:top w:val="single" w:sz="8" w:space="0" w:color="000000"/>
              <w:left w:val="single" w:sz="8" w:space="0" w:color="000000"/>
              <w:bottom w:val="single" w:sz="8" w:space="0" w:color="000000"/>
              <w:right w:val="single" w:sz="8" w:space="0" w:color="000000"/>
            </w:tcBorders>
            <w:shd w:val="clear" w:color="auto" w:fill="auto"/>
            <w:tcMar>
              <w:top w:w="17" w:type="dxa"/>
              <w:left w:w="72" w:type="dxa"/>
              <w:bottom w:w="0" w:type="dxa"/>
              <w:right w:w="115" w:type="dxa"/>
            </w:tcMar>
          </w:tcPr>
          <w:p w:rsidR="009B4233" w:rsidRDefault="006B08B9">
            <w:pPr>
              <w:spacing w:line="249" w:lineRule="auto"/>
              <w:rPr>
                <w:rFonts w:ascii="Arial" w:hAnsi="Arial" w:cs="Arial"/>
                <w:sz w:val="22"/>
                <w:szCs w:val="22"/>
              </w:rPr>
            </w:pPr>
            <w:r>
              <w:rPr>
                <w:rFonts w:ascii="Arial" w:hAnsi="Arial" w:cs="Arial"/>
                <w:sz w:val="22"/>
                <w:szCs w:val="22"/>
              </w:rPr>
              <w:t>60,8%</w:t>
            </w:r>
          </w:p>
        </w:tc>
      </w:tr>
      <w:tr w:rsidR="009B4233">
        <w:tblPrEx>
          <w:tblCellMar>
            <w:top w:w="0" w:type="dxa"/>
            <w:bottom w:w="0" w:type="dxa"/>
          </w:tblCellMar>
        </w:tblPrEx>
        <w:trPr>
          <w:trHeight w:val="526"/>
        </w:trPr>
        <w:tc>
          <w:tcPr>
            <w:tcW w:w="3534" w:type="dxa"/>
            <w:tcBorders>
              <w:top w:val="single" w:sz="8" w:space="0" w:color="000000"/>
              <w:left w:val="single" w:sz="8" w:space="0" w:color="000000"/>
              <w:bottom w:val="single" w:sz="8" w:space="0" w:color="000000"/>
              <w:right w:val="single" w:sz="8" w:space="0" w:color="000000"/>
            </w:tcBorders>
            <w:shd w:val="clear" w:color="auto" w:fill="auto"/>
            <w:tcMar>
              <w:top w:w="17" w:type="dxa"/>
              <w:left w:w="72" w:type="dxa"/>
              <w:bottom w:w="0" w:type="dxa"/>
              <w:right w:w="115" w:type="dxa"/>
            </w:tcMar>
            <w:vAlign w:val="center"/>
          </w:tcPr>
          <w:p w:rsidR="009B4233" w:rsidRDefault="006B08B9">
            <w:pPr>
              <w:spacing w:line="249" w:lineRule="auto"/>
              <w:rPr>
                <w:rFonts w:ascii="Arial" w:hAnsi="Arial" w:cs="Arial"/>
                <w:sz w:val="22"/>
                <w:szCs w:val="22"/>
              </w:rPr>
            </w:pPr>
            <w:r>
              <w:rPr>
                <w:rFonts w:ascii="Arial" w:hAnsi="Arial" w:cs="Arial"/>
                <w:sz w:val="22"/>
                <w:szCs w:val="22"/>
              </w:rPr>
              <w:t>— Gestión Consorcio</w:t>
            </w:r>
          </w:p>
        </w:tc>
        <w:tc>
          <w:tcPr>
            <w:tcW w:w="2426" w:type="dxa"/>
            <w:tcBorders>
              <w:top w:val="single" w:sz="8" w:space="0" w:color="000000"/>
              <w:left w:val="single" w:sz="8" w:space="0" w:color="000000"/>
              <w:bottom w:val="single" w:sz="8" w:space="0" w:color="000000"/>
              <w:right w:val="single" w:sz="8" w:space="0" w:color="000000"/>
            </w:tcBorders>
            <w:shd w:val="clear" w:color="auto" w:fill="auto"/>
            <w:tcMar>
              <w:top w:w="17" w:type="dxa"/>
              <w:left w:w="72" w:type="dxa"/>
              <w:bottom w:w="0" w:type="dxa"/>
              <w:right w:w="115" w:type="dxa"/>
            </w:tcMar>
          </w:tcPr>
          <w:p w:rsidR="009B4233" w:rsidRDefault="006B08B9">
            <w:pPr>
              <w:spacing w:line="249" w:lineRule="auto"/>
              <w:rPr>
                <w:rFonts w:ascii="Arial" w:hAnsi="Arial" w:cs="Arial"/>
                <w:sz w:val="22"/>
                <w:szCs w:val="22"/>
              </w:rPr>
            </w:pPr>
            <w:r>
              <w:rPr>
                <w:rFonts w:ascii="Arial" w:hAnsi="Arial" w:cs="Arial"/>
                <w:sz w:val="22"/>
                <w:szCs w:val="22"/>
              </w:rPr>
              <w:t xml:space="preserve">                         </w:t>
            </w:r>
          </w:p>
          <w:p w:rsidR="009B4233" w:rsidRDefault="006B08B9">
            <w:pPr>
              <w:spacing w:line="249" w:lineRule="auto"/>
              <w:rPr>
                <w:rFonts w:ascii="Arial" w:hAnsi="Arial" w:cs="Arial"/>
                <w:sz w:val="22"/>
                <w:szCs w:val="22"/>
              </w:rPr>
            </w:pPr>
            <w:r>
              <w:rPr>
                <w:rFonts w:ascii="Arial" w:hAnsi="Arial" w:cs="Arial"/>
                <w:sz w:val="22"/>
                <w:szCs w:val="22"/>
              </w:rPr>
              <w:t xml:space="preserve">45.368,78 € </w:t>
            </w:r>
          </w:p>
        </w:tc>
        <w:tc>
          <w:tcPr>
            <w:tcW w:w="2634" w:type="dxa"/>
            <w:tcBorders>
              <w:top w:val="single" w:sz="8" w:space="0" w:color="000000"/>
              <w:left w:val="single" w:sz="8" w:space="0" w:color="000000"/>
              <w:bottom w:val="single" w:sz="8" w:space="0" w:color="000000"/>
              <w:right w:val="single" w:sz="8" w:space="0" w:color="000000"/>
            </w:tcBorders>
            <w:shd w:val="clear" w:color="auto" w:fill="auto"/>
            <w:tcMar>
              <w:top w:w="17" w:type="dxa"/>
              <w:left w:w="72" w:type="dxa"/>
              <w:bottom w:w="0" w:type="dxa"/>
              <w:right w:w="115" w:type="dxa"/>
            </w:tcMar>
            <w:vAlign w:val="center"/>
          </w:tcPr>
          <w:p w:rsidR="009B4233" w:rsidRDefault="006B08B9">
            <w:pPr>
              <w:spacing w:line="249" w:lineRule="auto"/>
              <w:rPr>
                <w:rFonts w:ascii="Arial" w:hAnsi="Arial" w:cs="Arial"/>
                <w:sz w:val="22"/>
                <w:szCs w:val="22"/>
              </w:rPr>
            </w:pPr>
            <w:r>
              <w:rPr>
                <w:rFonts w:ascii="Arial" w:hAnsi="Arial" w:cs="Arial"/>
                <w:sz w:val="22"/>
                <w:szCs w:val="22"/>
              </w:rPr>
              <w:t>1,8%</w:t>
            </w:r>
          </w:p>
        </w:tc>
      </w:tr>
      <w:tr w:rsidR="009B4233">
        <w:tblPrEx>
          <w:tblCellMar>
            <w:top w:w="0" w:type="dxa"/>
            <w:bottom w:w="0" w:type="dxa"/>
          </w:tblCellMar>
        </w:tblPrEx>
        <w:trPr>
          <w:trHeight w:val="272"/>
        </w:trPr>
        <w:tc>
          <w:tcPr>
            <w:tcW w:w="3534" w:type="dxa"/>
            <w:tcBorders>
              <w:top w:val="single" w:sz="8" w:space="0" w:color="000000"/>
              <w:left w:val="single" w:sz="8" w:space="0" w:color="000000"/>
              <w:bottom w:val="single" w:sz="8" w:space="0" w:color="000000"/>
              <w:right w:val="single" w:sz="8" w:space="0" w:color="000000"/>
            </w:tcBorders>
            <w:shd w:val="clear" w:color="auto" w:fill="auto"/>
            <w:tcMar>
              <w:top w:w="17" w:type="dxa"/>
              <w:left w:w="72" w:type="dxa"/>
              <w:bottom w:w="0" w:type="dxa"/>
              <w:right w:w="115" w:type="dxa"/>
            </w:tcMar>
          </w:tcPr>
          <w:p w:rsidR="009B4233" w:rsidRDefault="006B08B9">
            <w:pPr>
              <w:spacing w:line="249" w:lineRule="auto"/>
            </w:pPr>
            <w:r>
              <w:rPr>
                <w:rFonts w:ascii="Arial" w:eastAsia="Arial" w:hAnsi="Arial" w:cs="Arial"/>
                <w:b/>
                <w:sz w:val="22"/>
                <w:szCs w:val="22"/>
              </w:rPr>
              <w:t>TOTAL COSTES FIJOS</w:t>
            </w:r>
          </w:p>
        </w:tc>
        <w:tc>
          <w:tcPr>
            <w:tcW w:w="2426" w:type="dxa"/>
            <w:tcBorders>
              <w:top w:val="single" w:sz="8" w:space="0" w:color="000000"/>
              <w:left w:val="single" w:sz="8" w:space="0" w:color="000000"/>
              <w:bottom w:val="single" w:sz="8" w:space="0" w:color="000000"/>
              <w:right w:val="single" w:sz="8" w:space="0" w:color="000000"/>
            </w:tcBorders>
            <w:shd w:val="clear" w:color="auto" w:fill="auto"/>
            <w:tcMar>
              <w:top w:w="17" w:type="dxa"/>
              <w:left w:w="72" w:type="dxa"/>
              <w:bottom w:w="0" w:type="dxa"/>
              <w:right w:w="115" w:type="dxa"/>
            </w:tcMar>
          </w:tcPr>
          <w:p w:rsidR="009B4233" w:rsidRDefault="006B08B9">
            <w:pPr>
              <w:spacing w:line="249" w:lineRule="auto"/>
              <w:rPr>
                <w:rFonts w:ascii="Arial" w:hAnsi="Arial" w:cs="Arial"/>
                <w:sz w:val="22"/>
                <w:szCs w:val="22"/>
              </w:rPr>
            </w:pPr>
            <w:r>
              <w:rPr>
                <w:rFonts w:ascii="Arial" w:hAnsi="Arial" w:cs="Arial"/>
                <w:sz w:val="22"/>
                <w:szCs w:val="22"/>
              </w:rPr>
              <w:t>1.563.383,62 €</w:t>
            </w:r>
          </w:p>
        </w:tc>
        <w:tc>
          <w:tcPr>
            <w:tcW w:w="2634" w:type="dxa"/>
            <w:tcBorders>
              <w:top w:val="single" w:sz="8" w:space="0" w:color="000000"/>
              <w:left w:val="single" w:sz="8" w:space="0" w:color="000000"/>
              <w:bottom w:val="single" w:sz="8" w:space="0" w:color="000000"/>
              <w:right w:val="single" w:sz="8" w:space="0" w:color="000000"/>
            </w:tcBorders>
            <w:shd w:val="clear" w:color="auto" w:fill="auto"/>
            <w:tcMar>
              <w:top w:w="17" w:type="dxa"/>
              <w:left w:w="72" w:type="dxa"/>
              <w:bottom w:w="0" w:type="dxa"/>
              <w:right w:w="115" w:type="dxa"/>
            </w:tcMar>
          </w:tcPr>
          <w:p w:rsidR="009B4233" w:rsidRDefault="006B08B9">
            <w:pPr>
              <w:spacing w:line="249" w:lineRule="auto"/>
              <w:rPr>
                <w:rFonts w:ascii="Arial" w:hAnsi="Arial" w:cs="Arial"/>
                <w:sz w:val="22"/>
                <w:szCs w:val="22"/>
              </w:rPr>
            </w:pPr>
            <w:r>
              <w:rPr>
                <w:rFonts w:ascii="Arial" w:hAnsi="Arial" w:cs="Arial"/>
                <w:sz w:val="22"/>
                <w:szCs w:val="22"/>
              </w:rPr>
              <w:t>63%</w:t>
            </w:r>
          </w:p>
        </w:tc>
      </w:tr>
      <w:tr w:rsidR="009B4233">
        <w:tblPrEx>
          <w:tblCellMar>
            <w:top w:w="0" w:type="dxa"/>
            <w:bottom w:w="0" w:type="dxa"/>
          </w:tblCellMar>
        </w:tblPrEx>
        <w:trPr>
          <w:trHeight w:val="376"/>
        </w:trPr>
        <w:tc>
          <w:tcPr>
            <w:tcW w:w="3534" w:type="dxa"/>
            <w:tcBorders>
              <w:top w:val="single" w:sz="8" w:space="0" w:color="000000"/>
              <w:left w:val="single" w:sz="8" w:space="0" w:color="000000"/>
              <w:bottom w:val="single" w:sz="8" w:space="0" w:color="000000"/>
              <w:right w:val="single" w:sz="8" w:space="0" w:color="000000"/>
            </w:tcBorders>
            <w:shd w:val="clear" w:color="auto" w:fill="auto"/>
            <w:tcMar>
              <w:top w:w="17" w:type="dxa"/>
              <w:left w:w="72" w:type="dxa"/>
              <w:bottom w:w="0" w:type="dxa"/>
              <w:right w:w="115" w:type="dxa"/>
            </w:tcMar>
          </w:tcPr>
          <w:p w:rsidR="009B4233" w:rsidRDefault="006B08B9">
            <w:pPr>
              <w:spacing w:line="249" w:lineRule="auto"/>
              <w:rPr>
                <w:rFonts w:ascii="Arial" w:hAnsi="Arial" w:cs="Arial"/>
                <w:sz w:val="22"/>
                <w:szCs w:val="22"/>
              </w:rPr>
            </w:pPr>
            <w:r>
              <w:rPr>
                <w:rFonts w:ascii="Arial" w:hAnsi="Arial" w:cs="Arial"/>
                <w:sz w:val="22"/>
                <w:szCs w:val="22"/>
              </w:rPr>
              <w:t>— Coste de tratamiento (PIRS)</w:t>
            </w:r>
          </w:p>
        </w:tc>
        <w:tc>
          <w:tcPr>
            <w:tcW w:w="2426" w:type="dxa"/>
            <w:tcBorders>
              <w:top w:val="single" w:sz="8" w:space="0" w:color="000000"/>
              <w:left w:val="single" w:sz="8" w:space="0" w:color="000000"/>
              <w:bottom w:val="single" w:sz="8" w:space="0" w:color="000000"/>
              <w:right w:val="single" w:sz="8" w:space="0" w:color="000000"/>
            </w:tcBorders>
            <w:shd w:val="clear" w:color="auto" w:fill="auto"/>
            <w:tcMar>
              <w:top w:w="17" w:type="dxa"/>
              <w:left w:w="72" w:type="dxa"/>
              <w:bottom w:w="0" w:type="dxa"/>
              <w:right w:w="115" w:type="dxa"/>
            </w:tcMar>
          </w:tcPr>
          <w:p w:rsidR="009B4233" w:rsidRDefault="006B08B9">
            <w:pPr>
              <w:spacing w:line="249" w:lineRule="auto"/>
              <w:rPr>
                <w:rFonts w:ascii="Arial" w:hAnsi="Arial" w:cs="Arial"/>
                <w:sz w:val="22"/>
                <w:szCs w:val="22"/>
              </w:rPr>
            </w:pPr>
            <w:r>
              <w:rPr>
                <w:rFonts w:ascii="Arial" w:hAnsi="Arial" w:cs="Arial"/>
                <w:sz w:val="22"/>
                <w:szCs w:val="22"/>
              </w:rPr>
              <w:t>935.345,00 €</w:t>
            </w:r>
          </w:p>
        </w:tc>
        <w:tc>
          <w:tcPr>
            <w:tcW w:w="2634" w:type="dxa"/>
            <w:tcBorders>
              <w:top w:val="single" w:sz="8" w:space="0" w:color="000000"/>
              <w:left w:val="single" w:sz="8" w:space="0" w:color="000000"/>
              <w:bottom w:val="single" w:sz="8" w:space="0" w:color="000000"/>
              <w:right w:val="single" w:sz="8" w:space="0" w:color="000000"/>
            </w:tcBorders>
            <w:shd w:val="clear" w:color="auto" w:fill="auto"/>
            <w:tcMar>
              <w:top w:w="17" w:type="dxa"/>
              <w:left w:w="72" w:type="dxa"/>
              <w:bottom w:w="0" w:type="dxa"/>
              <w:right w:w="115" w:type="dxa"/>
            </w:tcMar>
          </w:tcPr>
          <w:p w:rsidR="009B4233" w:rsidRDefault="006B08B9">
            <w:pPr>
              <w:spacing w:line="249" w:lineRule="auto"/>
              <w:rPr>
                <w:rFonts w:ascii="Arial" w:hAnsi="Arial" w:cs="Arial"/>
                <w:sz w:val="22"/>
                <w:szCs w:val="22"/>
              </w:rPr>
            </w:pPr>
            <w:r>
              <w:rPr>
                <w:rFonts w:ascii="Arial" w:hAnsi="Arial" w:cs="Arial"/>
                <w:sz w:val="22"/>
                <w:szCs w:val="22"/>
              </w:rPr>
              <w:t>37,4%</w:t>
            </w:r>
          </w:p>
        </w:tc>
      </w:tr>
      <w:tr w:rsidR="009B4233">
        <w:tblPrEx>
          <w:tblCellMar>
            <w:top w:w="0" w:type="dxa"/>
            <w:bottom w:w="0" w:type="dxa"/>
          </w:tblCellMar>
        </w:tblPrEx>
        <w:trPr>
          <w:trHeight w:val="272"/>
        </w:trPr>
        <w:tc>
          <w:tcPr>
            <w:tcW w:w="3534" w:type="dxa"/>
            <w:tcBorders>
              <w:top w:val="single" w:sz="8" w:space="0" w:color="000000"/>
              <w:left w:val="single" w:sz="8" w:space="0" w:color="000000"/>
              <w:bottom w:val="single" w:sz="8" w:space="0" w:color="000000"/>
              <w:right w:val="single" w:sz="8" w:space="0" w:color="000000"/>
            </w:tcBorders>
            <w:shd w:val="clear" w:color="auto" w:fill="auto"/>
            <w:tcMar>
              <w:top w:w="17" w:type="dxa"/>
              <w:left w:w="72" w:type="dxa"/>
              <w:bottom w:w="0" w:type="dxa"/>
              <w:right w:w="115" w:type="dxa"/>
            </w:tcMar>
          </w:tcPr>
          <w:p w:rsidR="009B4233" w:rsidRDefault="006B08B9">
            <w:pPr>
              <w:spacing w:line="249" w:lineRule="auto"/>
            </w:pPr>
            <w:r>
              <w:rPr>
                <w:rFonts w:ascii="Arial" w:eastAsia="Arial" w:hAnsi="Arial" w:cs="Arial"/>
                <w:b/>
                <w:sz w:val="22"/>
                <w:szCs w:val="22"/>
              </w:rPr>
              <w:t>TOTAL COSTES VARIABLES</w:t>
            </w:r>
          </w:p>
        </w:tc>
        <w:tc>
          <w:tcPr>
            <w:tcW w:w="2426" w:type="dxa"/>
            <w:tcBorders>
              <w:top w:val="single" w:sz="8" w:space="0" w:color="000000"/>
              <w:left w:val="single" w:sz="8" w:space="0" w:color="000000"/>
              <w:bottom w:val="single" w:sz="8" w:space="0" w:color="000000"/>
              <w:right w:val="single" w:sz="8" w:space="0" w:color="000000"/>
            </w:tcBorders>
            <w:shd w:val="clear" w:color="auto" w:fill="auto"/>
            <w:tcMar>
              <w:top w:w="17" w:type="dxa"/>
              <w:left w:w="72" w:type="dxa"/>
              <w:bottom w:w="0" w:type="dxa"/>
              <w:right w:w="115" w:type="dxa"/>
            </w:tcMar>
          </w:tcPr>
          <w:p w:rsidR="009B4233" w:rsidRDefault="006B08B9">
            <w:pPr>
              <w:spacing w:line="249" w:lineRule="auto"/>
              <w:rPr>
                <w:rFonts w:ascii="Arial" w:hAnsi="Arial" w:cs="Arial"/>
                <w:sz w:val="22"/>
                <w:szCs w:val="22"/>
              </w:rPr>
            </w:pPr>
            <w:r>
              <w:rPr>
                <w:rFonts w:ascii="Arial" w:hAnsi="Arial" w:cs="Arial"/>
                <w:sz w:val="22"/>
                <w:szCs w:val="22"/>
              </w:rPr>
              <w:t>935.345,00 €</w:t>
            </w:r>
          </w:p>
        </w:tc>
        <w:tc>
          <w:tcPr>
            <w:tcW w:w="2634" w:type="dxa"/>
            <w:tcBorders>
              <w:top w:val="single" w:sz="8" w:space="0" w:color="000000"/>
              <w:left w:val="single" w:sz="8" w:space="0" w:color="000000"/>
              <w:bottom w:val="single" w:sz="8" w:space="0" w:color="000000"/>
              <w:right w:val="single" w:sz="8" w:space="0" w:color="000000"/>
            </w:tcBorders>
            <w:shd w:val="clear" w:color="auto" w:fill="auto"/>
            <w:tcMar>
              <w:top w:w="17" w:type="dxa"/>
              <w:left w:w="72" w:type="dxa"/>
              <w:bottom w:w="0" w:type="dxa"/>
              <w:right w:w="115" w:type="dxa"/>
            </w:tcMar>
          </w:tcPr>
          <w:p w:rsidR="009B4233" w:rsidRDefault="006B08B9">
            <w:pPr>
              <w:spacing w:line="249" w:lineRule="auto"/>
              <w:rPr>
                <w:rFonts w:ascii="Arial" w:hAnsi="Arial" w:cs="Arial"/>
                <w:sz w:val="22"/>
                <w:szCs w:val="22"/>
              </w:rPr>
            </w:pPr>
            <w:r>
              <w:rPr>
                <w:rFonts w:ascii="Arial" w:hAnsi="Arial" w:cs="Arial"/>
                <w:sz w:val="22"/>
                <w:szCs w:val="22"/>
              </w:rPr>
              <w:t>37%</w:t>
            </w:r>
          </w:p>
        </w:tc>
      </w:tr>
    </w:tbl>
    <w:p w:rsidR="009B4233" w:rsidRDefault="009B4233">
      <w:pPr>
        <w:spacing w:after="68"/>
        <w:ind w:left="-15"/>
        <w:rPr>
          <w:rFonts w:ascii="Arial" w:hAnsi="Arial" w:cs="Arial"/>
          <w:sz w:val="22"/>
          <w:szCs w:val="22"/>
        </w:rPr>
      </w:pPr>
    </w:p>
    <w:p w:rsidR="009B4233" w:rsidRDefault="006B08B9">
      <w:pPr>
        <w:spacing w:after="68"/>
        <w:ind w:left="-15"/>
        <w:rPr>
          <w:rFonts w:ascii="Arial" w:hAnsi="Arial" w:cs="Arial"/>
          <w:sz w:val="22"/>
          <w:szCs w:val="22"/>
        </w:rPr>
      </w:pPr>
      <w:r>
        <w:rPr>
          <w:rFonts w:ascii="Arial" w:hAnsi="Arial" w:cs="Arial"/>
          <w:sz w:val="22"/>
          <w:szCs w:val="22"/>
        </w:rPr>
        <w:t>Con el fin de</w:t>
      </w:r>
      <w:r>
        <w:rPr>
          <w:rFonts w:ascii="Arial" w:hAnsi="Arial" w:cs="Arial"/>
          <w:sz w:val="22"/>
          <w:szCs w:val="22"/>
        </w:rPr>
        <w:t xml:space="preserve"> trasladar estos porcentajes a la configuración de la cuota, se propone su desagregación en dos componentes:</w:t>
      </w:r>
    </w:p>
    <w:p w:rsidR="009B4233" w:rsidRDefault="009B4233">
      <w:pPr>
        <w:spacing w:after="68"/>
        <w:ind w:left="-15"/>
        <w:rPr>
          <w:rFonts w:ascii="Arial" w:hAnsi="Arial" w:cs="Arial"/>
          <w:sz w:val="22"/>
          <w:szCs w:val="22"/>
        </w:rPr>
      </w:pPr>
    </w:p>
    <w:p w:rsidR="009B4233" w:rsidRDefault="009B4233">
      <w:pPr>
        <w:spacing w:after="68"/>
        <w:ind w:left="-15"/>
        <w:rPr>
          <w:rFonts w:ascii="Arial" w:hAnsi="Arial" w:cs="Arial"/>
          <w:sz w:val="22"/>
          <w:szCs w:val="22"/>
        </w:rPr>
      </w:pPr>
    </w:p>
    <w:tbl>
      <w:tblPr>
        <w:tblW w:w="8673" w:type="dxa"/>
        <w:tblInd w:w="-87" w:type="dxa"/>
        <w:tblCellMar>
          <w:left w:w="10" w:type="dxa"/>
          <w:right w:w="10" w:type="dxa"/>
        </w:tblCellMar>
        <w:tblLook w:val="0000" w:firstRow="0" w:lastRow="0" w:firstColumn="0" w:lastColumn="0" w:noHBand="0" w:noVBand="0"/>
      </w:tblPr>
      <w:tblGrid>
        <w:gridCol w:w="8673"/>
      </w:tblGrid>
      <w:tr w:rsidR="009B4233">
        <w:tblPrEx>
          <w:tblCellMar>
            <w:top w:w="0" w:type="dxa"/>
            <w:bottom w:w="0" w:type="dxa"/>
          </w:tblCellMar>
        </w:tblPrEx>
        <w:trPr>
          <w:trHeight w:val="303"/>
        </w:trPr>
        <w:tc>
          <w:tcPr>
            <w:tcW w:w="8673" w:type="dxa"/>
            <w:tcBorders>
              <w:top w:val="single" w:sz="4" w:space="0" w:color="000000"/>
              <w:left w:val="single" w:sz="4" w:space="0" w:color="000000"/>
              <w:bottom w:val="single" w:sz="4" w:space="0" w:color="000000"/>
              <w:right w:val="single" w:sz="4" w:space="0" w:color="000000"/>
            </w:tcBorders>
            <w:shd w:val="clear" w:color="auto" w:fill="auto"/>
            <w:tcMar>
              <w:top w:w="32" w:type="dxa"/>
              <w:left w:w="115" w:type="dxa"/>
              <w:bottom w:w="0" w:type="dxa"/>
              <w:right w:w="115" w:type="dxa"/>
            </w:tcMar>
          </w:tcPr>
          <w:p w:rsidR="009B4233" w:rsidRDefault="006B08B9">
            <w:pPr>
              <w:spacing w:line="249" w:lineRule="auto"/>
              <w:ind w:left="42"/>
              <w:jc w:val="center"/>
              <w:rPr>
                <w:rFonts w:ascii="Arial" w:hAnsi="Arial" w:cs="Arial"/>
                <w:sz w:val="22"/>
                <w:szCs w:val="22"/>
              </w:rPr>
            </w:pPr>
            <w:r>
              <w:rPr>
                <w:rFonts w:ascii="Arial" w:hAnsi="Arial" w:cs="Arial"/>
                <w:sz w:val="22"/>
                <w:szCs w:val="22"/>
              </w:rPr>
              <w:t>Cuota tributaria = Parte fija (63 %) + Parte variable (37 %)</w:t>
            </w:r>
          </w:p>
        </w:tc>
      </w:tr>
    </w:tbl>
    <w:p w:rsidR="009B4233" w:rsidRDefault="009B4233">
      <w:pPr>
        <w:spacing w:after="314"/>
        <w:ind w:left="-15"/>
        <w:jc w:val="both"/>
        <w:rPr>
          <w:rFonts w:ascii="Arial" w:hAnsi="Arial" w:cs="Arial"/>
          <w:sz w:val="22"/>
          <w:szCs w:val="22"/>
        </w:rPr>
      </w:pPr>
    </w:p>
    <w:p w:rsidR="009B4233" w:rsidRDefault="006B08B9">
      <w:pPr>
        <w:spacing w:after="314"/>
        <w:ind w:left="-15"/>
        <w:jc w:val="both"/>
        <w:rPr>
          <w:rFonts w:ascii="Arial" w:hAnsi="Arial" w:cs="Arial"/>
          <w:sz w:val="22"/>
          <w:szCs w:val="22"/>
        </w:rPr>
      </w:pPr>
      <w:r>
        <w:rPr>
          <w:rFonts w:ascii="Arial" w:hAnsi="Arial" w:cs="Arial"/>
          <w:sz w:val="22"/>
          <w:szCs w:val="22"/>
        </w:rPr>
        <w:t>La parte fija financiará los costes estructurales del servicio, que no dependen de</w:t>
      </w:r>
      <w:r>
        <w:rPr>
          <w:rFonts w:ascii="Arial" w:hAnsi="Arial" w:cs="Arial"/>
          <w:sz w:val="22"/>
          <w:szCs w:val="22"/>
        </w:rPr>
        <w:t xml:space="preserve"> la cantidad de residuos generados, mientras que la parte variable se determinará en función de la generación efectiva, dado que incide directamente en el coste de tratamiento. Esta aproximación permite una asignación más proporcional de los costes y al mi</w:t>
      </w:r>
      <w:r>
        <w:rPr>
          <w:rFonts w:ascii="Arial" w:hAnsi="Arial" w:cs="Arial"/>
          <w:sz w:val="22"/>
          <w:szCs w:val="22"/>
        </w:rPr>
        <w:t>smo tiempo incentiva conductas responsables, como la reducción de residuos o la mejora en la separación en origen.</w:t>
      </w:r>
    </w:p>
    <w:p w:rsidR="009B4233" w:rsidRDefault="006B08B9">
      <w:pPr>
        <w:ind w:left="-15"/>
        <w:jc w:val="both"/>
        <w:rPr>
          <w:rFonts w:ascii="Arial" w:hAnsi="Arial" w:cs="Arial"/>
          <w:sz w:val="22"/>
          <w:szCs w:val="22"/>
        </w:rPr>
      </w:pPr>
      <w:r>
        <w:rPr>
          <w:rFonts w:ascii="Arial" w:hAnsi="Arial" w:cs="Arial"/>
          <w:sz w:val="22"/>
          <w:szCs w:val="22"/>
        </w:rPr>
        <w:t>En esta línea, una gestión eficiente por parte del usuario puede reducir la carga fiscal derivada del componente variable, y además generar b</w:t>
      </w:r>
      <w:r>
        <w:rPr>
          <w:rFonts w:ascii="Arial" w:hAnsi="Arial" w:cs="Arial"/>
          <w:sz w:val="22"/>
          <w:szCs w:val="22"/>
        </w:rPr>
        <w:t>eneficios medioambientales y económicos, especialmente en lo relativo a la valorización de materiales reciclables.</w:t>
      </w:r>
    </w:p>
    <w:p w:rsidR="009B4233" w:rsidRDefault="006B08B9">
      <w:pPr>
        <w:spacing w:after="872"/>
        <w:ind w:left="-15"/>
        <w:jc w:val="both"/>
        <w:rPr>
          <w:rFonts w:ascii="Arial" w:hAnsi="Arial" w:cs="Arial"/>
          <w:sz w:val="22"/>
          <w:szCs w:val="22"/>
        </w:rPr>
      </w:pPr>
      <w:r>
        <w:rPr>
          <w:rFonts w:ascii="Arial" w:hAnsi="Arial" w:cs="Arial"/>
          <w:sz w:val="22"/>
          <w:szCs w:val="22"/>
        </w:rPr>
        <w:t>Por último, en el Anexo 1 del presente informe se detallan las nuevas cuotas tributarias aplicables por tipo de inmueble o actividad, así com</w:t>
      </w:r>
      <w:r>
        <w:rPr>
          <w:rFonts w:ascii="Arial" w:hAnsi="Arial" w:cs="Arial"/>
          <w:sz w:val="22"/>
          <w:szCs w:val="22"/>
        </w:rPr>
        <w:t>o la proporción asignada a su parte fija y variable, conforme a los criterios descritos.</w:t>
      </w:r>
    </w:p>
    <w:p w:rsidR="009B4233" w:rsidRDefault="006B08B9">
      <w:pPr>
        <w:spacing w:after="872"/>
        <w:ind w:left="-15"/>
        <w:jc w:val="both"/>
      </w:pPr>
      <w:r>
        <w:rPr>
          <w:rFonts w:ascii="Arial" w:eastAsia="Arial" w:hAnsi="Arial" w:cs="Arial"/>
          <w:b/>
          <w:sz w:val="22"/>
          <w:szCs w:val="22"/>
        </w:rPr>
        <w:t>BONIFICACIONES FISCALES: CRITERIOS Y JUSTIFICACIÓN</w:t>
      </w:r>
    </w:p>
    <w:p w:rsidR="009B4233" w:rsidRDefault="006B08B9">
      <w:pPr>
        <w:ind w:left="-15"/>
        <w:jc w:val="both"/>
        <w:rPr>
          <w:rFonts w:ascii="Arial" w:hAnsi="Arial" w:cs="Arial"/>
          <w:sz w:val="22"/>
          <w:szCs w:val="22"/>
        </w:rPr>
      </w:pPr>
      <w:r>
        <w:rPr>
          <w:rFonts w:ascii="Arial" w:hAnsi="Arial" w:cs="Arial"/>
          <w:sz w:val="22"/>
          <w:szCs w:val="22"/>
        </w:rPr>
        <w:t xml:space="preserve">La ordenanza contempla un conjunto de bonificaciones fiscales de carácter potestativo, cuyo objeto es fomentar la </w:t>
      </w:r>
      <w:r>
        <w:rPr>
          <w:rFonts w:ascii="Arial" w:hAnsi="Arial" w:cs="Arial"/>
          <w:sz w:val="22"/>
          <w:szCs w:val="22"/>
        </w:rPr>
        <w:t>equidad social y la corresponsabilidad ambiental. Todas ellas requerirán solicitud expresa por parte del sujeto pasivo, y estarán sujetas a comprobación documental y técnica.</w:t>
      </w:r>
    </w:p>
    <w:p w:rsidR="009B4233" w:rsidRDefault="006B08B9">
      <w:pPr>
        <w:widowControl/>
        <w:numPr>
          <w:ilvl w:val="1"/>
          <w:numId w:val="58"/>
        </w:numPr>
        <w:suppressAutoHyphens w:val="0"/>
        <w:spacing w:after="215" w:line="264" w:lineRule="auto"/>
        <w:ind w:hanging="503"/>
        <w:jc w:val="both"/>
        <w:textAlignment w:val="auto"/>
      </w:pPr>
      <w:r>
        <w:rPr>
          <w:rFonts w:ascii="Arial" w:eastAsia="Arial" w:hAnsi="Arial" w:cs="Arial"/>
          <w:b/>
          <w:sz w:val="22"/>
          <w:szCs w:val="22"/>
        </w:rPr>
        <w:t>Bonificaciones fiscales sociales</w:t>
      </w:r>
    </w:p>
    <w:p w:rsidR="009B4233" w:rsidRDefault="006B08B9">
      <w:pPr>
        <w:ind w:left="-15"/>
        <w:jc w:val="both"/>
        <w:rPr>
          <w:rFonts w:ascii="Arial" w:hAnsi="Arial" w:cs="Arial"/>
          <w:sz w:val="22"/>
          <w:szCs w:val="22"/>
        </w:rPr>
      </w:pPr>
      <w:r>
        <w:rPr>
          <w:rFonts w:ascii="Arial" w:hAnsi="Arial" w:cs="Arial"/>
          <w:sz w:val="22"/>
          <w:szCs w:val="22"/>
        </w:rPr>
        <w:t>En el ámbito social, se contemplan reducciones p</w:t>
      </w:r>
      <w:r>
        <w:rPr>
          <w:rFonts w:ascii="Arial" w:hAnsi="Arial" w:cs="Arial"/>
          <w:sz w:val="22"/>
          <w:szCs w:val="22"/>
        </w:rPr>
        <w:t>ara unidades familiares empadronadas en viviendas de uso habitual que acrediten situaciones de vulnerabilidad económica o social, tales como ingresos bajos, condición de familia numerosa, monoparentalidad o jubilación con pensiones mínimas. Esta bonificaci</w:t>
      </w:r>
      <w:r>
        <w:rPr>
          <w:rFonts w:ascii="Arial" w:hAnsi="Arial" w:cs="Arial"/>
          <w:sz w:val="22"/>
          <w:szCs w:val="22"/>
        </w:rPr>
        <w:t xml:space="preserve">ón será del 100% sobre la cuota fija de la cuota tributaria. </w:t>
      </w:r>
    </w:p>
    <w:p w:rsidR="009B4233" w:rsidRDefault="006B08B9">
      <w:pPr>
        <w:widowControl/>
        <w:numPr>
          <w:ilvl w:val="1"/>
          <w:numId w:val="58"/>
        </w:numPr>
        <w:suppressAutoHyphens w:val="0"/>
        <w:spacing w:after="227" w:line="264" w:lineRule="auto"/>
        <w:ind w:hanging="503"/>
        <w:textAlignment w:val="auto"/>
      </w:pPr>
      <w:r>
        <w:rPr>
          <w:rFonts w:ascii="Arial" w:eastAsia="Arial" w:hAnsi="Arial" w:cs="Arial"/>
          <w:b/>
          <w:sz w:val="22"/>
          <w:szCs w:val="22"/>
        </w:rPr>
        <w:t>Bonificaciones Fiscales Ambientales</w:t>
      </w:r>
    </w:p>
    <w:p w:rsidR="009B4233" w:rsidRDefault="006B08B9">
      <w:pPr>
        <w:ind w:left="-15"/>
        <w:rPr>
          <w:rFonts w:ascii="Arial" w:hAnsi="Arial" w:cs="Arial"/>
          <w:sz w:val="22"/>
          <w:szCs w:val="22"/>
        </w:rPr>
      </w:pPr>
      <w:r>
        <w:rPr>
          <w:rFonts w:ascii="Arial" w:hAnsi="Arial" w:cs="Arial"/>
          <w:sz w:val="22"/>
          <w:szCs w:val="22"/>
        </w:rPr>
        <w:t>Desde la perspectiva ambiental, se establece un régimen de incentivos económicos dirigido tanto a familias como a actividades económicas, con el objetivo de f</w:t>
      </w:r>
      <w:r>
        <w:rPr>
          <w:rFonts w:ascii="Arial" w:hAnsi="Arial" w:cs="Arial"/>
          <w:sz w:val="22"/>
          <w:szCs w:val="22"/>
        </w:rPr>
        <w:t>omentar la correcta gestión de los residuos y la participación activa en los sistemas de recogida separada.</w:t>
      </w:r>
    </w:p>
    <w:p w:rsidR="009B4233" w:rsidRDefault="006B08B9">
      <w:pPr>
        <w:spacing w:after="37"/>
        <w:ind w:left="-15"/>
        <w:rPr>
          <w:rFonts w:ascii="Arial" w:hAnsi="Arial" w:cs="Arial"/>
          <w:sz w:val="22"/>
          <w:szCs w:val="22"/>
        </w:rPr>
      </w:pPr>
      <w:r>
        <w:rPr>
          <w:rFonts w:ascii="Arial" w:hAnsi="Arial" w:cs="Arial"/>
          <w:sz w:val="22"/>
          <w:szCs w:val="22"/>
        </w:rPr>
        <w:t>En el caso de los residentes, se prevén las siguientes bonificaciones aplicables sobre la cuota variable del recibo:</w:t>
      </w:r>
    </w:p>
    <w:p w:rsidR="009B4233" w:rsidRDefault="006B08B9">
      <w:pPr>
        <w:widowControl/>
        <w:numPr>
          <w:ilvl w:val="0"/>
          <w:numId w:val="59"/>
        </w:numPr>
        <w:suppressAutoHyphens w:val="0"/>
        <w:spacing w:after="7" w:line="242" w:lineRule="auto"/>
        <w:ind w:right="-1" w:hanging="360"/>
        <w:jc w:val="both"/>
        <w:textAlignment w:val="auto"/>
      </w:pPr>
      <w:r>
        <w:rPr>
          <w:rFonts w:ascii="Arial" w:eastAsia="Calibri" w:hAnsi="Arial" w:cs="Arial"/>
          <w:sz w:val="22"/>
          <w:szCs w:val="22"/>
        </w:rPr>
        <w:t xml:space="preserve">Por participación activa en </w:t>
      </w:r>
      <w:r>
        <w:rPr>
          <w:rFonts w:ascii="Arial" w:eastAsia="Calibri" w:hAnsi="Arial" w:cs="Arial"/>
          <w:sz w:val="22"/>
          <w:szCs w:val="22"/>
        </w:rPr>
        <w:t xml:space="preserve">programas de compostaje. Se propone una bonificación del 25 % sobre la cuota variable. </w:t>
      </w:r>
    </w:p>
    <w:p w:rsidR="009B4233" w:rsidRDefault="006B08B9">
      <w:pPr>
        <w:widowControl/>
        <w:numPr>
          <w:ilvl w:val="0"/>
          <w:numId w:val="59"/>
        </w:numPr>
        <w:suppressAutoHyphens w:val="0"/>
        <w:spacing w:after="7" w:line="242" w:lineRule="auto"/>
        <w:ind w:right="-1" w:hanging="360"/>
        <w:jc w:val="both"/>
        <w:textAlignment w:val="auto"/>
      </w:pPr>
      <w:r>
        <w:rPr>
          <w:rFonts w:ascii="Arial" w:eastAsia="Calibri" w:hAnsi="Arial" w:cs="Arial"/>
          <w:sz w:val="22"/>
          <w:szCs w:val="22"/>
        </w:rPr>
        <w:t>Por participación activa en programas del quinto contenedor. Se propone una bonificación del 25 % sobre la cuota variable.</w:t>
      </w:r>
    </w:p>
    <w:p w:rsidR="009B4233" w:rsidRDefault="006B08B9">
      <w:pPr>
        <w:widowControl/>
        <w:numPr>
          <w:ilvl w:val="0"/>
          <w:numId w:val="59"/>
        </w:numPr>
        <w:suppressAutoHyphens w:val="0"/>
        <w:spacing w:after="396" w:line="242" w:lineRule="auto"/>
        <w:ind w:right="-1" w:hanging="360"/>
        <w:jc w:val="both"/>
        <w:textAlignment w:val="auto"/>
      </w:pPr>
      <w:r>
        <w:rPr>
          <w:rFonts w:ascii="Arial" w:eastAsia="Calibri" w:hAnsi="Arial" w:cs="Arial"/>
          <w:sz w:val="22"/>
          <w:szCs w:val="22"/>
        </w:rPr>
        <w:t>Uso del sistema de recogida de residuos volum</w:t>
      </w:r>
      <w:r>
        <w:rPr>
          <w:rFonts w:ascii="Arial" w:eastAsia="Calibri" w:hAnsi="Arial" w:cs="Arial"/>
          <w:sz w:val="22"/>
          <w:szCs w:val="22"/>
        </w:rPr>
        <w:t xml:space="preserve">inosos. Se propone una bonificación fija del 25% por el uso correcto del servicio, sin diferenciar por el número de veces en el que se haga uso. </w:t>
      </w:r>
    </w:p>
    <w:p w:rsidR="009B4233" w:rsidRDefault="006B08B9">
      <w:pPr>
        <w:spacing w:after="9"/>
        <w:ind w:left="-15"/>
      </w:pPr>
      <w:r>
        <w:rPr>
          <w:rFonts w:ascii="Arial" w:hAnsi="Arial" w:cs="Arial"/>
          <w:sz w:val="22"/>
          <w:szCs w:val="22"/>
        </w:rPr>
        <w:t xml:space="preserve">A continuación, se mostrarán las cuotas tributarias actualizadas con </w:t>
      </w:r>
      <w:r>
        <w:rPr>
          <w:rFonts w:ascii="Arial" w:eastAsia="Arial" w:hAnsi="Arial" w:cs="Arial"/>
          <w:b/>
          <w:sz w:val="22"/>
          <w:szCs w:val="22"/>
          <w:u w:val="single" w:color="000000"/>
        </w:rPr>
        <w:t>periodicidad</w:t>
      </w:r>
      <w:r>
        <w:rPr>
          <w:rFonts w:ascii="Arial" w:eastAsia="Arial" w:hAnsi="Arial" w:cs="Arial"/>
          <w:b/>
          <w:sz w:val="22"/>
          <w:szCs w:val="22"/>
        </w:rPr>
        <w:t xml:space="preserve"> </w:t>
      </w:r>
      <w:r>
        <w:rPr>
          <w:rFonts w:ascii="Arial" w:eastAsia="Arial" w:hAnsi="Arial" w:cs="Arial"/>
          <w:b/>
          <w:sz w:val="22"/>
          <w:szCs w:val="22"/>
          <w:u w:val="single" w:color="000000"/>
        </w:rPr>
        <w:t>anual:</w:t>
      </w:r>
    </w:p>
    <w:p w:rsidR="009B4233" w:rsidRDefault="009B4233">
      <w:pPr>
        <w:spacing w:after="9"/>
        <w:ind w:left="-15"/>
        <w:rPr>
          <w:rFonts w:ascii="Arial" w:hAnsi="Arial" w:cs="Arial"/>
          <w:sz w:val="22"/>
          <w:szCs w:val="22"/>
        </w:rPr>
      </w:pPr>
    </w:p>
    <w:p w:rsidR="009B4233" w:rsidRDefault="009B4233">
      <w:pPr>
        <w:spacing w:after="9"/>
        <w:ind w:left="-15"/>
        <w:rPr>
          <w:rFonts w:ascii="Arial" w:hAnsi="Arial" w:cs="Arial"/>
          <w:sz w:val="22"/>
          <w:szCs w:val="22"/>
        </w:rPr>
      </w:pPr>
    </w:p>
    <w:p w:rsidR="009B4233" w:rsidRDefault="009B4233">
      <w:pPr>
        <w:spacing w:after="9"/>
        <w:ind w:left="-15"/>
        <w:rPr>
          <w:rFonts w:ascii="Arial" w:hAnsi="Arial" w:cs="Arial"/>
          <w:sz w:val="22"/>
          <w:szCs w:val="22"/>
        </w:rPr>
      </w:pPr>
    </w:p>
    <w:p w:rsidR="009B4233" w:rsidRDefault="009B4233">
      <w:pPr>
        <w:spacing w:after="9"/>
        <w:ind w:left="-15"/>
        <w:rPr>
          <w:rFonts w:ascii="Arial" w:hAnsi="Arial" w:cs="Arial"/>
          <w:sz w:val="22"/>
          <w:szCs w:val="22"/>
        </w:rPr>
      </w:pPr>
    </w:p>
    <w:tbl>
      <w:tblPr>
        <w:tblW w:w="8444" w:type="dxa"/>
        <w:tblInd w:w="-78" w:type="dxa"/>
        <w:tblCellMar>
          <w:left w:w="10" w:type="dxa"/>
          <w:right w:w="10" w:type="dxa"/>
        </w:tblCellMar>
        <w:tblLook w:val="0000" w:firstRow="0" w:lastRow="0" w:firstColumn="0" w:lastColumn="0" w:noHBand="0" w:noVBand="0"/>
      </w:tblPr>
      <w:tblGrid>
        <w:gridCol w:w="986"/>
        <w:gridCol w:w="3688"/>
        <w:gridCol w:w="1350"/>
        <w:gridCol w:w="1560"/>
        <w:gridCol w:w="860"/>
      </w:tblGrid>
      <w:tr w:rsidR="009B4233">
        <w:tblPrEx>
          <w:tblCellMar>
            <w:top w:w="0" w:type="dxa"/>
            <w:bottom w:w="0" w:type="dxa"/>
          </w:tblCellMar>
        </w:tblPrEx>
        <w:trPr>
          <w:trHeight w:val="849"/>
        </w:trPr>
        <w:tc>
          <w:tcPr>
            <w:tcW w:w="986" w:type="dxa"/>
            <w:tcBorders>
              <w:top w:val="single" w:sz="4" w:space="0" w:color="000000"/>
              <w:left w:val="single" w:sz="4" w:space="0" w:color="000000"/>
              <w:bottom w:val="single" w:sz="4" w:space="0" w:color="000000"/>
              <w:right w:val="single" w:sz="4" w:space="0" w:color="000000"/>
            </w:tcBorders>
            <w:shd w:val="clear" w:color="auto" w:fill="E2EFD9"/>
            <w:tcMar>
              <w:top w:w="10" w:type="dxa"/>
              <w:left w:w="72" w:type="dxa"/>
              <w:bottom w:w="0" w:type="dxa"/>
              <w:right w:w="22" w:type="dxa"/>
            </w:tcMar>
            <w:vAlign w:val="center"/>
          </w:tcPr>
          <w:p w:rsidR="009B4233" w:rsidRDefault="006B08B9">
            <w:pPr>
              <w:spacing w:line="249" w:lineRule="auto"/>
              <w:jc w:val="center"/>
            </w:pPr>
            <w:r>
              <w:rPr>
                <w:rFonts w:ascii="Arial" w:eastAsia="Arial" w:hAnsi="Arial" w:cs="Arial"/>
                <w:b/>
                <w:sz w:val="22"/>
                <w:szCs w:val="22"/>
              </w:rPr>
              <w:t>Epígrafe N°</w:t>
            </w:r>
          </w:p>
        </w:tc>
        <w:tc>
          <w:tcPr>
            <w:tcW w:w="3688" w:type="dxa"/>
            <w:tcBorders>
              <w:top w:val="single" w:sz="4" w:space="0" w:color="000000"/>
              <w:left w:val="single" w:sz="4" w:space="0" w:color="000000"/>
              <w:bottom w:val="single" w:sz="4" w:space="0" w:color="000000"/>
              <w:right w:val="single" w:sz="4" w:space="0" w:color="000000"/>
            </w:tcBorders>
            <w:shd w:val="clear" w:color="auto" w:fill="E2EFD9"/>
            <w:tcMar>
              <w:top w:w="10" w:type="dxa"/>
              <w:left w:w="72" w:type="dxa"/>
              <w:bottom w:w="0" w:type="dxa"/>
              <w:right w:w="22" w:type="dxa"/>
            </w:tcMar>
            <w:vAlign w:val="center"/>
          </w:tcPr>
          <w:p w:rsidR="009B4233" w:rsidRDefault="006B08B9">
            <w:pPr>
              <w:spacing w:line="249" w:lineRule="auto"/>
              <w:ind w:right="48"/>
              <w:jc w:val="center"/>
            </w:pPr>
            <w:r>
              <w:rPr>
                <w:rFonts w:ascii="Arial" w:eastAsia="Arial" w:hAnsi="Arial" w:cs="Arial"/>
                <w:b/>
                <w:sz w:val="22"/>
                <w:szCs w:val="22"/>
              </w:rPr>
              <w:t>Activ</w:t>
            </w:r>
            <w:r>
              <w:rPr>
                <w:rFonts w:ascii="Arial" w:eastAsia="Arial" w:hAnsi="Arial" w:cs="Arial"/>
                <w:b/>
                <w:sz w:val="22"/>
                <w:szCs w:val="22"/>
              </w:rPr>
              <w:t>idad</w:t>
            </w:r>
          </w:p>
        </w:tc>
        <w:tc>
          <w:tcPr>
            <w:tcW w:w="1350" w:type="dxa"/>
            <w:tcBorders>
              <w:top w:val="single" w:sz="4" w:space="0" w:color="000000"/>
              <w:left w:val="single" w:sz="4" w:space="0" w:color="000000"/>
              <w:bottom w:val="single" w:sz="4" w:space="0" w:color="000000"/>
              <w:right w:val="single" w:sz="4" w:space="0" w:color="000000"/>
            </w:tcBorders>
            <w:shd w:val="clear" w:color="auto" w:fill="E2EFD9"/>
            <w:tcMar>
              <w:top w:w="10" w:type="dxa"/>
              <w:left w:w="72" w:type="dxa"/>
              <w:bottom w:w="0" w:type="dxa"/>
              <w:right w:w="22" w:type="dxa"/>
            </w:tcMar>
            <w:vAlign w:val="center"/>
          </w:tcPr>
          <w:p w:rsidR="009B4233" w:rsidRDefault="006B08B9">
            <w:pPr>
              <w:spacing w:line="249" w:lineRule="auto"/>
              <w:ind w:left="5" w:right="1"/>
              <w:jc w:val="center"/>
            </w:pPr>
            <w:r>
              <w:rPr>
                <w:rFonts w:ascii="Arial" w:eastAsia="Arial" w:hAnsi="Arial" w:cs="Arial"/>
                <w:b/>
                <w:sz w:val="22"/>
                <w:szCs w:val="22"/>
              </w:rPr>
              <w:t>Sup. menor de 50 m²</w:t>
            </w:r>
          </w:p>
        </w:tc>
        <w:tc>
          <w:tcPr>
            <w:tcW w:w="1560" w:type="dxa"/>
            <w:tcBorders>
              <w:top w:val="single" w:sz="4" w:space="0" w:color="000000"/>
              <w:left w:val="single" w:sz="4" w:space="0" w:color="000000"/>
              <w:bottom w:val="single" w:sz="4" w:space="0" w:color="000000"/>
              <w:right w:val="single" w:sz="4" w:space="0" w:color="000000"/>
            </w:tcBorders>
            <w:shd w:val="clear" w:color="auto" w:fill="E2EFD9"/>
            <w:tcMar>
              <w:top w:w="10" w:type="dxa"/>
              <w:left w:w="72" w:type="dxa"/>
              <w:bottom w:w="0" w:type="dxa"/>
              <w:right w:w="22" w:type="dxa"/>
            </w:tcMar>
            <w:vAlign w:val="center"/>
          </w:tcPr>
          <w:p w:rsidR="009B4233" w:rsidRDefault="006B08B9">
            <w:pPr>
              <w:spacing w:line="249" w:lineRule="auto"/>
              <w:jc w:val="center"/>
            </w:pPr>
            <w:r>
              <w:rPr>
                <w:rFonts w:ascii="Arial" w:eastAsia="Arial" w:hAnsi="Arial" w:cs="Arial"/>
                <w:b/>
                <w:sz w:val="22"/>
                <w:szCs w:val="22"/>
              </w:rPr>
              <w:t>Sup. entre 50 y 100 m²</w:t>
            </w:r>
          </w:p>
        </w:tc>
        <w:tc>
          <w:tcPr>
            <w:tcW w:w="860" w:type="dxa"/>
            <w:tcBorders>
              <w:top w:val="single" w:sz="4" w:space="0" w:color="000000"/>
              <w:left w:val="single" w:sz="4" w:space="0" w:color="000000"/>
              <w:bottom w:val="single" w:sz="4" w:space="0" w:color="000000"/>
              <w:right w:val="single" w:sz="4" w:space="0" w:color="000000"/>
            </w:tcBorders>
            <w:shd w:val="clear" w:color="auto" w:fill="E2EFD9"/>
            <w:tcMar>
              <w:top w:w="10" w:type="dxa"/>
              <w:left w:w="72" w:type="dxa"/>
              <w:bottom w:w="0" w:type="dxa"/>
              <w:right w:w="22" w:type="dxa"/>
            </w:tcMar>
          </w:tcPr>
          <w:p w:rsidR="009B4233" w:rsidRDefault="006B08B9">
            <w:pPr>
              <w:jc w:val="center"/>
            </w:pPr>
            <w:r>
              <w:rPr>
                <w:rFonts w:ascii="Arial" w:eastAsia="Arial" w:hAnsi="Arial" w:cs="Arial"/>
                <w:b/>
                <w:sz w:val="22"/>
                <w:szCs w:val="22"/>
              </w:rPr>
              <w:t xml:space="preserve">Cada m² a partir </w:t>
            </w:r>
          </w:p>
          <w:p w:rsidR="009B4233" w:rsidRDefault="006B08B9">
            <w:pPr>
              <w:spacing w:line="249" w:lineRule="auto"/>
              <w:jc w:val="center"/>
            </w:pPr>
            <w:r>
              <w:rPr>
                <w:rFonts w:ascii="Arial" w:eastAsia="Arial" w:hAnsi="Arial" w:cs="Arial"/>
                <w:b/>
                <w:sz w:val="22"/>
                <w:szCs w:val="22"/>
              </w:rPr>
              <w:t>de 100 m²</w:t>
            </w:r>
          </w:p>
        </w:tc>
      </w:tr>
      <w:tr w:rsidR="009B4233">
        <w:tblPrEx>
          <w:tblCellMar>
            <w:top w:w="0" w:type="dxa"/>
            <w:bottom w:w="0" w:type="dxa"/>
          </w:tblCellMar>
        </w:tblPrEx>
        <w:trPr>
          <w:trHeight w:val="472"/>
        </w:trPr>
        <w:tc>
          <w:tcPr>
            <w:tcW w:w="986"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22" w:type="dxa"/>
            </w:tcMar>
            <w:vAlign w:val="center"/>
          </w:tcPr>
          <w:p w:rsidR="009B4233" w:rsidRDefault="006B08B9">
            <w:pPr>
              <w:spacing w:line="249" w:lineRule="auto"/>
              <w:ind w:right="44"/>
              <w:jc w:val="center"/>
              <w:rPr>
                <w:rFonts w:ascii="Arial" w:hAnsi="Arial" w:cs="Arial"/>
                <w:sz w:val="22"/>
                <w:szCs w:val="22"/>
              </w:rPr>
            </w:pPr>
            <w:r>
              <w:rPr>
                <w:rFonts w:ascii="Arial" w:hAnsi="Arial" w:cs="Arial"/>
                <w:sz w:val="22"/>
                <w:szCs w:val="22"/>
              </w:rPr>
              <w:t>0</w:t>
            </w:r>
          </w:p>
        </w:tc>
        <w:tc>
          <w:tcPr>
            <w:tcW w:w="3688"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22" w:type="dxa"/>
            </w:tcMar>
            <w:vAlign w:val="center"/>
          </w:tcPr>
          <w:p w:rsidR="009B4233" w:rsidRDefault="006B08B9">
            <w:pPr>
              <w:spacing w:line="249" w:lineRule="auto"/>
              <w:rPr>
                <w:rFonts w:ascii="Arial" w:hAnsi="Arial" w:cs="Arial"/>
                <w:sz w:val="22"/>
                <w:szCs w:val="22"/>
              </w:rPr>
            </w:pPr>
            <w:r>
              <w:rPr>
                <w:rFonts w:ascii="Arial" w:hAnsi="Arial" w:cs="Arial"/>
                <w:sz w:val="22"/>
                <w:szCs w:val="22"/>
              </w:rPr>
              <w:t>Viviendas con uso residencial</w:t>
            </w:r>
          </w:p>
        </w:tc>
        <w:tc>
          <w:tcPr>
            <w:tcW w:w="1350" w:type="dxa"/>
            <w:tcBorders>
              <w:top w:val="single" w:sz="4" w:space="0" w:color="000000"/>
              <w:left w:val="single" w:sz="4" w:space="0" w:color="000000"/>
              <w:bottom w:val="single" w:sz="4" w:space="0" w:color="000000"/>
            </w:tcBorders>
            <w:shd w:val="clear" w:color="auto" w:fill="auto"/>
            <w:tcMar>
              <w:top w:w="10" w:type="dxa"/>
              <w:left w:w="72" w:type="dxa"/>
              <w:bottom w:w="0" w:type="dxa"/>
              <w:right w:w="22" w:type="dxa"/>
            </w:tcMar>
            <w:vAlign w:val="center"/>
          </w:tcPr>
          <w:p w:rsidR="009B4233" w:rsidRDefault="006B08B9">
            <w:pPr>
              <w:spacing w:line="249" w:lineRule="auto"/>
              <w:rPr>
                <w:rFonts w:ascii="Arial" w:hAnsi="Arial" w:cs="Arial"/>
                <w:sz w:val="22"/>
                <w:szCs w:val="22"/>
              </w:rPr>
            </w:pPr>
            <w:r>
              <w:rPr>
                <w:rFonts w:ascii="Arial" w:hAnsi="Arial" w:cs="Arial"/>
                <w:sz w:val="22"/>
                <w:szCs w:val="22"/>
              </w:rPr>
              <w:t>Cuota fija anual</w:t>
            </w:r>
          </w:p>
        </w:tc>
        <w:tc>
          <w:tcPr>
            <w:tcW w:w="1560" w:type="dxa"/>
            <w:tcBorders>
              <w:top w:val="single" w:sz="4" w:space="0" w:color="000000"/>
              <w:bottom w:val="single" w:sz="4" w:space="0" w:color="000000"/>
              <w:right w:val="single" w:sz="4" w:space="0" w:color="000000"/>
            </w:tcBorders>
            <w:shd w:val="clear" w:color="auto" w:fill="auto"/>
            <w:tcMar>
              <w:top w:w="10" w:type="dxa"/>
              <w:left w:w="72" w:type="dxa"/>
              <w:bottom w:w="0" w:type="dxa"/>
              <w:right w:w="22" w:type="dxa"/>
            </w:tcMar>
          </w:tcPr>
          <w:p w:rsidR="009B4233" w:rsidRDefault="009B4233">
            <w:pPr>
              <w:spacing w:after="160" w:line="249" w:lineRule="auto"/>
              <w:rPr>
                <w:rFonts w:ascii="Arial" w:hAnsi="Arial" w:cs="Arial"/>
                <w:sz w:val="22"/>
                <w:szCs w:val="22"/>
              </w:rPr>
            </w:pPr>
          </w:p>
        </w:tc>
        <w:tc>
          <w:tcPr>
            <w:tcW w:w="860"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22" w:type="dxa"/>
            </w:tcMar>
          </w:tcPr>
          <w:p w:rsidR="009B4233" w:rsidRDefault="006B08B9">
            <w:pPr>
              <w:spacing w:line="249" w:lineRule="auto"/>
              <w:ind w:left="6"/>
              <w:jc w:val="center"/>
              <w:rPr>
                <w:rFonts w:ascii="Arial" w:hAnsi="Arial" w:cs="Arial"/>
                <w:sz w:val="22"/>
                <w:szCs w:val="22"/>
              </w:rPr>
            </w:pPr>
            <w:r>
              <w:rPr>
                <w:rFonts w:ascii="Arial" w:hAnsi="Arial" w:cs="Arial"/>
                <w:sz w:val="22"/>
                <w:szCs w:val="22"/>
              </w:rPr>
              <w:t xml:space="preserve">  </w:t>
            </w:r>
          </w:p>
          <w:p w:rsidR="009B4233" w:rsidRDefault="006B08B9">
            <w:pPr>
              <w:spacing w:line="249" w:lineRule="auto"/>
              <w:ind w:left="10"/>
              <w:rPr>
                <w:rFonts w:ascii="Arial" w:hAnsi="Arial" w:cs="Arial"/>
                <w:sz w:val="22"/>
                <w:szCs w:val="22"/>
              </w:rPr>
            </w:pPr>
            <w:r>
              <w:rPr>
                <w:rFonts w:ascii="Arial" w:hAnsi="Arial" w:cs="Arial"/>
                <w:sz w:val="22"/>
                <w:szCs w:val="22"/>
              </w:rPr>
              <w:t xml:space="preserve">122,81 € </w:t>
            </w:r>
          </w:p>
        </w:tc>
      </w:tr>
      <w:tr w:rsidR="009B4233">
        <w:tblPrEx>
          <w:tblCellMar>
            <w:top w:w="0" w:type="dxa"/>
            <w:bottom w:w="0" w:type="dxa"/>
          </w:tblCellMar>
        </w:tblPrEx>
        <w:trPr>
          <w:trHeight w:val="424"/>
        </w:trPr>
        <w:tc>
          <w:tcPr>
            <w:tcW w:w="986"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22" w:type="dxa"/>
            </w:tcMar>
            <w:vAlign w:val="center"/>
          </w:tcPr>
          <w:p w:rsidR="009B4233" w:rsidRDefault="006B08B9">
            <w:pPr>
              <w:spacing w:line="249" w:lineRule="auto"/>
              <w:ind w:right="44"/>
              <w:jc w:val="center"/>
              <w:rPr>
                <w:rFonts w:ascii="Arial" w:hAnsi="Arial" w:cs="Arial"/>
                <w:sz w:val="22"/>
                <w:szCs w:val="22"/>
              </w:rPr>
            </w:pPr>
            <w:r>
              <w:rPr>
                <w:rFonts w:ascii="Arial" w:hAnsi="Arial" w:cs="Arial"/>
                <w:sz w:val="22"/>
                <w:szCs w:val="22"/>
              </w:rPr>
              <w:t>1</w:t>
            </w:r>
          </w:p>
        </w:tc>
        <w:tc>
          <w:tcPr>
            <w:tcW w:w="3688"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22" w:type="dxa"/>
            </w:tcMar>
          </w:tcPr>
          <w:p w:rsidR="009B4233" w:rsidRDefault="006B08B9">
            <w:pPr>
              <w:spacing w:line="249" w:lineRule="auto"/>
              <w:rPr>
                <w:rFonts w:ascii="Arial" w:hAnsi="Arial" w:cs="Arial"/>
                <w:sz w:val="22"/>
                <w:szCs w:val="22"/>
              </w:rPr>
            </w:pPr>
            <w:r>
              <w:rPr>
                <w:rFonts w:ascii="Arial" w:hAnsi="Arial" w:cs="Arial"/>
                <w:sz w:val="22"/>
                <w:szCs w:val="22"/>
              </w:rPr>
              <w:t>Actividades ind., fabriles, mineras y extractivas</w:t>
            </w:r>
          </w:p>
        </w:tc>
        <w:tc>
          <w:tcPr>
            <w:tcW w:w="1350"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22" w:type="dxa"/>
            </w:tcMar>
            <w:vAlign w:val="center"/>
          </w:tcPr>
          <w:p w:rsidR="009B4233" w:rsidRDefault="006B08B9">
            <w:pPr>
              <w:spacing w:line="249" w:lineRule="auto"/>
              <w:rPr>
                <w:rFonts w:ascii="Arial" w:hAnsi="Arial" w:cs="Arial"/>
                <w:sz w:val="22"/>
                <w:szCs w:val="22"/>
              </w:rPr>
            </w:pPr>
            <w:r>
              <w:rPr>
                <w:rFonts w:ascii="Arial" w:hAnsi="Arial" w:cs="Arial"/>
                <w:sz w:val="22"/>
                <w:szCs w:val="22"/>
              </w:rPr>
              <w:t xml:space="preserve">    236,84 € </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22" w:type="dxa"/>
            </w:tcMar>
          </w:tcPr>
          <w:p w:rsidR="009B4233" w:rsidRDefault="006B08B9">
            <w:pPr>
              <w:spacing w:line="249" w:lineRule="auto"/>
              <w:rPr>
                <w:rFonts w:ascii="Arial" w:hAnsi="Arial" w:cs="Arial"/>
                <w:sz w:val="22"/>
                <w:szCs w:val="22"/>
              </w:rPr>
            </w:pPr>
            <w:r>
              <w:rPr>
                <w:rFonts w:ascii="Arial" w:hAnsi="Arial" w:cs="Arial"/>
                <w:sz w:val="22"/>
                <w:szCs w:val="22"/>
              </w:rPr>
              <w:t xml:space="preserve">426,53 € </w:t>
            </w:r>
          </w:p>
        </w:tc>
        <w:tc>
          <w:tcPr>
            <w:tcW w:w="860"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22" w:type="dxa"/>
            </w:tcMar>
          </w:tcPr>
          <w:p w:rsidR="009B4233" w:rsidRDefault="006B08B9">
            <w:pPr>
              <w:spacing w:line="249" w:lineRule="auto"/>
              <w:ind w:right="46"/>
              <w:jc w:val="center"/>
              <w:rPr>
                <w:rFonts w:ascii="Arial" w:hAnsi="Arial" w:cs="Arial"/>
                <w:sz w:val="22"/>
                <w:szCs w:val="22"/>
              </w:rPr>
            </w:pPr>
            <w:r>
              <w:rPr>
                <w:rFonts w:ascii="Arial" w:hAnsi="Arial" w:cs="Arial"/>
                <w:sz w:val="22"/>
                <w:szCs w:val="22"/>
              </w:rPr>
              <w:t xml:space="preserve">5,16 € </w:t>
            </w:r>
          </w:p>
        </w:tc>
      </w:tr>
      <w:tr w:rsidR="009B4233">
        <w:tblPrEx>
          <w:tblCellMar>
            <w:top w:w="0" w:type="dxa"/>
            <w:bottom w:w="0" w:type="dxa"/>
          </w:tblCellMar>
        </w:tblPrEx>
        <w:trPr>
          <w:trHeight w:val="630"/>
        </w:trPr>
        <w:tc>
          <w:tcPr>
            <w:tcW w:w="986"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22" w:type="dxa"/>
            </w:tcMar>
            <w:vAlign w:val="center"/>
          </w:tcPr>
          <w:p w:rsidR="009B4233" w:rsidRDefault="006B08B9">
            <w:pPr>
              <w:spacing w:line="249" w:lineRule="auto"/>
              <w:ind w:right="44"/>
              <w:jc w:val="center"/>
              <w:rPr>
                <w:rFonts w:ascii="Arial" w:hAnsi="Arial" w:cs="Arial"/>
                <w:sz w:val="22"/>
                <w:szCs w:val="22"/>
              </w:rPr>
            </w:pPr>
            <w:r>
              <w:rPr>
                <w:rFonts w:ascii="Arial" w:hAnsi="Arial" w:cs="Arial"/>
                <w:sz w:val="22"/>
                <w:szCs w:val="22"/>
              </w:rPr>
              <w:t>2</w:t>
            </w:r>
          </w:p>
        </w:tc>
        <w:tc>
          <w:tcPr>
            <w:tcW w:w="3688"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22" w:type="dxa"/>
            </w:tcMar>
          </w:tcPr>
          <w:p w:rsidR="009B4233" w:rsidRDefault="006B08B9">
            <w:pPr>
              <w:spacing w:line="249" w:lineRule="auto"/>
              <w:rPr>
                <w:rFonts w:ascii="Arial" w:hAnsi="Arial" w:cs="Arial"/>
                <w:sz w:val="22"/>
                <w:szCs w:val="22"/>
              </w:rPr>
            </w:pPr>
            <w:r>
              <w:rPr>
                <w:rFonts w:ascii="Arial" w:hAnsi="Arial" w:cs="Arial"/>
                <w:sz w:val="22"/>
                <w:szCs w:val="22"/>
              </w:rPr>
              <w:t xml:space="preserve">Comercio al por mayor e </w:t>
            </w:r>
            <w:r>
              <w:rPr>
                <w:rFonts w:ascii="Arial" w:hAnsi="Arial" w:cs="Arial"/>
                <w:sz w:val="22"/>
                <w:szCs w:val="22"/>
              </w:rPr>
              <w:t>intermediarios del comercio Comercio menor productos no alimenticios</w:t>
            </w:r>
          </w:p>
        </w:tc>
        <w:tc>
          <w:tcPr>
            <w:tcW w:w="1350"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22" w:type="dxa"/>
            </w:tcMar>
          </w:tcPr>
          <w:p w:rsidR="009B4233" w:rsidRDefault="006B08B9">
            <w:pPr>
              <w:spacing w:line="249" w:lineRule="auto"/>
              <w:rPr>
                <w:rFonts w:ascii="Arial" w:hAnsi="Arial" w:cs="Arial"/>
                <w:sz w:val="22"/>
                <w:szCs w:val="22"/>
              </w:rPr>
            </w:pPr>
            <w:r>
              <w:rPr>
                <w:rFonts w:ascii="Arial" w:hAnsi="Arial" w:cs="Arial"/>
                <w:sz w:val="22"/>
                <w:szCs w:val="22"/>
              </w:rPr>
              <w:t xml:space="preserve"> 190,51 € </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22" w:type="dxa"/>
            </w:tcMar>
          </w:tcPr>
          <w:p w:rsidR="009B4233" w:rsidRDefault="006B08B9">
            <w:pPr>
              <w:spacing w:line="249" w:lineRule="auto"/>
              <w:rPr>
                <w:rFonts w:ascii="Arial" w:hAnsi="Arial" w:cs="Arial"/>
                <w:sz w:val="22"/>
                <w:szCs w:val="22"/>
              </w:rPr>
            </w:pPr>
            <w:r>
              <w:rPr>
                <w:rFonts w:ascii="Arial" w:hAnsi="Arial" w:cs="Arial"/>
                <w:sz w:val="22"/>
                <w:szCs w:val="22"/>
              </w:rPr>
              <w:t xml:space="preserve"> 338,50 € </w:t>
            </w:r>
          </w:p>
        </w:tc>
        <w:tc>
          <w:tcPr>
            <w:tcW w:w="860"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22" w:type="dxa"/>
            </w:tcMar>
          </w:tcPr>
          <w:p w:rsidR="009B4233" w:rsidRDefault="006B08B9">
            <w:pPr>
              <w:spacing w:line="249" w:lineRule="auto"/>
              <w:rPr>
                <w:rFonts w:ascii="Arial" w:hAnsi="Arial" w:cs="Arial"/>
                <w:sz w:val="22"/>
                <w:szCs w:val="22"/>
              </w:rPr>
            </w:pPr>
            <w:r>
              <w:rPr>
                <w:rFonts w:ascii="Arial" w:hAnsi="Arial" w:cs="Arial"/>
                <w:sz w:val="22"/>
                <w:szCs w:val="22"/>
              </w:rPr>
              <w:t xml:space="preserve"> 3,82 € </w:t>
            </w:r>
          </w:p>
        </w:tc>
      </w:tr>
      <w:tr w:rsidR="009B4233">
        <w:tblPrEx>
          <w:tblCellMar>
            <w:top w:w="0" w:type="dxa"/>
            <w:bottom w:w="0" w:type="dxa"/>
          </w:tblCellMar>
        </w:tblPrEx>
        <w:trPr>
          <w:trHeight w:val="632"/>
        </w:trPr>
        <w:tc>
          <w:tcPr>
            <w:tcW w:w="986"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22" w:type="dxa"/>
            </w:tcMar>
            <w:vAlign w:val="center"/>
          </w:tcPr>
          <w:p w:rsidR="009B4233" w:rsidRDefault="006B08B9">
            <w:pPr>
              <w:spacing w:line="249" w:lineRule="auto"/>
              <w:ind w:left="9"/>
              <w:jc w:val="center"/>
              <w:rPr>
                <w:rFonts w:ascii="Arial" w:hAnsi="Arial" w:cs="Arial"/>
                <w:sz w:val="22"/>
                <w:szCs w:val="22"/>
              </w:rPr>
            </w:pPr>
            <w:r>
              <w:rPr>
                <w:rFonts w:ascii="Arial" w:hAnsi="Arial" w:cs="Arial"/>
                <w:sz w:val="22"/>
                <w:szCs w:val="22"/>
              </w:rPr>
              <w:t>3</w:t>
            </w:r>
          </w:p>
        </w:tc>
        <w:tc>
          <w:tcPr>
            <w:tcW w:w="3688"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22" w:type="dxa"/>
            </w:tcMar>
          </w:tcPr>
          <w:p w:rsidR="009B4233" w:rsidRDefault="006B08B9">
            <w:pPr>
              <w:spacing w:line="249" w:lineRule="auto"/>
              <w:rPr>
                <w:rFonts w:ascii="Arial" w:hAnsi="Arial" w:cs="Arial"/>
                <w:sz w:val="22"/>
                <w:szCs w:val="22"/>
              </w:rPr>
            </w:pPr>
            <w:r>
              <w:rPr>
                <w:rFonts w:ascii="Arial" w:hAnsi="Arial" w:cs="Arial"/>
                <w:sz w:val="22"/>
                <w:szCs w:val="22"/>
              </w:rPr>
              <w:t>Comercio al menor productos alimenticios, bebidas y tabaco excepto los prestados en reg. de autoservicio</w:t>
            </w:r>
          </w:p>
        </w:tc>
        <w:tc>
          <w:tcPr>
            <w:tcW w:w="1350"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22" w:type="dxa"/>
            </w:tcMar>
          </w:tcPr>
          <w:p w:rsidR="009B4233" w:rsidRDefault="006B08B9">
            <w:pPr>
              <w:spacing w:line="249" w:lineRule="auto"/>
              <w:rPr>
                <w:rFonts w:ascii="Arial" w:hAnsi="Arial" w:cs="Arial"/>
                <w:sz w:val="22"/>
                <w:szCs w:val="22"/>
              </w:rPr>
            </w:pPr>
            <w:r>
              <w:rPr>
                <w:rFonts w:ascii="Arial" w:hAnsi="Arial" w:cs="Arial"/>
                <w:sz w:val="22"/>
                <w:szCs w:val="22"/>
              </w:rPr>
              <w:t xml:space="preserve"> 203,10 € </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22" w:type="dxa"/>
            </w:tcMar>
          </w:tcPr>
          <w:p w:rsidR="009B4233" w:rsidRDefault="006B08B9">
            <w:pPr>
              <w:spacing w:line="249" w:lineRule="auto"/>
              <w:rPr>
                <w:rFonts w:ascii="Arial" w:hAnsi="Arial" w:cs="Arial"/>
                <w:sz w:val="22"/>
                <w:szCs w:val="22"/>
              </w:rPr>
            </w:pPr>
            <w:r>
              <w:rPr>
                <w:rFonts w:ascii="Arial" w:hAnsi="Arial" w:cs="Arial"/>
                <w:sz w:val="22"/>
                <w:szCs w:val="22"/>
              </w:rPr>
              <w:t xml:space="preserve"> 365,53 € </w:t>
            </w:r>
          </w:p>
        </w:tc>
        <w:tc>
          <w:tcPr>
            <w:tcW w:w="860"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22" w:type="dxa"/>
            </w:tcMar>
          </w:tcPr>
          <w:p w:rsidR="009B4233" w:rsidRDefault="006B08B9">
            <w:pPr>
              <w:spacing w:line="249" w:lineRule="auto"/>
              <w:rPr>
                <w:rFonts w:ascii="Arial" w:hAnsi="Arial" w:cs="Arial"/>
                <w:sz w:val="22"/>
                <w:szCs w:val="22"/>
              </w:rPr>
            </w:pPr>
            <w:r>
              <w:rPr>
                <w:rFonts w:ascii="Arial" w:hAnsi="Arial" w:cs="Arial"/>
                <w:sz w:val="22"/>
                <w:szCs w:val="22"/>
              </w:rPr>
              <w:t xml:space="preserve"> 4,02 € </w:t>
            </w:r>
          </w:p>
        </w:tc>
      </w:tr>
      <w:tr w:rsidR="009B4233">
        <w:tblPrEx>
          <w:tblCellMar>
            <w:top w:w="0" w:type="dxa"/>
            <w:bottom w:w="0" w:type="dxa"/>
          </w:tblCellMar>
        </w:tblPrEx>
        <w:trPr>
          <w:trHeight w:val="630"/>
        </w:trPr>
        <w:tc>
          <w:tcPr>
            <w:tcW w:w="986"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22" w:type="dxa"/>
            </w:tcMar>
            <w:vAlign w:val="center"/>
          </w:tcPr>
          <w:p w:rsidR="009B4233" w:rsidRDefault="006B08B9">
            <w:pPr>
              <w:spacing w:line="249" w:lineRule="auto"/>
              <w:ind w:left="9"/>
              <w:jc w:val="center"/>
              <w:rPr>
                <w:rFonts w:ascii="Arial" w:hAnsi="Arial" w:cs="Arial"/>
                <w:sz w:val="22"/>
                <w:szCs w:val="22"/>
              </w:rPr>
            </w:pPr>
            <w:r>
              <w:rPr>
                <w:rFonts w:ascii="Arial" w:hAnsi="Arial" w:cs="Arial"/>
                <w:sz w:val="22"/>
                <w:szCs w:val="22"/>
              </w:rPr>
              <w:t>4</w:t>
            </w:r>
          </w:p>
        </w:tc>
        <w:tc>
          <w:tcPr>
            <w:tcW w:w="3688"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22" w:type="dxa"/>
            </w:tcMar>
          </w:tcPr>
          <w:p w:rsidR="009B4233" w:rsidRDefault="006B08B9">
            <w:pPr>
              <w:spacing w:line="249" w:lineRule="auto"/>
              <w:rPr>
                <w:rFonts w:ascii="Arial" w:hAnsi="Arial" w:cs="Arial"/>
                <w:sz w:val="22"/>
                <w:szCs w:val="22"/>
              </w:rPr>
            </w:pPr>
            <w:r>
              <w:rPr>
                <w:rFonts w:ascii="Arial" w:hAnsi="Arial" w:cs="Arial"/>
                <w:sz w:val="22"/>
                <w:szCs w:val="22"/>
              </w:rPr>
              <w:t xml:space="preserve">Comercio al </w:t>
            </w:r>
            <w:r>
              <w:rPr>
                <w:rFonts w:ascii="Arial" w:hAnsi="Arial" w:cs="Arial"/>
                <w:sz w:val="22"/>
                <w:szCs w:val="22"/>
              </w:rPr>
              <w:t>menor productos alimenticios, bebidas y tabaco prestados en reg. de autoservicio</w:t>
            </w:r>
          </w:p>
        </w:tc>
        <w:tc>
          <w:tcPr>
            <w:tcW w:w="1350"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22" w:type="dxa"/>
            </w:tcMar>
          </w:tcPr>
          <w:p w:rsidR="009B4233" w:rsidRDefault="006B08B9">
            <w:pPr>
              <w:spacing w:line="249" w:lineRule="auto"/>
              <w:rPr>
                <w:rFonts w:ascii="Arial" w:hAnsi="Arial" w:cs="Arial"/>
                <w:sz w:val="22"/>
                <w:szCs w:val="22"/>
              </w:rPr>
            </w:pPr>
            <w:r>
              <w:rPr>
                <w:rFonts w:ascii="Arial" w:hAnsi="Arial" w:cs="Arial"/>
                <w:sz w:val="22"/>
                <w:szCs w:val="22"/>
              </w:rPr>
              <w:t xml:space="preserve"> 338,50 € </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22" w:type="dxa"/>
            </w:tcMar>
          </w:tcPr>
          <w:p w:rsidR="009B4233" w:rsidRDefault="006B08B9">
            <w:pPr>
              <w:spacing w:line="249" w:lineRule="auto"/>
              <w:rPr>
                <w:rFonts w:ascii="Arial" w:hAnsi="Arial" w:cs="Arial"/>
                <w:sz w:val="22"/>
                <w:szCs w:val="22"/>
              </w:rPr>
            </w:pPr>
            <w:r>
              <w:rPr>
                <w:rFonts w:ascii="Arial" w:hAnsi="Arial" w:cs="Arial"/>
                <w:sz w:val="22"/>
                <w:szCs w:val="22"/>
              </w:rPr>
              <w:t xml:space="preserve"> 609,40 € </w:t>
            </w:r>
          </w:p>
        </w:tc>
        <w:tc>
          <w:tcPr>
            <w:tcW w:w="860"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22" w:type="dxa"/>
            </w:tcMar>
          </w:tcPr>
          <w:p w:rsidR="009B4233" w:rsidRDefault="006B08B9">
            <w:pPr>
              <w:spacing w:line="249" w:lineRule="auto"/>
              <w:ind w:left="7"/>
              <w:jc w:val="center"/>
              <w:rPr>
                <w:rFonts w:ascii="Arial" w:hAnsi="Arial" w:cs="Arial"/>
                <w:sz w:val="22"/>
                <w:szCs w:val="22"/>
              </w:rPr>
            </w:pPr>
            <w:r>
              <w:rPr>
                <w:rFonts w:ascii="Arial" w:hAnsi="Arial" w:cs="Arial"/>
                <w:sz w:val="22"/>
                <w:szCs w:val="22"/>
              </w:rPr>
              <w:t xml:space="preserve"> 4,02 € </w:t>
            </w:r>
          </w:p>
        </w:tc>
      </w:tr>
      <w:tr w:rsidR="009B4233">
        <w:tblPrEx>
          <w:tblCellMar>
            <w:top w:w="0" w:type="dxa"/>
            <w:bottom w:w="0" w:type="dxa"/>
          </w:tblCellMar>
        </w:tblPrEx>
        <w:trPr>
          <w:trHeight w:val="424"/>
        </w:trPr>
        <w:tc>
          <w:tcPr>
            <w:tcW w:w="986"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22" w:type="dxa"/>
            </w:tcMar>
            <w:vAlign w:val="center"/>
          </w:tcPr>
          <w:p w:rsidR="009B4233" w:rsidRDefault="006B08B9">
            <w:pPr>
              <w:spacing w:line="249" w:lineRule="auto"/>
              <w:ind w:left="9"/>
              <w:jc w:val="center"/>
              <w:rPr>
                <w:rFonts w:ascii="Arial" w:hAnsi="Arial" w:cs="Arial"/>
                <w:sz w:val="22"/>
                <w:szCs w:val="22"/>
              </w:rPr>
            </w:pPr>
            <w:r>
              <w:rPr>
                <w:rFonts w:ascii="Arial" w:hAnsi="Arial" w:cs="Arial"/>
                <w:sz w:val="22"/>
                <w:szCs w:val="22"/>
              </w:rPr>
              <w:t>5</w:t>
            </w:r>
          </w:p>
        </w:tc>
        <w:tc>
          <w:tcPr>
            <w:tcW w:w="3688"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22" w:type="dxa"/>
            </w:tcMar>
          </w:tcPr>
          <w:p w:rsidR="009B4233" w:rsidRDefault="006B08B9">
            <w:pPr>
              <w:spacing w:line="249" w:lineRule="auto"/>
              <w:rPr>
                <w:rFonts w:ascii="Arial" w:hAnsi="Arial" w:cs="Arial"/>
                <w:sz w:val="22"/>
                <w:szCs w:val="22"/>
              </w:rPr>
            </w:pPr>
            <w:r>
              <w:rPr>
                <w:rFonts w:ascii="Arial" w:hAnsi="Arial" w:cs="Arial"/>
                <w:sz w:val="22"/>
                <w:szCs w:val="22"/>
              </w:rPr>
              <w:t>Restauración y otros serv. de alimentación, servicios en restaurantes</w:t>
            </w:r>
          </w:p>
        </w:tc>
        <w:tc>
          <w:tcPr>
            <w:tcW w:w="1350"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22" w:type="dxa"/>
            </w:tcMar>
          </w:tcPr>
          <w:p w:rsidR="009B4233" w:rsidRDefault="006B08B9">
            <w:pPr>
              <w:spacing w:line="249" w:lineRule="auto"/>
              <w:rPr>
                <w:rFonts w:ascii="Arial" w:hAnsi="Arial" w:cs="Arial"/>
                <w:sz w:val="22"/>
                <w:szCs w:val="22"/>
              </w:rPr>
            </w:pPr>
            <w:r>
              <w:rPr>
                <w:rFonts w:ascii="Arial" w:hAnsi="Arial" w:cs="Arial"/>
                <w:sz w:val="22"/>
                <w:szCs w:val="22"/>
              </w:rPr>
              <w:t xml:space="preserve"> 676,17 € </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22" w:type="dxa"/>
            </w:tcMar>
          </w:tcPr>
          <w:p w:rsidR="009B4233" w:rsidRDefault="006B08B9">
            <w:pPr>
              <w:spacing w:line="249" w:lineRule="auto"/>
              <w:rPr>
                <w:rFonts w:ascii="Arial" w:hAnsi="Arial" w:cs="Arial"/>
                <w:sz w:val="22"/>
                <w:szCs w:val="22"/>
              </w:rPr>
            </w:pPr>
            <w:r>
              <w:rPr>
                <w:rFonts w:ascii="Arial" w:hAnsi="Arial" w:cs="Arial"/>
                <w:sz w:val="22"/>
                <w:szCs w:val="22"/>
              </w:rPr>
              <w:t xml:space="preserve"> 930,97 € </w:t>
            </w:r>
          </w:p>
        </w:tc>
        <w:tc>
          <w:tcPr>
            <w:tcW w:w="860"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22" w:type="dxa"/>
            </w:tcMar>
          </w:tcPr>
          <w:p w:rsidR="009B4233" w:rsidRDefault="006B08B9">
            <w:pPr>
              <w:spacing w:line="249" w:lineRule="auto"/>
              <w:ind w:left="7"/>
              <w:jc w:val="center"/>
              <w:rPr>
                <w:rFonts w:ascii="Arial" w:hAnsi="Arial" w:cs="Arial"/>
                <w:sz w:val="22"/>
                <w:szCs w:val="22"/>
              </w:rPr>
            </w:pPr>
            <w:r>
              <w:rPr>
                <w:rFonts w:ascii="Arial" w:hAnsi="Arial" w:cs="Arial"/>
                <w:sz w:val="22"/>
                <w:szCs w:val="22"/>
              </w:rPr>
              <w:t xml:space="preserve"> 4,13 € </w:t>
            </w:r>
          </w:p>
        </w:tc>
      </w:tr>
      <w:tr w:rsidR="009B4233">
        <w:tblPrEx>
          <w:tblCellMar>
            <w:top w:w="0" w:type="dxa"/>
            <w:bottom w:w="0" w:type="dxa"/>
          </w:tblCellMar>
        </w:tblPrEx>
        <w:trPr>
          <w:trHeight w:val="424"/>
        </w:trPr>
        <w:tc>
          <w:tcPr>
            <w:tcW w:w="986"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22" w:type="dxa"/>
            </w:tcMar>
            <w:vAlign w:val="center"/>
          </w:tcPr>
          <w:p w:rsidR="009B4233" w:rsidRDefault="006B08B9">
            <w:pPr>
              <w:spacing w:line="249" w:lineRule="auto"/>
              <w:ind w:left="9"/>
              <w:jc w:val="center"/>
              <w:rPr>
                <w:rFonts w:ascii="Arial" w:hAnsi="Arial" w:cs="Arial"/>
                <w:sz w:val="22"/>
                <w:szCs w:val="22"/>
              </w:rPr>
            </w:pPr>
            <w:r>
              <w:rPr>
                <w:rFonts w:ascii="Arial" w:hAnsi="Arial" w:cs="Arial"/>
                <w:sz w:val="22"/>
                <w:szCs w:val="22"/>
              </w:rPr>
              <w:t>6</w:t>
            </w:r>
          </w:p>
        </w:tc>
        <w:tc>
          <w:tcPr>
            <w:tcW w:w="3688"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22" w:type="dxa"/>
            </w:tcMar>
          </w:tcPr>
          <w:p w:rsidR="009B4233" w:rsidRDefault="006B08B9">
            <w:pPr>
              <w:spacing w:line="249" w:lineRule="auto"/>
              <w:rPr>
                <w:rFonts w:ascii="Arial" w:hAnsi="Arial" w:cs="Arial"/>
                <w:sz w:val="22"/>
                <w:szCs w:val="22"/>
              </w:rPr>
            </w:pPr>
            <w:r>
              <w:rPr>
                <w:rFonts w:ascii="Arial" w:hAnsi="Arial" w:cs="Arial"/>
                <w:sz w:val="22"/>
                <w:szCs w:val="22"/>
              </w:rPr>
              <w:t xml:space="preserve">Restauración y otros serv. de </w:t>
            </w:r>
            <w:r>
              <w:rPr>
                <w:rFonts w:ascii="Arial" w:hAnsi="Arial" w:cs="Arial"/>
                <w:sz w:val="22"/>
                <w:szCs w:val="22"/>
              </w:rPr>
              <w:t>alimentación, excepto serv. de restaurantes</w:t>
            </w:r>
          </w:p>
        </w:tc>
        <w:tc>
          <w:tcPr>
            <w:tcW w:w="1350"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22" w:type="dxa"/>
            </w:tcMar>
          </w:tcPr>
          <w:p w:rsidR="009B4233" w:rsidRDefault="006B08B9">
            <w:pPr>
              <w:spacing w:line="249" w:lineRule="auto"/>
              <w:rPr>
                <w:rFonts w:ascii="Arial" w:hAnsi="Arial" w:cs="Arial"/>
                <w:sz w:val="22"/>
                <w:szCs w:val="22"/>
              </w:rPr>
            </w:pPr>
            <w:r>
              <w:rPr>
                <w:rFonts w:ascii="Arial" w:hAnsi="Arial" w:cs="Arial"/>
                <w:sz w:val="22"/>
                <w:szCs w:val="22"/>
              </w:rPr>
              <w:t xml:space="preserve"> 338,19 € </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22" w:type="dxa"/>
            </w:tcMar>
          </w:tcPr>
          <w:p w:rsidR="009B4233" w:rsidRDefault="006B08B9">
            <w:pPr>
              <w:spacing w:line="249" w:lineRule="auto"/>
              <w:rPr>
                <w:rFonts w:ascii="Arial" w:hAnsi="Arial" w:cs="Arial"/>
                <w:sz w:val="22"/>
                <w:szCs w:val="22"/>
              </w:rPr>
            </w:pPr>
            <w:r>
              <w:rPr>
                <w:rFonts w:ascii="Arial" w:hAnsi="Arial" w:cs="Arial"/>
                <w:sz w:val="22"/>
                <w:szCs w:val="22"/>
              </w:rPr>
              <w:t xml:space="preserve"> 465,43 € </w:t>
            </w:r>
          </w:p>
        </w:tc>
        <w:tc>
          <w:tcPr>
            <w:tcW w:w="860"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22" w:type="dxa"/>
            </w:tcMar>
          </w:tcPr>
          <w:p w:rsidR="009B4233" w:rsidRDefault="006B08B9">
            <w:pPr>
              <w:spacing w:line="249" w:lineRule="auto"/>
              <w:ind w:left="7"/>
              <w:jc w:val="center"/>
              <w:rPr>
                <w:rFonts w:ascii="Arial" w:hAnsi="Arial" w:cs="Arial"/>
                <w:sz w:val="22"/>
                <w:szCs w:val="22"/>
              </w:rPr>
            </w:pPr>
            <w:r>
              <w:rPr>
                <w:rFonts w:ascii="Arial" w:hAnsi="Arial" w:cs="Arial"/>
                <w:sz w:val="22"/>
                <w:szCs w:val="22"/>
              </w:rPr>
              <w:t xml:space="preserve"> 4,13 € </w:t>
            </w:r>
          </w:p>
        </w:tc>
      </w:tr>
      <w:tr w:rsidR="009B4233">
        <w:tblPrEx>
          <w:tblCellMar>
            <w:top w:w="0" w:type="dxa"/>
            <w:bottom w:w="0" w:type="dxa"/>
          </w:tblCellMar>
        </w:tblPrEx>
        <w:trPr>
          <w:trHeight w:val="218"/>
        </w:trPr>
        <w:tc>
          <w:tcPr>
            <w:tcW w:w="986"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22" w:type="dxa"/>
            </w:tcMar>
          </w:tcPr>
          <w:p w:rsidR="009B4233" w:rsidRDefault="006B08B9">
            <w:pPr>
              <w:spacing w:line="249" w:lineRule="auto"/>
              <w:ind w:left="9"/>
              <w:jc w:val="center"/>
              <w:rPr>
                <w:rFonts w:ascii="Arial" w:hAnsi="Arial" w:cs="Arial"/>
                <w:sz w:val="22"/>
                <w:szCs w:val="22"/>
              </w:rPr>
            </w:pPr>
            <w:r>
              <w:rPr>
                <w:rFonts w:ascii="Arial" w:hAnsi="Arial" w:cs="Arial"/>
                <w:sz w:val="22"/>
                <w:szCs w:val="22"/>
              </w:rPr>
              <w:t>7</w:t>
            </w:r>
          </w:p>
        </w:tc>
        <w:tc>
          <w:tcPr>
            <w:tcW w:w="3688"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22" w:type="dxa"/>
            </w:tcMar>
          </w:tcPr>
          <w:p w:rsidR="009B4233" w:rsidRDefault="006B08B9">
            <w:pPr>
              <w:spacing w:line="249" w:lineRule="auto"/>
              <w:rPr>
                <w:rFonts w:ascii="Arial" w:hAnsi="Arial" w:cs="Arial"/>
                <w:sz w:val="22"/>
                <w:szCs w:val="22"/>
              </w:rPr>
            </w:pPr>
            <w:r>
              <w:rPr>
                <w:rFonts w:ascii="Arial" w:hAnsi="Arial" w:cs="Arial"/>
                <w:sz w:val="22"/>
                <w:szCs w:val="22"/>
              </w:rPr>
              <w:t>Alojamiento (hotelero y extrahotelero)</w:t>
            </w:r>
          </w:p>
        </w:tc>
        <w:tc>
          <w:tcPr>
            <w:tcW w:w="3770" w:type="dxa"/>
            <w:gridSpan w:val="3"/>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22" w:type="dxa"/>
            </w:tcMar>
          </w:tcPr>
          <w:p w:rsidR="009B4233" w:rsidRDefault="006B08B9">
            <w:pPr>
              <w:spacing w:line="249" w:lineRule="auto"/>
              <w:ind w:left="7"/>
              <w:jc w:val="center"/>
              <w:rPr>
                <w:rFonts w:ascii="Arial" w:hAnsi="Arial" w:cs="Arial"/>
                <w:sz w:val="22"/>
                <w:szCs w:val="22"/>
              </w:rPr>
            </w:pPr>
            <w:r>
              <w:rPr>
                <w:rFonts w:ascii="Arial" w:hAnsi="Arial" w:cs="Arial"/>
                <w:sz w:val="22"/>
                <w:szCs w:val="22"/>
              </w:rPr>
              <w:t>71,00 € por cama</w:t>
            </w:r>
          </w:p>
        </w:tc>
      </w:tr>
      <w:tr w:rsidR="009B4233">
        <w:tblPrEx>
          <w:tblCellMar>
            <w:top w:w="0" w:type="dxa"/>
            <w:bottom w:w="0" w:type="dxa"/>
          </w:tblCellMar>
        </w:tblPrEx>
        <w:trPr>
          <w:trHeight w:val="216"/>
        </w:trPr>
        <w:tc>
          <w:tcPr>
            <w:tcW w:w="986"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22" w:type="dxa"/>
            </w:tcMar>
          </w:tcPr>
          <w:p w:rsidR="009B4233" w:rsidRDefault="006B08B9">
            <w:pPr>
              <w:spacing w:line="249" w:lineRule="auto"/>
              <w:ind w:left="9"/>
              <w:jc w:val="center"/>
              <w:rPr>
                <w:rFonts w:ascii="Arial" w:hAnsi="Arial" w:cs="Arial"/>
                <w:sz w:val="22"/>
                <w:szCs w:val="22"/>
              </w:rPr>
            </w:pPr>
            <w:r>
              <w:rPr>
                <w:rFonts w:ascii="Arial" w:hAnsi="Arial" w:cs="Arial"/>
                <w:sz w:val="22"/>
                <w:szCs w:val="22"/>
              </w:rPr>
              <w:t>8</w:t>
            </w:r>
          </w:p>
        </w:tc>
        <w:tc>
          <w:tcPr>
            <w:tcW w:w="3688"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22" w:type="dxa"/>
            </w:tcMar>
          </w:tcPr>
          <w:p w:rsidR="009B4233" w:rsidRDefault="006B08B9">
            <w:pPr>
              <w:spacing w:line="249" w:lineRule="auto"/>
              <w:rPr>
                <w:rFonts w:ascii="Arial" w:hAnsi="Arial" w:cs="Arial"/>
                <w:sz w:val="22"/>
                <w:szCs w:val="22"/>
              </w:rPr>
            </w:pPr>
            <w:r>
              <w:rPr>
                <w:rFonts w:ascii="Arial" w:hAnsi="Arial" w:cs="Arial"/>
                <w:sz w:val="22"/>
                <w:szCs w:val="22"/>
              </w:rPr>
              <w:t>Transporte marítimo y terrestre</w:t>
            </w:r>
          </w:p>
        </w:tc>
        <w:tc>
          <w:tcPr>
            <w:tcW w:w="1350"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22" w:type="dxa"/>
            </w:tcMar>
          </w:tcPr>
          <w:p w:rsidR="009B4233" w:rsidRDefault="006B08B9">
            <w:pPr>
              <w:spacing w:line="249" w:lineRule="auto"/>
              <w:rPr>
                <w:rFonts w:ascii="Arial" w:hAnsi="Arial" w:cs="Arial"/>
                <w:sz w:val="22"/>
                <w:szCs w:val="22"/>
              </w:rPr>
            </w:pPr>
            <w:r>
              <w:rPr>
                <w:rFonts w:ascii="Arial" w:hAnsi="Arial" w:cs="Arial"/>
                <w:sz w:val="22"/>
                <w:szCs w:val="22"/>
              </w:rPr>
              <w:t xml:space="preserve"> 245,82 € </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22" w:type="dxa"/>
            </w:tcMar>
          </w:tcPr>
          <w:p w:rsidR="009B4233" w:rsidRDefault="006B08B9">
            <w:pPr>
              <w:spacing w:line="249" w:lineRule="auto"/>
              <w:rPr>
                <w:rFonts w:ascii="Arial" w:hAnsi="Arial" w:cs="Arial"/>
                <w:sz w:val="22"/>
                <w:szCs w:val="22"/>
              </w:rPr>
            </w:pPr>
            <w:r>
              <w:rPr>
                <w:rFonts w:ascii="Arial" w:hAnsi="Arial" w:cs="Arial"/>
                <w:sz w:val="22"/>
                <w:szCs w:val="22"/>
              </w:rPr>
              <w:t xml:space="preserve"> 341,90 € </w:t>
            </w:r>
          </w:p>
        </w:tc>
        <w:tc>
          <w:tcPr>
            <w:tcW w:w="860"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22" w:type="dxa"/>
            </w:tcMar>
          </w:tcPr>
          <w:p w:rsidR="009B4233" w:rsidRDefault="006B08B9">
            <w:pPr>
              <w:spacing w:line="249" w:lineRule="auto"/>
              <w:rPr>
                <w:rFonts w:ascii="Arial" w:hAnsi="Arial" w:cs="Arial"/>
                <w:sz w:val="22"/>
                <w:szCs w:val="22"/>
              </w:rPr>
            </w:pPr>
            <w:r>
              <w:rPr>
                <w:rFonts w:ascii="Arial" w:hAnsi="Arial" w:cs="Arial"/>
                <w:sz w:val="22"/>
                <w:szCs w:val="22"/>
              </w:rPr>
              <w:t xml:space="preserve"> 4,02 € </w:t>
            </w:r>
          </w:p>
        </w:tc>
      </w:tr>
      <w:tr w:rsidR="009B4233">
        <w:tblPrEx>
          <w:tblCellMar>
            <w:top w:w="0" w:type="dxa"/>
            <w:bottom w:w="0" w:type="dxa"/>
          </w:tblCellMar>
        </w:tblPrEx>
        <w:trPr>
          <w:trHeight w:val="270"/>
        </w:trPr>
        <w:tc>
          <w:tcPr>
            <w:tcW w:w="986"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22" w:type="dxa"/>
            </w:tcMar>
          </w:tcPr>
          <w:p w:rsidR="009B4233" w:rsidRDefault="006B08B9">
            <w:pPr>
              <w:spacing w:line="249" w:lineRule="auto"/>
              <w:ind w:left="9"/>
              <w:jc w:val="center"/>
              <w:rPr>
                <w:rFonts w:ascii="Arial" w:hAnsi="Arial" w:cs="Arial"/>
                <w:sz w:val="22"/>
                <w:szCs w:val="22"/>
              </w:rPr>
            </w:pPr>
            <w:r>
              <w:rPr>
                <w:rFonts w:ascii="Arial" w:hAnsi="Arial" w:cs="Arial"/>
                <w:sz w:val="22"/>
                <w:szCs w:val="22"/>
              </w:rPr>
              <w:t>9</w:t>
            </w:r>
          </w:p>
        </w:tc>
        <w:tc>
          <w:tcPr>
            <w:tcW w:w="3688"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22" w:type="dxa"/>
            </w:tcMar>
          </w:tcPr>
          <w:p w:rsidR="009B4233" w:rsidRDefault="006B08B9">
            <w:pPr>
              <w:spacing w:line="249" w:lineRule="auto"/>
              <w:rPr>
                <w:rFonts w:ascii="Arial" w:hAnsi="Arial" w:cs="Arial"/>
                <w:sz w:val="22"/>
                <w:szCs w:val="22"/>
              </w:rPr>
            </w:pPr>
            <w:r>
              <w:rPr>
                <w:rFonts w:ascii="Arial" w:hAnsi="Arial" w:cs="Arial"/>
                <w:sz w:val="22"/>
                <w:szCs w:val="22"/>
              </w:rPr>
              <w:t>Servicios inmobiliarios, de seg. y consultoría</w:t>
            </w:r>
          </w:p>
        </w:tc>
        <w:tc>
          <w:tcPr>
            <w:tcW w:w="1350"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22" w:type="dxa"/>
            </w:tcMar>
          </w:tcPr>
          <w:p w:rsidR="009B4233" w:rsidRDefault="006B08B9">
            <w:pPr>
              <w:spacing w:line="249" w:lineRule="auto"/>
              <w:rPr>
                <w:rFonts w:ascii="Arial" w:hAnsi="Arial" w:cs="Arial"/>
                <w:sz w:val="22"/>
                <w:szCs w:val="22"/>
              </w:rPr>
            </w:pPr>
            <w:r>
              <w:rPr>
                <w:rFonts w:ascii="Arial" w:hAnsi="Arial" w:cs="Arial"/>
                <w:sz w:val="22"/>
                <w:szCs w:val="22"/>
              </w:rPr>
              <w:t xml:space="preserve"> </w:t>
            </w:r>
            <w:r>
              <w:rPr>
                <w:rFonts w:ascii="Arial" w:hAnsi="Arial" w:cs="Arial"/>
                <w:sz w:val="22"/>
                <w:szCs w:val="22"/>
              </w:rPr>
              <w:t xml:space="preserve">123,12 € </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22" w:type="dxa"/>
            </w:tcMar>
          </w:tcPr>
          <w:p w:rsidR="009B4233" w:rsidRDefault="006B08B9">
            <w:pPr>
              <w:spacing w:line="249" w:lineRule="auto"/>
              <w:rPr>
                <w:rFonts w:ascii="Arial" w:hAnsi="Arial" w:cs="Arial"/>
                <w:sz w:val="22"/>
                <w:szCs w:val="22"/>
              </w:rPr>
            </w:pPr>
            <w:r>
              <w:rPr>
                <w:rFonts w:ascii="Arial" w:hAnsi="Arial" w:cs="Arial"/>
                <w:sz w:val="22"/>
                <w:szCs w:val="22"/>
              </w:rPr>
              <w:t xml:space="preserve"> 221,78 € </w:t>
            </w:r>
          </w:p>
        </w:tc>
        <w:tc>
          <w:tcPr>
            <w:tcW w:w="860"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22" w:type="dxa"/>
            </w:tcMar>
          </w:tcPr>
          <w:p w:rsidR="009B4233" w:rsidRDefault="006B08B9">
            <w:pPr>
              <w:spacing w:line="249" w:lineRule="auto"/>
              <w:rPr>
                <w:rFonts w:ascii="Arial" w:hAnsi="Arial" w:cs="Arial"/>
                <w:sz w:val="22"/>
                <w:szCs w:val="22"/>
              </w:rPr>
            </w:pPr>
            <w:r>
              <w:rPr>
                <w:rFonts w:ascii="Arial" w:hAnsi="Arial" w:cs="Arial"/>
                <w:sz w:val="22"/>
                <w:szCs w:val="22"/>
              </w:rPr>
              <w:t xml:space="preserve"> 1,96 € </w:t>
            </w:r>
          </w:p>
        </w:tc>
      </w:tr>
      <w:tr w:rsidR="009B4233">
        <w:tblPrEx>
          <w:tblCellMar>
            <w:top w:w="0" w:type="dxa"/>
            <w:bottom w:w="0" w:type="dxa"/>
          </w:tblCellMar>
        </w:tblPrEx>
        <w:trPr>
          <w:trHeight w:val="216"/>
        </w:trPr>
        <w:tc>
          <w:tcPr>
            <w:tcW w:w="986"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22" w:type="dxa"/>
            </w:tcMar>
          </w:tcPr>
          <w:p w:rsidR="009B4233" w:rsidRDefault="006B08B9">
            <w:pPr>
              <w:spacing w:line="249" w:lineRule="auto"/>
              <w:ind w:left="9"/>
              <w:jc w:val="center"/>
              <w:rPr>
                <w:rFonts w:ascii="Arial" w:hAnsi="Arial" w:cs="Arial"/>
                <w:sz w:val="22"/>
                <w:szCs w:val="22"/>
              </w:rPr>
            </w:pPr>
            <w:r>
              <w:rPr>
                <w:rFonts w:ascii="Arial" w:hAnsi="Arial" w:cs="Arial"/>
                <w:sz w:val="22"/>
                <w:szCs w:val="22"/>
              </w:rPr>
              <w:t>10</w:t>
            </w:r>
          </w:p>
        </w:tc>
        <w:tc>
          <w:tcPr>
            <w:tcW w:w="3688"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22" w:type="dxa"/>
            </w:tcMar>
          </w:tcPr>
          <w:p w:rsidR="009B4233" w:rsidRDefault="006B08B9">
            <w:pPr>
              <w:spacing w:line="249" w:lineRule="auto"/>
              <w:rPr>
                <w:rFonts w:ascii="Arial" w:hAnsi="Arial" w:cs="Arial"/>
                <w:sz w:val="22"/>
                <w:szCs w:val="22"/>
              </w:rPr>
            </w:pPr>
            <w:r>
              <w:rPr>
                <w:rFonts w:ascii="Arial" w:hAnsi="Arial" w:cs="Arial"/>
                <w:sz w:val="22"/>
                <w:szCs w:val="22"/>
              </w:rPr>
              <w:t>Instituciones financieras</w:t>
            </w:r>
          </w:p>
        </w:tc>
        <w:tc>
          <w:tcPr>
            <w:tcW w:w="1350"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22" w:type="dxa"/>
            </w:tcMar>
          </w:tcPr>
          <w:p w:rsidR="009B4233" w:rsidRDefault="006B08B9">
            <w:pPr>
              <w:spacing w:line="249" w:lineRule="auto"/>
              <w:rPr>
                <w:rFonts w:ascii="Arial" w:hAnsi="Arial" w:cs="Arial"/>
                <w:sz w:val="22"/>
                <w:szCs w:val="22"/>
              </w:rPr>
            </w:pPr>
            <w:r>
              <w:rPr>
                <w:rFonts w:ascii="Arial" w:hAnsi="Arial" w:cs="Arial"/>
                <w:sz w:val="22"/>
                <w:szCs w:val="22"/>
              </w:rPr>
              <w:t xml:space="preserve"> 282,05 € </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22" w:type="dxa"/>
            </w:tcMar>
          </w:tcPr>
          <w:p w:rsidR="009B4233" w:rsidRDefault="006B08B9">
            <w:pPr>
              <w:spacing w:line="249" w:lineRule="auto"/>
              <w:rPr>
                <w:rFonts w:ascii="Arial" w:hAnsi="Arial" w:cs="Arial"/>
                <w:sz w:val="22"/>
                <w:szCs w:val="22"/>
              </w:rPr>
            </w:pPr>
            <w:r>
              <w:rPr>
                <w:rFonts w:ascii="Arial" w:hAnsi="Arial" w:cs="Arial"/>
                <w:sz w:val="22"/>
                <w:szCs w:val="22"/>
              </w:rPr>
              <w:t xml:space="preserve"> 507,85 € </w:t>
            </w:r>
          </w:p>
        </w:tc>
        <w:tc>
          <w:tcPr>
            <w:tcW w:w="860"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22" w:type="dxa"/>
            </w:tcMar>
          </w:tcPr>
          <w:p w:rsidR="009B4233" w:rsidRDefault="006B08B9">
            <w:pPr>
              <w:spacing w:line="249" w:lineRule="auto"/>
              <w:rPr>
                <w:rFonts w:ascii="Arial" w:hAnsi="Arial" w:cs="Arial"/>
                <w:sz w:val="22"/>
                <w:szCs w:val="22"/>
              </w:rPr>
            </w:pPr>
            <w:r>
              <w:rPr>
                <w:rFonts w:ascii="Arial" w:hAnsi="Arial" w:cs="Arial"/>
                <w:sz w:val="22"/>
                <w:szCs w:val="22"/>
              </w:rPr>
              <w:t xml:space="preserve"> 4,64 € </w:t>
            </w:r>
          </w:p>
        </w:tc>
      </w:tr>
      <w:tr w:rsidR="009B4233">
        <w:tblPrEx>
          <w:tblCellMar>
            <w:top w:w="0" w:type="dxa"/>
            <w:bottom w:w="0" w:type="dxa"/>
          </w:tblCellMar>
        </w:tblPrEx>
        <w:trPr>
          <w:trHeight w:val="248"/>
        </w:trPr>
        <w:tc>
          <w:tcPr>
            <w:tcW w:w="986"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22" w:type="dxa"/>
            </w:tcMar>
          </w:tcPr>
          <w:p w:rsidR="009B4233" w:rsidRDefault="006B08B9">
            <w:pPr>
              <w:spacing w:line="249" w:lineRule="auto"/>
              <w:ind w:left="7"/>
              <w:jc w:val="center"/>
              <w:rPr>
                <w:rFonts w:ascii="Arial" w:hAnsi="Arial" w:cs="Arial"/>
                <w:sz w:val="22"/>
                <w:szCs w:val="22"/>
              </w:rPr>
            </w:pPr>
            <w:r>
              <w:rPr>
                <w:rFonts w:ascii="Arial" w:hAnsi="Arial" w:cs="Arial"/>
                <w:sz w:val="22"/>
                <w:szCs w:val="22"/>
              </w:rPr>
              <w:t>11</w:t>
            </w:r>
          </w:p>
        </w:tc>
        <w:tc>
          <w:tcPr>
            <w:tcW w:w="3688"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22" w:type="dxa"/>
            </w:tcMar>
          </w:tcPr>
          <w:p w:rsidR="009B4233" w:rsidRDefault="006B08B9">
            <w:pPr>
              <w:spacing w:line="249" w:lineRule="auto"/>
              <w:rPr>
                <w:rFonts w:ascii="Arial" w:hAnsi="Arial" w:cs="Arial"/>
                <w:sz w:val="22"/>
                <w:szCs w:val="22"/>
              </w:rPr>
            </w:pPr>
            <w:r>
              <w:rPr>
                <w:rFonts w:ascii="Arial" w:hAnsi="Arial" w:cs="Arial"/>
                <w:sz w:val="22"/>
                <w:szCs w:val="22"/>
              </w:rPr>
              <w:t>Educación e Investigación. 93, 96.7.2</w:t>
            </w:r>
          </w:p>
        </w:tc>
        <w:tc>
          <w:tcPr>
            <w:tcW w:w="1350"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22" w:type="dxa"/>
            </w:tcMar>
          </w:tcPr>
          <w:p w:rsidR="009B4233" w:rsidRDefault="006B08B9">
            <w:pPr>
              <w:spacing w:line="249" w:lineRule="auto"/>
              <w:rPr>
                <w:rFonts w:ascii="Arial" w:hAnsi="Arial" w:cs="Arial"/>
                <w:sz w:val="22"/>
                <w:szCs w:val="22"/>
              </w:rPr>
            </w:pPr>
            <w:r>
              <w:rPr>
                <w:rFonts w:ascii="Arial" w:hAnsi="Arial" w:cs="Arial"/>
                <w:sz w:val="22"/>
                <w:szCs w:val="22"/>
              </w:rPr>
              <w:t xml:space="preserve"> 169,56 € </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22" w:type="dxa"/>
            </w:tcMar>
          </w:tcPr>
          <w:p w:rsidR="009B4233" w:rsidRDefault="006B08B9">
            <w:pPr>
              <w:spacing w:line="249" w:lineRule="auto"/>
              <w:rPr>
                <w:rFonts w:ascii="Arial" w:hAnsi="Arial" w:cs="Arial"/>
                <w:sz w:val="22"/>
                <w:szCs w:val="22"/>
              </w:rPr>
            </w:pPr>
            <w:r>
              <w:rPr>
                <w:rFonts w:ascii="Arial" w:hAnsi="Arial" w:cs="Arial"/>
                <w:sz w:val="22"/>
                <w:szCs w:val="22"/>
              </w:rPr>
              <w:t xml:space="preserve"> 173,17 € </w:t>
            </w:r>
          </w:p>
        </w:tc>
        <w:tc>
          <w:tcPr>
            <w:tcW w:w="860"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22" w:type="dxa"/>
            </w:tcMar>
          </w:tcPr>
          <w:p w:rsidR="009B4233" w:rsidRDefault="006B08B9">
            <w:pPr>
              <w:spacing w:line="249" w:lineRule="auto"/>
              <w:rPr>
                <w:rFonts w:ascii="Arial" w:hAnsi="Arial" w:cs="Arial"/>
                <w:sz w:val="22"/>
                <w:szCs w:val="22"/>
              </w:rPr>
            </w:pPr>
            <w:r>
              <w:rPr>
                <w:rFonts w:ascii="Arial" w:hAnsi="Arial" w:cs="Arial"/>
                <w:sz w:val="22"/>
                <w:szCs w:val="22"/>
              </w:rPr>
              <w:t xml:space="preserve"> 2,58 € </w:t>
            </w:r>
          </w:p>
        </w:tc>
      </w:tr>
      <w:tr w:rsidR="009B4233">
        <w:tblPrEx>
          <w:tblCellMar>
            <w:top w:w="0" w:type="dxa"/>
            <w:bottom w:w="0" w:type="dxa"/>
          </w:tblCellMar>
        </w:tblPrEx>
        <w:trPr>
          <w:trHeight w:val="216"/>
        </w:trPr>
        <w:tc>
          <w:tcPr>
            <w:tcW w:w="986"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22" w:type="dxa"/>
            </w:tcMar>
          </w:tcPr>
          <w:p w:rsidR="009B4233" w:rsidRDefault="006B08B9">
            <w:pPr>
              <w:spacing w:line="249" w:lineRule="auto"/>
              <w:ind w:left="9"/>
              <w:jc w:val="center"/>
              <w:rPr>
                <w:rFonts w:ascii="Arial" w:hAnsi="Arial" w:cs="Arial"/>
                <w:sz w:val="22"/>
                <w:szCs w:val="22"/>
              </w:rPr>
            </w:pPr>
            <w:r>
              <w:rPr>
                <w:rFonts w:ascii="Arial" w:hAnsi="Arial" w:cs="Arial"/>
                <w:sz w:val="22"/>
                <w:szCs w:val="22"/>
              </w:rPr>
              <w:t>12</w:t>
            </w:r>
          </w:p>
        </w:tc>
        <w:tc>
          <w:tcPr>
            <w:tcW w:w="3688"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22" w:type="dxa"/>
            </w:tcMar>
          </w:tcPr>
          <w:p w:rsidR="009B4233" w:rsidRDefault="006B08B9">
            <w:pPr>
              <w:spacing w:line="249" w:lineRule="auto"/>
              <w:rPr>
                <w:rFonts w:ascii="Arial" w:hAnsi="Arial" w:cs="Arial"/>
                <w:sz w:val="22"/>
                <w:szCs w:val="22"/>
              </w:rPr>
            </w:pPr>
            <w:r>
              <w:rPr>
                <w:rFonts w:ascii="Arial" w:hAnsi="Arial" w:cs="Arial"/>
                <w:sz w:val="22"/>
                <w:szCs w:val="22"/>
              </w:rPr>
              <w:t>Serv. de Saneamiento y Limpieza.</w:t>
            </w:r>
          </w:p>
        </w:tc>
        <w:tc>
          <w:tcPr>
            <w:tcW w:w="1350"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22" w:type="dxa"/>
            </w:tcMar>
          </w:tcPr>
          <w:p w:rsidR="009B4233" w:rsidRDefault="006B08B9">
            <w:pPr>
              <w:spacing w:line="249" w:lineRule="auto"/>
              <w:rPr>
                <w:rFonts w:ascii="Arial" w:hAnsi="Arial" w:cs="Arial"/>
                <w:sz w:val="22"/>
                <w:szCs w:val="22"/>
              </w:rPr>
            </w:pPr>
            <w:r>
              <w:rPr>
                <w:rFonts w:ascii="Arial" w:hAnsi="Arial" w:cs="Arial"/>
                <w:sz w:val="22"/>
                <w:szCs w:val="22"/>
              </w:rPr>
              <w:t xml:space="preserve"> 325,08 € </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22" w:type="dxa"/>
            </w:tcMar>
          </w:tcPr>
          <w:p w:rsidR="009B4233" w:rsidRDefault="006B08B9">
            <w:pPr>
              <w:spacing w:line="249" w:lineRule="auto"/>
              <w:rPr>
                <w:rFonts w:ascii="Arial" w:hAnsi="Arial" w:cs="Arial"/>
                <w:sz w:val="22"/>
                <w:szCs w:val="22"/>
              </w:rPr>
            </w:pPr>
            <w:r>
              <w:rPr>
                <w:rFonts w:ascii="Arial" w:hAnsi="Arial" w:cs="Arial"/>
                <w:sz w:val="22"/>
                <w:szCs w:val="22"/>
              </w:rPr>
              <w:t xml:space="preserve"> 361,41 € </w:t>
            </w:r>
          </w:p>
        </w:tc>
        <w:tc>
          <w:tcPr>
            <w:tcW w:w="860"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22" w:type="dxa"/>
            </w:tcMar>
          </w:tcPr>
          <w:p w:rsidR="009B4233" w:rsidRDefault="006B08B9">
            <w:pPr>
              <w:spacing w:line="249" w:lineRule="auto"/>
              <w:rPr>
                <w:rFonts w:ascii="Arial" w:hAnsi="Arial" w:cs="Arial"/>
                <w:sz w:val="22"/>
                <w:szCs w:val="22"/>
              </w:rPr>
            </w:pPr>
            <w:r>
              <w:rPr>
                <w:rFonts w:ascii="Arial" w:hAnsi="Arial" w:cs="Arial"/>
                <w:sz w:val="22"/>
                <w:szCs w:val="22"/>
              </w:rPr>
              <w:t xml:space="preserve"> 4,95 € </w:t>
            </w:r>
          </w:p>
        </w:tc>
      </w:tr>
      <w:tr w:rsidR="009B4233">
        <w:tblPrEx>
          <w:tblCellMar>
            <w:top w:w="0" w:type="dxa"/>
            <w:bottom w:w="0" w:type="dxa"/>
          </w:tblCellMar>
        </w:tblPrEx>
        <w:trPr>
          <w:trHeight w:val="226"/>
        </w:trPr>
        <w:tc>
          <w:tcPr>
            <w:tcW w:w="986"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22" w:type="dxa"/>
            </w:tcMar>
          </w:tcPr>
          <w:p w:rsidR="009B4233" w:rsidRDefault="006B08B9">
            <w:pPr>
              <w:spacing w:line="249" w:lineRule="auto"/>
              <w:ind w:left="9"/>
              <w:jc w:val="center"/>
              <w:rPr>
                <w:rFonts w:ascii="Arial" w:hAnsi="Arial" w:cs="Arial"/>
                <w:sz w:val="22"/>
                <w:szCs w:val="22"/>
              </w:rPr>
            </w:pPr>
            <w:r>
              <w:rPr>
                <w:rFonts w:ascii="Arial" w:hAnsi="Arial" w:cs="Arial"/>
                <w:sz w:val="22"/>
                <w:szCs w:val="22"/>
              </w:rPr>
              <w:t>13</w:t>
            </w:r>
          </w:p>
        </w:tc>
        <w:tc>
          <w:tcPr>
            <w:tcW w:w="3688"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22" w:type="dxa"/>
            </w:tcMar>
          </w:tcPr>
          <w:p w:rsidR="009B4233" w:rsidRDefault="006B08B9">
            <w:pPr>
              <w:spacing w:line="249" w:lineRule="auto"/>
              <w:rPr>
                <w:rFonts w:ascii="Arial" w:hAnsi="Arial" w:cs="Arial"/>
                <w:sz w:val="22"/>
                <w:szCs w:val="22"/>
              </w:rPr>
            </w:pPr>
            <w:r>
              <w:rPr>
                <w:rFonts w:ascii="Arial" w:hAnsi="Arial" w:cs="Arial"/>
                <w:sz w:val="22"/>
                <w:szCs w:val="22"/>
              </w:rPr>
              <w:t xml:space="preserve">Serv. Personales, </w:t>
            </w:r>
            <w:r>
              <w:rPr>
                <w:rFonts w:ascii="Arial" w:hAnsi="Arial" w:cs="Arial"/>
                <w:sz w:val="22"/>
                <w:szCs w:val="22"/>
              </w:rPr>
              <w:t>peluquerías.</w:t>
            </w:r>
          </w:p>
        </w:tc>
        <w:tc>
          <w:tcPr>
            <w:tcW w:w="1350"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22" w:type="dxa"/>
            </w:tcMar>
          </w:tcPr>
          <w:p w:rsidR="009B4233" w:rsidRDefault="006B08B9">
            <w:pPr>
              <w:spacing w:line="249" w:lineRule="auto"/>
              <w:rPr>
                <w:rFonts w:ascii="Arial" w:hAnsi="Arial" w:cs="Arial"/>
                <w:sz w:val="22"/>
                <w:szCs w:val="22"/>
              </w:rPr>
            </w:pPr>
            <w:r>
              <w:rPr>
                <w:rFonts w:ascii="Arial" w:hAnsi="Arial" w:cs="Arial"/>
                <w:sz w:val="22"/>
                <w:szCs w:val="22"/>
              </w:rPr>
              <w:t xml:space="preserve"> 297,84 € </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22" w:type="dxa"/>
            </w:tcMar>
          </w:tcPr>
          <w:p w:rsidR="009B4233" w:rsidRDefault="006B08B9">
            <w:pPr>
              <w:spacing w:line="249" w:lineRule="auto"/>
              <w:rPr>
                <w:rFonts w:ascii="Arial" w:hAnsi="Arial" w:cs="Arial"/>
                <w:sz w:val="22"/>
                <w:szCs w:val="22"/>
              </w:rPr>
            </w:pPr>
            <w:r>
              <w:rPr>
                <w:rFonts w:ascii="Arial" w:hAnsi="Arial" w:cs="Arial"/>
                <w:sz w:val="22"/>
                <w:szCs w:val="22"/>
              </w:rPr>
              <w:t xml:space="preserve"> 315,38 € </w:t>
            </w:r>
          </w:p>
        </w:tc>
        <w:tc>
          <w:tcPr>
            <w:tcW w:w="860"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22" w:type="dxa"/>
            </w:tcMar>
          </w:tcPr>
          <w:p w:rsidR="009B4233" w:rsidRDefault="006B08B9">
            <w:pPr>
              <w:spacing w:line="249" w:lineRule="auto"/>
              <w:rPr>
                <w:rFonts w:ascii="Arial" w:hAnsi="Arial" w:cs="Arial"/>
                <w:sz w:val="22"/>
                <w:szCs w:val="22"/>
              </w:rPr>
            </w:pPr>
            <w:r>
              <w:rPr>
                <w:rFonts w:ascii="Arial" w:hAnsi="Arial" w:cs="Arial"/>
                <w:sz w:val="22"/>
                <w:szCs w:val="22"/>
              </w:rPr>
              <w:t xml:space="preserve"> 2,79 € </w:t>
            </w:r>
          </w:p>
        </w:tc>
      </w:tr>
      <w:tr w:rsidR="009B4233">
        <w:tblPrEx>
          <w:tblCellMar>
            <w:top w:w="0" w:type="dxa"/>
            <w:bottom w:w="0" w:type="dxa"/>
          </w:tblCellMar>
        </w:tblPrEx>
        <w:trPr>
          <w:trHeight w:val="216"/>
        </w:trPr>
        <w:tc>
          <w:tcPr>
            <w:tcW w:w="986"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22" w:type="dxa"/>
            </w:tcMar>
          </w:tcPr>
          <w:p w:rsidR="009B4233" w:rsidRDefault="006B08B9">
            <w:pPr>
              <w:spacing w:line="249" w:lineRule="auto"/>
              <w:ind w:left="9"/>
              <w:jc w:val="center"/>
              <w:rPr>
                <w:rFonts w:ascii="Arial" w:hAnsi="Arial" w:cs="Arial"/>
                <w:sz w:val="22"/>
                <w:szCs w:val="22"/>
              </w:rPr>
            </w:pPr>
            <w:r>
              <w:rPr>
                <w:rFonts w:ascii="Arial" w:hAnsi="Arial" w:cs="Arial"/>
                <w:sz w:val="22"/>
                <w:szCs w:val="22"/>
              </w:rPr>
              <w:t>14</w:t>
            </w:r>
          </w:p>
        </w:tc>
        <w:tc>
          <w:tcPr>
            <w:tcW w:w="3688"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22" w:type="dxa"/>
            </w:tcMar>
          </w:tcPr>
          <w:p w:rsidR="009B4233" w:rsidRDefault="006B08B9">
            <w:pPr>
              <w:spacing w:line="249" w:lineRule="auto"/>
              <w:rPr>
                <w:rFonts w:ascii="Arial" w:hAnsi="Arial" w:cs="Arial"/>
                <w:sz w:val="22"/>
                <w:szCs w:val="22"/>
              </w:rPr>
            </w:pPr>
            <w:r>
              <w:rPr>
                <w:rFonts w:ascii="Arial" w:hAnsi="Arial" w:cs="Arial"/>
                <w:sz w:val="22"/>
                <w:szCs w:val="22"/>
              </w:rPr>
              <w:t>Sanidad y servicios sanitarios</w:t>
            </w:r>
          </w:p>
        </w:tc>
        <w:tc>
          <w:tcPr>
            <w:tcW w:w="3770" w:type="dxa"/>
            <w:gridSpan w:val="3"/>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22" w:type="dxa"/>
            </w:tcMar>
          </w:tcPr>
          <w:p w:rsidR="009B4233" w:rsidRDefault="006B08B9">
            <w:pPr>
              <w:spacing w:line="249" w:lineRule="auto"/>
              <w:ind w:left="7"/>
              <w:jc w:val="center"/>
              <w:rPr>
                <w:rFonts w:ascii="Arial" w:hAnsi="Arial" w:cs="Arial"/>
                <w:sz w:val="22"/>
                <w:szCs w:val="22"/>
              </w:rPr>
            </w:pPr>
            <w:r>
              <w:rPr>
                <w:rFonts w:ascii="Arial" w:hAnsi="Arial" w:cs="Arial"/>
                <w:sz w:val="22"/>
                <w:szCs w:val="22"/>
              </w:rPr>
              <w:t>71,00 € por cama</w:t>
            </w:r>
          </w:p>
        </w:tc>
      </w:tr>
      <w:tr w:rsidR="009B4233">
        <w:tblPrEx>
          <w:tblCellMar>
            <w:top w:w="0" w:type="dxa"/>
            <w:bottom w:w="0" w:type="dxa"/>
          </w:tblCellMar>
        </w:tblPrEx>
        <w:trPr>
          <w:trHeight w:val="218"/>
        </w:trPr>
        <w:tc>
          <w:tcPr>
            <w:tcW w:w="986"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22" w:type="dxa"/>
            </w:tcMar>
          </w:tcPr>
          <w:p w:rsidR="009B4233" w:rsidRDefault="006B08B9">
            <w:pPr>
              <w:spacing w:line="249" w:lineRule="auto"/>
              <w:ind w:left="9"/>
              <w:jc w:val="center"/>
              <w:rPr>
                <w:rFonts w:ascii="Arial" w:hAnsi="Arial" w:cs="Arial"/>
                <w:sz w:val="22"/>
                <w:szCs w:val="22"/>
              </w:rPr>
            </w:pPr>
            <w:r>
              <w:rPr>
                <w:rFonts w:ascii="Arial" w:hAnsi="Arial" w:cs="Arial"/>
                <w:sz w:val="22"/>
                <w:szCs w:val="22"/>
              </w:rPr>
              <w:t>15</w:t>
            </w:r>
          </w:p>
        </w:tc>
        <w:tc>
          <w:tcPr>
            <w:tcW w:w="3688"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22" w:type="dxa"/>
            </w:tcMar>
          </w:tcPr>
          <w:p w:rsidR="009B4233" w:rsidRDefault="006B08B9">
            <w:pPr>
              <w:spacing w:line="249" w:lineRule="auto"/>
              <w:rPr>
                <w:rFonts w:ascii="Arial" w:hAnsi="Arial" w:cs="Arial"/>
                <w:sz w:val="22"/>
                <w:szCs w:val="22"/>
              </w:rPr>
            </w:pPr>
            <w:r>
              <w:rPr>
                <w:rFonts w:ascii="Arial" w:hAnsi="Arial" w:cs="Arial"/>
                <w:sz w:val="22"/>
                <w:szCs w:val="22"/>
              </w:rPr>
              <w:t>Espectáculos, cines, teatros, etc.</w:t>
            </w:r>
          </w:p>
        </w:tc>
        <w:tc>
          <w:tcPr>
            <w:tcW w:w="1350"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22" w:type="dxa"/>
            </w:tcMar>
          </w:tcPr>
          <w:p w:rsidR="009B4233" w:rsidRDefault="006B08B9">
            <w:pPr>
              <w:spacing w:line="249" w:lineRule="auto"/>
              <w:rPr>
                <w:rFonts w:ascii="Arial" w:hAnsi="Arial" w:cs="Arial"/>
                <w:sz w:val="22"/>
                <w:szCs w:val="22"/>
              </w:rPr>
            </w:pPr>
            <w:r>
              <w:rPr>
                <w:rFonts w:ascii="Arial" w:hAnsi="Arial" w:cs="Arial"/>
                <w:sz w:val="22"/>
                <w:szCs w:val="22"/>
              </w:rPr>
              <w:t xml:space="preserve"> 278,85 € </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22" w:type="dxa"/>
            </w:tcMar>
          </w:tcPr>
          <w:p w:rsidR="009B4233" w:rsidRDefault="006B08B9">
            <w:pPr>
              <w:spacing w:line="249" w:lineRule="auto"/>
              <w:rPr>
                <w:rFonts w:ascii="Arial" w:hAnsi="Arial" w:cs="Arial"/>
                <w:sz w:val="22"/>
                <w:szCs w:val="22"/>
              </w:rPr>
            </w:pPr>
            <w:r>
              <w:rPr>
                <w:rFonts w:ascii="Arial" w:hAnsi="Arial" w:cs="Arial"/>
                <w:sz w:val="22"/>
                <w:szCs w:val="22"/>
              </w:rPr>
              <w:t xml:space="preserve"> 309,08 € </w:t>
            </w:r>
          </w:p>
        </w:tc>
        <w:tc>
          <w:tcPr>
            <w:tcW w:w="860"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22" w:type="dxa"/>
            </w:tcMar>
          </w:tcPr>
          <w:p w:rsidR="009B4233" w:rsidRDefault="006B08B9">
            <w:pPr>
              <w:spacing w:line="249" w:lineRule="auto"/>
              <w:rPr>
                <w:rFonts w:ascii="Arial" w:hAnsi="Arial" w:cs="Arial"/>
                <w:sz w:val="22"/>
                <w:szCs w:val="22"/>
              </w:rPr>
            </w:pPr>
            <w:r>
              <w:rPr>
                <w:rFonts w:ascii="Arial" w:hAnsi="Arial" w:cs="Arial"/>
                <w:sz w:val="22"/>
                <w:szCs w:val="22"/>
              </w:rPr>
              <w:t xml:space="preserve"> 3,82 € </w:t>
            </w:r>
          </w:p>
        </w:tc>
      </w:tr>
      <w:tr w:rsidR="009B4233">
        <w:tblPrEx>
          <w:tblCellMar>
            <w:top w:w="0" w:type="dxa"/>
            <w:bottom w:w="0" w:type="dxa"/>
          </w:tblCellMar>
        </w:tblPrEx>
        <w:trPr>
          <w:trHeight w:val="424"/>
        </w:trPr>
        <w:tc>
          <w:tcPr>
            <w:tcW w:w="986"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22" w:type="dxa"/>
            </w:tcMar>
            <w:vAlign w:val="center"/>
          </w:tcPr>
          <w:p w:rsidR="009B4233" w:rsidRDefault="006B08B9">
            <w:pPr>
              <w:spacing w:line="249" w:lineRule="auto"/>
              <w:ind w:left="9"/>
              <w:jc w:val="center"/>
              <w:rPr>
                <w:rFonts w:ascii="Arial" w:hAnsi="Arial" w:cs="Arial"/>
                <w:sz w:val="22"/>
                <w:szCs w:val="22"/>
              </w:rPr>
            </w:pPr>
            <w:r>
              <w:rPr>
                <w:rFonts w:ascii="Arial" w:hAnsi="Arial" w:cs="Arial"/>
                <w:sz w:val="22"/>
                <w:szCs w:val="22"/>
              </w:rPr>
              <w:t>16</w:t>
            </w:r>
          </w:p>
        </w:tc>
        <w:tc>
          <w:tcPr>
            <w:tcW w:w="3688"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22" w:type="dxa"/>
            </w:tcMar>
          </w:tcPr>
          <w:p w:rsidR="009B4233" w:rsidRDefault="006B08B9">
            <w:pPr>
              <w:spacing w:line="249" w:lineRule="auto"/>
              <w:rPr>
                <w:rFonts w:ascii="Arial" w:hAnsi="Arial" w:cs="Arial"/>
                <w:sz w:val="22"/>
                <w:szCs w:val="22"/>
              </w:rPr>
            </w:pPr>
            <w:r>
              <w:rPr>
                <w:rFonts w:ascii="Arial" w:hAnsi="Arial" w:cs="Arial"/>
                <w:sz w:val="22"/>
                <w:szCs w:val="22"/>
              </w:rPr>
              <w:t>Lugares de culto de las distintas confesiones religiosas</w:t>
            </w:r>
          </w:p>
        </w:tc>
        <w:tc>
          <w:tcPr>
            <w:tcW w:w="3770" w:type="dxa"/>
            <w:gridSpan w:val="3"/>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22" w:type="dxa"/>
            </w:tcMar>
            <w:vAlign w:val="center"/>
          </w:tcPr>
          <w:p w:rsidR="009B4233" w:rsidRDefault="006B08B9">
            <w:pPr>
              <w:spacing w:line="249" w:lineRule="auto"/>
              <w:ind w:left="9"/>
              <w:jc w:val="center"/>
              <w:rPr>
                <w:rFonts w:ascii="Arial" w:hAnsi="Arial" w:cs="Arial"/>
                <w:sz w:val="22"/>
                <w:szCs w:val="22"/>
              </w:rPr>
            </w:pPr>
            <w:r>
              <w:rPr>
                <w:rFonts w:ascii="Arial" w:hAnsi="Arial" w:cs="Arial"/>
                <w:sz w:val="22"/>
                <w:szCs w:val="22"/>
              </w:rPr>
              <w:t xml:space="preserve">231,99 € por unidad de </w:t>
            </w:r>
            <w:r>
              <w:rPr>
                <w:rFonts w:ascii="Arial" w:hAnsi="Arial" w:cs="Arial"/>
                <w:sz w:val="22"/>
                <w:szCs w:val="22"/>
              </w:rPr>
              <w:t>inmueble</w:t>
            </w:r>
          </w:p>
        </w:tc>
      </w:tr>
      <w:tr w:rsidR="009B4233">
        <w:tblPrEx>
          <w:tblCellMar>
            <w:top w:w="0" w:type="dxa"/>
            <w:bottom w:w="0" w:type="dxa"/>
          </w:tblCellMar>
        </w:tblPrEx>
        <w:trPr>
          <w:trHeight w:val="216"/>
        </w:trPr>
        <w:tc>
          <w:tcPr>
            <w:tcW w:w="986"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22" w:type="dxa"/>
            </w:tcMar>
          </w:tcPr>
          <w:p w:rsidR="009B4233" w:rsidRDefault="006B08B9">
            <w:pPr>
              <w:spacing w:line="249" w:lineRule="auto"/>
              <w:ind w:left="9"/>
              <w:jc w:val="center"/>
              <w:rPr>
                <w:rFonts w:ascii="Arial" w:hAnsi="Arial" w:cs="Arial"/>
                <w:sz w:val="22"/>
                <w:szCs w:val="22"/>
              </w:rPr>
            </w:pPr>
            <w:r>
              <w:rPr>
                <w:rFonts w:ascii="Arial" w:hAnsi="Arial" w:cs="Arial"/>
                <w:sz w:val="22"/>
                <w:szCs w:val="22"/>
              </w:rPr>
              <w:t>17</w:t>
            </w:r>
          </w:p>
        </w:tc>
        <w:tc>
          <w:tcPr>
            <w:tcW w:w="3688"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22" w:type="dxa"/>
            </w:tcMar>
          </w:tcPr>
          <w:p w:rsidR="009B4233" w:rsidRDefault="006B08B9">
            <w:pPr>
              <w:spacing w:line="249" w:lineRule="auto"/>
              <w:rPr>
                <w:rFonts w:ascii="Arial" w:hAnsi="Arial" w:cs="Arial"/>
                <w:sz w:val="22"/>
                <w:szCs w:val="22"/>
              </w:rPr>
            </w:pPr>
            <w:r>
              <w:rPr>
                <w:rFonts w:ascii="Arial" w:hAnsi="Arial" w:cs="Arial"/>
                <w:sz w:val="22"/>
                <w:szCs w:val="22"/>
              </w:rPr>
              <w:t>Actividades de las administraciones</w:t>
            </w:r>
          </w:p>
        </w:tc>
        <w:tc>
          <w:tcPr>
            <w:tcW w:w="1350"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22" w:type="dxa"/>
            </w:tcMar>
          </w:tcPr>
          <w:p w:rsidR="009B4233" w:rsidRDefault="006B08B9">
            <w:pPr>
              <w:spacing w:line="249" w:lineRule="auto"/>
              <w:rPr>
                <w:rFonts w:ascii="Arial" w:hAnsi="Arial" w:cs="Arial"/>
                <w:sz w:val="22"/>
                <w:szCs w:val="22"/>
              </w:rPr>
            </w:pPr>
            <w:r>
              <w:rPr>
                <w:rFonts w:ascii="Arial" w:hAnsi="Arial" w:cs="Arial"/>
                <w:sz w:val="22"/>
                <w:szCs w:val="22"/>
              </w:rPr>
              <w:t xml:space="preserve"> 167,91 € </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22" w:type="dxa"/>
            </w:tcMar>
          </w:tcPr>
          <w:p w:rsidR="009B4233" w:rsidRDefault="006B08B9">
            <w:pPr>
              <w:spacing w:line="249" w:lineRule="auto"/>
              <w:rPr>
                <w:rFonts w:ascii="Arial" w:hAnsi="Arial" w:cs="Arial"/>
                <w:sz w:val="22"/>
                <w:szCs w:val="22"/>
              </w:rPr>
            </w:pPr>
            <w:r>
              <w:rPr>
                <w:rFonts w:ascii="Arial" w:hAnsi="Arial" w:cs="Arial"/>
                <w:sz w:val="22"/>
                <w:szCs w:val="22"/>
              </w:rPr>
              <w:t xml:space="preserve"> 365,12 € </w:t>
            </w:r>
          </w:p>
        </w:tc>
        <w:tc>
          <w:tcPr>
            <w:tcW w:w="860"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22" w:type="dxa"/>
            </w:tcMar>
          </w:tcPr>
          <w:p w:rsidR="009B4233" w:rsidRDefault="006B08B9">
            <w:pPr>
              <w:spacing w:line="249" w:lineRule="auto"/>
              <w:rPr>
                <w:rFonts w:ascii="Arial" w:hAnsi="Arial" w:cs="Arial"/>
                <w:sz w:val="22"/>
                <w:szCs w:val="22"/>
              </w:rPr>
            </w:pPr>
            <w:r>
              <w:rPr>
                <w:rFonts w:ascii="Arial" w:hAnsi="Arial" w:cs="Arial"/>
                <w:sz w:val="22"/>
                <w:szCs w:val="22"/>
              </w:rPr>
              <w:t xml:space="preserve"> 4,23 € </w:t>
            </w:r>
          </w:p>
        </w:tc>
      </w:tr>
      <w:tr w:rsidR="009B4233">
        <w:tblPrEx>
          <w:tblCellMar>
            <w:top w:w="0" w:type="dxa"/>
            <w:bottom w:w="0" w:type="dxa"/>
          </w:tblCellMar>
        </w:tblPrEx>
        <w:trPr>
          <w:trHeight w:val="424"/>
        </w:trPr>
        <w:tc>
          <w:tcPr>
            <w:tcW w:w="986"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22" w:type="dxa"/>
            </w:tcMar>
            <w:vAlign w:val="center"/>
          </w:tcPr>
          <w:p w:rsidR="009B4233" w:rsidRDefault="006B08B9">
            <w:pPr>
              <w:spacing w:line="249" w:lineRule="auto"/>
              <w:ind w:left="9"/>
              <w:jc w:val="center"/>
              <w:rPr>
                <w:rFonts w:ascii="Arial" w:hAnsi="Arial" w:cs="Arial"/>
                <w:sz w:val="22"/>
                <w:szCs w:val="22"/>
              </w:rPr>
            </w:pPr>
            <w:r>
              <w:rPr>
                <w:rFonts w:ascii="Arial" w:hAnsi="Arial" w:cs="Arial"/>
                <w:sz w:val="22"/>
                <w:szCs w:val="22"/>
              </w:rPr>
              <w:t>18</w:t>
            </w:r>
          </w:p>
        </w:tc>
        <w:tc>
          <w:tcPr>
            <w:tcW w:w="3688"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22" w:type="dxa"/>
            </w:tcMar>
          </w:tcPr>
          <w:p w:rsidR="009B4233" w:rsidRDefault="006B08B9">
            <w:pPr>
              <w:spacing w:line="249" w:lineRule="auto"/>
              <w:rPr>
                <w:rFonts w:ascii="Arial" w:hAnsi="Arial" w:cs="Arial"/>
                <w:sz w:val="22"/>
                <w:szCs w:val="22"/>
              </w:rPr>
            </w:pPr>
            <w:r>
              <w:rPr>
                <w:rFonts w:ascii="Arial" w:hAnsi="Arial" w:cs="Arial"/>
                <w:sz w:val="22"/>
                <w:szCs w:val="22"/>
              </w:rPr>
              <w:t>Otras actividades económicas, o no, no relacionadas de forma expresa</w:t>
            </w:r>
          </w:p>
        </w:tc>
        <w:tc>
          <w:tcPr>
            <w:tcW w:w="1350"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22" w:type="dxa"/>
            </w:tcMar>
          </w:tcPr>
          <w:p w:rsidR="009B4233" w:rsidRDefault="006B08B9">
            <w:pPr>
              <w:spacing w:line="249" w:lineRule="auto"/>
              <w:rPr>
                <w:rFonts w:ascii="Arial" w:hAnsi="Arial" w:cs="Arial"/>
                <w:sz w:val="22"/>
                <w:szCs w:val="22"/>
              </w:rPr>
            </w:pPr>
            <w:r>
              <w:rPr>
                <w:rFonts w:ascii="Arial" w:hAnsi="Arial" w:cs="Arial"/>
                <w:sz w:val="22"/>
                <w:szCs w:val="22"/>
              </w:rPr>
              <w:t xml:space="preserve"> 167,91 € </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22" w:type="dxa"/>
            </w:tcMar>
          </w:tcPr>
          <w:p w:rsidR="009B4233" w:rsidRDefault="006B08B9">
            <w:pPr>
              <w:spacing w:line="249" w:lineRule="auto"/>
              <w:rPr>
                <w:rFonts w:ascii="Arial" w:hAnsi="Arial" w:cs="Arial"/>
                <w:sz w:val="22"/>
                <w:szCs w:val="22"/>
              </w:rPr>
            </w:pPr>
            <w:r>
              <w:rPr>
                <w:rFonts w:ascii="Arial" w:hAnsi="Arial" w:cs="Arial"/>
                <w:sz w:val="22"/>
                <w:szCs w:val="22"/>
              </w:rPr>
              <w:t xml:space="preserve"> 252,43 € </w:t>
            </w:r>
          </w:p>
        </w:tc>
        <w:tc>
          <w:tcPr>
            <w:tcW w:w="860" w:type="dxa"/>
            <w:tcBorders>
              <w:top w:val="single" w:sz="4" w:space="0" w:color="000000"/>
              <w:left w:val="single" w:sz="4" w:space="0" w:color="000000"/>
              <w:bottom w:val="single" w:sz="4" w:space="0" w:color="000000"/>
              <w:right w:val="single" w:sz="4" w:space="0" w:color="000000"/>
            </w:tcBorders>
            <w:shd w:val="clear" w:color="auto" w:fill="auto"/>
            <w:tcMar>
              <w:top w:w="10" w:type="dxa"/>
              <w:left w:w="72" w:type="dxa"/>
              <w:bottom w:w="0" w:type="dxa"/>
              <w:right w:w="22" w:type="dxa"/>
            </w:tcMar>
          </w:tcPr>
          <w:p w:rsidR="009B4233" w:rsidRDefault="006B08B9">
            <w:pPr>
              <w:spacing w:line="249" w:lineRule="auto"/>
              <w:rPr>
                <w:rFonts w:ascii="Arial" w:hAnsi="Arial" w:cs="Arial"/>
                <w:sz w:val="22"/>
                <w:szCs w:val="22"/>
              </w:rPr>
            </w:pPr>
            <w:r>
              <w:rPr>
                <w:rFonts w:ascii="Arial" w:hAnsi="Arial" w:cs="Arial"/>
                <w:sz w:val="22"/>
                <w:szCs w:val="22"/>
              </w:rPr>
              <w:t xml:space="preserve"> 3,51 € </w:t>
            </w:r>
          </w:p>
        </w:tc>
      </w:tr>
    </w:tbl>
    <w:p w:rsidR="009B4233" w:rsidRDefault="006B08B9">
      <w:pPr>
        <w:jc w:val="both"/>
        <w:rPr>
          <w:rFonts w:ascii="Arial" w:hAnsi="Arial" w:cs="Arial"/>
          <w:b/>
          <w:sz w:val="22"/>
          <w:szCs w:val="22"/>
        </w:rPr>
      </w:pPr>
      <w:r>
        <w:rPr>
          <w:rFonts w:ascii="Arial" w:hAnsi="Arial" w:cs="Arial"/>
          <w:b/>
          <w:sz w:val="22"/>
          <w:szCs w:val="22"/>
        </w:rPr>
        <w:t>“</w:t>
      </w: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6B08B9">
      <w:pPr>
        <w:jc w:val="both"/>
        <w:rPr>
          <w:rFonts w:ascii="Arial" w:hAnsi="Arial" w:cs="Arial"/>
          <w:b/>
          <w:sz w:val="22"/>
          <w:szCs w:val="22"/>
        </w:rPr>
      </w:pPr>
      <w:r>
        <w:rPr>
          <w:rFonts w:ascii="Arial" w:hAnsi="Arial" w:cs="Arial"/>
          <w:b/>
          <w:sz w:val="22"/>
          <w:szCs w:val="22"/>
        </w:rPr>
        <w:t xml:space="preserve">     Consta en el expediente propuesta del Concejal delegado de </w:t>
      </w:r>
      <w:r>
        <w:rPr>
          <w:rFonts w:ascii="Arial" w:hAnsi="Arial" w:cs="Arial"/>
          <w:b/>
          <w:sz w:val="22"/>
          <w:szCs w:val="22"/>
        </w:rPr>
        <w:t>Hacienda, D. Airam Pérez Chinea, de fecha 17 de septiembre de 2025, que transcrito literalmente dice:</w:t>
      </w: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6B08B9">
      <w:pPr>
        <w:pStyle w:val="Textoindependiente"/>
        <w:jc w:val="center"/>
        <w:rPr>
          <w:rFonts w:cs="Arial"/>
          <w:b/>
          <w:szCs w:val="22"/>
        </w:rPr>
      </w:pPr>
      <w:r>
        <w:rPr>
          <w:rFonts w:cs="Arial"/>
          <w:b/>
          <w:szCs w:val="22"/>
        </w:rPr>
        <w:t>“PROPUESTA CONCEJALÍA DE HACIENDA</w:t>
      </w:r>
    </w:p>
    <w:p w:rsidR="009B4233" w:rsidRDefault="006B08B9">
      <w:pPr>
        <w:pStyle w:val="TtuloPortada"/>
        <w:rPr>
          <w:rFonts w:ascii="Arial" w:hAnsi="Arial"/>
          <w:color w:val="000000"/>
          <w:sz w:val="22"/>
          <w:szCs w:val="22"/>
        </w:rPr>
      </w:pPr>
      <w:r>
        <w:rPr>
          <w:rFonts w:ascii="Arial" w:hAnsi="Arial"/>
          <w:color w:val="000000"/>
          <w:sz w:val="22"/>
          <w:szCs w:val="22"/>
        </w:rPr>
        <w:t>Modificación de la Ordenanza Fiscal de la Tasa por la Prestación del Servicio de Recogida, Transporte y Tratamiento de</w:t>
      </w:r>
      <w:r>
        <w:rPr>
          <w:rFonts w:ascii="Arial" w:hAnsi="Arial"/>
          <w:color w:val="000000"/>
          <w:sz w:val="22"/>
          <w:szCs w:val="22"/>
        </w:rPr>
        <w:t xml:space="preserve"> Residuos Sólidos Urbanos</w:t>
      </w:r>
    </w:p>
    <w:p w:rsidR="009B4233" w:rsidRDefault="009B4233">
      <w:pPr>
        <w:pStyle w:val="Textoindependiente"/>
        <w:jc w:val="center"/>
        <w:rPr>
          <w:rFonts w:cs="Arial"/>
          <w:b/>
          <w:szCs w:val="22"/>
        </w:rPr>
      </w:pPr>
    </w:p>
    <w:p w:rsidR="009B4233" w:rsidRDefault="006B08B9">
      <w:pPr>
        <w:ind w:firstLine="709"/>
        <w:jc w:val="both"/>
        <w:rPr>
          <w:rFonts w:ascii="Arial" w:hAnsi="Arial" w:cs="Arial"/>
          <w:sz w:val="22"/>
          <w:szCs w:val="22"/>
          <w:lang w:eastAsia="es-ES"/>
        </w:rPr>
      </w:pPr>
      <w:r>
        <w:rPr>
          <w:rFonts w:ascii="Arial" w:hAnsi="Arial" w:cs="Arial"/>
          <w:sz w:val="22"/>
          <w:szCs w:val="22"/>
          <w:lang w:eastAsia="es-ES"/>
        </w:rPr>
        <w:t>La Ley 7/2022, de 8 de abril, de Residuos y Suelos contaminados para una Economía Circular (en adelante LRSCEC) establece, en su artículo 11.3, la obligatoriedad para las entidades locales de implementar, en un plazo de tres años</w:t>
      </w:r>
      <w:r>
        <w:rPr>
          <w:rFonts w:ascii="Arial" w:hAnsi="Arial" w:cs="Arial"/>
          <w:sz w:val="22"/>
          <w:szCs w:val="22"/>
          <w:lang w:eastAsia="es-ES"/>
        </w:rPr>
        <w:t xml:space="preserve"> desde su entrada en vigor, una tasa o prestación patrimonial pública de carácter no tributaria (PPPNT) específica, diferenciada y no deficitaria. Esta tasa debe permitir la implantación de sistemas de pago por generación y reflejar, en todo momento, el co</w:t>
      </w:r>
      <w:r>
        <w:rPr>
          <w:rFonts w:ascii="Arial" w:hAnsi="Arial" w:cs="Arial"/>
          <w:sz w:val="22"/>
          <w:szCs w:val="22"/>
          <w:lang w:eastAsia="es-ES"/>
        </w:rPr>
        <w:t>ste real, tanto directo como indirecto, de las operaciones de recogida, transporte y tratamiento de residuos. Dichos costes deberán incluir, entre otros, la vigilancia de las operaciones, el mantenimiento y la vigilancia posterior al cierre de los verteder</w:t>
      </w:r>
      <w:r>
        <w:rPr>
          <w:rFonts w:ascii="Arial" w:hAnsi="Arial" w:cs="Arial"/>
          <w:sz w:val="22"/>
          <w:szCs w:val="22"/>
          <w:lang w:eastAsia="es-ES"/>
        </w:rPr>
        <w:t>os, las campañas de concienciación y comunicación, así como los ingresos derivados de la responsabilidad ampliada del productor y de la venta de materiales y energía.</w:t>
      </w:r>
    </w:p>
    <w:p w:rsidR="009B4233" w:rsidRDefault="009B4233">
      <w:pPr>
        <w:ind w:firstLine="709"/>
        <w:jc w:val="both"/>
        <w:rPr>
          <w:rFonts w:ascii="Arial" w:hAnsi="Arial" w:cs="Arial"/>
          <w:sz w:val="22"/>
          <w:szCs w:val="22"/>
          <w:lang w:eastAsia="es-ES"/>
        </w:rPr>
      </w:pPr>
    </w:p>
    <w:p w:rsidR="009B4233" w:rsidRDefault="006B08B9">
      <w:pPr>
        <w:ind w:firstLine="709"/>
        <w:jc w:val="both"/>
        <w:rPr>
          <w:rFonts w:ascii="Arial" w:hAnsi="Arial" w:cs="Arial"/>
          <w:sz w:val="22"/>
          <w:szCs w:val="22"/>
          <w:lang w:eastAsia="es-ES"/>
        </w:rPr>
      </w:pPr>
      <w:r>
        <w:rPr>
          <w:rFonts w:ascii="Arial" w:hAnsi="Arial" w:cs="Arial"/>
          <w:sz w:val="22"/>
          <w:szCs w:val="22"/>
          <w:lang w:eastAsia="es-ES"/>
        </w:rPr>
        <w:t xml:space="preserve">La Ley establece que las entidades locales deberán disponer de los recursos económicos </w:t>
      </w:r>
      <w:r>
        <w:rPr>
          <w:rFonts w:ascii="Arial" w:hAnsi="Arial" w:cs="Arial"/>
          <w:sz w:val="22"/>
          <w:szCs w:val="22"/>
          <w:lang w:eastAsia="es-ES"/>
        </w:rPr>
        <w:t>necesarios para hacer frente a las nuevas obligaciones derivadas de la recogida separada de residuos, incentivando el reciclaje y penalizando el vertido, que se encuentra en la parte inferior de la jerarquía de residuos. Todo ello con el objetivo de garant</w:t>
      </w:r>
      <w:r>
        <w:rPr>
          <w:rFonts w:ascii="Arial" w:hAnsi="Arial" w:cs="Arial"/>
          <w:sz w:val="22"/>
          <w:szCs w:val="22"/>
          <w:lang w:eastAsia="es-ES"/>
        </w:rPr>
        <w:t>izar un modelo económico circular que promueva la sostenibilidad y el aprovechamiento de los residuos generados.</w:t>
      </w:r>
    </w:p>
    <w:p w:rsidR="009B4233" w:rsidRDefault="009B4233">
      <w:pPr>
        <w:ind w:firstLine="709"/>
        <w:jc w:val="both"/>
        <w:rPr>
          <w:rFonts w:ascii="Arial" w:hAnsi="Arial" w:cs="Arial"/>
          <w:sz w:val="22"/>
          <w:szCs w:val="22"/>
          <w:lang w:eastAsia="es-ES"/>
        </w:rPr>
      </w:pPr>
    </w:p>
    <w:p w:rsidR="009B4233" w:rsidRDefault="006B08B9">
      <w:pPr>
        <w:ind w:firstLine="709"/>
        <w:jc w:val="both"/>
        <w:rPr>
          <w:rFonts w:ascii="Arial" w:hAnsi="Arial" w:cs="Arial"/>
          <w:sz w:val="22"/>
          <w:szCs w:val="22"/>
          <w:lang w:eastAsia="es-ES"/>
        </w:rPr>
      </w:pPr>
      <w:r>
        <w:rPr>
          <w:rFonts w:ascii="Arial" w:hAnsi="Arial" w:cs="Arial"/>
          <w:sz w:val="22"/>
          <w:szCs w:val="22"/>
          <w:lang w:eastAsia="es-ES"/>
        </w:rPr>
        <w:t>Es importante destacar que, conforme a lo dispuesto en la Ley 7/2022, los costes directos y los costes indirectos (incluyendo los costes finan</w:t>
      </w:r>
      <w:r>
        <w:rPr>
          <w:rFonts w:ascii="Arial" w:hAnsi="Arial" w:cs="Arial"/>
          <w:sz w:val="22"/>
          <w:szCs w:val="22"/>
          <w:lang w:eastAsia="es-ES"/>
        </w:rPr>
        <w:t>cieros y de amortización del inmovilizado) son elementos clave para la determinación del coste real o previsible del servicio. A estos se deben sumar los costes necesarios para garantizar el mantenimiento y el desarrollo razonable del servicio, así como pa</w:t>
      </w:r>
      <w:r>
        <w:rPr>
          <w:rFonts w:ascii="Arial" w:hAnsi="Arial" w:cs="Arial"/>
          <w:sz w:val="22"/>
          <w:szCs w:val="22"/>
          <w:lang w:eastAsia="es-ES"/>
        </w:rPr>
        <w:t>ra asegurar la sostenibilidad económica del sistema en el largo plazo. Asimismo, la tasa no podrá exceder en ningún caso del coste real del servicio, de conformidad con el artículo 24.2 de la Ley Reguladora de Haciendas Locales (LRHL), que establece la pro</w:t>
      </w:r>
      <w:r>
        <w:rPr>
          <w:rFonts w:ascii="Arial" w:hAnsi="Arial" w:cs="Arial"/>
          <w:sz w:val="22"/>
          <w:szCs w:val="22"/>
          <w:lang w:eastAsia="es-ES"/>
        </w:rPr>
        <w:t>porcionalidad entre la tasa y el coste efectivo del servicio.</w:t>
      </w:r>
    </w:p>
    <w:p w:rsidR="009B4233" w:rsidRDefault="009B4233">
      <w:pPr>
        <w:ind w:firstLine="709"/>
        <w:jc w:val="both"/>
        <w:rPr>
          <w:rFonts w:ascii="Arial" w:hAnsi="Arial" w:cs="Arial"/>
          <w:sz w:val="22"/>
          <w:szCs w:val="22"/>
          <w:lang w:eastAsia="es-ES"/>
        </w:rPr>
      </w:pPr>
    </w:p>
    <w:p w:rsidR="009B4233" w:rsidRDefault="006B08B9">
      <w:pPr>
        <w:ind w:firstLine="709"/>
        <w:jc w:val="both"/>
        <w:rPr>
          <w:rFonts w:ascii="Arial" w:hAnsi="Arial" w:cs="Arial"/>
          <w:sz w:val="22"/>
          <w:szCs w:val="22"/>
          <w:lang w:eastAsia="es-ES"/>
        </w:rPr>
      </w:pPr>
      <w:r>
        <w:rPr>
          <w:rFonts w:ascii="Arial" w:hAnsi="Arial" w:cs="Arial"/>
          <w:sz w:val="22"/>
          <w:szCs w:val="22"/>
          <w:lang w:eastAsia="es-ES"/>
        </w:rPr>
        <w:t>Por tanto, la correcta determinación del coste real o previsible, en línea con lo establecido en la Ley 7/2022 y la normativa aplicable, es fundamental para evitar la imposición de sanciones po</w:t>
      </w:r>
      <w:r>
        <w:rPr>
          <w:rFonts w:ascii="Arial" w:hAnsi="Arial" w:cs="Arial"/>
          <w:sz w:val="22"/>
          <w:szCs w:val="22"/>
          <w:lang w:eastAsia="es-ES"/>
        </w:rPr>
        <w:t>r el incumplimiento de los objetivos comunitarios relacionados con la gestión de residuos. El incumplimiento de estos objetivos podría dar lugar a la aplicación de sanciones a las administraciones públicas responsables, conforme al artículo 8 y la Disposic</w:t>
      </w:r>
      <w:r>
        <w:rPr>
          <w:rFonts w:ascii="Arial" w:hAnsi="Arial" w:cs="Arial"/>
          <w:sz w:val="22"/>
          <w:szCs w:val="22"/>
          <w:lang w:eastAsia="es-ES"/>
        </w:rPr>
        <w:t>ión Adicional 2ª de la Ley Orgánica 2/2012, de 27 de abril, de Estabilidad Presupuestaria y Sostenibilidad Financiera, que establece la responsabilidad financiera de las administraciones en materia de sostenibilidad.</w:t>
      </w:r>
    </w:p>
    <w:p w:rsidR="009B4233" w:rsidRDefault="009B4233">
      <w:pPr>
        <w:ind w:firstLine="709"/>
        <w:jc w:val="both"/>
        <w:rPr>
          <w:rFonts w:ascii="Arial" w:hAnsi="Arial" w:cs="Arial"/>
          <w:sz w:val="22"/>
          <w:szCs w:val="22"/>
          <w:lang w:eastAsia="es-ES"/>
        </w:rPr>
      </w:pPr>
    </w:p>
    <w:p w:rsidR="009B4233" w:rsidRDefault="006B08B9">
      <w:pPr>
        <w:ind w:firstLine="709"/>
        <w:jc w:val="both"/>
      </w:pPr>
      <w:r>
        <w:rPr>
          <w:rFonts w:ascii="Arial" w:hAnsi="Arial" w:cs="Arial"/>
          <w:sz w:val="22"/>
          <w:szCs w:val="22"/>
          <w:lang w:eastAsia="es-ES"/>
        </w:rPr>
        <w:t>A través del siguiente cuadro, que ref</w:t>
      </w:r>
      <w:r>
        <w:rPr>
          <w:rFonts w:ascii="Arial" w:hAnsi="Arial" w:cs="Arial"/>
          <w:sz w:val="22"/>
          <w:szCs w:val="22"/>
          <w:lang w:eastAsia="es-ES"/>
        </w:rPr>
        <w:t>leja la estructura de gastos e ingresos del servicio, se p</w:t>
      </w:r>
      <w:r>
        <w:rPr>
          <w:rFonts w:ascii="Arial" w:hAnsi="Arial" w:cs="Arial"/>
          <w:sz w:val="22"/>
          <w:szCs w:val="22"/>
        </w:rPr>
        <w:t>resenta actualmente un déficit financiero estimado en un 72 % del coste total, lo que implica que la recaudación no cubre en su totalidad los gastos derivados de su prestación. Ante esta circunstanc</w:t>
      </w:r>
      <w:r>
        <w:rPr>
          <w:rFonts w:ascii="Arial" w:hAnsi="Arial" w:cs="Arial"/>
          <w:sz w:val="22"/>
          <w:szCs w:val="22"/>
        </w:rPr>
        <w:t>ia, la presente propuesta de ordenanza fiscal tiene como finalidad alinear el importe de la tasa con el coste efectivo del servicio, de forma que se avance hacia un modelo más justo, eficiente y sostenible, en aplicación del principio de "quien contamina p</w:t>
      </w:r>
      <w:r>
        <w:rPr>
          <w:rFonts w:ascii="Arial" w:hAnsi="Arial" w:cs="Arial"/>
          <w:sz w:val="22"/>
          <w:szCs w:val="22"/>
        </w:rPr>
        <w:t>aga”.</w:t>
      </w:r>
    </w:p>
    <w:p w:rsidR="009B4233" w:rsidRDefault="009B4233">
      <w:pPr>
        <w:ind w:firstLine="709"/>
        <w:jc w:val="both"/>
        <w:rPr>
          <w:rFonts w:ascii="Arial" w:hAnsi="Arial" w:cs="Arial"/>
          <w:sz w:val="22"/>
          <w:szCs w:val="22"/>
        </w:rPr>
      </w:pPr>
    </w:p>
    <w:p w:rsidR="009B4233" w:rsidRDefault="009B4233">
      <w:pPr>
        <w:ind w:firstLine="709"/>
        <w:jc w:val="both"/>
        <w:rPr>
          <w:rFonts w:ascii="Arial" w:hAnsi="Arial" w:cs="Arial"/>
          <w:sz w:val="22"/>
          <w:szCs w:val="22"/>
        </w:rPr>
      </w:pPr>
    </w:p>
    <w:p w:rsidR="009B4233" w:rsidRDefault="009B4233">
      <w:pPr>
        <w:ind w:firstLine="709"/>
        <w:jc w:val="both"/>
        <w:rPr>
          <w:rFonts w:ascii="Arial" w:hAnsi="Arial" w:cs="Arial"/>
          <w:sz w:val="22"/>
          <w:szCs w:val="22"/>
        </w:rPr>
      </w:pPr>
    </w:p>
    <w:p w:rsidR="009B4233" w:rsidRDefault="009B4233">
      <w:pPr>
        <w:ind w:firstLine="709"/>
        <w:jc w:val="both"/>
        <w:rPr>
          <w:rFonts w:ascii="Arial" w:hAnsi="Arial" w:cs="Arial"/>
          <w:sz w:val="22"/>
          <w:szCs w:val="22"/>
        </w:rPr>
      </w:pPr>
    </w:p>
    <w:p w:rsidR="009B4233" w:rsidRDefault="009B4233">
      <w:pPr>
        <w:ind w:firstLine="709"/>
        <w:jc w:val="both"/>
        <w:rPr>
          <w:rFonts w:ascii="Arial" w:hAnsi="Arial" w:cs="Arial"/>
          <w:sz w:val="22"/>
          <w:szCs w:val="22"/>
          <w:lang w:eastAsia="es-ES"/>
        </w:rPr>
      </w:pPr>
    </w:p>
    <w:p w:rsidR="009B4233" w:rsidRDefault="009B4233">
      <w:pPr>
        <w:ind w:firstLine="709"/>
        <w:jc w:val="both"/>
        <w:rPr>
          <w:rFonts w:ascii="Arial" w:hAnsi="Arial" w:cs="Arial"/>
          <w:sz w:val="22"/>
          <w:szCs w:val="22"/>
          <w:lang w:eastAsia="es-ES"/>
        </w:rPr>
      </w:pPr>
    </w:p>
    <w:tbl>
      <w:tblPr>
        <w:tblW w:w="7366" w:type="dxa"/>
        <w:jc w:val="center"/>
        <w:tblCellMar>
          <w:left w:w="10" w:type="dxa"/>
          <w:right w:w="10" w:type="dxa"/>
        </w:tblCellMar>
        <w:tblLook w:val="0000" w:firstRow="0" w:lastRow="0" w:firstColumn="0" w:lastColumn="0" w:noHBand="0" w:noVBand="0"/>
      </w:tblPr>
      <w:tblGrid>
        <w:gridCol w:w="4248"/>
        <w:gridCol w:w="3118"/>
      </w:tblGrid>
      <w:tr w:rsidR="009B4233">
        <w:tblPrEx>
          <w:tblCellMar>
            <w:top w:w="0" w:type="dxa"/>
            <w:bottom w:w="0" w:type="dxa"/>
          </w:tblCellMar>
        </w:tblPrEx>
        <w:trPr>
          <w:trHeight w:val="564"/>
          <w:jc w:val="center"/>
        </w:trPr>
        <w:tc>
          <w:tcPr>
            <w:tcW w:w="7366" w:type="dxa"/>
            <w:gridSpan w:val="2"/>
            <w:tcBorders>
              <w:top w:val="single" w:sz="4" w:space="0" w:color="000000"/>
              <w:left w:val="single" w:sz="4" w:space="0" w:color="000000"/>
              <w:bottom w:val="single" w:sz="4" w:space="0" w:color="000000"/>
              <w:right w:val="single" w:sz="4" w:space="0" w:color="000000"/>
            </w:tcBorders>
            <w:shd w:val="clear" w:color="auto" w:fill="E2EFDA"/>
            <w:tcMar>
              <w:top w:w="0" w:type="dxa"/>
              <w:left w:w="70" w:type="dxa"/>
              <w:bottom w:w="0" w:type="dxa"/>
              <w:right w:w="70" w:type="dxa"/>
            </w:tcMar>
            <w:vAlign w:val="bottom"/>
          </w:tcPr>
          <w:p w:rsidR="009B4233" w:rsidRDefault="006B08B9">
            <w:pPr>
              <w:jc w:val="center"/>
              <w:rPr>
                <w:rFonts w:ascii="Arial" w:eastAsia="Times New Roman" w:hAnsi="Arial" w:cs="Arial"/>
                <w:b/>
                <w:bCs/>
                <w:color w:val="000000"/>
                <w:sz w:val="22"/>
                <w:szCs w:val="22"/>
                <w:lang w:eastAsia="es-ES"/>
              </w:rPr>
            </w:pPr>
            <w:r>
              <w:rPr>
                <w:rFonts w:ascii="Arial" w:eastAsia="Times New Roman" w:hAnsi="Arial" w:cs="Arial"/>
                <w:b/>
                <w:bCs/>
                <w:color w:val="000000"/>
                <w:sz w:val="22"/>
                <w:szCs w:val="22"/>
                <w:lang w:eastAsia="es-ES"/>
              </w:rPr>
              <w:t xml:space="preserve">CÁLCULO DE LA DIFERENCIA ENTRE LOS INGRESOS </w:t>
            </w:r>
          </w:p>
          <w:p w:rsidR="009B4233" w:rsidRDefault="006B08B9">
            <w:pPr>
              <w:jc w:val="center"/>
            </w:pPr>
            <w:r>
              <w:rPr>
                <w:rFonts w:ascii="Arial" w:eastAsia="Times New Roman" w:hAnsi="Arial" w:cs="Arial"/>
                <w:b/>
                <w:bCs/>
                <w:color w:val="000000"/>
                <w:sz w:val="22"/>
                <w:szCs w:val="22"/>
                <w:lang w:eastAsia="es-ES"/>
              </w:rPr>
              <w:t>Y LOS COSTES TOTALES</w:t>
            </w:r>
          </w:p>
        </w:tc>
      </w:tr>
      <w:tr w:rsidR="009B4233">
        <w:tblPrEx>
          <w:tblCellMar>
            <w:top w:w="0" w:type="dxa"/>
            <w:bottom w:w="0" w:type="dxa"/>
          </w:tblCellMar>
        </w:tblPrEx>
        <w:trPr>
          <w:trHeight w:val="288"/>
          <w:jc w:val="center"/>
        </w:trPr>
        <w:tc>
          <w:tcPr>
            <w:tcW w:w="4248"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9B4233" w:rsidRDefault="006B08B9">
            <w:pP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COSTES DIRECTOS</w:t>
            </w:r>
          </w:p>
        </w:tc>
        <w:tc>
          <w:tcPr>
            <w:tcW w:w="3118" w:type="dxa"/>
            <w:tcBorders>
              <w:bottom w:val="single" w:sz="4" w:space="0" w:color="000000"/>
              <w:right w:val="single" w:sz="4" w:space="0" w:color="000000"/>
            </w:tcBorders>
            <w:shd w:val="clear" w:color="auto" w:fill="auto"/>
            <w:noWrap/>
            <w:tcMar>
              <w:top w:w="0" w:type="dxa"/>
              <w:left w:w="70" w:type="dxa"/>
              <w:bottom w:w="0" w:type="dxa"/>
              <w:right w:w="70" w:type="dxa"/>
            </w:tcMar>
          </w:tcPr>
          <w:p w:rsidR="009B4233" w:rsidRDefault="006B08B9">
            <w:pPr>
              <w:jc w:val="center"/>
            </w:pPr>
            <w:r>
              <w:rPr>
                <w:rFonts w:ascii="Arial" w:hAnsi="Arial" w:cs="Arial"/>
                <w:sz w:val="22"/>
                <w:szCs w:val="22"/>
              </w:rPr>
              <w:t>2.453.359,84 €</w:t>
            </w:r>
          </w:p>
        </w:tc>
      </w:tr>
      <w:tr w:rsidR="009B4233">
        <w:tblPrEx>
          <w:tblCellMar>
            <w:top w:w="0" w:type="dxa"/>
            <w:bottom w:w="0" w:type="dxa"/>
          </w:tblCellMar>
        </w:tblPrEx>
        <w:trPr>
          <w:trHeight w:val="320"/>
          <w:jc w:val="center"/>
        </w:trPr>
        <w:tc>
          <w:tcPr>
            <w:tcW w:w="4248"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9B4233" w:rsidRDefault="006B08B9">
            <w:pP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COSTES INDIRECTOS</w:t>
            </w:r>
          </w:p>
        </w:tc>
        <w:tc>
          <w:tcPr>
            <w:tcW w:w="3118" w:type="dxa"/>
            <w:tcBorders>
              <w:bottom w:val="single" w:sz="4" w:space="0" w:color="000000"/>
              <w:right w:val="single" w:sz="4" w:space="0" w:color="000000"/>
            </w:tcBorders>
            <w:shd w:val="clear" w:color="auto" w:fill="auto"/>
            <w:noWrap/>
            <w:tcMar>
              <w:top w:w="0" w:type="dxa"/>
              <w:left w:w="70" w:type="dxa"/>
              <w:bottom w:w="0" w:type="dxa"/>
              <w:right w:w="70" w:type="dxa"/>
            </w:tcMar>
          </w:tcPr>
          <w:p w:rsidR="009B4233" w:rsidRDefault="006B08B9">
            <w:pPr>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45.368,78 €</w:t>
            </w:r>
          </w:p>
        </w:tc>
      </w:tr>
      <w:tr w:rsidR="009B4233">
        <w:tblPrEx>
          <w:tblCellMar>
            <w:top w:w="0" w:type="dxa"/>
            <w:bottom w:w="0" w:type="dxa"/>
          </w:tblCellMar>
        </w:tblPrEx>
        <w:trPr>
          <w:trHeight w:val="283"/>
          <w:jc w:val="center"/>
        </w:trPr>
        <w:tc>
          <w:tcPr>
            <w:tcW w:w="4248"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9B4233" w:rsidRDefault="006B08B9">
            <w:pPr>
              <w:rPr>
                <w:rFonts w:ascii="Arial" w:eastAsia="Times New Roman" w:hAnsi="Arial" w:cs="Arial"/>
                <w:b/>
                <w:bCs/>
                <w:color w:val="000000"/>
                <w:sz w:val="22"/>
                <w:szCs w:val="22"/>
                <w:lang w:eastAsia="es-ES"/>
              </w:rPr>
            </w:pPr>
            <w:r>
              <w:rPr>
                <w:rFonts w:ascii="Arial" w:eastAsia="Times New Roman" w:hAnsi="Arial" w:cs="Arial"/>
                <w:b/>
                <w:bCs/>
                <w:color w:val="000000"/>
                <w:sz w:val="22"/>
                <w:szCs w:val="22"/>
                <w:lang w:eastAsia="es-ES"/>
              </w:rPr>
              <w:t>COSTES TOTALES</w:t>
            </w:r>
          </w:p>
        </w:tc>
        <w:tc>
          <w:tcPr>
            <w:tcW w:w="3118" w:type="dxa"/>
            <w:tcBorders>
              <w:bottom w:val="single" w:sz="4" w:space="0" w:color="000000"/>
              <w:right w:val="single" w:sz="4" w:space="0" w:color="000000"/>
            </w:tcBorders>
            <w:shd w:val="clear" w:color="auto" w:fill="auto"/>
            <w:noWrap/>
            <w:tcMar>
              <w:top w:w="0" w:type="dxa"/>
              <w:left w:w="70" w:type="dxa"/>
              <w:bottom w:w="0" w:type="dxa"/>
              <w:right w:w="70" w:type="dxa"/>
            </w:tcMar>
          </w:tcPr>
          <w:p w:rsidR="009B4233" w:rsidRDefault="006B08B9">
            <w:pPr>
              <w:jc w:val="center"/>
              <w:rPr>
                <w:rFonts w:ascii="Arial" w:hAnsi="Arial" w:cs="Arial"/>
                <w:color w:val="000000"/>
                <w:sz w:val="22"/>
                <w:szCs w:val="22"/>
              </w:rPr>
            </w:pPr>
            <w:bookmarkStart w:id="1" w:name="_Hlk208224150"/>
            <w:r>
              <w:rPr>
                <w:rFonts w:ascii="Arial" w:hAnsi="Arial" w:cs="Arial"/>
                <w:color w:val="000000"/>
                <w:sz w:val="22"/>
                <w:szCs w:val="22"/>
              </w:rPr>
              <w:t>2.498.728,62 €</w:t>
            </w:r>
            <w:bookmarkEnd w:id="1"/>
          </w:p>
        </w:tc>
      </w:tr>
      <w:tr w:rsidR="009B4233">
        <w:tblPrEx>
          <w:tblCellMar>
            <w:top w:w="0" w:type="dxa"/>
            <w:bottom w:w="0" w:type="dxa"/>
          </w:tblCellMar>
        </w:tblPrEx>
        <w:trPr>
          <w:trHeight w:val="288"/>
          <w:jc w:val="center"/>
        </w:trPr>
        <w:tc>
          <w:tcPr>
            <w:tcW w:w="4248"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9B4233" w:rsidRDefault="006B08B9">
            <w:pP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INGRESOS DE LA TASA</w:t>
            </w:r>
          </w:p>
        </w:tc>
        <w:tc>
          <w:tcPr>
            <w:tcW w:w="3118" w:type="dxa"/>
            <w:tcBorders>
              <w:bottom w:val="single" w:sz="4" w:space="0" w:color="000000"/>
              <w:right w:val="single" w:sz="4" w:space="0" w:color="000000"/>
            </w:tcBorders>
            <w:shd w:val="clear" w:color="auto" w:fill="auto"/>
            <w:noWrap/>
            <w:tcMar>
              <w:top w:w="0" w:type="dxa"/>
              <w:left w:w="70" w:type="dxa"/>
              <w:bottom w:w="0" w:type="dxa"/>
              <w:right w:w="70" w:type="dxa"/>
            </w:tcMar>
          </w:tcPr>
          <w:p w:rsidR="009B4233" w:rsidRDefault="006B08B9">
            <w:pPr>
              <w:jc w:val="center"/>
            </w:pPr>
            <w:r>
              <w:rPr>
                <w:rFonts w:ascii="Arial" w:hAnsi="Arial" w:cs="Arial"/>
                <w:sz w:val="22"/>
                <w:szCs w:val="22"/>
              </w:rPr>
              <w:t>1.296.250,84 €</w:t>
            </w:r>
          </w:p>
        </w:tc>
      </w:tr>
      <w:tr w:rsidR="009B4233">
        <w:tblPrEx>
          <w:tblCellMar>
            <w:top w:w="0" w:type="dxa"/>
            <w:bottom w:w="0" w:type="dxa"/>
          </w:tblCellMar>
        </w:tblPrEx>
        <w:trPr>
          <w:trHeight w:val="288"/>
          <w:jc w:val="center"/>
        </w:trPr>
        <w:tc>
          <w:tcPr>
            <w:tcW w:w="4248"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9B4233" w:rsidRDefault="006B08B9">
            <w:pP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INGRESOS DE VALORIZACIÓN</w:t>
            </w:r>
          </w:p>
        </w:tc>
        <w:tc>
          <w:tcPr>
            <w:tcW w:w="3118" w:type="dxa"/>
            <w:tcBorders>
              <w:bottom w:val="single" w:sz="4" w:space="0" w:color="000000"/>
              <w:right w:val="single" w:sz="4" w:space="0" w:color="000000"/>
            </w:tcBorders>
            <w:shd w:val="clear" w:color="auto" w:fill="auto"/>
            <w:noWrap/>
            <w:tcMar>
              <w:top w:w="0" w:type="dxa"/>
              <w:left w:w="70" w:type="dxa"/>
              <w:bottom w:w="0" w:type="dxa"/>
              <w:right w:w="70" w:type="dxa"/>
            </w:tcMar>
          </w:tcPr>
          <w:p w:rsidR="009B4233" w:rsidRDefault="006B08B9">
            <w:pPr>
              <w:jc w:val="center"/>
            </w:pPr>
            <w:r>
              <w:rPr>
                <w:rFonts w:ascii="Arial" w:hAnsi="Arial" w:cs="Arial"/>
                <w:sz w:val="22"/>
                <w:szCs w:val="22"/>
              </w:rPr>
              <w:t>157.249,14 €</w:t>
            </w:r>
          </w:p>
        </w:tc>
      </w:tr>
      <w:tr w:rsidR="009B4233">
        <w:tblPrEx>
          <w:tblCellMar>
            <w:top w:w="0" w:type="dxa"/>
            <w:bottom w:w="0" w:type="dxa"/>
          </w:tblCellMar>
        </w:tblPrEx>
        <w:trPr>
          <w:trHeight w:val="288"/>
          <w:jc w:val="center"/>
        </w:trPr>
        <w:tc>
          <w:tcPr>
            <w:tcW w:w="4248"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9B4233" w:rsidRDefault="006B08B9">
            <w:pPr>
              <w:rPr>
                <w:rFonts w:ascii="Arial" w:eastAsia="Times New Roman" w:hAnsi="Arial" w:cs="Arial"/>
                <w:b/>
                <w:bCs/>
                <w:color w:val="000000"/>
                <w:sz w:val="22"/>
                <w:szCs w:val="22"/>
                <w:lang w:eastAsia="es-ES"/>
              </w:rPr>
            </w:pPr>
            <w:r>
              <w:rPr>
                <w:rFonts w:ascii="Arial" w:eastAsia="Times New Roman" w:hAnsi="Arial" w:cs="Arial"/>
                <w:b/>
                <w:bCs/>
                <w:color w:val="000000"/>
                <w:sz w:val="22"/>
                <w:szCs w:val="22"/>
                <w:lang w:eastAsia="es-ES"/>
              </w:rPr>
              <w:t>INGRESOS</w:t>
            </w:r>
            <w:r>
              <w:rPr>
                <w:rFonts w:ascii="Arial" w:eastAsia="Times New Roman" w:hAnsi="Arial" w:cs="Arial"/>
                <w:b/>
                <w:bCs/>
                <w:color w:val="000000"/>
                <w:sz w:val="22"/>
                <w:szCs w:val="22"/>
                <w:lang w:eastAsia="es-ES"/>
              </w:rPr>
              <w:t xml:space="preserve"> TOTALES</w:t>
            </w:r>
          </w:p>
        </w:tc>
        <w:tc>
          <w:tcPr>
            <w:tcW w:w="3118" w:type="dxa"/>
            <w:tcBorders>
              <w:bottom w:val="single" w:sz="4" w:space="0" w:color="000000"/>
              <w:right w:val="single" w:sz="4" w:space="0" w:color="000000"/>
            </w:tcBorders>
            <w:shd w:val="clear" w:color="auto" w:fill="auto"/>
            <w:noWrap/>
            <w:tcMar>
              <w:top w:w="0" w:type="dxa"/>
              <w:left w:w="70" w:type="dxa"/>
              <w:bottom w:w="0" w:type="dxa"/>
              <w:right w:w="70" w:type="dxa"/>
            </w:tcMar>
          </w:tcPr>
          <w:p w:rsidR="009B4233" w:rsidRDefault="006B08B9">
            <w:pPr>
              <w:jc w:val="center"/>
            </w:pPr>
            <w:r>
              <w:rPr>
                <w:rFonts w:ascii="Arial" w:hAnsi="Arial" w:cs="Arial"/>
                <w:sz w:val="22"/>
                <w:szCs w:val="22"/>
              </w:rPr>
              <w:t>1.453.499,98 €</w:t>
            </w:r>
          </w:p>
        </w:tc>
      </w:tr>
      <w:tr w:rsidR="009B4233">
        <w:tblPrEx>
          <w:tblCellMar>
            <w:top w:w="0" w:type="dxa"/>
            <w:bottom w:w="0" w:type="dxa"/>
          </w:tblCellMar>
        </w:tblPrEx>
        <w:trPr>
          <w:trHeight w:val="288"/>
          <w:jc w:val="center"/>
        </w:trPr>
        <w:tc>
          <w:tcPr>
            <w:tcW w:w="4248"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9B4233" w:rsidRDefault="006B08B9">
            <w:pP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DIFERENCIA</w:t>
            </w:r>
          </w:p>
        </w:tc>
        <w:tc>
          <w:tcPr>
            <w:tcW w:w="3118"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9B4233" w:rsidRDefault="006B08B9">
            <w:pPr>
              <w:jc w:val="center"/>
            </w:pPr>
            <w:r>
              <w:rPr>
                <w:rFonts w:ascii="Arial" w:hAnsi="Arial" w:cs="Arial"/>
                <w:color w:val="FF0000"/>
                <w:sz w:val="22"/>
                <w:szCs w:val="22"/>
              </w:rPr>
              <w:t>-  1.045.228,64 €</w:t>
            </w:r>
          </w:p>
        </w:tc>
      </w:tr>
      <w:tr w:rsidR="009B4233">
        <w:tblPrEx>
          <w:tblCellMar>
            <w:top w:w="0" w:type="dxa"/>
            <w:bottom w:w="0" w:type="dxa"/>
          </w:tblCellMar>
        </w:tblPrEx>
        <w:trPr>
          <w:trHeight w:val="288"/>
          <w:jc w:val="center"/>
        </w:trPr>
        <w:tc>
          <w:tcPr>
            <w:tcW w:w="4248"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9B4233" w:rsidRDefault="006B08B9">
            <w:pPr>
              <w:jc w:val="center"/>
              <w:rPr>
                <w:rFonts w:ascii="Arial" w:eastAsia="Times New Roman" w:hAnsi="Arial" w:cs="Arial"/>
                <w:b/>
                <w:bCs/>
                <w:color w:val="000000"/>
                <w:sz w:val="22"/>
                <w:szCs w:val="22"/>
                <w:lang w:eastAsia="es-ES"/>
              </w:rPr>
            </w:pPr>
            <w:r>
              <w:rPr>
                <w:rFonts w:ascii="Arial" w:eastAsia="Times New Roman" w:hAnsi="Arial" w:cs="Arial"/>
                <w:b/>
                <w:bCs/>
                <w:color w:val="000000"/>
                <w:sz w:val="22"/>
                <w:szCs w:val="22"/>
                <w:lang w:eastAsia="es-ES"/>
              </w:rPr>
              <w:t>% DÉFICIT</w:t>
            </w:r>
          </w:p>
        </w:tc>
        <w:tc>
          <w:tcPr>
            <w:tcW w:w="3118"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9B4233" w:rsidRDefault="006B08B9">
            <w:pPr>
              <w:jc w:val="center"/>
            </w:pPr>
            <w:r>
              <w:rPr>
                <w:rFonts w:ascii="Arial" w:hAnsi="Arial" w:cs="Arial"/>
                <w:color w:val="FF0000"/>
                <w:sz w:val="22"/>
                <w:szCs w:val="22"/>
              </w:rPr>
              <w:t>-72%</w:t>
            </w:r>
          </w:p>
        </w:tc>
      </w:tr>
    </w:tbl>
    <w:p w:rsidR="009B4233" w:rsidRDefault="009B4233">
      <w:pPr>
        <w:ind w:firstLine="709"/>
        <w:jc w:val="both"/>
        <w:rPr>
          <w:rFonts w:ascii="Arial" w:hAnsi="Arial" w:cs="Arial"/>
          <w:sz w:val="22"/>
          <w:szCs w:val="22"/>
          <w:lang w:eastAsia="es-ES"/>
        </w:rPr>
      </w:pPr>
    </w:p>
    <w:p w:rsidR="009B4233" w:rsidRDefault="009B4233">
      <w:pPr>
        <w:ind w:firstLine="709"/>
        <w:jc w:val="both"/>
        <w:rPr>
          <w:rFonts w:ascii="Arial" w:hAnsi="Arial" w:cs="Arial"/>
          <w:sz w:val="22"/>
          <w:szCs w:val="22"/>
          <w:lang w:eastAsia="es-ES"/>
        </w:rPr>
      </w:pPr>
    </w:p>
    <w:p w:rsidR="009B4233" w:rsidRDefault="006B08B9">
      <w:pPr>
        <w:ind w:firstLine="709"/>
        <w:jc w:val="both"/>
        <w:rPr>
          <w:rFonts w:ascii="Arial" w:hAnsi="Arial" w:cs="Arial"/>
          <w:sz w:val="22"/>
          <w:szCs w:val="22"/>
        </w:rPr>
      </w:pPr>
      <w:r>
        <w:rPr>
          <w:rFonts w:ascii="Arial" w:hAnsi="Arial" w:cs="Arial"/>
          <w:sz w:val="22"/>
          <w:szCs w:val="22"/>
        </w:rPr>
        <w:t>Por ello, se propone la modificación de las cuotas tributarias actualmente vigentes mediante la aplicación de un incremento proporcional equivalente al porcentaje de déficit económico</w:t>
      </w:r>
      <w:r>
        <w:rPr>
          <w:rFonts w:ascii="Arial" w:hAnsi="Arial" w:cs="Arial"/>
          <w:sz w:val="22"/>
          <w:szCs w:val="22"/>
        </w:rPr>
        <w:t xml:space="preserve"> del servicio, conforme al principio de sostenibilidad financiera y a las exigencias del artículo 11.3 de la Ley 7/2022, de 8 de abril (LRSCEC), alineando el importe de la tasa con el coste real del servicio, cumpliendo así con la obligación legal de evita</w:t>
      </w:r>
      <w:r>
        <w:rPr>
          <w:rFonts w:ascii="Arial" w:hAnsi="Arial" w:cs="Arial"/>
          <w:sz w:val="22"/>
          <w:szCs w:val="22"/>
        </w:rPr>
        <w:t xml:space="preserve">r situaciones de financiación deficitaria en los servicios públicos de gestión de residuos, sin rebasar en ningún caso el coste del mismo, de acuerdo con lo dispuesto en el artículo 19.2 de la Ley 8/1989, de Tasas y Precios Públicos. </w:t>
      </w:r>
    </w:p>
    <w:p w:rsidR="009B4233" w:rsidRDefault="009B4233">
      <w:pPr>
        <w:ind w:firstLine="709"/>
        <w:jc w:val="both"/>
        <w:rPr>
          <w:rFonts w:ascii="Arial" w:hAnsi="Arial" w:cs="Arial"/>
          <w:sz w:val="22"/>
          <w:szCs w:val="22"/>
        </w:rPr>
      </w:pPr>
    </w:p>
    <w:p w:rsidR="009B4233" w:rsidRDefault="006B08B9">
      <w:pPr>
        <w:ind w:firstLine="709"/>
        <w:jc w:val="both"/>
        <w:rPr>
          <w:rFonts w:ascii="Arial" w:hAnsi="Arial" w:cs="Arial"/>
          <w:sz w:val="22"/>
          <w:szCs w:val="22"/>
        </w:rPr>
      </w:pPr>
      <w:r>
        <w:rPr>
          <w:rFonts w:ascii="Arial" w:hAnsi="Arial" w:cs="Arial"/>
          <w:sz w:val="22"/>
          <w:szCs w:val="22"/>
        </w:rPr>
        <w:t>La ordenanza contemp</w:t>
      </w:r>
      <w:r>
        <w:rPr>
          <w:rFonts w:ascii="Arial" w:hAnsi="Arial" w:cs="Arial"/>
          <w:sz w:val="22"/>
          <w:szCs w:val="22"/>
        </w:rPr>
        <w:t>la un conjunto de bonificaciones fiscales de carácter potestativo, cuyo objeto es fomentar la equidad social y la corresponsabilidad ambiental. Todas ellas requerirán solicitud expresa por parte del sujeto pasivo, y estarán sujetas a comprobación documenta</w:t>
      </w:r>
      <w:r>
        <w:rPr>
          <w:rFonts w:ascii="Arial" w:hAnsi="Arial" w:cs="Arial"/>
          <w:sz w:val="22"/>
          <w:szCs w:val="22"/>
        </w:rPr>
        <w:t>l y técnica.</w:t>
      </w:r>
    </w:p>
    <w:p w:rsidR="009B4233" w:rsidRDefault="009B4233">
      <w:pPr>
        <w:ind w:firstLine="709"/>
        <w:jc w:val="both"/>
        <w:rPr>
          <w:rFonts w:ascii="Arial" w:hAnsi="Arial" w:cs="Arial"/>
          <w:sz w:val="22"/>
          <w:szCs w:val="22"/>
        </w:rPr>
      </w:pPr>
    </w:p>
    <w:p w:rsidR="009B4233" w:rsidRDefault="006B08B9">
      <w:pPr>
        <w:tabs>
          <w:tab w:val="left" w:pos="9072"/>
        </w:tabs>
        <w:ind w:firstLine="360"/>
        <w:jc w:val="both"/>
        <w:rPr>
          <w:rFonts w:ascii="Arial" w:hAnsi="Arial" w:cs="Arial"/>
          <w:sz w:val="22"/>
          <w:szCs w:val="22"/>
        </w:rPr>
      </w:pPr>
      <w:r>
        <w:rPr>
          <w:rFonts w:ascii="Arial" w:hAnsi="Arial" w:cs="Arial"/>
          <w:sz w:val="22"/>
          <w:szCs w:val="22"/>
        </w:rPr>
        <w:t>En el ámbito social, se aplicará una bonificación del (100%) sobre la parte fija de la cuota tributaria a las unidades familiares empadronadas en viviendas de uso habitual que acrediten situaciones de vulnerabilidad económica y/o social.</w:t>
      </w:r>
    </w:p>
    <w:p w:rsidR="009B4233" w:rsidRDefault="006B08B9">
      <w:pPr>
        <w:rPr>
          <w:rFonts w:ascii="Arial" w:hAnsi="Arial" w:cs="Arial"/>
          <w:sz w:val="22"/>
          <w:szCs w:val="22"/>
        </w:rPr>
      </w:pPr>
      <w:r>
        <w:rPr>
          <w:rFonts w:ascii="Arial" w:hAnsi="Arial" w:cs="Arial"/>
          <w:sz w:val="22"/>
          <w:szCs w:val="22"/>
        </w:rPr>
        <w:t xml:space="preserve">  </w:t>
      </w:r>
    </w:p>
    <w:p w:rsidR="009B4233" w:rsidRDefault="006B08B9">
      <w:pPr>
        <w:ind w:firstLine="360"/>
        <w:jc w:val="both"/>
        <w:rPr>
          <w:rFonts w:ascii="Arial" w:hAnsi="Arial" w:cs="Arial"/>
          <w:sz w:val="22"/>
          <w:szCs w:val="22"/>
        </w:rPr>
      </w:pPr>
      <w:r>
        <w:rPr>
          <w:rFonts w:ascii="Arial" w:hAnsi="Arial" w:cs="Arial"/>
          <w:sz w:val="22"/>
          <w:szCs w:val="22"/>
        </w:rPr>
        <w:t>L</w:t>
      </w:r>
      <w:r>
        <w:rPr>
          <w:rFonts w:ascii="Arial" w:hAnsi="Arial" w:cs="Arial"/>
          <w:sz w:val="22"/>
          <w:szCs w:val="22"/>
        </w:rPr>
        <w:t xml:space="preserve">a unidad familiar que alegue situación de vulnerabilidad económica debe cumplir conjuntamente los siguientes requisitos: </w:t>
      </w:r>
    </w:p>
    <w:p w:rsidR="009B4233" w:rsidRDefault="009B4233">
      <w:pPr>
        <w:ind w:firstLine="360"/>
        <w:jc w:val="both"/>
        <w:rPr>
          <w:rFonts w:ascii="Arial" w:hAnsi="Arial" w:cs="Arial"/>
          <w:sz w:val="22"/>
          <w:szCs w:val="22"/>
        </w:rPr>
      </w:pPr>
    </w:p>
    <w:p w:rsidR="009B4233" w:rsidRDefault="006B08B9">
      <w:pPr>
        <w:jc w:val="both"/>
        <w:rPr>
          <w:rFonts w:ascii="Arial" w:hAnsi="Arial" w:cs="Arial"/>
          <w:sz w:val="22"/>
          <w:szCs w:val="22"/>
        </w:rPr>
      </w:pPr>
      <w:r>
        <w:rPr>
          <w:rFonts w:ascii="Arial" w:hAnsi="Arial" w:cs="Arial"/>
          <w:sz w:val="22"/>
          <w:szCs w:val="22"/>
        </w:rPr>
        <w:t>- Los ingresos de la unidad familiar tienen que estar por debajo del IPREM del año 2023 (7.200,00€).</w:t>
      </w:r>
    </w:p>
    <w:p w:rsidR="009B4233" w:rsidRDefault="006B08B9">
      <w:pPr>
        <w:rPr>
          <w:rFonts w:ascii="Arial" w:hAnsi="Arial" w:cs="Arial"/>
          <w:sz w:val="22"/>
          <w:szCs w:val="22"/>
        </w:rPr>
      </w:pPr>
      <w:r>
        <w:rPr>
          <w:rFonts w:ascii="Arial" w:hAnsi="Arial" w:cs="Arial"/>
          <w:sz w:val="22"/>
          <w:szCs w:val="22"/>
        </w:rPr>
        <w:t xml:space="preserve">- Aportar al menos uno de los </w:t>
      </w:r>
      <w:r>
        <w:rPr>
          <w:rFonts w:ascii="Arial" w:hAnsi="Arial" w:cs="Arial"/>
          <w:sz w:val="22"/>
          <w:szCs w:val="22"/>
        </w:rPr>
        <w:t>documentos que se detallan a continuación:</w:t>
      </w:r>
    </w:p>
    <w:p w:rsidR="009B4233" w:rsidRDefault="009B4233">
      <w:pPr>
        <w:rPr>
          <w:rFonts w:ascii="Arial" w:hAnsi="Arial" w:cs="Arial"/>
          <w:sz w:val="22"/>
          <w:szCs w:val="22"/>
        </w:rPr>
      </w:pPr>
    </w:p>
    <w:p w:rsidR="009B4233" w:rsidRDefault="006B08B9">
      <w:pPr>
        <w:jc w:val="both"/>
        <w:rPr>
          <w:rFonts w:ascii="Arial" w:hAnsi="Arial" w:cs="Arial"/>
          <w:sz w:val="22"/>
          <w:szCs w:val="22"/>
        </w:rPr>
      </w:pPr>
      <w:r>
        <w:rPr>
          <w:rFonts w:ascii="Arial" w:hAnsi="Arial" w:cs="Arial"/>
          <w:sz w:val="22"/>
          <w:szCs w:val="22"/>
        </w:rPr>
        <w:t xml:space="preserve">1) Situación de desempleo de ambos progenitores, o uno de ellos en el caso de las familias monoparentales: certificados del Servicio Canario de Empleo en el que hará constar la situación administrativa y laboral </w:t>
      </w:r>
      <w:r>
        <w:rPr>
          <w:rFonts w:ascii="Arial" w:hAnsi="Arial" w:cs="Arial"/>
          <w:sz w:val="22"/>
          <w:szCs w:val="22"/>
        </w:rPr>
        <w:t>actual y certificados del Servicio Público de Empleo Estatal de ser o no beneficiarios actualmente de una prestación o subsidio por desempleo y en tal caso, de su cuantía.</w:t>
      </w:r>
    </w:p>
    <w:p w:rsidR="009B4233" w:rsidRDefault="009B4233">
      <w:pPr>
        <w:jc w:val="both"/>
        <w:rPr>
          <w:rFonts w:ascii="Arial" w:hAnsi="Arial" w:cs="Arial"/>
          <w:sz w:val="22"/>
          <w:szCs w:val="22"/>
        </w:rPr>
      </w:pPr>
    </w:p>
    <w:p w:rsidR="009B4233" w:rsidRDefault="006B08B9">
      <w:pPr>
        <w:rPr>
          <w:rFonts w:ascii="Arial" w:hAnsi="Arial" w:cs="Arial"/>
          <w:sz w:val="22"/>
          <w:szCs w:val="22"/>
        </w:rPr>
      </w:pPr>
      <w:r>
        <w:rPr>
          <w:rFonts w:ascii="Arial" w:hAnsi="Arial" w:cs="Arial"/>
          <w:sz w:val="22"/>
          <w:szCs w:val="22"/>
        </w:rPr>
        <w:t>2) En caso de no cumplir con el apartado anterior, deberá presentar uno de los cert</w:t>
      </w:r>
      <w:r>
        <w:rPr>
          <w:rFonts w:ascii="Arial" w:hAnsi="Arial" w:cs="Arial"/>
          <w:sz w:val="22"/>
          <w:szCs w:val="22"/>
        </w:rPr>
        <w:t>ificados siguientes:</w:t>
      </w:r>
    </w:p>
    <w:p w:rsidR="009B4233" w:rsidRDefault="009B4233">
      <w:pPr>
        <w:rPr>
          <w:rFonts w:ascii="Arial" w:hAnsi="Arial" w:cs="Arial"/>
          <w:sz w:val="22"/>
          <w:szCs w:val="22"/>
        </w:rPr>
      </w:pPr>
    </w:p>
    <w:p w:rsidR="009B4233" w:rsidRDefault="006B08B9">
      <w:pPr>
        <w:numPr>
          <w:ilvl w:val="0"/>
          <w:numId w:val="60"/>
        </w:numPr>
        <w:jc w:val="both"/>
        <w:textAlignment w:val="auto"/>
        <w:rPr>
          <w:rFonts w:ascii="Arial" w:hAnsi="Arial" w:cs="Arial"/>
          <w:sz w:val="22"/>
          <w:szCs w:val="22"/>
        </w:rPr>
      </w:pPr>
      <w:r>
        <w:rPr>
          <w:rFonts w:ascii="Arial" w:hAnsi="Arial" w:cs="Arial"/>
          <w:sz w:val="22"/>
          <w:szCs w:val="22"/>
        </w:rPr>
        <w:t>Certificado y/o documento de los servicios sociales municipales en el que se haga constar que los miembros computables de la unidad familiar son beneficiarios de ayudas de ese servicio por estar en situación de vulnerabilidad económic</w:t>
      </w:r>
      <w:r>
        <w:rPr>
          <w:rFonts w:ascii="Arial" w:hAnsi="Arial" w:cs="Arial"/>
          <w:sz w:val="22"/>
          <w:szCs w:val="22"/>
        </w:rPr>
        <w:t>a.</w:t>
      </w:r>
    </w:p>
    <w:p w:rsidR="009B4233" w:rsidRDefault="009B4233">
      <w:pPr>
        <w:ind w:left="360"/>
        <w:jc w:val="both"/>
        <w:rPr>
          <w:rFonts w:ascii="Arial" w:hAnsi="Arial" w:cs="Arial"/>
          <w:sz w:val="22"/>
          <w:szCs w:val="22"/>
        </w:rPr>
      </w:pPr>
    </w:p>
    <w:p w:rsidR="009B4233" w:rsidRDefault="006B08B9">
      <w:pPr>
        <w:numPr>
          <w:ilvl w:val="0"/>
          <w:numId w:val="60"/>
        </w:numPr>
        <w:jc w:val="both"/>
        <w:textAlignment w:val="auto"/>
        <w:rPr>
          <w:rFonts w:ascii="Arial" w:hAnsi="Arial" w:cs="Arial"/>
          <w:sz w:val="22"/>
          <w:szCs w:val="22"/>
        </w:rPr>
      </w:pPr>
      <w:r>
        <w:rPr>
          <w:rFonts w:ascii="Arial" w:hAnsi="Arial" w:cs="Arial"/>
          <w:sz w:val="22"/>
          <w:szCs w:val="22"/>
        </w:rPr>
        <w:t>Certificado acreditativo de situación de vulnerabilidad económica emitido por alguna organización no gubernamental legalmente reconocida según lo previsto en la Ley 43/2015, de 9 de octubre del Tercer Sector de Acción Social, y/o cuya acreditación pued</w:t>
      </w:r>
      <w:r>
        <w:rPr>
          <w:rFonts w:ascii="Arial" w:hAnsi="Arial" w:cs="Arial"/>
          <w:sz w:val="22"/>
          <w:szCs w:val="22"/>
        </w:rPr>
        <w:t>e basarse en su registro legal o mediante reconocimiento por parte de otras instituciones u organismos públicos oficiales. En dicho certificado se debe indicar que los miembros computables de la unidad familiar son beneficiarios de ayudas de esa organizaci</w:t>
      </w:r>
      <w:r>
        <w:rPr>
          <w:rFonts w:ascii="Arial" w:hAnsi="Arial" w:cs="Arial"/>
          <w:sz w:val="22"/>
          <w:szCs w:val="22"/>
        </w:rPr>
        <w:t>ón por estar en situación de vulnerabilidad económica, indicándose el tipo de ayuda que reciben.</w:t>
      </w:r>
    </w:p>
    <w:p w:rsidR="009B4233" w:rsidRDefault="009B4233">
      <w:pPr>
        <w:jc w:val="both"/>
        <w:rPr>
          <w:rFonts w:ascii="Arial" w:hAnsi="Arial" w:cs="Arial"/>
          <w:sz w:val="22"/>
          <w:szCs w:val="22"/>
        </w:rPr>
      </w:pPr>
    </w:p>
    <w:p w:rsidR="009B4233" w:rsidRDefault="006B08B9">
      <w:pPr>
        <w:ind w:firstLine="1134"/>
        <w:jc w:val="both"/>
        <w:rPr>
          <w:rFonts w:ascii="Arial" w:hAnsi="Arial" w:cs="Arial"/>
          <w:sz w:val="22"/>
          <w:szCs w:val="22"/>
        </w:rPr>
      </w:pPr>
      <w:r>
        <w:rPr>
          <w:rFonts w:ascii="Arial" w:hAnsi="Arial" w:cs="Arial"/>
          <w:sz w:val="22"/>
          <w:szCs w:val="22"/>
        </w:rPr>
        <w:t>La certificación deberá tener firma y sello de la organización emisora. Los certificados recogidos en los apartados a) y b) anteriores, deberán estar emitidos</w:t>
      </w:r>
      <w:r>
        <w:rPr>
          <w:rFonts w:ascii="Arial" w:hAnsi="Arial" w:cs="Arial"/>
          <w:sz w:val="22"/>
          <w:szCs w:val="22"/>
        </w:rPr>
        <w:t xml:space="preserve"> en un periodo no superior a 6 meses a la presentación de la solicitud.</w:t>
      </w:r>
    </w:p>
    <w:p w:rsidR="009B4233" w:rsidRDefault="009B4233">
      <w:pPr>
        <w:ind w:firstLine="1134"/>
        <w:jc w:val="both"/>
        <w:rPr>
          <w:rFonts w:ascii="Arial" w:hAnsi="Arial" w:cs="Arial"/>
          <w:sz w:val="22"/>
          <w:szCs w:val="22"/>
        </w:rPr>
      </w:pPr>
    </w:p>
    <w:p w:rsidR="009B4233" w:rsidRDefault="006B08B9">
      <w:pPr>
        <w:ind w:firstLine="1134"/>
        <w:jc w:val="both"/>
        <w:rPr>
          <w:rFonts w:ascii="Arial" w:hAnsi="Arial" w:cs="Arial"/>
          <w:sz w:val="22"/>
          <w:szCs w:val="22"/>
        </w:rPr>
      </w:pPr>
      <w:r>
        <w:rPr>
          <w:rFonts w:ascii="Arial" w:hAnsi="Arial" w:cs="Arial"/>
          <w:sz w:val="22"/>
          <w:szCs w:val="22"/>
        </w:rPr>
        <w:t>Si ambos sustentadores principales no tuvieran DNI o NIE y presentan pasaportes, su situación económica no puede ser verificada según indica esta convocatoria, puesto que no hay vincu</w:t>
      </w:r>
      <w:r>
        <w:rPr>
          <w:rFonts w:ascii="Arial" w:hAnsi="Arial" w:cs="Arial"/>
          <w:sz w:val="22"/>
          <w:szCs w:val="22"/>
        </w:rPr>
        <w:t>lación legal en España para solicitar y recibir datos económicos de intermediación, estas unidades familiares deberán presentar el certificado de los servicios sociales municipales o el certificado de alguna organización no gubernamental legalmente reconoc</w:t>
      </w:r>
      <w:r>
        <w:rPr>
          <w:rFonts w:ascii="Arial" w:hAnsi="Arial" w:cs="Arial"/>
          <w:sz w:val="22"/>
          <w:szCs w:val="22"/>
        </w:rPr>
        <w:t>ida, en los términos indicados en los apartados a) y b) anteriores.</w:t>
      </w:r>
    </w:p>
    <w:p w:rsidR="009B4233" w:rsidRDefault="009B4233">
      <w:pPr>
        <w:rPr>
          <w:rFonts w:ascii="Arial" w:hAnsi="Arial" w:cs="Arial"/>
          <w:sz w:val="22"/>
          <w:szCs w:val="22"/>
        </w:rPr>
      </w:pPr>
    </w:p>
    <w:p w:rsidR="009B4233" w:rsidRDefault="006B08B9">
      <w:pPr>
        <w:rPr>
          <w:rFonts w:ascii="Arial" w:hAnsi="Arial" w:cs="Arial"/>
          <w:sz w:val="22"/>
          <w:szCs w:val="22"/>
        </w:rPr>
      </w:pPr>
      <w:r>
        <w:rPr>
          <w:rFonts w:ascii="Arial" w:hAnsi="Arial" w:cs="Arial"/>
          <w:sz w:val="22"/>
          <w:szCs w:val="22"/>
        </w:rPr>
        <w:t>3. Bonificaciones de carácter medioambiental</w:t>
      </w:r>
    </w:p>
    <w:p w:rsidR="009B4233" w:rsidRDefault="009B4233">
      <w:pPr>
        <w:rPr>
          <w:rFonts w:ascii="Arial" w:hAnsi="Arial" w:cs="Arial"/>
          <w:sz w:val="22"/>
          <w:szCs w:val="22"/>
        </w:rPr>
      </w:pPr>
    </w:p>
    <w:p w:rsidR="009B4233" w:rsidRDefault="006B08B9">
      <w:pPr>
        <w:jc w:val="both"/>
        <w:rPr>
          <w:rFonts w:ascii="Arial" w:hAnsi="Arial" w:cs="Arial"/>
          <w:sz w:val="22"/>
          <w:szCs w:val="22"/>
        </w:rPr>
      </w:pPr>
      <w:r>
        <w:rPr>
          <w:rFonts w:ascii="Arial" w:hAnsi="Arial" w:cs="Arial"/>
          <w:sz w:val="22"/>
          <w:szCs w:val="22"/>
        </w:rPr>
        <w:t>a) Sobre la parte variable de la cuota tributaria, podrán aplicarse las siguientes bonificaciones, acumulables hasta un máximo del 100 % de d</w:t>
      </w:r>
      <w:r>
        <w:rPr>
          <w:rFonts w:ascii="Arial" w:hAnsi="Arial" w:cs="Arial"/>
          <w:sz w:val="22"/>
          <w:szCs w:val="22"/>
        </w:rPr>
        <w:t>icha parte:</w:t>
      </w:r>
    </w:p>
    <w:p w:rsidR="009B4233" w:rsidRDefault="006B08B9">
      <w:pPr>
        <w:pStyle w:val="Prrafodelista"/>
        <w:widowControl/>
        <w:numPr>
          <w:ilvl w:val="0"/>
          <w:numId w:val="61"/>
        </w:numPr>
        <w:suppressAutoHyphens w:val="0"/>
        <w:spacing w:after="160"/>
        <w:jc w:val="both"/>
        <w:textAlignment w:val="auto"/>
        <w:rPr>
          <w:rFonts w:ascii="Arial" w:hAnsi="Arial" w:cs="Arial"/>
          <w:sz w:val="22"/>
          <w:szCs w:val="22"/>
        </w:rPr>
      </w:pPr>
      <w:r>
        <w:rPr>
          <w:rFonts w:ascii="Arial" w:hAnsi="Arial" w:cs="Arial"/>
          <w:sz w:val="22"/>
          <w:szCs w:val="22"/>
        </w:rPr>
        <w:t>25 % por participación en programas de compostaje doméstico o comunitario.</w:t>
      </w:r>
    </w:p>
    <w:p w:rsidR="009B4233" w:rsidRDefault="006B08B9">
      <w:pPr>
        <w:pStyle w:val="Prrafodelista"/>
        <w:widowControl/>
        <w:numPr>
          <w:ilvl w:val="0"/>
          <w:numId w:val="61"/>
        </w:numPr>
        <w:suppressAutoHyphens w:val="0"/>
        <w:spacing w:after="160"/>
        <w:jc w:val="both"/>
        <w:textAlignment w:val="auto"/>
        <w:rPr>
          <w:rFonts w:ascii="Arial" w:hAnsi="Arial" w:cs="Arial"/>
          <w:sz w:val="22"/>
          <w:szCs w:val="22"/>
        </w:rPr>
      </w:pPr>
      <w:r>
        <w:rPr>
          <w:rFonts w:ascii="Arial" w:hAnsi="Arial" w:cs="Arial"/>
          <w:sz w:val="22"/>
          <w:szCs w:val="22"/>
        </w:rPr>
        <w:t>25 % por participación acreditada en el sistema de recogida separada de biorresiduos (quinto contenedor).</w:t>
      </w:r>
    </w:p>
    <w:p w:rsidR="009B4233" w:rsidRDefault="006B08B9">
      <w:pPr>
        <w:pStyle w:val="Prrafodelista"/>
        <w:widowControl/>
        <w:numPr>
          <w:ilvl w:val="0"/>
          <w:numId w:val="61"/>
        </w:numPr>
        <w:suppressAutoHyphens w:val="0"/>
        <w:spacing w:after="160"/>
        <w:jc w:val="both"/>
        <w:textAlignment w:val="auto"/>
        <w:rPr>
          <w:rFonts w:ascii="Arial" w:hAnsi="Arial" w:cs="Arial"/>
          <w:sz w:val="22"/>
          <w:szCs w:val="22"/>
        </w:rPr>
      </w:pPr>
      <w:r>
        <w:rPr>
          <w:rFonts w:ascii="Arial" w:hAnsi="Arial" w:cs="Arial"/>
          <w:sz w:val="22"/>
          <w:szCs w:val="22"/>
        </w:rPr>
        <w:t>Hasta el 25 % por utilización correcta del servicio municipal d</w:t>
      </w:r>
      <w:r>
        <w:rPr>
          <w:rFonts w:ascii="Arial" w:hAnsi="Arial" w:cs="Arial"/>
          <w:sz w:val="22"/>
          <w:szCs w:val="22"/>
        </w:rPr>
        <w:t xml:space="preserve">e recogida de voluminosos, a tramitar a través de la aplicación informativa implantada al efecto por el Ayuntamiento de Candelaria </w:t>
      </w:r>
    </w:p>
    <w:p w:rsidR="009B4233" w:rsidRDefault="006B08B9">
      <w:pPr>
        <w:jc w:val="both"/>
        <w:rPr>
          <w:rFonts w:ascii="Arial" w:hAnsi="Arial" w:cs="Arial"/>
          <w:sz w:val="22"/>
          <w:szCs w:val="22"/>
        </w:rPr>
      </w:pPr>
      <w:r>
        <w:rPr>
          <w:rFonts w:ascii="Arial" w:hAnsi="Arial" w:cs="Arial"/>
          <w:sz w:val="22"/>
          <w:szCs w:val="22"/>
        </w:rPr>
        <w:t xml:space="preserve">b) En el caso de actividades económicas, se podrá conceder una bonificación de hasta el 75 % de la parte variable de la </w:t>
      </w:r>
      <w:r>
        <w:rPr>
          <w:rFonts w:ascii="Arial" w:hAnsi="Arial" w:cs="Arial"/>
          <w:sz w:val="22"/>
          <w:szCs w:val="22"/>
        </w:rPr>
        <w:t>cuota tributaria a aquellos establecimientos que acrediten documentalmente la gestión de sus residuos mediante gestores autorizados, debidamente reconocidos.</w:t>
      </w:r>
    </w:p>
    <w:p w:rsidR="009B4233" w:rsidRDefault="009B4233">
      <w:pPr>
        <w:jc w:val="both"/>
        <w:rPr>
          <w:rFonts w:ascii="Arial" w:hAnsi="Arial" w:cs="Arial"/>
          <w:sz w:val="22"/>
          <w:szCs w:val="22"/>
        </w:rPr>
      </w:pPr>
    </w:p>
    <w:p w:rsidR="009B4233" w:rsidRDefault="006B08B9">
      <w:pPr>
        <w:jc w:val="both"/>
        <w:rPr>
          <w:rFonts w:ascii="Arial" w:hAnsi="Arial" w:cs="Arial"/>
          <w:sz w:val="22"/>
          <w:szCs w:val="22"/>
        </w:rPr>
      </w:pPr>
      <w:r>
        <w:rPr>
          <w:rFonts w:ascii="Arial" w:hAnsi="Arial" w:cs="Arial"/>
          <w:sz w:val="22"/>
          <w:szCs w:val="22"/>
        </w:rPr>
        <w:t>c) Cuando en un mismo inmueble concurran simultáneamente la cuota correspondiente al uso residenc</w:t>
      </w:r>
      <w:r>
        <w:rPr>
          <w:rFonts w:ascii="Arial" w:hAnsi="Arial" w:cs="Arial"/>
          <w:sz w:val="22"/>
          <w:szCs w:val="22"/>
        </w:rPr>
        <w:t>ial (epígrafe 0) y cualquiera de las cuotas correspondientes a actividades económicas, se aplicará una bonificación del setenta y cinco por cien (75 %) sobre la parte variable de la cuota tributaria de la tarifa correspondiente a la actividad económica, si</w:t>
      </w:r>
      <w:r>
        <w:rPr>
          <w:rFonts w:ascii="Arial" w:hAnsi="Arial" w:cs="Arial"/>
          <w:sz w:val="22"/>
          <w:szCs w:val="22"/>
        </w:rPr>
        <w:t>empre que la actividad desarrollada no se encuentre incluida en el listado de actividades clasificadas.</w:t>
      </w:r>
    </w:p>
    <w:p w:rsidR="009B4233" w:rsidRDefault="006B08B9">
      <w:pPr>
        <w:jc w:val="both"/>
        <w:rPr>
          <w:rFonts w:ascii="Arial" w:hAnsi="Arial" w:cs="Arial"/>
          <w:sz w:val="22"/>
          <w:szCs w:val="22"/>
        </w:rPr>
      </w:pPr>
      <w:r>
        <w:rPr>
          <w:rFonts w:ascii="Arial" w:hAnsi="Arial" w:cs="Arial"/>
          <w:sz w:val="22"/>
          <w:szCs w:val="22"/>
        </w:rPr>
        <w:t xml:space="preserve">A estos efectos, tendrán la consideración de actividades clasificadas aquellas recogidas en el Nomenclátor publicado en el anexo del </w:t>
      </w:r>
      <w:bookmarkStart w:id="2" w:name="_Hlk208481783"/>
      <w:r>
        <w:rPr>
          <w:rFonts w:ascii="Arial" w:hAnsi="Arial" w:cs="Arial"/>
          <w:sz w:val="22"/>
          <w:szCs w:val="22"/>
        </w:rPr>
        <w:t>Decreto 52/2012, de</w:t>
      </w:r>
      <w:r>
        <w:rPr>
          <w:rFonts w:ascii="Arial" w:hAnsi="Arial" w:cs="Arial"/>
          <w:sz w:val="22"/>
          <w:szCs w:val="22"/>
        </w:rPr>
        <w:t xml:space="preserve"> 7 de junio</w:t>
      </w:r>
      <w:bookmarkEnd w:id="2"/>
      <w:r>
        <w:rPr>
          <w:rFonts w:ascii="Arial" w:hAnsi="Arial" w:cs="Arial"/>
          <w:sz w:val="22"/>
          <w:szCs w:val="22"/>
        </w:rPr>
        <w:t>, por el que se establece la relación de actividades clasificadas y se determinan aquellas a las que resulta de aplicación el régimen de autorización administrativa previa.</w:t>
      </w:r>
    </w:p>
    <w:p w:rsidR="009B4233" w:rsidRDefault="006B08B9">
      <w:pPr>
        <w:jc w:val="both"/>
        <w:rPr>
          <w:rFonts w:ascii="Arial" w:hAnsi="Arial" w:cs="Arial"/>
          <w:sz w:val="22"/>
          <w:szCs w:val="22"/>
        </w:rPr>
      </w:pPr>
      <w:r>
        <w:rPr>
          <w:rFonts w:ascii="Arial" w:hAnsi="Arial" w:cs="Arial"/>
          <w:sz w:val="22"/>
          <w:szCs w:val="22"/>
        </w:rPr>
        <w:t>En consecuencia, las actividades no incluidas en el citado listado abona</w:t>
      </w:r>
      <w:r>
        <w:rPr>
          <w:rFonts w:ascii="Arial" w:hAnsi="Arial" w:cs="Arial"/>
          <w:sz w:val="22"/>
          <w:szCs w:val="22"/>
        </w:rPr>
        <w:t>rán la cuota correspondiente al uso residencial (epígrafe 0), pudiendo aplicarse las bonificaciones previstas en la parte fija y variable cuando proceda, y abonarán igualmente la cuota fija correspondiente al uso económico, resultando bonificada en su tota</w:t>
      </w:r>
      <w:r>
        <w:rPr>
          <w:rFonts w:ascii="Arial" w:hAnsi="Arial" w:cs="Arial"/>
          <w:sz w:val="22"/>
          <w:szCs w:val="22"/>
        </w:rPr>
        <w:t>lidad la parte variable de esta última.</w:t>
      </w:r>
    </w:p>
    <w:p w:rsidR="009B4233" w:rsidRDefault="009B4233">
      <w:pPr>
        <w:jc w:val="both"/>
        <w:rPr>
          <w:rFonts w:ascii="Arial" w:hAnsi="Arial" w:cs="Arial"/>
          <w:sz w:val="22"/>
          <w:szCs w:val="22"/>
        </w:rPr>
      </w:pPr>
    </w:p>
    <w:p w:rsidR="009B4233" w:rsidRDefault="009B4233">
      <w:pPr>
        <w:ind w:firstLine="709"/>
        <w:jc w:val="both"/>
        <w:rPr>
          <w:rFonts w:ascii="Arial" w:hAnsi="Arial" w:cs="Arial"/>
          <w:sz w:val="22"/>
          <w:szCs w:val="22"/>
        </w:rPr>
      </w:pPr>
    </w:p>
    <w:p w:rsidR="009B4233" w:rsidRDefault="006B08B9">
      <w:pPr>
        <w:pStyle w:val="Default"/>
        <w:ind w:firstLine="709"/>
        <w:jc w:val="both"/>
      </w:pPr>
      <w:r>
        <w:rPr>
          <w:bCs/>
          <w:sz w:val="22"/>
          <w:szCs w:val="22"/>
        </w:rPr>
        <w:t>No obstante, la Disposición Transitoria de la presente Ordenanza Fiscal, señala que hasta</w:t>
      </w:r>
      <w:r>
        <w:rPr>
          <w:sz w:val="22"/>
          <w:szCs w:val="22"/>
        </w:rPr>
        <w:t xml:space="preserve"> que se disponga de los medios técnicos, procedimientos u otras herramientas administrativas necesarias para la efectiva </w:t>
      </w:r>
      <w:r>
        <w:rPr>
          <w:sz w:val="22"/>
          <w:szCs w:val="22"/>
        </w:rPr>
        <w:t xml:space="preserve">aplicación de los sistemas de bonificación previstos en el artículo 9, aquellos apartados cuya operatividad dependa de dichos instrumentos quedarán en suspenso, como máximo durante 3 ejercicios, sin perjuicio de su plena aplicación una vez desarrolladas y </w:t>
      </w:r>
      <w:r>
        <w:rPr>
          <w:sz w:val="22"/>
          <w:szCs w:val="22"/>
        </w:rPr>
        <w:t>habilitadas las condiciones necesarias para su gestión.</w:t>
      </w:r>
    </w:p>
    <w:p w:rsidR="009B4233" w:rsidRDefault="009B4233">
      <w:pPr>
        <w:pStyle w:val="Prrafodelista"/>
        <w:jc w:val="both"/>
        <w:rPr>
          <w:rFonts w:ascii="Arial" w:hAnsi="Arial" w:cs="Arial"/>
          <w:sz w:val="22"/>
          <w:szCs w:val="22"/>
        </w:rPr>
      </w:pPr>
    </w:p>
    <w:p w:rsidR="009B4233" w:rsidRDefault="006B08B9">
      <w:pPr>
        <w:jc w:val="both"/>
        <w:rPr>
          <w:rFonts w:ascii="Arial" w:hAnsi="Arial" w:cs="Arial"/>
          <w:sz w:val="22"/>
          <w:szCs w:val="22"/>
        </w:rPr>
      </w:pPr>
      <w:r>
        <w:rPr>
          <w:rFonts w:ascii="Arial" w:hAnsi="Arial" w:cs="Arial"/>
          <w:sz w:val="22"/>
          <w:szCs w:val="22"/>
        </w:rPr>
        <w:t>b) En el caso de actividades económicas, se podrá conceder una bonificación de hasta el 75 % de la parte variable de la cuota tributaria a aquellos establecimientos que acrediten documentalmente la g</w:t>
      </w:r>
      <w:r>
        <w:rPr>
          <w:rFonts w:ascii="Arial" w:hAnsi="Arial" w:cs="Arial"/>
          <w:sz w:val="22"/>
          <w:szCs w:val="22"/>
        </w:rPr>
        <w:t>estión de sus residuos mediante gestores autorizados, debidamente reconocidos.</w:t>
      </w:r>
    </w:p>
    <w:p w:rsidR="009B4233" w:rsidRDefault="009B4233">
      <w:pPr>
        <w:jc w:val="both"/>
        <w:rPr>
          <w:rFonts w:ascii="Arial" w:hAnsi="Arial" w:cs="Arial"/>
          <w:sz w:val="22"/>
          <w:szCs w:val="22"/>
        </w:rPr>
      </w:pPr>
    </w:p>
    <w:p w:rsidR="009B4233" w:rsidRDefault="006B08B9">
      <w:pPr>
        <w:jc w:val="both"/>
        <w:rPr>
          <w:rFonts w:ascii="Arial" w:hAnsi="Arial" w:cs="Arial"/>
          <w:sz w:val="22"/>
          <w:szCs w:val="22"/>
        </w:rPr>
      </w:pPr>
      <w:r>
        <w:rPr>
          <w:rFonts w:ascii="Arial" w:hAnsi="Arial" w:cs="Arial"/>
          <w:sz w:val="22"/>
          <w:szCs w:val="22"/>
        </w:rPr>
        <w:t>c) Cuando en un mismo inmueble concurran simultáneamente la cuota correspondiente al uso residencial (epígrafe 0) y cualquiera de las cuotas correspondientes a actividades econ</w:t>
      </w:r>
      <w:r>
        <w:rPr>
          <w:rFonts w:ascii="Arial" w:hAnsi="Arial" w:cs="Arial"/>
          <w:sz w:val="22"/>
          <w:szCs w:val="22"/>
        </w:rPr>
        <w:t>ómicas, se aplicará una bonificación del setenta y cinco por cien (75 %) sobre la parte variable de la cuota tributaria de la tarifa correspondiente a la actividad económica, siempre que la actividad desarrollada no se encuentre incluida en el listado de a</w:t>
      </w:r>
      <w:r>
        <w:rPr>
          <w:rFonts w:ascii="Arial" w:hAnsi="Arial" w:cs="Arial"/>
          <w:sz w:val="22"/>
          <w:szCs w:val="22"/>
        </w:rPr>
        <w:t>ctividades clasificadas.</w:t>
      </w:r>
    </w:p>
    <w:p w:rsidR="009B4233" w:rsidRDefault="006B08B9">
      <w:pPr>
        <w:jc w:val="both"/>
        <w:rPr>
          <w:rFonts w:ascii="Arial" w:hAnsi="Arial" w:cs="Arial"/>
          <w:sz w:val="22"/>
          <w:szCs w:val="22"/>
        </w:rPr>
      </w:pPr>
      <w:r>
        <w:rPr>
          <w:rFonts w:ascii="Arial" w:hAnsi="Arial" w:cs="Arial"/>
          <w:sz w:val="22"/>
          <w:szCs w:val="22"/>
        </w:rPr>
        <w:t xml:space="preserve">A estos efectos, tendrán la consideración de actividades clasificadas aquellas recogidas en el Nomenclátor publicado en el anexo del Decreto 52/2012, de 7 de junio, por el que se establece la relación de actividades clasificadas y </w:t>
      </w:r>
      <w:r>
        <w:rPr>
          <w:rFonts w:ascii="Arial" w:hAnsi="Arial" w:cs="Arial"/>
          <w:sz w:val="22"/>
          <w:szCs w:val="22"/>
        </w:rPr>
        <w:t>se determinan aquellas a las que resulta de aplicación el régimen de autorización administrativa previa.</w:t>
      </w:r>
    </w:p>
    <w:p w:rsidR="009B4233" w:rsidRDefault="009B4233">
      <w:pPr>
        <w:jc w:val="both"/>
        <w:rPr>
          <w:rFonts w:ascii="Arial" w:hAnsi="Arial" w:cs="Arial"/>
          <w:sz w:val="22"/>
          <w:szCs w:val="22"/>
        </w:rPr>
      </w:pPr>
    </w:p>
    <w:p w:rsidR="009B4233" w:rsidRDefault="006B08B9">
      <w:pPr>
        <w:jc w:val="both"/>
        <w:rPr>
          <w:rFonts w:ascii="Arial" w:hAnsi="Arial" w:cs="Arial"/>
          <w:sz w:val="22"/>
          <w:szCs w:val="22"/>
        </w:rPr>
      </w:pPr>
      <w:r>
        <w:rPr>
          <w:rFonts w:ascii="Arial" w:hAnsi="Arial" w:cs="Arial"/>
          <w:sz w:val="22"/>
          <w:szCs w:val="22"/>
        </w:rPr>
        <w:t>En consecuencia, las actividades no incluidas en el citado listado abonarán la cuota correspondiente al uso residencial (epígrafe 0), pudiendo aplicar</w:t>
      </w:r>
      <w:r>
        <w:rPr>
          <w:rFonts w:ascii="Arial" w:hAnsi="Arial" w:cs="Arial"/>
          <w:sz w:val="22"/>
          <w:szCs w:val="22"/>
        </w:rPr>
        <w:t>se las bonificaciones previstas en la parte fija y variable cuando proceda, y abonarán igualmente la cuota fija correspondiente al uso económico, resultando bonificada en su totalidad la parte variable de esta última.</w:t>
      </w:r>
    </w:p>
    <w:p w:rsidR="009B4233" w:rsidRDefault="009B4233">
      <w:pPr>
        <w:jc w:val="both"/>
        <w:rPr>
          <w:rFonts w:ascii="Arial" w:hAnsi="Arial" w:cs="Arial"/>
          <w:sz w:val="22"/>
          <w:szCs w:val="22"/>
        </w:rPr>
      </w:pPr>
    </w:p>
    <w:p w:rsidR="009B4233" w:rsidRDefault="006B08B9">
      <w:pPr>
        <w:ind w:firstLine="709"/>
        <w:jc w:val="both"/>
        <w:rPr>
          <w:rFonts w:ascii="Arial" w:hAnsi="Arial" w:cs="Arial"/>
          <w:sz w:val="22"/>
          <w:szCs w:val="22"/>
        </w:rPr>
      </w:pPr>
      <w:r>
        <w:rPr>
          <w:rFonts w:ascii="Arial" w:hAnsi="Arial" w:cs="Arial"/>
          <w:sz w:val="22"/>
          <w:szCs w:val="22"/>
        </w:rPr>
        <w:t>Todas las bonificaciones contempladas</w:t>
      </w:r>
      <w:r>
        <w:rPr>
          <w:rFonts w:ascii="Arial" w:hAnsi="Arial" w:cs="Arial"/>
          <w:sz w:val="22"/>
          <w:szCs w:val="22"/>
        </w:rPr>
        <w:t xml:space="preserve"> tendrán vigencia anual, no serán automáticas y estarán condicionadas a la presentación de la documentación acreditativa dentro del plazo previsto en la ordenanza. Su concesión estará sujeta a verificación por parte de los servicios técnicos municipales y </w:t>
      </w:r>
      <w:r>
        <w:rPr>
          <w:rFonts w:ascii="Arial" w:hAnsi="Arial" w:cs="Arial"/>
          <w:sz w:val="22"/>
          <w:szCs w:val="22"/>
        </w:rPr>
        <w:t xml:space="preserve">podrá ser revocada en caso de falseamiento u ocultación de datos relevantes. </w:t>
      </w:r>
    </w:p>
    <w:p w:rsidR="009B4233" w:rsidRDefault="009B4233">
      <w:pPr>
        <w:ind w:firstLine="709"/>
        <w:jc w:val="both"/>
        <w:rPr>
          <w:rFonts w:ascii="Arial" w:hAnsi="Arial" w:cs="Arial"/>
          <w:sz w:val="22"/>
          <w:szCs w:val="22"/>
        </w:rPr>
      </w:pPr>
    </w:p>
    <w:p w:rsidR="009B4233" w:rsidRDefault="006B08B9">
      <w:pPr>
        <w:ind w:firstLine="709"/>
        <w:jc w:val="both"/>
        <w:rPr>
          <w:rFonts w:ascii="Arial" w:hAnsi="Arial" w:cs="Arial"/>
          <w:sz w:val="22"/>
          <w:szCs w:val="22"/>
        </w:rPr>
      </w:pPr>
      <w:r>
        <w:rPr>
          <w:rFonts w:ascii="Arial" w:hAnsi="Arial" w:cs="Arial"/>
          <w:sz w:val="22"/>
          <w:szCs w:val="22"/>
        </w:rPr>
        <w:t>En cumplimiento de lo dispuesto en el artículo 11.3 de la Ley 7/2022, se propone la modificación del actual epígrafe 7, denominado “Hospedaje y actividades hoteleras”, sustituyé</w:t>
      </w:r>
      <w:r>
        <w:rPr>
          <w:rFonts w:ascii="Arial" w:hAnsi="Arial" w:cs="Arial"/>
          <w:sz w:val="22"/>
          <w:szCs w:val="22"/>
        </w:rPr>
        <w:t>ndolo por la denominación “Alojamientos (hoteleros y extrahoteleros)”.</w:t>
      </w:r>
    </w:p>
    <w:p w:rsidR="009B4233" w:rsidRDefault="009B4233">
      <w:pPr>
        <w:ind w:firstLine="709"/>
        <w:jc w:val="both"/>
        <w:rPr>
          <w:rFonts w:ascii="Arial" w:hAnsi="Arial" w:cs="Arial"/>
          <w:sz w:val="22"/>
          <w:szCs w:val="22"/>
        </w:rPr>
      </w:pPr>
    </w:p>
    <w:p w:rsidR="009B4233" w:rsidRDefault="006B08B9">
      <w:pPr>
        <w:ind w:firstLine="709"/>
        <w:jc w:val="both"/>
        <w:rPr>
          <w:rFonts w:ascii="Arial" w:hAnsi="Arial" w:cs="Arial"/>
          <w:sz w:val="22"/>
          <w:szCs w:val="22"/>
        </w:rPr>
      </w:pPr>
      <w:r>
        <w:rPr>
          <w:rFonts w:ascii="Arial" w:hAnsi="Arial" w:cs="Arial"/>
          <w:sz w:val="22"/>
          <w:szCs w:val="22"/>
        </w:rPr>
        <w:t>Según la definición recogida en la normativa autonómica, la actividad turística de alojamiento está regulada por el Decreto 142/2010, de 4 de octubre, por el que se aprueba el Reglamen</w:t>
      </w:r>
      <w:r>
        <w:rPr>
          <w:rFonts w:ascii="Arial" w:hAnsi="Arial" w:cs="Arial"/>
          <w:sz w:val="22"/>
          <w:szCs w:val="22"/>
        </w:rPr>
        <w:t>to de la actividad turística de alojamiento, donde se establecen los equipamientos, dotaciones comunes y servicios de aplicación. Posteriormente, el Decreto 113/2015, de 22 de mayo, por el que se aprueba el Reglamento de las viviendas vacacionales en la Co</w:t>
      </w:r>
      <w:r>
        <w:rPr>
          <w:rFonts w:ascii="Arial" w:hAnsi="Arial" w:cs="Arial"/>
          <w:sz w:val="22"/>
          <w:szCs w:val="22"/>
        </w:rPr>
        <w:t>munidad Autónoma de Canarias, modifica el artículo 5 del citado Decreto 142/2010, incorporando la tipología de vivienda vacacional dentro de la modalidad extrahotelera.</w:t>
      </w:r>
    </w:p>
    <w:p w:rsidR="009B4233" w:rsidRDefault="009B4233">
      <w:pPr>
        <w:ind w:firstLine="709"/>
        <w:jc w:val="both"/>
        <w:rPr>
          <w:rFonts w:ascii="Arial" w:hAnsi="Arial" w:cs="Arial"/>
          <w:sz w:val="22"/>
          <w:szCs w:val="22"/>
        </w:rPr>
      </w:pPr>
    </w:p>
    <w:p w:rsidR="009B4233" w:rsidRDefault="006B08B9">
      <w:pPr>
        <w:ind w:firstLine="709"/>
        <w:jc w:val="both"/>
        <w:rPr>
          <w:rFonts w:ascii="Arial" w:hAnsi="Arial" w:cs="Arial"/>
          <w:sz w:val="22"/>
          <w:szCs w:val="22"/>
        </w:rPr>
      </w:pPr>
      <w:r>
        <w:rPr>
          <w:rFonts w:ascii="Arial" w:hAnsi="Arial" w:cs="Arial"/>
          <w:sz w:val="22"/>
          <w:szCs w:val="22"/>
        </w:rPr>
        <w:t>De este modo, se distinguen dos grandes categorías:</w:t>
      </w:r>
    </w:p>
    <w:p w:rsidR="009B4233" w:rsidRDefault="009B4233">
      <w:pPr>
        <w:ind w:firstLine="709"/>
        <w:jc w:val="both"/>
        <w:rPr>
          <w:rFonts w:ascii="Arial" w:hAnsi="Arial" w:cs="Arial"/>
          <w:sz w:val="22"/>
          <w:szCs w:val="22"/>
        </w:rPr>
      </w:pPr>
    </w:p>
    <w:p w:rsidR="009B4233" w:rsidRDefault="006B08B9">
      <w:pPr>
        <w:pStyle w:val="Prrafodelista"/>
        <w:widowControl/>
        <w:numPr>
          <w:ilvl w:val="0"/>
          <w:numId w:val="62"/>
        </w:numPr>
        <w:suppressAutoHyphens w:val="0"/>
        <w:spacing w:after="160"/>
        <w:jc w:val="both"/>
        <w:textAlignment w:val="auto"/>
        <w:rPr>
          <w:rFonts w:ascii="Arial" w:hAnsi="Arial" w:cs="Arial"/>
          <w:sz w:val="22"/>
          <w:szCs w:val="22"/>
        </w:rPr>
      </w:pPr>
      <w:r>
        <w:rPr>
          <w:rFonts w:ascii="Arial" w:hAnsi="Arial" w:cs="Arial"/>
          <w:sz w:val="22"/>
          <w:szCs w:val="22"/>
        </w:rPr>
        <w:t xml:space="preserve">Alojamiento hotelero: </w:t>
      </w:r>
      <w:r>
        <w:rPr>
          <w:rFonts w:ascii="Arial" w:hAnsi="Arial" w:cs="Arial"/>
          <w:sz w:val="22"/>
          <w:szCs w:val="22"/>
        </w:rPr>
        <w:t>establecimientos de uso turístico que ofrecen servicios de alojamiento y alimentación, incluyendo las siguientes modalidades: hotel, hotel urbano, hotel rural y hotel emblemático.</w:t>
      </w:r>
    </w:p>
    <w:p w:rsidR="009B4233" w:rsidRDefault="006B08B9">
      <w:pPr>
        <w:pStyle w:val="Prrafodelista"/>
        <w:widowControl/>
        <w:numPr>
          <w:ilvl w:val="0"/>
          <w:numId w:val="62"/>
        </w:numPr>
        <w:suppressAutoHyphens w:val="0"/>
        <w:spacing w:after="160"/>
        <w:jc w:val="both"/>
        <w:textAlignment w:val="auto"/>
        <w:rPr>
          <w:rFonts w:ascii="Arial" w:hAnsi="Arial" w:cs="Arial"/>
          <w:sz w:val="22"/>
          <w:szCs w:val="22"/>
        </w:rPr>
      </w:pPr>
      <w:r>
        <w:rPr>
          <w:rFonts w:ascii="Arial" w:hAnsi="Arial" w:cs="Arial"/>
          <w:sz w:val="22"/>
          <w:szCs w:val="22"/>
        </w:rPr>
        <w:t>Alojamiento extrahotelero: establecimientos turísticos que ofrecen alojamien</w:t>
      </w:r>
      <w:r>
        <w:rPr>
          <w:rFonts w:ascii="Arial" w:hAnsi="Arial" w:cs="Arial"/>
          <w:sz w:val="22"/>
          <w:szCs w:val="22"/>
        </w:rPr>
        <w:t>to, con o sin servicios complementarios, comprendiendo las siguientes tipologías: apartamentos, villas, casas rurales, casas emblemáticas y viviendas vacacionales.</w:t>
      </w:r>
    </w:p>
    <w:p w:rsidR="009B4233" w:rsidRDefault="009B4233">
      <w:pPr>
        <w:jc w:val="both"/>
        <w:rPr>
          <w:rFonts w:ascii="Arial" w:hAnsi="Arial" w:cs="Arial"/>
          <w:sz w:val="22"/>
          <w:szCs w:val="22"/>
        </w:rPr>
      </w:pPr>
    </w:p>
    <w:p w:rsidR="009B4233" w:rsidRDefault="006B08B9">
      <w:pPr>
        <w:jc w:val="both"/>
      </w:pPr>
      <w:r>
        <w:rPr>
          <w:rFonts w:ascii="Arial" w:hAnsi="Arial" w:cs="Arial"/>
          <w:sz w:val="22"/>
          <w:szCs w:val="22"/>
        </w:rPr>
        <w:t xml:space="preserve">A continuación se mostrarán las cuotas tributarias actualizadas con </w:t>
      </w:r>
      <w:r>
        <w:rPr>
          <w:rFonts w:ascii="Arial" w:hAnsi="Arial" w:cs="Arial"/>
          <w:b/>
          <w:bCs/>
          <w:sz w:val="22"/>
          <w:szCs w:val="22"/>
          <w:u w:val="single"/>
        </w:rPr>
        <w:t>periodicidad anual:</w:t>
      </w:r>
    </w:p>
    <w:p w:rsidR="009B4233" w:rsidRDefault="009B4233">
      <w:pPr>
        <w:jc w:val="both"/>
        <w:rPr>
          <w:rFonts w:ascii="Arial" w:hAnsi="Arial" w:cs="Arial"/>
          <w:sz w:val="22"/>
          <w:szCs w:val="22"/>
        </w:rPr>
      </w:pPr>
    </w:p>
    <w:tbl>
      <w:tblPr>
        <w:tblW w:w="8434" w:type="dxa"/>
        <w:tblCellMar>
          <w:left w:w="10" w:type="dxa"/>
          <w:right w:w="10" w:type="dxa"/>
        </w:tblCellMar>
        <w:tblLook w:val="0000" w:firstRow="0" w:lastRow="0" w:firstColumn="0" w:lastColumn="0" w:noHBand="0" w:noVBand="0"/>
      </w:tblPr>
      <w:tblGrid>
        <w:gridCol w:w="1021"/>
        <w:gridCol w:w="3653"/>
        <w:gridCol w:w="1350"/>
        <w:gridCol w:w="1559"/>
        <w:gridCol w:w="851"/>
      </w:tblGrid>
      <w:tr w:rsidR="009B4233">
        <w:tblPrEx>
          <w:tblCellMar>
            <w:top w:w="0" w:type="dxa"/>
            <w:bottom w:w="0" w:type="dxa"/>
          </w:tblCellMar>
        </w:tblPrEx>
        <w:trPr>
          <w:trHeight w:val="850"/>
        </w:trPr>
        <w:tc>
          <w:tcPr>
            <w:tcW w:w="1021" w:type="dxa"/>
            <w:tcBorders>
              <w:top w:val="single" w:sz="4" w:space="0" w:color="000000"/>
              <w:left w:val="single" w:sz="4" w:space="0" w:color="000000"/>
              <w:bottom w:val="single" w:sz="4" w:space="0" w:color="000000"/>
              <w:right w:val="single" w:sz="4" w:space="0" w:color="000000"/>
            </w:tcBorders>
            <w:shd w:val="clear" w:color="auto" w:fill="E2EFD9"/>
            <w:tcMar>
              <w:top w:w="0" w:type="dxa"/>
              <w:left w:w="70" w:type="dxa"/>
              <w:bottom w:w="0" w:type="dxa"/>
              <w:right w:w="70" w:type="dxa"/>
            </w:tcMar>
            <w:vAlign w:val="center"/>
          </w:tcPr>
          <w:p w:rsidR="009B4233" w:rsidRDefault="006B08B9">
            <w:pPr>
              <w:jc w:val="center"/>
              <w:rPr>
                <w:rFonts w:ascii="Arial" w:eastAsia="Times New Roman" w:hAnsi="Arial" w:cs="Arial"/>
                <w:b/>
                <w:bCs/>
                <w:color w:val="000000"/>
                <w:sz w:val="22"/>
                <w:szCs w:val="22"/>
                <w:lang w:eastAsia="es-ES"/>
              </w:rPr>
            </w:pPr>
            <w:r>
              <w:rPr>
                <w:rFonts w:ascii="Arial" w:eastAsia="Times New Roman" w:hAnsi="Arial" w:cs="Arial"/>
                <w:b/>
                <w:bCs/>
                <w:color w:val="000000"/>
                <w:sz w:val="22"/>
                <w:szCs w:val="22"/>
                <w:lang w:eastAsia="es-ES"/>
              </w:rPr>
              <w:t>Ep</w:t>
            </w:r>
            <w:r>
              <w:rPr>
                <w:rFonts w:ascii="Arial" w:eastAsia="Times New Roman" w:hAnsi="Arial" w:cs="Arial"/>
                <w:b/>
                <w:bCs/>
                <w:color w:val="000000"/>
                <w:sz w:val="22"/>
                <w:szCs w:val="22"/>
                <w:lang w:eastAsia="es-ES"/>
              </w:rPr>
              <w:t>ígrafe N°</w:t>
            </w:r>
          </w:p>
        </w:tc>
        <w:tc>
          <w:tcPr>
            <w:tcW w:w="3653" w:type="dxa"/>
            <w:tcBorders>
              <w:top w:val="single" w:sz="4" w:space="0" w:color="000000"/>
              <w:bottom w:val="single" w:sz="4" w:space="0" w:color="000000"/>
              <w:right w:val="single" w:sz="4" w:space="0" w:color="000000"/>
            </w:tcBorders>
            <w:shd w:val="clear" w:color="auto" w:fill="E2EFD9"/>
            <w:tcMar>
              <w:top w:w="0" w:type="dxa"/>
              <w:left w:w="70" w:type="dxa"/>
              <w:bottom w:w="0" w:type="dxa"/>
              <w:right w:w="70" w:type="dxa"/>
            </w:tcMar>
            <w:vAlign w:val="center"/>
          </w:tcPr>
          <w:p w:rsidR="009B4233" w:rsidRDefault="006B08B9">
            <w:pPr>
              <w:jc w:val="center"/>
              <w:rPr>
                <w:rFonts w:ascii="Arial" w:eastAsia="Times New Roman" w:hAnsi="Arial" w:cs="Arial"/>
                <w:b/>
                <w:bCs/>
                <w:color w:val="000000"/>
                <w:sz w:val="22"/>
                <w:szCs w:val="22"/>
                <w:lang w:eastAsia="es-ES"/>
              </w:rPr>
            </w:pPr>
            <w:r>
              <w:rPr>
                <w:rFonts w:ascii="Arial" w:eastAsia="Times New Roman" w:hAnsi="Arial" w:cs="Arial"/>
                <w:b/>
                <w:bCs/>
                <w:color w:val="000000"/>
                <w:sz w:val="22"/>
                <w:szCs w:val="22"/>
                <w:lang w:eastAsia="es-ES"/>
              </w:rPr>
              <w:t>Actividad</w:t>
            </w:r>
          </w:p>
        </w:tc>
        <w:tc>
          <w:tcPr>
            <w:tcW w:w="1350" w:type="dxa"/>
            <w:tcBorders>
              <w:top w:val="single" w:sz="4" w:space="0" w:color="000000"/>
              <w:bottom w:val="single" w:sz="4" w:space="0" w:color="000000"/>
              <w:right w:val="single" w:sz="4" w:space="0" w:color="000000"/>
            </w:tcBorders>
            <w:shd w:val="clear" w:color="auto" w:fill="E2EFD9"/>
            <w:tcMar>
              <w:top w:w="0" w:type="dxa"/>
              <w:left w:w="70" w:type="dxa"/>
              <w:bottom w:w="0" w:type="dxa"/>
              <w:right w:w="70" w:type="dxa"/>
            </w:tcMar>
            <w:vAlign w:val="center"/>
          </w:tcPr>
          <w:p w:rsidR="009B4233" w:rsidRDefault="006B08B9">
            <w:pPr>
              <w:jc w:val="center"/>
              <w:rPr>
                <w:rFonts w:ascii="Arial" w:eastAsia="Times New Roman" w:hAnsi="Arial" w:cs="Arial"/>
                <w:b/>
                <w:bCs/>
                <w:color w:val="000000"/>
                <w:sz w:val="22"/>
                <w:szCs w:val="22"/>
                <w:lang w:eastAsia="es-ES"/>
              </w:rPr>
            </w:pPr>
            <w:r>
              <w:rPr>
                <w:rFonts w:ascii="Arial" w:eastAsia="Times New Roman" w:hAnsi="Arial" w:cs="Arial"/>
                <w:b/>
                <w:bCs/>
                <w:color w:val="000000"/>
                <w:sz w:val="22"/>
                <w:szCs w:val="22"/>
                <w:lang w:eastAsia="es-ES"/>
              </w:rPr>
              <w:t>Sup. menor de 50 m²</w:t>
            </w:r>
          </w:p>
        </w:tc>
        <w:tc>
          <w:tcPr>
            <w:tcW w:w="1559" w:type="dxa"/>
            <w:tcBorders>
              <w:top w:val="single" w:sz="4" w:space="0" w:color="000000"/>
              <w:bottom w:val="single" w:sz="4" w:space="0" w:color="000000"/>
              <w:right w:val="single" w:sz="4" w:space="0" w:color="000000"/>
            </w:tcBorders>
            <w:shd w:val="clear" w:color="auto" w:fill="E2EFD9"/>
            <w:tcMar>
              <w:top w:w="0" w:type="dxa"/>
              <w:left w:w="70" w:type="dxa"/>
              <w:bottom w:w="0" w:type="dxa"/>
              <w:right w:w="70" w:type="dxa"/>
            </w:tcMar>
            <w:vAlign w:val="center"/>
          </w:tcPr>
          <w:p w:rsidR="009B4233" w:rsidRDefault="006B08B9">
            <w:pPr>
              <w:jc w:val="center"/>
              <w:rPr>
                <w:rFonts w:ascii="Arial" w:eastAsia="Times New Roman" w:hAnsi="Arial" w:cs="Arial"/>
                <w:b/>
                <w:bCs/>
                <w:color w:val="000000"/>
                <w:sz w:val="22"/>
                <w:szCs w:val="22"/>
                <w:lang w:eastAsia="es-ES"/>
              </w:rPr>
            </w:pPr>
            <w:r>
              <w:rPr>
                <w:rFonts w:ascii="Arial" w:eastAsia="Times New Roman" w:hAnsi="Arial" w:cs="Arial"/>
                <w:b/>
                <w:bCs/>
                <w:color w:val="000000"/>
                <w:sz w:val="22"/>
                <w:szCs w:val="22"/>
                <w:lang w:eastAsia="es-ES"/>
              </w:rPr>
              <w:t>Sup. entre 50 y 100 m²</w:t>
            </w:r>
          </w:p>
        </w:tc>
        <w:tc>
          <w:tcPr>
            <w:tcW w:w="851" w:type="dxa"/>
            <w:tcBorders>
              <w:top w:val="single" w:sz="4" w:space="0" w:color="000000"/>
              <w:bottom w:val="single" w:sz="4" w:space="0" w:color="000000"/>
              <w:right w:val="single" w:sz="4" w:space="0" w:color="000000"/>
            </w:tcBorders>
            <w:shd w:val="clear" w:color="auto" w:fill="E2EFD9"/>
            <w:tcMar>
              <w:top w:w="0" w:type="dxa"/>
              <w:left w:w="70" w:type="dxa"/>
              <w:bottom w:w="0" w:type="dxa"/>
              <w:right w:w="70" w:type="dxa"/>
            </w:tcMar>
            <w:vAlign w:val="center"/>
          </w:tcPr>
          <w:p w:rsidR="009B4233" w:rsidRDefault="006B08B9">
            <w:pPr>
              <w:jc w:val="center"/>
              <w:rPr>
                <w:rFonts w:ascii="Arial" w:eastAsia="Times New Roman" w:hAnsi="Arial" w:cs="Arial"/>
                <w:b/>
                <w:bCs/>
                <w:color w:val="000000"/>
                <w:sz w:val="22"/>
                <w:szCs w:val="22"/>
                <w:lang w:eastAsia="es-ES"/>
              </w:rPr>
            </w:pPr>
            <w:r>
              <w:rPr>
                <w:rFonts w:ascii="Arial" w:eastAsia="Times New Roman" w:hAnsi="Arial" w:cs="Arial"/>
                <w:b/>
                <w:bCs/>
                <w:color w:val="000000"/>
                <w:sz w:val="22"/>
                <w:szCs w:val="22"/>
                <w:lang w:eastAsia="es-ES"/>
              </w:rPr>
              <w:t>Cada m² a partir de 100 m²</w:t>
            </w:r>
          </w:p>
        </w:tc>
      </w:tr>
      <w:tr w:rsidR="009B4233">
        <w:tblPrEx>
          <w:tblCellMar>
            <w:top w:w="0" w:type="dxa"/>
            <w:bottom w:w="0" w:type="dxa"/>
          </w:tblCellMar>
        </w:tblPrEx>
        <w:trPr>
          <w:trHeight w:val="141"/>
        </w:trPr>
        <w:tc>
          <w:tcPr>
            <w:tcW w:w="1021" w:type="dxa"/>
            <w:tcBorders>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9B4233" w:rsidRDefault="006B08B9">
            <w:pPr>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0</w:t>
            </w:r>
          </w:p>
        </w:tc>
        <w:tc>
          <w:tcPr>
            <w:tcW w:w="3653"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rsidR="009B4233" w:rsidRDefault="006B08B9">
            <w:pP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Viviendas con uso residencial</w:t>
            </w:r>
          </w:p>
        </w:tc>
        <w:tc>
          <w:tcPr>
            <w:tcW w:w="2909" w:type="dxa"/>
            <w:gridSpan w:val="2"/>
            <w:tcBorders>
              <w:bottom w:val="single" w:sz="4" w:space="0" w:color="000000"/>
              <w:right w:val="single" w:sz="4" w:space="0" w:color="000000"/>
            </w:tcBorders>
            <w:shd w:val="clear" w:color="auto" w:fill="auto"/>
            <w:tcMar>
              <w:top w:w="0" w:type="dxa"/>
              <w:left w:w="70" w:type="dxa"/>
              <w:bottom w:w="0" w:type="dxa"/>
              <w:right w:w="70" w:type="dxa"/>
            </w:tcMar>
            <w:vAlign w:val="center"/>
          </w:tcPr>
          <w:p w:rsidR="009B4233" w:rsidRDefault="006B08B9">
            <w:pP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Cuota fija anual</w:t>
            </w:r>
          </w:p>
        </w:tc>
        <w:tc>
          <w:tcPr>
            <w:tcW w:w="851"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rsidR="009B4233" w:rsidRDefault="006B08B9">
            <w:pPr>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 xml:space="preserve">                122,81 € </w:t>
            </w:r>
          </w:p>
        </w:tc>
      </w:tr>
      <w:tr w:rsidR="009B4233">
        <w:tblPrEx>
          <w:tblCellMar>
            <w:top w:w="0" w:type="dxa"/>
            <w:bottom w:w="0" w:type="dxa"/>
          </w:tblCellMar>
        </w:tblPrEx>
        <w:trPr>
          <w:trHeight w:val="317"/>
        </w:trPr>
        <w:tc>
          <w:tcPr>
            <w:tcW w:w="1021" w:type="dxa"/>
            <w:tcBorders>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9B4233" w:rsidRDefault="006B08B9">
            <w:pPr>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1</w:t>
            </w:r>
          </w:p>
        </w:tc>
        <w:tc>
          <w:tcPr>
            <w:tcW w:w="3653"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rsidR="009B4233" w:rsidRDefault="006B08B9">
            <w:pP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Actividades ind., fabriles, mineras y extractivas</w:t>
            </w:r>
          </w:p>
        </w:tc>
        <w:tc>
          <w:tcPr>
            <w:tcW w:w="1350"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rsidR="009B4233" w:rsidRDefault="006B08B9">
            <w:pP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 xml:space="preserve">    236,84 € </w:t>
            </w:r>
          </w:p>
        </w:tc>
        <w:tc>
          <w:tcPr>
            <w:tcW w:w="1559"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rsidR="009B4233" w:rsidRDefault="006B08B9">
            <w:pP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 xml:space="preserve">426,53 € </w:t>
            </w:r>
          </w:p>
          <w:p w:rsidR="009B4233" w:rsidRDefault="009B4233">
            <w:pPr>
              <w:rPr>
                <w:rFonts w:ascii="Arial" w:eastAsia="Times New Roman" w:hAnsi="Arial" w:cs="Arial"/>
                <w:color w:val="000000"/>
                <w:sz w:val="22"/>
                <w:szCs w:val="22"/>
                <w:lang w:eastAsia="es-ES"/>
              </w:rPr>
            </w:pPr>
          </w:p>
        </w:tc>
        <w:tc>
          <w:tcPr>
            <w:tcW w:w="851"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rsidR="009B4233" w:rsidRDefault="006B08B9">
            <w:pPr>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 xml:space="preserve">5,16 € </w:t>
            </w:r>
          </w:p>
          <w:p w:rsidR="009B4233" w:rsidRDefault="009B4233">
            <w:pPr>
              <w:jc w:val="center"/>
              <w:rPr>
                <w:rFonts w:ascii="Arial" w:eastAsia="Times New Roman" w:hAnsi="Arial" w:cs="Arial"/>
                <w:color w:val="000000"/>
                <w:sz w:val="22"/>
                <w:szCs w:val="22"/>
                <w:u w:val="single"/>
                <w:lang w:eastAsia="es-ES"/>
              </w:rPr>
            </w:pPr>
          </w:p>
        </w:tc>
      </w:tr>
      <w:tr w:rsidR="009B4233">
        <w:tblPrEx>
          <w:tblCellMar>
            <w:top w:w="0" w:type="dxa"/>
            <w:bottom w:w="0" w:type="dxa"/>
          </w:tblCellMar>
        </w:tblPrEx>
        <w:trPr>
          <w:trHeight w:val="380"/>
        </w:trPr>
        <w:tc>
          <w:tcPr>
            <w:tcW w:w="1021"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rsidR="009B4233" w:rsidRDefault="006B08B9">
            <w:pPr>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2</w:t>
            </w:r>
          </w:p>
        </w:tc>
        <w:tc>
          <w:tcPr>
            <w:tcW w:w="3653"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rsidR="009B4233" w:rsidRDefault="006B08B9">
            <w:pP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Comercio al por mayor e intermediarios del comercio Comercio menor productos no alimenticios</w:t>
            </w:r>
          </w:p>
        </w:tc>
        <w:tc>
          <w:tcPr>
            <w:tcW w:w="1350" w:type="dxa"/>
            <w:tcBorders>
              <w:bottom w:val="single" w:sz="4" w:space="0" w:color="000000"/>
              <w:right w:val="single" w:sz="4" w:space="0" w:color="000000"/>
            </w:tcBorders>
            <w:shd w:val="clear" w:color="auto" w:fill="auto"/>
            <w:tcMar>
              <w:top w:w="0" w:type="dxa"/>
              <w:left w:w="70" w:type="dxa"/>
              <w:bottom w:w="0" w:type="dxa"/>
              <w:right w:w="70" w:type="dxa"/>
            </w:tcMar>
          </w:tcPr>
          <w:p w:rsidR="009B4233" w:rsidRDefault="006B08B9">
            <w:pP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 xml:space="preserve"> 190,51 € </w:t>
            </w:r>
          </w:p>
        </w:tc>
        <w:tc>
          <w:tcPr>
            <w:tcW w:w="1559" w:type="dxa"/>
            <w:tcBorders>
              <w:bottom w:val="single" w:sz="4" w:space="0" w:color="000000"/>
              <w:right w:val="single" w:sz="4" w:space="0" w:color="000000"/>
            </w:tcBorders>
            <w:shd w:val="clear" w:color="auto" w:fill="auto"/>
            <w:tcMar>
              <w:top w:w="0" w:type="dxa"/>
              <w:left w:w="70" w:type="dxa"/>
              <w:bottom w:w="0" w:type="dxa"/>
              <w:right w:w="70" w:type="dxa"/>
            </w:tcMar>
          </w:tcPr>
          <w:p w:rsidR="009B4233" w:rsidRDefault="006B08B9">
            <w:pP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 xml:space="preserve"> 338,50 € </w:t>
            </w:r>
          </w:p>
        </w:tc>
        <w:tc>
          <w:tcPr>
            <w:tcW w:w="851" w:type="dxa"/>
            <w:tcBorders>
              <w:bottom w:val="single" w:sz="4" w:space="0" w:color="000000"/>
              <w:right w:val="single" w:sz="4" w:space="0" w:color="000000"/>
            </w:tcBorders>
            <w:shd w:val="clear" w:color="auto" w:fill="auto"/>
            <w:tcMar>
              <w:top w:w="0" w:type="dxa"/>
              <w:left w:w="70" w:type="dxa"/>
              <w:bottom w:w="0" w:type="dxa"/>
              <w:right w:w="70" w:type="dxa"/>
            </w:tcMar>
          </w:tcPr>
          <w:p w:rsidR="009B4233" w:rsidRDefault="006B08B9">
            <w:pP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 xml:space="preserve"> 3,82 € </w:t>
            </w:r>
          </w:p>
        </w:tc>
      </w:tr>
      <w:tr w:rsidR="009B4233">
        <w:tblPrEx>
          <w:tblCellMar>
            <w:top w:w="0" w:type="dxa"/>
            <w:bottom w:w="0" w:type="dxa"/>
          </w:tblCellMar>
        </w:tblPrEx>
        <w:trPr>
          <w:trHeight w:val="545"/>
        </w:trPr>
        <w:tc>
          <w:tcPr>
            <w:tcW w:w="1021"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rsidR="009B4233" w:rsidRDefault="006B08B9">
            <w:pPr>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3</w:t>
            </w:r>
          </w:p>
        </w:tc>
        <w:tc>
          <w:tcPr>
            <w:tcW w:w="3653"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rsidR="009B4233" w:rsidRDefault="006B08B9">
            <w:pP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Comercio al menor productos alimenticios, bebidas y tabaco excepto los prestados en reg. de autoservicio</w:t>
            </w:r>
          </w:p>
        </w:tc>
        <w:tc>
          <w:tcPr>
            <w:tcW w:w="1350" w:type="dxa"/>
            <w:tcBorders>
              <w:bottom w:val="single" w:sz="4" w:space="0" w:color="000000"/>
              <w:right w:val="single" w:sz="4" w:space="0" w:color="000000"/>
            </w:tcBorders>
            <w:shd w:val="clear" w:color="auto" w:fill="auto"/>
            <w:tcMar>
              <w:top w:w="0" w:type="dxa"/>
              <w:left w:w="70" w:type="dxa"/>
              <w:bottom w:w="0" w:type="dxa"/>
              <w:right w:w="70" w:type="dxa"/>
            </w:tcMar>
          </w:tcPr>
          <w:p w:rsidR="009B4233" w:rsidRDefault="006B08B9">
            <w:pP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 xml:space="preserve"> 203,10 € </w:t>
            </w:r>
          </w:p>
        </w:tc>
        <w:tc>
          <w:tcPr>
            <w:tcW w:w="1559" w:type="dxa"/>
            <w:tcBorders>
              <w:bottom w:val="single" w:sz="4" w:space="0" w:color="000000"/>
              <w:right w:val="single" w:sz="4" w:space="0" w:color="000000"/>
            </w:tcBorders>
            <w:shd w:val="clear" w:color="auto" w:fill="auto"/>
            <w:tcMar>
              <w:top w:w="0" w:type="dxa"/>
              <w:left w:w="70" w:type="dxa"/>
              <w:bottom w:w="0" w:type="dxa"/>
              <w:right w:w="70" w:type="dxa"/>
            </w:tcMar>
          </w:tcPr>
          <w:p w:rsidR="009B4233" w:rsidRDefault="006B08B9">
            <w:pP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 xml:space="preserve"> 365,53 € </w:t>
            </w:r>
          </w:p>
        </w:tc>
        <w:tc>
          <w:tcPr>
            <w:tcW w:w="851" w:type="dxa"/>
            <w:tcBorders>
              <w:bottom w:val="single" w:sz="4" w:space="0" w:color="000000"/>
              <w:right w:val="single" w:sz="4" w:space="0" w:color="000000"/>
            </w:tcBorders>
            <w:shd w:val="clear" w:color="auto" w:fill="auto"/>
            <w:tcMar>
              <w:top w:w="0" w:type="dxa"/>
              <w:left w:w="70" w:type="dxa"/>
              <w:bottom w:w="0" w:type="dxa"/>
              <w:right w:w="70" w:type="dxa"/>
            </w:tcMar>
          </w:tcPr>
          <w:p w:rsidR="009B4233" w:rsidRDefault="006B08B9">
            <w:pP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 xml:space="preserve"> </w:t>
            </w:r>
            <w:r>
              <w:rPr>
                <w:rFonts w:ascii="Arial" w:eastAsia="Times New Roman" w:hAnsi="Arial" w:cs="Arial"/>
                <w:color w:val="000000"/>
                <w:sz w:val="22"/>
                <w:szCs w:val="22"/>
                <w:lang w:eastAsia="es-ES"/>
              </w:rPr>
              <w:t xml:space="preserve">4,02 € </w:t>
            </w:r>
          </w:p>
        </w:tc>
      </w:tr>
      <w:tr w:rsidR="009B4233">
        <w:tblPrEx>
          <w:tblCellMar>
            <w:top w:w="0" w:type="dxa"/>
            <w:bottom w:w="0" w:type="dxa"/>
          </w:tblCellMar>
        </w:tblPrEx>
        <w:trPr>
          <w:trHeight w:val="458"/>
        </w:trPr>
        <w:tc>
          <w:tcPr>
            <w:tcW w:w="1021"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rsidR="009B4233" w:rsidRDefault="006B08B9">
            <w:pPr>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4</w:t>
            </w:r>
          </w:p>
        </w:tc>
        <w:tc>
          <w:tcPr>
            <w:tcW w:w="3653"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rsidR="009B4233" w:rsidRDefault="006B08B9">
            <w:pP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Comercio al menor productos alimenticios, bebidas y tabaco prestados en reg. de autoservicio</w:t>
            </w:r>
          </w:p>
        </w:tc>
        <w:tc>
          <w:tcPr>
            <w:tcW w:w="1350" w:type="dxa"/>
            <w:tcBorders>
              <w:bottom w:val="single" w:sz="4" w:space="0" w:color="000000"/>
              <w:right w:val="single" w:sz="4" w:space="0" w:color="000000"/>
            </w:tcBorders>
            <w:shd w:val="clear" w:color="auto" w:fill="auto"/>
            <w:tcMar>
              <w:top w:w="0" w:type="dxa"/>
              <w:left w:w="70" w:type="dxa"/>
              <w:bottom w:w="0" w:type="dxa"/>
              <w:right w:w="70" w:type="dxa"/>
            </w:tcMar>
          </w:tcPr>
          <w:p w:rsidR="009B4233" w:rsidRDefault="006B08B9">
            <w:pP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 xml:space="preserve"> 338,50 € </w:t>
            </w:r>
          </w:p>
        </w:tc>
        <w:tc>
          <w:tcPr>
            <w:tcW w:w="1559" w:type="dxa"/>
            <w:tcBorders>
              <w:bottom w:val="single" w:sz="4" w:space="0" w:color="000000"/>
              <w:right w:val="single" w:sz="4" w:space="0" w:color="000000"/>
            </w:tcBorders>
            <w:shd w:val="clear" w:color="auto" w:fill="auto"/>
            <w:tcMar>
              <w:top w:w="0" w:type="dxa"/>
              <w:left w:w="70" w:type="dxa"/>
              <w:bottom w:w="0" w:type="dxa"/>
              <w:right w:w="70" w:type="dxa"/>
            </w:tcMar>
          </w:tcPr>
          <w:p w:rsidR="009B4233" w:rsidRDefault="006B08B9">
            <w:pP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 xml:space="preserve"> 609,40 € </w:t>
            </w:r>
          </w:p>
        </w:tc>
        <w:tc>
          <w:tcPr>
            <w:tcW w:w="851" w:type="dxa"/>
            <w:tcBorders>
              <w:bottom w:val="single" w:sz="4" w:space="0" w:color="000000"/>
              <w:right w:val="single" w:sz="4" w:space="0" w:color="000000"/>
            </w:tcBorders>
            <w:shd w:val="clear" w:color="auto" w:fill="auto"/>
            <w:tcMar>
              <w:top w:w="0" w:type="dxa"/>
              <w:left w:w="70" w:type="dxa"/>
              <w:bottom w:w="0" w:type="dxa"/>
              <w:right w:w="70" w:type="dxa"/>
            </w:tcMar>
          </w:tcPr>
          <w:p w:rsidR="009B4233" w:rsidRDefault="006B08B9">
            <w:pPr>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 xml:space="preserve"> 4,02 € </w:t>
            </w:r>
          </w:p>
        </w:tc>
      </w:tr>
      <w:tr w:rsidR="009B4233">
        <w:tblPrEx>
          <w:tblCellMar>
            <w:top w:w="0" w:type="dxa"/>
            <w:bottom w:w="0" w:type="dxa"/>
          </w:tblCellMar>
        </w:tblPrEx>
        <w:trPr>
          <w:trHeight w:val="223"/>
        </w:trPr>
        <w:tc>
          <w:tcPr>
            <w:tcW w:w="1021"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rsidR="009B4233" w:rsidRDefault="006B08B9">
            <w:pPr>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5</w:t>
            </w:r>
          </w:p>
        </w:tc>
        <w:tc>
          <w:tcPr>
            <w:tcW w:w="3653"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rsidR="009B4233" w:rsidRDefault="006B08B9">
            <w:pP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Restauración y otros serv. de alimentación, servicios en restaurantes</w:t>
            </w:r>
          </w:p>
        </w:tc>
        <w:tc>
          <w:tcPr>
            <w:tcW w:w="1350" w:type="dxa"/>
            <w:tcBorders>
              <w:bottom w:val="single" w:sz="4" w:space="0" w:color="000000"/>
              <w:right w:val="single" w:sz="4" w:space="0" w:color="000000"/>
            </w:tcBorders>
            <w:shd w:val="clear" w:color="auto" w:fill="auto"/>
            <w:tcMar>
              <w:top w:w="0" w:type="dxa"/>
              <w:left w:w="70" w:type="dxa"/>
              <w:bottom w:w="0" w:type="dxa"/>
              <w:right w:w="70" w:type="dxa"/>
            </w:tcMar>
          </w:tcPr>
          <w:p w:rsidR="009B4233" w:rsidRDefault="006B08B9">
            <w:pP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 xml:space="preserve"> 676,17 € </w:t>
            </w:r>
          </w:p>
        </w:tc>
        <w:tc>
          <w:tcPr>
            <w:tcW w:w="1559" w:type="dxa"/>
            <w:tcBorders>
              <w:bottom w:val="single" w:sz="4" w:space="0" w:color="000000"/>
              <w:right w:val="single" w:sz="4" w:space="0" w:color="000000"/>
            </w:tcBorders>
            <w:shd w:val="clear" w:color="auto" w:fill="auto"/>
            <w:tcMar>
              <w:top w:w="0" w:type="dxa"/>
              <w:left w:w="70" w:type="dxa"/>
              <w:bottom w:w="0" w:type="dxa"/>
              <w:right w:w="70" w:type="dxa"/>
            </w:tcMar>
          </w:tcPr>
          <w:p w:rsidR="009B4233" w:rsidRDefault="006B08B9">
            <w:pP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 xml:space="preserve"> 930,97 € </w:t>
            </w:r>
          </w:p>
        </w:tc>
        <w:tc>
          <w:tcPr>
            <w:tcW w:w="851" w:type="dxa"/>
            <w:tcBorders>
              <w:bottom w:val="single" w:sz="4" w:space="0" w:color="000000"/>
              <w:right w:val="single" w:sz="4" w:space="0" w:color="000000"/>
            </w:tcBorders>
            <w:shd w:val="clear" w:color="auto" w:fill="auto"/>
            <w:tcMar>
              <w:top w:w="0" w:type="dxa"/>
              <w:left w:w="70" w:type="dxa"/>
              <w:bottom w:w="0" w:type="dxa"/>
              <w:right w:w="70" w:type="dxa"/>
            </w:tcMar>
          </w:tcPr>
          <w:p w:rsidR="009B4233" w:rsidRDefault="006B08B9">
            <w:pPr>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 xml:space="preserve"> 4,13 € </w:t>
            </w:r>
          </w:p>
        </w:tc>
      </w:tr>
      <w:tr w:rsidR="009B4233">
        <w:tblPrEx>
          <w:tblCellMar>
            <w:top w:w="0" w:type="dxa"/>
            <w:bottom w:w="0" w:type="dxa"/>
          </w:tblCellMar>
        </w:tblPrEx>
        <w:trPr>
          <w:trHeight w:val="201"/>
        </w:trPr>
        <w:tc>
          <w:tcPr>
            <w:tcW w:w="1021"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rsidR="009B4233" w:rsidRDefault="006B08B9">
            <w:pPr>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6</w:t>
            </w:r>
          </w:p>
        </w:tc>
        <w:tc>
          <w:tcPr>
            <w:tcW w:w="3653"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rsidR="009B4233" w:rsidRDefault="006B08B9">
            <w:pP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Restauración y</w:t>
            </w:r>
            <w:r>
              <w:rPr>
                <w:rFonts w:ascii="Arial" w:eastAsia="Times New Roman" w:hAnsi="Arial" w:cs="Arial"/>
                <w:color w:val="000000"/>
                <w:sz w:val="22"/>
                <w:szCs w:val="22"/>
                <w:lang w:eastAsia="es-ES"/>
              </w:rPr>
              <w:t xml:space="preserve"> otros serv. de alimentación, excepto serv. de restaurantes</w:t>
            </w:r>
          </w:p>
        </w:tc>
        <w:tc>
          <w:tcPr>
            <w:tcW w:w="1350" w:type="dxa"/>
            <w:tcBorders>
              <w:bottom w:val="single" w:sz="4" w:space="0" w:color="000000"/>
              <w:right w:val="single" w:sz="4" w:space="0" w:color="000000"/>
            </w:tcBorders>
            <w:shd w:val="clear" w:color="auto" w:fill="auto"/>
            <w:tcMar>
              <w:top w:w="0" w:type="dxa"/>
              <w:left w:w="70" w:type="dxa"/>
              <w:bottom w:w="0" w:type="dxa"/>
              <w:right w:w="70" w:type="dxa"/>
            </w:tcMar>
          </w:tcPr>
          <w:p w:rsidR="009B4233" w:rsidRDefault="006B08B9">
            <w:pP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 xml:space="preserve"> 338,19 € </w:t>
            </w:r>
          </w:p>
        </w:tc>
        <w:tc>
          <w:tcPr>
            <w:tcW w:w="1559" w:type="dxa"/>
            <w:tcBorders>
              <w:bottom w:val="single" w:sz="4" w:space="0" w:color="000000"/>
              <w:right w:val="single" w:sz="4" w:space="0" w:color="000000"/>
            </w:tcBorders>
            <w:shd w:val="clear" w:color="auto" w:fill="auto"/>
            <w:tcMar>
              <w:top w:w="0" w:type="dxa"/>
              <w:left w:w="70" w:type="dxa"/>
              <w:bottom w:w="0" w:type="dxa"/>
              <w:right w:w="70" w:type="dxa"/>
            </w:tcMar>
          </w:tcPr>
          <w:p w:rsidR="009B4233" w:rsidRDefault="006B08B9">
            <w:pP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 xml:space="preserve"> 465,43 € </w:t>
            </w:r>
          </w:p>
        </w:tc>
        <w:tc>
          <w:tcPr>
            <w:tcW w:w="851" w:type="dxa"/>
            <w:tcBorders>
              <w:bottom w:val="single" w:sz="4" w:space="0" w:color="000000"/>
              <w:right w:val="single" w:sz="4" w:space="0" w:color="000000"/>
            </w:tcBorders>
            <w:shd w:val="clear" w:color="auto" w:fill="auto"/>
            <w:tcMar>
              <w:top w:w="0" w:type="dxa"/>
              <w:left w:w="70" w:type="dxa"/>
              <w:bottom w:w="0" w:type="dxa"/>
              <w:right w:w="70" w:type="dxa"/>
            </w:tcMar>
          </w:tcPr>
          <w:p w:rsidR="009B4233" w:rsidRDefault="006B08B9">
            <w:pPr>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 xml:space="preserve"> 4,13 € </w:t>
            </w:r>
          </w:p>
        </w:tc>
      </w:tr>
      <w:tr w:rsidR="009B4233">
        <w:tblPrEx>
          <w:tblCellMar>
            <w:top w:w="0" w:type="dxa"/>
            <w:bottom w:w="0" w:type="dxa"/>
          </w:tblCellMar>
        </w:tblPrEx>
        <w:trPr>
          <w:trHeight w:val="90"/>
        </w:trPr>
        <w:tc>
          <w:tcPr>
            <w:tcW w:w="1021"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rsidR="009B4233" w:rsidRDefault="006B08B9">
            <w:pPr>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7</w:t>
            </w:r>
          </w:p>
        </w:tc>
        <w:tc>
          <w:tcPr>
            <w:tcW w:w="3653"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rsidR="009B4233" w:rsidRDefault="006B08B9">
            <w:pP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Alojamiento (hotelero y extrahotelero)</w:t>
            </w:r>
          </w:p>
        </w:tc>
        <w:tc>
          <w:tcPr>
            <w:tcW w:w="3760" w:type="dxa"/>
            <w:gridSpan w:val="3"/>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rsidR="009B4233" w:rsidRDefault="006B08B9">
            <w:pPr>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71,00 € por cama</w:t>
            </w:r>
          </w:p>
        </w:tc>
      </w:tr>
      <w:tr w:rsidR="009B4233">
        <w:tblPrEx>
          <w:tblCellMar>
            <w:top w:w="0" w:type="dxa"/>
            <w:bottom w:w="0" w:type="dxa"/>
          </w:tblCellMar>
        </w:tblPrEx>
        <w:trPr>
          <w:trHeight w:val="90"/>
        </w:trPr>
        <w:tc>
          <w:tcPr>
            <w:tcW w:w="1021"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rsidR="009B4233" w:rsidRDefault="006B08B9">
            <w:pPr>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8</w:t>
            </w:r>
          </w:p>
        </w:tc>
        <w:tc>
          <w:tcPr>
            <w:tcW w:w="3653"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rsidR="009B4233" w:rsidRDefault="006B08B9">
            <w:pP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Transporte marítimo y terrestre</w:t>
            </w:r>
          </w:p>
        </w:tc>
        <w:tc>
          <w:tcPr>
            <w:tcW w:w="1350" w:type="dxa"/>
            <w:tcBorders>
              <w:bottom w:val="single" w:sz="4" w:space="0" w:color="000000"/>
              <w:right w:val="single" w:sz="4" w:space="0" w:color="000000"/>
            </w:tcBorders>
            <w:shd w:val="clear" w:color="auto" w:fill="auto"/>
            <w:noWrap/>
            <w:tcMar>
              <w:top w:w="0" w:type="dxa"/>
              <w:left w:w="70" w:type="dxa"/>
              <w:bottom w:w="0" w:type="dxa"/>
              <w:right w:w="70" w:type="dxa"/>
            </w:tcMar>
          </w:tcPr>
          <w:p w:rsidR="009B4233" w:rsidRDefault="006B08B9">
            <w:pP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 xml:space="preserve"> 245,82 € </w:t>
            </w:r>
          </w:p>
        </w:tc>
        <w:tc>
          <w:tcPr>
            <w:tcW w:w="1559" w:type="dxa"/>
            <w:tcBorders>
              <w:bottom w:val="single" w:sz="4" w:space="0" w:color="000000"/>
              <w:right w:val="single" w:sz="4" w:space="0" w:color="000000"/>
            </w:tcBorders>
            <w:shd w:val="clear" w:color="auto" w:fill="auto"/>
            <w:noWrap/>
            <w:tcMar>
              <w:top w:w="0" w:type="dxa"/>
              <w:left w:w="70" w:type="dxa"/>
              <w:bottom w:w="0" w:type="dxa"/>
              <w:right w:w="70" w:type="dxa"/>
            </w:tcMar>
          </w:tcPr>
          <w:p w:rsidR="009B4233" w:rsidRDefault="006B08B9">
            <w:pP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 xml:space="preserve"> 341,90 € </w:t>
            </w:r>
          </w:p>
        </w:tc>
        <w:tc>
          <w:tcPr>
            <w:tcW w:w="851" w:type="dxa"/>
            <w:tcBorders>
              <w:bottom w:val="single" w:sz="4" w:space="0" w:color="000000"/>
              <w:right w:val="single" w:sz="4" w:space="0" w:color="000000"/>
            </w:tcBorders>
            <w:shd w:val="clear" w:color="auto" w:fill="auto"/>
            <w:noWrap/>
            <w:tcMar>
              <w:top w:w="0" w:type="dxa"/>
              <w:left w:w="70" w:type="dxa"/>
              <w:bottom w:w="0" w:type="dxa"/>
              <w:right w:w="70" w:type="dxa"/>
            </w:tcMar>
          </w:tcPr>
          <w:p w:rsidR="009B4233" w:rsidRDefault="006B08B9">
            <w:pP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 xml:space="preserve"> 4,02 € </w:t>
            </w:r>
          </w:p>
        </w:tc>
      </w:tr>
      <w:tr w:rsidR="009B4233">
        <w:tblPrEx>
          <w:tblCellMar>
            <w:top w:w="0" w:type="dxa"/>
            <w:bottom w:w="0" w:type="dxa"/>
          </w:tblCellMar>
        </w:tblPrEx>
        <w:trPr>
          <w:trHeight w:val="269"/>
        </w:trPr>
        <w:tc>
          <w:tcPr>
            <w:tcW w:w="1021"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rsidR="009B4233" w:rsidRDefault="006B08B9">
            <w:pPr>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9</w:t>
            </w:r>
          </w:p>
        </w:tc>
        <w:tc>
          <w:tcPr>
            <w:tcW w:w="3653"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rsidR="009B4233" w:rsidRDefault="006B08B9">
            <w:pP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 xml:space="preserve">Servicios inmobiliarios, de seg. y </w:t>
            </w:r>
            <w:r>
              <w:rPr>
                <w:rFonts w:ascii="Arial" w:eastAsia="Times New Roman" w:hAnsi="Arial" w:cs="Arial"/>
                <w:color w:val="000000"/>
                <w:sz w:val="22"/>
                <w:szCs w:val="22"/>
                <w:lang w:eastAsia="es-ES"/>
              </w:rPr>
              <w:t>consultoría</w:t>
            </w:r>
          </w:p>
        </w:tc>
        <w:tc>
          <w:tcPr>
            <w:tcW w:w="1350" w:type="dxa"/>
            <w:tcBorders>
              <w:bottom w:val="single" w:sz="4" w:space="0" w:color="000000"/>
              <w:right w:val="single" w:sz="4" w:space="0" w:color="000000"/>
            </w:tcBorders>
            <w:shd w:val="clear" w:color="auto" w:fill="auto"/>
            <w:noWrap/>
            <w:tcMar>
              <w:top w:w="0" w:type="dxa"/>
              <w:left w:w="70" w:type="dxa"/>
              <w:bottom w:w="0" w:type="dxa"/>
              <w:right w:w="70" w:type="dxa"/>
            </w:tcMar>
          </w:tcPr>
          <w:p w:rsidR="009B4233" w:rsidRDefault="006B08B9">
            <w:pP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 xml:space="preserve"> 123,12 € </w:t>
            </w:r>
          </w:p>
        </w:tc>
        <w:tc>
          <w:tcPr>
            <w:tcW w:w="1559" w:type="dxa"/>
            <w:tcBorders>
              <w:bottom w:val="single" w:sz="4" w:space="0" w:color="000000"/>
              <w:right w:val="single" w:sz="4" w:space="0" w:color="000000"/>
            </w:tcBorders>
            <w:shd w:val="clear" w:color="auto" w:fill="auto"/>
            <w:noWrap/>
            <w:tcMar>
              <w:top w:w="0" w:type="dxa"/>
              <w:left w:w="70" w:type="dxa"/>
              <w:bottom w:w="0" w:type="dxa"/>
              <w:right w:w="70" w:type="dxa"/>
            </w:tcMar>
          </w:tcPr>
          <w:p w:rsidR="009B4233" w:rsidRDefault="006B08B9">
            <w:pP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 xml:space="preserve"> 221,78 € </w:t>
            </w:r>
          </w:p>
        </w:tc>
        <w:tc>
          <w:tcPr>
            <w:tcW w:w="851" w:type="dxa"/>
            <w:tcBorders>
              <w:bottom w:val="single" w:sz="4" w:space="0" w:color="000000"/>
              <w:right w:val="single" w:sz="4" w:space="0" w:color="000000"/>
            </w:tcBorders>
            <w:shd w:val="clear" w:color="auto" w:fill="auto"/>
            <w:noWrap/>
            <w:tcMar>
              <w:top w:w="0" w:type="dxa"/>
              <w:left w:w="70" w:type="dxa"/>
              <w:bottom w:w="0" w:type="dxa"/>
              <w:right w:w="70" w:type="dxa"/>
            </w:tcMar>
          </w:tcPr>
          <w:p w:rsidR="009B4233" w:rsidRDefault="006B08B9">
            <w:pP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 xml:space="preserve"> 1,96 € </w:t>
            </w:r>
          </w:p>
        </w:tc>
      </w:tr>
      <w:tr w:rsidR="009B4233">
        <w:tblPrEx>
          <w:tblCellMar>
            <w:top w:w="0" w:type="dxa"/>
            <w:bottom w:w="0" w:type="dxa"/>
          </w:tblCellMar>
        </w:tblPrEx>
        <w:trPr>
          <w:trHeight w:val="112"/>
        </w:trPr>
        <w:tc>
          <w:tcPr>
            <w:tcW w:w="1021"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rsidR="009B4233" w:rsidRDefault="006B08B9">
            <w:pPr>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10</w:t>
            </w:r>
          </w:p>
        </w:tc>
        <w:tc>
          <w:tcPr>
            <w:tcW w:w="3653"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rsidR="009B4233" w:rsidRDefault="006B08B9">
            <w:pP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Instituciones financieras</w:t>
            </w:r>
          </w:p>
        </w:tc>
        <w:tc>
          <w:tcPr>
            <w:tcW w:w="1350" w:type="dxa"/>
            <w:tcBorders>
              <w:bottom w:val="single" w:sz="4" w:space="0" w:color="000000"/>
              <w:right w:val="single" w:sz="4" w:space="0" w:color="000000"/>
            </w:tcBorders>
            <w:shd w:val="clear" w:color="auto" w:fill="auto"/>
            <w:noWrap/>
            <w:tcMar>
              <w:top w:w="0" w:type="dxa"/>
              <w:left w:w="70" w:type="dxa"/>
              <w:bottom w:w="0" w:type="dxa"/>
              <w:right w:w="70" w:type="dxa"/>
            </w:tcMar>
          </w:tcPr>
          <w:p w:rsidR="009B4233" w:rsidRDefault="006B08B9">
            <w:pP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 xml:space="preserve"> 282,05 € </w:t>
            </w:r>
          </w:p>
        </w:tc>
        <w:tc>
          <w:tcPr>
            <w:tcW w:w="1559" w:type="dxa"/>
            <w:tcBorders>
              <w:bottom w:val="single" w:sz="4" w:space="0" w:color="000000"/>
              <w:right w:val="single" w:sz="4" w:space="0" w:color="000000"/>
            </w:tcBorders>
            <w:shd w:val="clear" w:color="auto" w:fill="auto"/>
            <w:noWrap/>
            <w:tcMar>
              <w:top w:w="0" w:type="dxa"/>
              <w:left w:w="70" w:type="dxa"/>
              <w:bottom w:w="0" w:type="dxa"/>
              <w:right w:w="70" w:type="dxa"/>
            </w:tcMar>
          </w:tcPr>
          <w:p w:rsidR="009B4233" w:rsidRDefault="006B08B9">
            <w:pP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 xml:space="preserve"> 507,85 € </w:t>
            </w:r>
          </w:p>
        </w:tc>
        <w:tc>
          <w:tcPr>
            <w:tcW w:w="851" w:type="dxa"/>
            <w:tcBorders>
              <w:bottom w:val="single" w:sz="4" w:space="0" w:color="000000"/>
              <w:right w:val="single" w:sz="4" w:space="0" w:color="000000"/>
            </w:tcBorders>
            <w:shd w:val="clear" w:color="auto" w:fill="auto"/>
            <w:noWrap/>
            <w:tcMar>
              <w:top w:w="0" w:type="dxa"/>
              <w:left w:w="70" w:type="dxa"/>
              <w:bottom w:w="0" w:type="dxa"/>
              <w:right w:w="70" w:type="dxa"/>
            </w:tcMar>
          </w:tcPr>
          <w:p w:rsidR="009B4233" w:rsidRDefault="006B08B9">
            <w:pP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 xml:space="preserve"> 4,64 € </w:t>
            </w:r>
          </w:p>
        </w:tc>
      </w:tr>
      <w:tr w:rsidR="009B4233">
        <w:tblPrEx>
          <w:tblCellMar>
            <w:top w:w="0" w:type="dxa"/>
            <w:bottom w:w="0" w:type="dxa"/>
          </w:tblCellMar>
        </w:tblPrEx>
        <w:trPr>
          <w:trHeight w:val="247"/>
        </w:trPr>
        <w:tc>
          <w:tcPr>
            <w:tcW w:w="1021"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rsidR="009B4233" w:rsidRDefault="006B08B9">
            <w:pPr>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11</w:t>
            </w:r>
          </w:p>
        </w:tc>
        <w:tc>
          <w:tcPr>
            <w:tcW w:w="3653"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rsidR="009B4233" w:rsidRDefault="006B08B9">
            <w:pP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Educación e Investigación. 93, 96.7.2</w:t>
            </w:r>
          </w:p>
        </w:tc>
        <w:tc>
          <w:tcPr>
            <w:tcW w:w="1350" w:type="dxa"/>
            <w:tcBorders>
              <w:bottom w:val="single" w:sz="4" w:space="0" w:color="000000"/>
              <w:right w:val="single" w:sz="4" w:space="0" w:color="000000"/>
            </w:tcBorders>
            <w:shd w:val="clear" w:color="auto" w:fill="auto"/>
            <w:noWrap/>
            <w:tcMar>
              <w:top w:w="0" w:type="dxa"/>
              <w:left w:w="70" w:type="dxa"/>
              <w:bottom w:w="0" w:type="dxa"/>
              <w:right w:w="70" w:type="dxa"/>
            </w:tcMar>
          </w:tcPr>
          <w:p w:rsidR="009B4233" w:rsidRDefault="006B08B9">
            <w:pP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 xml:space="preserve"> 169,56 € </w:t>
            </w:r>
          </w:p>
        </w:tc>
        <w:tc>
          <w:tcPr>
            <w:tcW w:w="1559" w:type="dxa"/>
            <w:tcBorders>
              <w:bottom w:val="single" w:sz="4" w:space="0" w:color="000000"/>
              <w:right w:val="single" w:sz="4" w:space="0" w:color="000000"/>
            </w:tcBorders>
            <w:shd w:val="clear" w:color="auto" w:fill="auto"/>
            <w:noWrap/>
            <w:tcMar>
              <w:top w:w="0" w:type="dxa"/>
              <w:left w:w="70" w:type="dxa"/>
              <w:bottom w:w="0" w:type="dxa"/>
              <w:right w:w="70" w:type="dxa"/>
            </w:tcMar>
          </w:tcPr>
          <w:p w:rsidR="009B4233" w:rsidRDefault="006B08B9">
            <w:pP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 xml:space="preserve"> 173,17 € </w:t>
            </w:r>
          </w:p>
        </w:tc>
        <w:tc>
          <w:tcPr>
            <w:tcW w:w="851" w:type="dxa"/>
            <w:tcBorders>
              <w:bottom w:val="single" w:sz="4" w:space="0" w:color="000000"/>
              <w:right w:val="single" w:sz="4" w:space="0" w:color="000000"/>
            </w:tcBorders>
            <w:shd w:val="clear" w:color="auto" w:fill="auto"/>
            <w:noWrap/>
            <w:tcMar>
              <w:top w:w="0" w:type="dxa"/>
              <w:left w:w="70" w:type="dxa"/>
              <w:bottom w:w="0" w:type="dxa"/>
              <w:right w:w="70" w:type="dxa"/>
            </w:tcMar>
          </w:tcPr>
          <w:p w:rsidR="009B4233" w:rsidRDefault="006B08B9">
            <w:pP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 xml:space="preserve"> 2,58 € </w:t>
            </w:r>
          </w:p>
        </w:tc>
      </w:tr>
      <w:tr w:rsidR="009B4233">
        <w:tblPrEx>
          <w:tblCellMar>
            <w:top w:w="0" w:type="dxa"/>
            <w:bottom w:w="0" w:type="dxa"/>
          </w:tblCellMar>
        </w:tblPrEx>
        <w:trPr>
          <w:trHeight w:val="90"/>
        </w:trPr>
        <w:tc>
          <w:tcPr>
            <w:tcW w:w="1021"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rsidR="009B4233" w:rsidRDefault="006B08B9">
            <w:pPr>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12</w:t>
            </w:r>
          </w:p>
        </w:tc>
        <w:tc>
          <w:tcPr>
            <w:tcW w:w="3653"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rsidR="009B4233" w:rsidRDefault="006B08B9">
            <w:pP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Serv. de Saneamiento y Limpieza.</w:t>
            </w:r>
          </w:p>
        </w:tc>
        <w:tc>
          <w:tcPr>
            <w:tcW w:w="1350" w:type="dxa"/>
            <w:tcBorders>
              <w:bottom w:val="single" w:sz="4" w:space="0" w:color="000000"/>
              <w:right w:val="single" w:sz="4" w:space="0" w:color="000000"/>
            </w:tcBorders>
            <w:shd w:val="clear" w:color="auto" w:fill="auto"/>
            <w:noWrap/>
            <w:tcMar>
              <w:top w:w="0" w:type="dxa"/>
              <w:left w:w="70" w:type="dxa"/>
              <w:bottom w:w="0" w:type="dxa"/>
              <w:right w:w="70" w:type="dxa"/>
            </w:tcMar>
          </w:tcPr>
          <w:p w:rsidR="009B4233" w:rsidRDefault="006B08B9">
            <w:pP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 xml:space="preserve"> 325,08 € </w:t>
            </w:r>
          </w:p>
        </w:tc>
        <w:tc>
          <w:tcPr>
            <w:tcW w:w="1559" w:type="dxa"/>
            <w:tcBorders>
              <w:bottom w:val="single" w:sz="4" w:space="0" w:color="000000"/>
              <w:right w:val="single" w:sz="4" w:space="0" w:color="000000"/>
            </w:tcBorders>
            <w:shd w:val="clear" w:color="auto" w:fill="auto"/>
            <w:noWrap/>
            <w:tcMar>
              <w:top w:w="0" w:type="dxa"/>
              <w:left w:w="70" w:type="dxa"/>
              <w:bottom w:w="0" w:type="dxa"/>
              <w:right w:w="70" w:type="dxa"/>
            </w:tcMar>
          </w:tcPr>
          <w:p w:rsidR="009B4233" w:rsidRDefault="006B08B9">
            <w:pP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 xml:space="preserve"> 361,41 € </w:t>
            </w:r>
          </w:p>
        </w:tc>
        <w:tc>
          <w:tcPr>
            <w:tcW w:w="851" w:type="dxa"/>
            <w:tcBorders>
              <w:bottom w:val="single" w:sz="4" w:space="0" w:color="000000"/>
              <w:right w:val="single" w:sz="4" w:space="0" w:color="000000"/>
            </w:tcBorders>
            <w:shd w:val="clear" w:color="auto" w:fill="auto"/>
            <w:noWrap/>
            <w:tcMar>
              <w:top w:w="0" w:type="dxa"/>
              <w:left w:w="70" w:type="dxa"/>
              <w:bottom w:w="0" w:type="dxa"/>
              <w:right w:w="70" w:type="dxa"/>
            </w:tcMar>
          </w:tcPr>
          <w:p w:rsidR="009B4233" w:rsidRDefault="006B08B9">
            <w:pP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 xml:space="preserve"> 4,95 € </w:t>
            </w:r>
          </w:p>
        </w:tc>
      </w:tr>
      <w:tr w:rsidR="009B4233">
        <w:tblPrEx>
          <w:tblCellMar>
            <w:top w:w="0" w:type="dxa"/>
            <w:bottom w:w="0" w:type="dxa"/>
          </w:tblCellMar>
        </w:tblPrEx>
        <w:trPr>
          <w:trHeight w:val="225"/>
        </w:trPr>
        <w:tc>
          <w:tcPr>
            <w:tcW w:w="1021"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rsidR="009B4233" w:rsidRDefault="006B08B9">
            <w:pPr>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13</w:t>
            </w:r>
          </w:p>
        </w:tc>
        <w:tc>
          <w:tcPr>
            <w:tcW w:w="3653"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rsidR="009B4233" w:rsidRDefault="006B08B9">
            <w:pP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 xml:space="preserve">Serv. </w:t>
            </w:r>
            <w:r>
              <w:rPr>
                <w:rFonts w:ascii="Arial" w:eastAsia="Times New Roman" w:hAnsi="Arial" w:cs="Arial"/>
                <w:color w:val="000000"/>
                <w:sz w:val="22"/>
                <w:szCs w:val="22"/>
                <w:lang w:eastAsia="es-ES"/>
              </w:rPr>
              <w:t>Personales, peluquerías.</w:t>
            </w:r>
          </w:p>
        </w:tc>
        <w:tc>
          <w:tcPr>
            <w:tcW w:w="1350" w:type="dxa"/>
            <w:tcBorders>
              <w:bottom w:val="single" w:sz="4" w:space="0" w:color="000000"/>
              <w:right w:val="single" w:sz="4" w:space="0" w:color="000000"/>
            </w:tcBorders>
            <w:shd w:val="clear" w:color="auto" w:fill="auto"/>
            <w:noWrap/>
            <w:tcMar>
              <w:top w:w="0" w:type="dxa"/>
              <w:left w:w="70" w:type="dxa"/>
              <w:bottom w:w="0" w:type="dxa"/>
              <w:right w:w="70" w:type="dxa"/>
            </w:tcMar>
          </w:tcPr>
          <w:p w:rsidR="009B4233" w:rsidRDefault="006B08B9">
            <w:pP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 xml:space="preserve"> 297,84 € </w:t>
            </w:r>
          </w:p>
        </w:tc>
        <w:tc>
          <w:tcPr>
            <w:tcW w:w="1559" w:type="dxa"/>
            <w:tcBorders>
              <w:bottom w:val="single" w:sz="4" w:space="0" w:color="000000"/>
              <w:right w:val="single" w:sz="4" w:space="0" w:color="000000"/>
            </w:tcBorders>
            <w:shd w:val="clear" w:color="auto" w:fill="auto"/>
            <w:noWrap/>
            <w:tcMar>
              <w:top w:w="0" w:type="dxa"/>
              <w:left w:w="70" w:type="dxa"/>
              <w:bottom w:w="0" w:type="dxa"/>
              <w:right w:w="70" w:type="dxa"/>
            </w:tcMar>
          </w:tcPr>
          <w:p w:rsidR="009B4233" w:rsidRDefault="006B08B9">
            <w:pP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 xml:space="preserve"> 315,38 € </w:t>
            </w:r>
          </w:p>
        </w:tc>
        <w:tc>
          <w:tcPr>
            <w:tcW w:w="851" w:type="dxa"/>
            <w:tcBorders>
              <w:bottom w:val="single" w:sz="4" w:space="0" w:color="000000"/>
              <w:right w:val="single" w:sz="4" w:space="0" w:color="000000"/>
            </w:tcBorders>
            <w:shd w:val="clear" w:color="auto" w:fill="auto"/>
            <w:noWrap/>
            <w:tcMar>
              <w:top w:w="0" w:type="dxa"/>
              <w:left w:w="70" w:type="dxa"/>
              <w:bottom w:w="0" w:type="dxa"/>
              <w:right w:w="70" w:type="dxa"/>
            </w:tcMar>
          </w:tcPr>
          <w:p w:rsidR="009B4233" w:rsidRDefault="006B08B9">
            <w:pP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 xml:space="preserve"> 2,79 € </w:t>
            </w:r>
          </w:p>
        </w:tc>
      </w:tr>
      <w:tr w:rsidR="009B4233">
        <w:tblPrEx>
          <w:tblCellMar>
            <w:top w:w="0" w:type="dxa"/>
            <w:bottom w:w="0" w:type="dxa"/>
          </w:tblCellMar>
        </w:tblPrEx>
        <w:trPr>
          <w:trHeight w:val="90"/>
        </w:trPr>
        <w:tc>
          <w:tcPr>
            <w:tcW w:w="1021"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rsidR="009B4233" w:rsidRDefault="006B08B9">
            <w:pPr>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14</w:t>
            </w:r>
          </w:p>
        </w:tc>
        <w:tc>
          <w:tcPr>
            <w:tcW w:w="3653"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rsidR="009B4233" w:rsidRDefault="006B08B9">
            <w:pP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Sanidad y servicios sanitarios</w:t>
            </w:r>
          </w:p>
        </w:tc>
        <w:tc>
          <w:tcPr>
            <w:tcW w:w="3760" w:type="dxa"/>
            <w:gridSpan w:val="3"/>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rsidR="009B4233" w:rsidRDefault="006B08B9">
            <w:pPr>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71,00 € por cama</w:t>
            </w:r>
          </w:p>
        </w:tc>
      </w:tr>
      <w:tr w:rsidR="009B4233">
        <w:tblPrEx>
          <w:tblCellMar>
            <w:top w:w="0" w:type="dxa"/>
            <w:bottom w:w="0" w:type="dxa"/>
          </w:tblCellMar>
        </w:tblPrEx>
        <w:trPr>
          <w:trHeight w:val="213"/>
        </w:trPr>
        <w:tc>
          <w:tcPr>
            <w:tcW w:w="1021"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rsidR="009B4233" w:rsidRDefault="006B08B9">
            <w:pPr>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15</w:t>
            </w:r>
          </w:p>
        </w:tc>
        <w:tc>
          <w:tcPr>
            <w:tcW w:w="3653"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rsidR="009B4233" w:rsidRDefault="006B08B9">
            <w:pP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Espectáculos, cines, teatros, etc.</w:t>
            </w:r>
          </w:p>
        </w:tc>
        <w:tc>
          <w:tcPr>
            <w:tcW w:w="1350" w:type="dxa"/>
            <w:tcBorders>
              <w:bottom w:val="single" w:sz="4" w:space="0" w:color="000000"/>
              <w:right w:val="single" w:sz="4" w:space="0" w:color="000000"/>
            </w:tcBorders>
            <w:shd w:val="clear" w:color="auto" w:fill="auto"/>
            <w:noWrap/>
            <w:tcMar>
              <w:top w:w="0" w:type="dxa"/>
              <w:left w:w="70" w:type="dxa"/>
              <w:bottom w:w="0" w:type="dxa"/>
              <w:right w:w="70" w:type="dxa"/>
            </w:tcMar>
          </w:tcPr>
          <w:p w:rsidR="009B4233" w:rsidRDefault="006B08B9">
            <w:pP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 xml:space="preserve"> 278,85 € </w:t>
            </w:r>
          </w:p>
        </w:tc>
        <w:tc>
          <w:tcPr>
            <w:tcW w:w="1559" w:type="dxa"/>
            <w:tcBorders>
              <w:bottom w:val="single" w:sz="4" w:space="0" w:color="000000"/>
              <w:right w:val="single" w:sz="4" w:space="0" w:color="000000"/>
            </w:tcBorders>
            <w:shd w:val="clear" w:color="auto" w:fill="auto"/>
            <w:noWrap/>
            <w:tcMar>
              <w:top w:w="0" w:type="dxa"/>
              <w:left w:w="70" w:type="dxa"/>
              <w:bottom w:w="0" w:type="dxa"/>
              <w:right w:w="70" w:type="dxa"/>
            </w:tcMar>
          </w:tcPr>
          <w:p w:rsidR="009B4233" w:rsidRDefault="006B08B9">
            <w:pP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 xml:space="preserve"> 309,08 € </w:t>
            </w:r>
          </w:p>
        </w:tc>
        <w:tc>
          <w:tcPr>
            <w:tcW w:w="851" w:type="dxa"/>
            <w:tcBorders>
              <w:bottom w:val="single" w:sz="4" w:space="0" w:color="000000"/>
              <w:right w:val="single" w:sz="4" w:space="0" w:color="000000"/>
            </w:tcBorders>
            <w:shd w:val="clear" w:color="auto" w:fill="auto"/>
            <w:noWrap/>
            <w:tcMar>
              <w:top w:w="0" w:type="dxa"/>
              <w:left w:w="70" w:type="dxa"/>
              <w:bottom w:w="0" w:type="dxa"/>
              <w:right w:w="70" w:type="dxa"/>
            </w:tcMar>
          </w:tcPr>
          <w:p w:rsidR="009B4233" w:rsidRDefault="006B08B9">
            <w:pP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 xml:space="preserve"> 3,82 € </w:t>
            </w:r>
          </w:p>
        </w:tc>
      </w:tr>
      <w:tr w:rsidR="009B4233">
        <w:tblPrEx>
          <w:tblCellMar>
            <w:top w:w="0" w:type="dxa"/>
            <w:bottom w:w="0" w:type="dxa"/>
          </w:tblCellMar>
        </w:tblPrEx>
        <w:trPr>
          <w:trHeight w:val="349"/>
        </w:trPr>
        <w:tc>
          <w:tcPr>
            <w:tcW w:w="1021"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rsidR="009B4233" w:rsidRDefault="006B08B9">
            <w:pPr>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16</w:t>
            </w:r>
          </w:p>
        </w:tc>
        <w:tc>
          <w:tcPr>
            <w:tcW w:w="3653"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rsidR="009B4233" w:rsidRDefault="006B08B9">
            <w:pP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Lugares de culto de las distintas confesiones religiosas</w:t>
            </w:r>
          </w:p>
        </w:tc>
        <w:tc>
          <w:tcPr>
            <w:tcW w:w="3760" w:type="dxa"/>
            <w:gridSpan w:val="3"/>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rsidR="009B4233" w:rsidRDefault="006B08B9">
            <w:pPr>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 xml:space="preserve">231,99 € por </w:t>
            </w:r>
            <w:r>
              <w:rPr>
                <w:rFonts w:ascii="Arial" w:eastAsia="Times New Roman" w:hAnsi="Arial" w:cs="Arial"/>
                <w:color w:val="000000"/>
                <w:sz w:val="22"/>
                <w:szCs w:val="22"/>
                <w:lang w:eastAsia="es-ES"/>
              </w:rPr>
              <w:t>unidad de inmueble</w:t>
            </w:r>
          </w:p>
        </w:tc>
      </w:tr>
      <w:tr w:rsidR="009B4233">
        <w:tblPrEx>
          <w:tblCellMar>
            <w:top w:w="0" w:type="dxa"/>
            <w:bottom w:w="0" w:type="dxa"/>
          </w:tblCellMar>
        </w:tblPrEx>
        <w:trPr>
          <w:trHeight w:val="90"/>
        </w:trPr>
        <w:tc>
          <w:tcPr>
            <w:tcW w:w="1021"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rsidR="009B4233" w:rsidRDefault="006B08B9">
            <w:pPr>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17</w:t>
            </w:r>
          </w:p>
        </w:tc>
        <w:tc>
          <w:tcPr>
            <w:tcW w:w="3653"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rsidR="009B4233" w:rsidRDefault="006B08B9">
            <w:pP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Actividades de las administraciones</w:t>
            </w:r>
          </w:p>
        </w:tc>
        <w:tc>
          <w:tcPr>
            <w:tcW w:w="1350" w:type="dxa"/>
            <w:tcBorders>
              <w:bottom w:val="single" w:sz="4" w:space="0" w:color="000000"/>
              <w:right w:val="single" w:sz="4" w:space="0" w:color="000000"/>
            </w:tcBorders>
            <w:shd w:val="clear" w:color="auto" w:fill="auto"/>
            <w:noWrap/>
            <w:tcMar>
              <w:top w:w="0" w:type="dxa"/>
              <w:left w:w="70" w:type="dxa"/>
              <w:bottom w:w="0" w:type="dxa"/>
              <w:right w:w="70" w:type="dxa"/>
            </w:tcMar>
          </w:tcPr>
          <w:p w:rsidR="009B4233" w:rsidRDefault="006B08B9">
            <w:pP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 xml:space="preserve"> 167,91 € </w:t>
            </w:r>
          </w:p>
        </w:tc>
        <w:tc>
          <w:tcPr>
            <w:tcW w:w="1559" w:type="dxa"/>
            <w:tcBorders>
              <w:bottom w:val="single" w:sz="4" w:space="0" w:color="000000"/>
              <w:right w:val="single" w:sz="4" w:space="0" w:color="000000"/>
            </w:tcBorders>
            <w:shd w:val="clear" w:color="auto" w:fill="auto"/>
            <w:noWrap/>
            <w:tcMar>
              <w:top w:w="0" w:type="dxa"/>
              <w:left w:w="70" w:type="dxa"/>
              <w:bottom w:w="0" w:type="dxa"/>
              <w:right w:w="70" w:type="dxa"/>
            </w:tcMar>
          </w:tcPr>
          <w:p w:rsidR="009B4233" w:rsidRDefault="006B08B9">
            <w:pP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 xml:space="preserve"> 365,12 € </w:t>
            </w:r>
          </w:p>
        </w:tc>
        <w:tc>
          <w:tcPr>
            <w:tcW w:w="851" w:type="dxa"/>
            <w:tcBorders>
              <w:bottom w:val="single" w:sz="4" w:space="0" w:color="000000"/>
              <w:right w:val="single" w:sz="4" w:space="0" w:color="000000"/>
            </w:tcBorders>
            <w:shd w:val="clear" w:color="auto" w:fill="auto"/>
            <w:noWrap/>
            <w:tcMar>
              <w:top w:w="0" w:type="dxa"/>
              <w:left w:w="70" w:type="dxa"/>
              <w:bottom w:w="0" w:type="dxa"/>
              <w:right w:w="70" w:type="dxa"/>
            </w:tcMar>
          </w:tcPr>
          <w:p w:rsidR="009B4233" w:rsidRDefault="006B08B9">
            <w:pP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 xml:space="preserve"> 4,23 € </w:t>
            </w:r>
          </w:p>
        </w:tc>
      </w:tr>
      <w:tr w:rsidR="009B4233">
        <w:tblPrEx>
          <w:tblCellMar>
            <w:top w:w="0" w:type="dxa"/>
            <w:bottom w:w="0" w:type="dxa"/>
          </w:tblCellMar>
        </w:tblPrEx>
        <w:trPr>
          <w:trHeight w:val="90"/>
        </w:trPr>
        <w:tc>
          <w:tcPr>
            <w:tcW w:w="1021"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rsidR="009B4233" w:rsidRDefault="006B08B9">
            <w:pPr>
              <w:jc w:val="cente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18</w:t>
            </w:r>
          </w:p>
        </w:tc>
        <w:tc>
          <w:tcPr>
            <w:tcW w:w="3653"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rsidR="009B4233" w:rsidRDefault="006B08B9">
            <w:pP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Otras actividades económicas, o no, no relacionadas de forma expresa</w:t>
            </w:r>
          </w:p>
        </w:tc>
        <w:tc>
          <w:tcPr>
            <w:tcW w:w="1350" w:type="dxa"/>
            <w:tcBorders>
              <w:bottom w:val="single" w:sz="4" w:space="0" w:color="000000"/>
              <w:right w:val="single" w:sz="4" w:space="0" w:color="000000"/>
            </w:tcBorders>
            <w:shd w:val="clear" w:color="auto" w:fill="auto"/>
            <w:noWrap/>
            <w:tcMar>
              <w:top w:w="0" w:type="dxa"/>
              <w:left w:w="70" w:type="dxa"/>
              <w:bottom w:w="0" w:type="dxa"/>
              <w:right w:w="70" w:type="dxa"/>
            </w:tcMar>
          </w:tcPr>
          <w:p w:rsidR="009B4233" w:rsidRDefault="006B08B9">
            <w:pP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 xml:space="preserve"> 167,91 € </w:t>
            </w:r>
          </w:p>
        </w:tc>
        <w:tc>
          <w:tcPr>
            <w:tcW w:w="1559" w:type="dxa"/>
            <w:tcBorders>
              <w:bottom w:val="single" w:sz="4" w:space="0" w:color="000000"/>
              <w:right w:val="single" w:sz="4" w:space="0" w:color="000000"/>
            </w:tcBorders>
            <w:shd w:val="clear" w:color="auto" w:fill="auto"/>
            <w:noWrap/>
            <w:tcMar>
              <w:top w:w="0" w:type="dxa"/>
              <w:left w:w="70" w:type="dxa"/>
              <w:bottom w:w="0" w:type="dxa"/>
              <w:right w:w="70" w:type="dxa"/>
            </w:tcMar>
          </w:tcPr>
          <w:p w:rsidR="009B4233" w:rsidRDefault="006B08B9">
            <w:pP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 xml:space="preserve"> 252,43 € </w:t>
            </w:r>
          </w:p>
        </w:tc>
        <w:tc>
          <w:tcPr>
            <w:tcW w:w="851" w:type="dxa"/>
            <w:tcBorders>
              <w:bottom w:val="single" w:sz="4" w:space="0" w:color="000000"/>
              <w:right w:val="single" w:sz="4" w:space="0" w:color="000000"/>
            </w:tcBorders>
            <w:shd w:val="clear" w:color="auto" w:fill="auto"/>
            <w:noWrap/>
            <w:tcMar>
              <w:top w:w="0" w:type="dxa"/>
              <w:left w:w="70" w:type="dxa"/>
              <w:bottom w:w="0" w:type="dxa"/>
              <w:right w:w="70" w:type="dxa"/>
            </w:tcMar>
          </w:tcPr>
          <w:p w:rsidR="009B4233" w:rsidRDefault="006B08B9">
            <w:pPr>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 xml:space="preserve"> 3,51 € </w:t>
            </w:r>
          </w:p>
        </w:tc>
      </w:tr>
    </w:tbl>
    <w:p w:rsidR="009B4233" w:rsidRDefault="009B4233">
      <w:pPr>
        <w:rPr>
          <w:rFonts w:ascii="Arial" w:hAnsi="Arial" w:cs="Arial"/>
          <w:sz w:val="22"/>
          <w:szCs w:val="22"/>
        </w:rPr>
      </w:pPr>
    </w:p>
    <w:p w:rsidR="009B4233" w:rsidRDefault="009B4233">
      <w:pPr>
        <w:ind w:firstLine="709"/>
        <w:jc w:val="both"/>
        <w:rPr>
          <w:rFonts w:ascii="Arial" w:hAnsi="Arial" w:cs="Arial"/>
          <w:sz w:val="22"/>
          <w:szCs w:val="22"/>
        </w:rPr>
      </w:pPr>
    </w:p>
    <w:p w:rsidR="009B4233" w:rsidRDefault="006B08B9">
      <w:pPr>
        <w:ind w:firstLine="709"/>
        <w:jc w:val="both"/>
        <w:rPr>
          <w:rFonts w:ascii="Arial" w:hAnsi="Arial" w:cs="Arial"/>
          <w:sz w:val="22"/>
          <w:szCs w:val="22"/>
        </w:rPr>
      </w:pPr>
      <w:r>
        <w:rPr>
          <w:rFonts w:ascii="Arial" w:hAnsi="Arial" w:cs="Arial"/>
          <w:sz w:val="22"/>
          <w:szCs w:val="22"/>
        </w:rPr>
        <w:t>A título de ejemplo, se anexa tabla con la cuota tributaria</w:t>
      </w:r>
      <w:r>
        <w:rPr>
          <w:rFonts w:ascii="Arial" w:hAnsi="Arial" w:cs="Arial"/>
          <w:sz w:val="22"/>
          <w:szCs w:val="22"/>
        </w:rPr>
        <w:t xml:space="preserve"> actualizada de periodicidad bimestral dividida en parte fija y variable y, posteriormente, una simulación de posibles resultados por la aplicación de bonificaciones: </w:t>
      </w:r>
    </w:p>
    <w:p w:rsidR="009B4233" w:rsidRDefault="009B4233">
      <w:pPr>
        <w:ind w:firstLine="709"/>
        <w:jc w:val="both"/>
        <w:rPr>
          <w:rFonts w:ascii="Arial" w:hAnsi="Arial" w:cs="Arial"/>
          <w:sz w:val="22"/>
          <w:szCs w:val="22"/>
        </w:rPr>
      </w:pPr>
    </w:p>
    <w:p w:rsidR="009B4233" w:rsidRDefault="006B08B9">
      <w:pPr>
        <w:ind w:firstLine="709"/>
        <w:jc w:val="both"/>
      </w:pPr>
      <w:r>
        <w:rPr>
          <w:rFonts w:ascii="Arial" w:hAnsi="Arial" w:cs="Arial"/>
          <w:sz w:val="22"/>
          <w:szCs w:val="22"/>
        </w:rPr>
        <w:t xml:space="preserve">Recordemos que: </w:t>
      </w:r>
      <w:r>
        <w:rPr>
          <w:rFonts w:ascii="Arial" w:hAnsi="Arial" w:cs="Arial"/>
          <w:i/>
          <w:iCs/>
          <w:sz w:val="22"/>
          <w:szCs w:val="22"/>
        </w:rPr>
        <w:t>Cuota tributaria = parte fija (63%) + parte variable (37%)</w:t>
      </w:r>
    </w:p>
    <w:p w:rsidR="009B4233" w:rsidRDefault="009B4233">
      <w:pPr>
        <w:ind w:firstLine="709"/>
        <w:jc w:val="both"/>
        <w:rPr>
          <w:rFonts w:ascii="Arial" w:hAnsi="Arial" w:cs="Arial"/>
          <w:sz w:val="22"/>
          <w:szCs w:val="22"/>
        </w:rPr>
      </w:pPr>
    </w:p>
    <w:tbl>
      <w:tblPr>
        <w:tblW w:w="8575" w:type="dxa"/>
        <w:tblCellMar>
          <w:left w:w="10" w:type="dxa"/>
          <w:right w:w="10" w:type="dxa"/>
        </w:tblCellMar>
        <w:tblLook w:val="0000" w:firstRow="0" w:lastRow="0" w:firstColumn="0" w:lastColumn="0" w:noHBand="0" w:noVBand="0"/>
      </w:tblPr>
      <w:tblGrid>
        <w:gridCol w:w="1021"/>
        <w:gridCol w:w="3042"/>
        <w:gridCol w:w="1556"/>
        <w:gridCol w:w="1406"/>
        <w:gridCol w:w="1550"/>
      </w:tblGrid>
      <w:tr w:rsidR="009B4233">
        <w:tblPrEx>
          <w:tblCellMar>
            <w:top w:w="0" w:type="dxa"/>
            <w:bottom w:w="0" w:type="dxa"/>
          </w:tblCellMar>
        </w:tblPrEx>
        <w:trPr>
          <w:trHeight w:val="616"/>
        </w:trPr>
        <w:tc>
          <w:tcPr>
            <w:tcW w:w="1021"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9B4233" w:rsidRDefault="006B08B9">
            <w:pPr>
              <w:jc w:val="both"/>
              <w:rPr>
                <w:rFonts w:ascii="Arial" w:eastAsia="Times New Roman" w:hAnsi="Arial" w:cs="Arial"/>
                <w:b/>
                <w:bCs/>
                <w:color w:val="000000"/>
                <w:sz w:val="22"/>
                <w:szCs w:val="22"/>
                <w:lang w:eastAsia="es-ES"/>
              </w:rPr>
            </w:pPr>
            <w:r>
              <w:rPr>
                <w:rFonts w:ascii="Arial" w:eastAsia="Times New Roman" w:hAnsi="Arial" w:cs="Arial"/>
                <w:b/>
                <w:bCs/>
                <w:color w:val="000000"/>
                <w:sz w:val="22"/>
                <w:szCs w:val="22"/>
                <w:lang w:eastAsia="es-ES"/>
              </w:rPr>
              <w:t>Epígrafe N°</w:t>
            </w:r>
          </w:p>
        </w:tc>
        <w:tc>
          <w:tcPr>
            <w:tcW w:w="3042"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9B4233" w:rsidRDefault="006B08B9">
            <w:pPr>
              <w:jc w:val="both"/>
              <w:rPr>
                <w:rFonts w:ascii="Arial" w:eastAsia="Times New Roman" w:hAnsi="Arial" w:cs="Arial"/>
                <w:b/>
                <w:bCs/>
                <w:color w:val="000000"/>
                <w:sz w:val="22"/>
                <w:szCs w:val="22"/>
                <w:lang w:eastAsia="es-ES"/>
              </w:rPr>
            </w:pPr>
            <w:r>
              <w:rPr>
                <w:rFonts w:ascii="Arial" w:eastAsia="Times New Roman" w:hAnsi="Arial" w:cs="Arial"/>
                <w:b/>
                <w:bCs/>
                <w:color w:val="000000"/>
                <w:sz w:val="22"/>
                <w:szCs w:val="22"/>
                <w:lang w:eastAsia="es-ES"/>
              </w:rPr>
              <w:t>Actividad</w:t>
            </w:r>
          </w:p>
        </w:tc>
        <w:tc>
          <w:tcPr>
            <w:tcW w:w="1556"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9B4233" w:rsidRDefault="006B08B9">
            <w:pPr>
              <w:jc w:val="both"/>
              <w:rPr>
                <w:rFonts w:ascii="Arial" w:eastAsia="Times New Roman" w:hAnsi="Arial" w:cs="Arial"/>
                <w:b/>
                <w:bCs/>
                <w:color w:val="000000"/>
                <w:sz w:val="22"/>
                <w:szCs w:val="22"/>
                <w:lang w:eastAsia="es-ES"/>
              </w:rPr>
            </w:pPr>
            <w:r>
              <w:rPr>
                <w:rFonts w:ascii="Arial" w:eastAsia="Times New Roman" w:hAnsi="Arial" w:cs="Arial"/>
                <w:b/>
                <w:bCs/>
                <w:color w:val="000000"/>
                <w:sz w:val="22"/>
                <w:szCs w:val="22"/>
                <w:lang w:eastAsia="es-ES"/>
              </w:rPr>
              <w:t>Importe actualizado de la cuota fija bimestral</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9B4233" w:rsidRDefault="006B08B9">
            <w:pPr>
              <w:jc w:val="both"/>
              <w:rPr>
                <w:rFonts w:ascii="Arial" w:eastAsia="Times New Roman" w:hAnsi="Arial" w:cs="Arial"/>
                <w:b/>
                <w:bCs/>
                <w:color w:val="000000"/>
                <w:sz w:val="22"/>
                <w:szCs w:val="22"/>
                <w:lang w:eastAsia="es-ES"/>
              </w:rPr>
            </w:pPr>
            <w:r>
              <w:rPr>
                <w:rFonts w:ascii="Arial" w:eastAsia="Times New Roman" w:hAnsi="Arial" w:cs="Arial"/>
                <w:b/>
                <w:bCs/>
                <w:color w:val="000000"/>
                <w:sz w:val="22"/>
                <w:szCs w:val="22"/>
                <w:lang w:eastAsia="es-ES"/>
              </w:rPr>
              <w:t>Parte fija</w:t>
            </w:r>
          </w:p>
          <w:p w:rsidR="009B4233" w:rsidRDefault="006B08B9">
            <w:pPr>
              <w:jc w:val="both"/>
              <w:rPr>
                <w:rFonts w:ascii="Arial" w:eastAsia="Times New Roman" w:hAnsi="Arial" w:cs="Arial"/>
                <w:b/>
                <w:bCs/>
                <w:color w:val="000000"/>
                <w:sz w:val="22"/>
                <w:szCs w:val="22"/>
                <w:lang w:eastAsia="es-ES"/>
              </w:rPr>
            </w:pPr>
            <w:r>
              <w:rPr>
                <w:rFonts w:ascii="Arial" w:eastAsia="Times New Roman" w:hAnsi="Arial" w:cs="Arial"/>
                <w:b/>
                <w:bCs/>
                <w:color w:val="000000"/>
                <w:sz w:val="22"/>
                <w:szCs w:val="22"/>
                <w:lang w:eastAsia="es-ES"/>
              </w:rPr>
              <w:t>(63%)</w:t>
            </w:r>
          </w:p>
        </w:tc>
        <w:tc>
          <w:tcPr>
            <w:tcW w:w="1550"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9B4233" w:rsidRDefault="006B08B9">
            <w:pPr>
              <w:jc w:val="both"/>
              <w:rPr>
                <w:rFonts w:ascii="Arial" w:eastAsia="Times New Roman" w:hAnsi="Arial" w:cs="Arial"/>
                <w:b/>
                <w:bCs/>
                <w:color w:val="000000"/>
                <w:sz w:val="22"/>
                <w:szCs w:val="22"/>
                <w:lang w:eastAsia="es-ES"/>
              </w:rPr>
            </w:pPr>
            <w:r>
              <w:rPr>
                <w:rFonts w:ascii="Arial" w:eastAsia="Times New Roman" w:hAnsi="Arial" w:cs="Arial"/>
                <w:b/>
                <w:bCs/>
                <w:color w:val="000000"/>
                <w:sz w:val="22"/>
                <w:szCs w:val="22"/>
                <w:lang w:eastAsia="es-ES"/>
              </w:rPr>
              <w:t>Parte variable</w:t>
            </w:r>
          </w:p>
          <w:p w:rsidR="009B4233" w:rsidRDefault="006B08B9">
            <w:pPr>
              <w:jc w:val="both"/>
              <w:rPr>
                <w:rFonts w:ascii="Arial" w:eastAsia="Times New Roman" w:hAnsi="Arial" w:cs="Arial"/>
                <w:b/>
                <w:bCs/>
                <w:color w:val="000000"/>
                <w:sz w:val="22"/>
                <w:szCs w:val="22"/>
                <w:lang w:eastAsia="es-ES"/>
              </w:rPr>
            </w:pPr>
            <w:r>
              <w:rPr>
                <w:rFonts w:ascii="Arial" w:eastAsia="Times New Roman" w:hAnsi="Arial" w:cs="Arial"/>
                <w:b/>
                <w:bCs/>
                <w:color w:val="000000"/>
                <w:sz w:val="22"/>
                <w:szCs w:val="22"/>
                <w:lang w:eastAsia="es-ES"/>
              </w:rPr>
              <w:t>(37%)</w:t>
            </w:r>
          </w:p>
        </w:tc>
      </w:tr>
      <w:tr w:rsidR="009B4233">
        <w:tblPrEx>
          <w:tblCellMar>
            <w:top w:w="0" w:type="dxa"/>
            <w:bottom w:w="0" w:type="dxa"/>
          </w:tblCellMar>
        </w:tblPrEx>
        <w:trPr>
          <w:trHeight w:val="410"/>
        </w:trPr>
        <w:tc>
          <w:tcPr>
            <w:tcW w:w="1021"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9B4233" w:rsidRDefault="006B08B9">
            <w:pPr>
              <w:jc w:val="both"/>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0</w:t>
            </w:r>
          </w:p>
        </w:tc>
        <w:tc>
          <w:tcPr>
            <w:tcW w:w="3042"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9B4233" w:rsidRDefault="006B08B9">
            <w:pPr>
              <w:jc w:val="both"/>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Viviendas con uso residencial</w:t>
            </w:r>
          </w:p>
        </w:tc>
        <w:tc>
          <w:tcPr>
            <w:tcW w:w="1556"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9B4233" w:rsidRDefault="006B08B9">
            <w:pPr>
              <w:jc w:val="both"/>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20,47 €</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9B4233" w:rsidRDefault="006B08B9">
            <w:pPr>
              <w:jc w:val="both"/>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12,90 €</w:t>
            </w:r>
          </w:p>
        </w:tc>
        <w:tc>
          <w:tcPr>
            <w:tcW w:w="1550"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9B4233" w:rsidRDefault="006B08B9">
            <w:pPr>
              <w:jc w:val="both"/>
              <w:rPr>
                <w:rFonts w:ascii="Arial" w:eastAsia="Times New Roman" w:hAnsi="Arial" w:cs="Arial"/>
                <w:color w:val="000000"/>
                <w:sz w:val="22"/>
                <w:szCs w:val="22"/>
                <w:lang w:eastAsia="es-ES"/>
              </w:rPr>
            </w:pPr>
            <w:r>
              <w:rPr>
                <w:rFonts w:ascii="Arial" w:eastAsia="Times New Roman" w:hAnsi="Arial" w:cs="Arial"/>
                <w:color w:val="000000"/>
                <w:sz w:val="22"/>
                <w:szCs w:val="22"/>
                <w:lang w:eastAsia="es-ES"/>
              </w:rPr>
              <w:t xml:space="preserve">7,57 €                </w:t>
            </w:r>
          </w:p>
        </w:tc>
      </w:tr>
    </w:tbl>
    <w:p w:rsidR="009B4233" w:rsidRDefault="009B4233">
      <w:pPr>
        <w:jc w:val="both"/>
        <w:rPr>
          <w:rFonts w:ascii="Arial" w:hAnsi="Arial" w:cs="Arial"/>
          <w:sz w:val="22"/>
          <w:szCs w:val="22"/>
        </w:rPr>
      </w:pPr>
    </w:p>
    <w:p w:rsidR="009B4233" w:rsidRDefault="006B08B9">
      <w:pPr>
        <w:ind w:firstLine="709"/>
        <w:jc w:val="both"/>
        <w:rPr>
          <w:rFonts w:ascii="Arial" w:hAnsi="Arial" w:cs="Arial"/>
          <w:sz w:val="22"/>
          <w:szCs w:val="22"/>
        </w:rPr>
      </w:pPr>
      <w:r>
        <w:rPr>
          <w:rFonts w:ascii="Arial" w:hAnsi="Arial" w:cs="Arial"/>
          <w:sz w:val="22"/>
          <w:szCs w:val="22"/>
        </w:rPr>
        <w:t>Una vez dividida la cuota tributaria de viviendas con uso residencial, existen 2 tipos</w:t>
      </w:r>
      <w:r>
        <w:rPr>
          <w:rFonts w:ascii="Arial" w:hAnsi="Arial" w:cs="Arial"/>
          <w:sz w:val="22"/>
          <w:szCs w:val="22"/>
        </w:rPr>
        <w:t xml:space="preserve"> de bonificaciones: sociales y medioambientales. Las bonificaciones sociales se aplican sobre la parte fija de la cuota tributaria, mientras que las bonificaciones medioambientales se aplican únicamente sobre la parte variable. De esta manera, pueden obser</w:t>
      </w:r>
      <w:r>
        <w:rPr>
          <w:rFonts w:ascii="Arial" w:hAnsi="Arial" w:cs="Arial"/>
          <w:sz w:val="22"/>
          <w:szCs w:val="22"/>
        </w:rPr>
        <w:t xml:space="preserve">varse las siguientes variables de cuotas tributarias: </w:t>
      </w:r>
    </w:p>
    <w:p w:rsidR="009B4233" w:rsidRDefault="006B08B9">
      <w:pPr>
        <w:pStyle w:val="Prrafodelista"/>
        <w:widowControl/>
        <w:numPr>
          <w:ilvl w:val="0"/>
          <w:numId w:val="63"/>
        </w:numPr>
        <w:suppressAutoHyphens w:val="0"/>
        <w:spacing w:after="160"/>
        <w:ind w:firstLine="709"/>
        <w:jc w:val="both"/>
        <w:textAlignment w:val="auto"/>
        <w:rPr>
          <w:rFonts w:ascii="Arial" w:hAnsi="Arial" w:cs="Arial"/>
          <w:sz w:val="22"/>
          <w:szCs w:val="22"/>
        </w:rPr>
      </w:pPr>
      <w:r>
        <w:rPr>
          <w:rFonts w:ascii="Arial" w:hAnsi="Arial" w:cs="Arial"/>
          <w:sz w:val="22"/>
          <w:szCs w:val="22"/>
        </w:rPr>
        <w:t>Con bonificaciones sociales (ej. 100% sobre la parte fija), la cuota tributaria de una familia que cumpla con los requisitos será la resultante del siguiente cálculo:</w:t>
      </w:r>
    </w:p>
    <w:p w:rsidR="009B4233" w:rsidRDefault="006B08B9">
      <w:pPr>
        <w:pStyle w:val="Prrafodelista"/>
        <w:ind w:firstLine="709"/>
        <w:jc w:val="both"/>
        <w:rPr>
          <w:rFonts w:ascii="Arial" w:hAnsi="Arial" w:cs="Arial"/>
          <w:sz w:val="22"/>
          <w:szCs w:val="22"/>
        </w:rPr>
      </w:pPr>
      <w:r>
        <w:rPr>
          <w:rFonts w:ascii="Arial" w:hAnsi="Arial" w:cs="Arial"/>
          <w:sz w:val="22"/>
          <w:szCs w:val="22"/>
        </w:rPr>
        <w:t xml:space="preserve">Cuota tributaria con bonificación </w:t>
      </w:r>
      <w:r>
        <w:rPr>
          <w:rFonts w:ascii="Arial" w:hAnsi="Arial" w:cs="Arial"/>
          <w:sz w:val="22"/>
          <w:szCs w:val="22"/>
        </w:rPr>
        <w:t xml:space="preserve">social = (12,90*0,00) + 7,57 = 7,57 =7,57 €/bimestre. Esto significaría un ahorro de 12,90 €/bimestre, 77,40 €/año. </w:t>
      </w:r>
    </w:p>
    <w:p w:rsidR="009B4233" w:rsidRDefault="009B4233">
      <w:pPr>
        <w:pStyle w:val="Prrafodelista"/>
        <w:ind w:firstLine="709"/>
        <w:jc w:val="both"/>
        <w:rPr>
          <w:rFonts w:ascii="Arial" w:hAnsi="Arial" w:cs="Arial"/>
          <w:sz w:val="22"/>
          <w:szCs w:val="22"/>
        </w:rPr>
      </w:pPr>
    </w:p>
    <w:p w:rsidR="009B4233" w:rsidRDefault="006B08B9">
      <w:pPr>
        <w:pStyle w:val="Prrafodelista"/>
        <w:widowControl/>
        <w:numPr>
          <w:ilvl w:val="0"/>
          <w:numId w:val="63"/>
        </w:numPr>
        <w:suppressAutoHyphens w:val="0"/>
        <w:spacing w:after="160"/>
        <w:ind w:firstLine="709"/>
        <w:jc w:val="both"/>
        <w:textAlignment w:val="auto"/>
        <w:rPr>
          <w:rFonts w:ascii="Arial" w:hAnsi="Arial" w:cs="Arial"/>
          <w:sz w:val="22"/>
          <w:szCs w:val="22"/>
        </w:rPr>
      </w:pPr>
      <w:r>
        <w:rPr>
          <w:rFonts w:ascii="Arial" w:hAnsi="Arial" w:cs="Arial"/>
          <w:sz w:val="22"/>
          <w:szCs w:val="22"/>
        </w:rPr>
        <w:t xml:space="preserve">Cuota con bonificaciones medioambientales (cada bonificación es del 25% sobre la cuota variable), la cuota tributaria de una familia que </w:t>
      </w:r>
      <w:r>
        <w:rPr>
          <w:rFonts w:ascii="Arial" w:hAnsi="Arial" w:cs="Arial"/>
          <w:sz w:val="22"/>
          <w:szCs w:val="22"/>
        </w:rPr>
        <w:t>cumpla los requisitos será la resultante del siguiente cálculo:</w:t>
      </w:r>
    </w:p>
    <w:p w:rsidR="009B4233" w:rsidRDefault="006B08B9">
      <w:pPr>
        <w:pStyle w:val="Prrafodelista"/>
        <w:ind w:firstLine="709"/>
        <w:jc w:val="both"/>
        <w:rPr>
          <w:rFonts w:ascii="Arial" w:hAnsi="Arial" w:cs="Arial"/>
          <w:sz w:val="22"/>
          <w:szCs w:val="22"/>
        </w:rPr>
      </w:pPr>
      <w:r>
        <w:rPr>
          <w:rFonts w:ascii="Arial" w:hAnsi="Arial" w:cs="Arial"/>
          <w:sz w:val="22"/>
          <w:szCs w:val="22"/>
        </w:rPr>
        <w:t xml:space="preserve">Cuota tribut. con bon. Medioambiental (1) =12,90+(7,57*0.75) =18,57 €/bimestre. Esto significa un ahorro de 1,89 €/ bimestre y 11,36 €/año. </w:t>
      </w:r>
    </w:p>
    <w:p w:rsidR="009B4233" w:rsidRDefault="009B4233">
      <w:pPr>
        <w:pStyle w:val="Prrafodelista"/>
        <w:ind w:firstLine="709"/>
        <w:jc w:val="both"/>
        <w:rPr>
          <w:rFonts w:ascii="Arial" w:hAnsi="Arial" w:cs="Arial"/>
          <w:sz w:val="22"/>
          <w:szCs w:val="22"/>
        </w:rPr>
      </w:pPr>
    </w:p>
    <w:p w:rsidR="009B4233" w:rsidRDefault="006B08B9">
      <w:pPr>
        <w:pStyle w:val="Prrafodelista"/>
        <w:ind w:firstLine="709"/>
        <w:jc w:val="both"/>
        <w:rPr>
          <w:rFonts w:ascii="Arial" w:hAnsi="Arial" w:cs="Arial"/>
          <w:sz w:val="22"/>
          <w:szCs w:val="22"/>
        </w:rPr>
      </w:pPr>
      <w:r>
        <w:rPr>
          <w:rFonts w:ascii="Arial" w:hAnsi="Arial" w:cs="Arial"/>
          <w:sz w:val="22"/>
          <w:szCs w:val="22"/>
        </w:rPr>
        <w:t>Dado que las bonificaciones medioambientales son a</w:t>
      </w:r>
      <w:r>
        <w:rPr>
          <w:rFonts w:ascii="Arial" w:hAnsi="Arial" w:cs="Arial"/>
          <w:sz w:val="22"/>
          <w:szCs w:val="22"/>
        </w:rPr>
        <w:t xml:space="preserve">cumulables entre sí, hasta alcanzar un 100% de la bonificación de la parte variable de la cuota tributaria, resultan las siguientes variables: </w:t>
      </w:r>
    </w:p>
    <w:p w:rsidR="009B4233" w:rsidRDefault="009B4233">
      <w:pPr>
        <w:pStyle w:val="Prrafodelista"/>
        <w:ind w:firstLine="709"/>
        <w:jc w:val="both"/>
        <w:rPr>
          <w:rFonts w:ascii="Arial" w:hAnsi="Arial" w:cs="Arial"/>
          <w:sz w:val="22"/>
          <w:szCs w:val="22"/>
        </w:rPr>
      </w:pPr>
    </w:p>
    <w:p w:rsidR="009B4233" w:rsidRDefault="006B08B9">
      <w:pPr>
        <w:pStyle w:val="Prrafodelista"/>
        <w:ind w:firstLine="709"/>
        <w:jc w:val="both"/>
        <w:rPr>
          <w:rFonts w:ascii="Arial" w:hAnsi="Arial" w:cs="Arial"/>
          <w:sz w:val="22"/>
          <w:szCs w:val="22"/>
        </w:rPr>
      </w:pPr>
      <w:r>
        <w:rPr>
          <w:rFonts w:ascii="Arial" w:hAnsi="Arial" w:cs="Arial"/>
          <w:sz w:val="22"/>
          <w:szCs w:val="22"/>
        </w:rPr>
        <w:t>Cuota tributaria con 2 bon. Medioam. = 12,90+(7,57*0.5) = 16,68 €/bimestre, esto significaría un ahorro de 3,79</w:t>
      </w:r>
      <w:r>
        <w:rPr>
          <w:rFonts w:ascii="Arial" w:hAnsi="Arial" w:cs="Arial"/>
          <w:sz w:val="22"/>
          <w:szCs w:val="22"/>
        </w:rPr>
        <w:t xml:space="preserve"> €/bimestre y 22,72 €/año. </w:t>
      </w:r>
    </w:p>
    <w:p w:rsidR="009B4233" w:rsidRDefault="006B08B9">
      <w:pPr>
        <w:pStyle w:val="Prrafodelista"/>
        <w:ind w:firstLine="709"/>
        <w:jc w:val="both"/>
        <w:rPr>
          <w:rFonts w:ascii="Arial" w:hAnsi="Arial" w:cs="Arial"/>
          <w:sz w:val="22"/>
          <w:szCs w:val="22"/>
        </w:rPr>
      </w:pPr>
      <w:r>
        <w:rPr>
          <w:rFonts w:ascii="Arial" w:hAnsi="Arial" w:cs="Arial"/>
          <w:sz w:val="22"/>
          <w:szCs w:val="22"/>
        </w:rPr>
        <w:t>Cuota tributaria con 3 bon. Medioam. = 12,90+(7,57*0.25) = 14,79 €/bimestre. Esto significaría un ahorro de 5,68 €/bimestre y 34,08 €/año.</w:t>
      </w:r>
    </w:p>
    <w:p w:rsidR="009B4233" w:rsidRDefault="009B4233">
      <w:pPr>
        <w:ind w:firstLine="709"/>
        <w:jc w:val="both"/>
        <w:rPr>
          <w:rFonts w:ascii="Arial" w:hAnsi="Arial" w:cs="Arial"/>
          <w:sz w:val="22"/>
          <w:szCs w:val="22"/>
        </w:rPr>
      </w:pPr>
    </w:p>
    <w:p w:rsidR="009B4233" w:rsidRDefault="006B08B9">
      <w:pPr>
        <w:ind w:firstLine="709"/>
        <w:jc w:val="both"/>
        <w:rPr>
          <w:rFonts w:ascii="Arial" w:hAnsi="Arial" w:cs="Arial"/>
          <w:sz w:val="22"/>
          <w:szCs w:val="22"/>
        </w:rPr>
      </w:pPr>
      <w:r>
        <w:rPr>
          <w:rFonts w:ascii="Arial" w:hAnsi="Arial" w:cs="Arial"/>
          <w:sz w:val="22"/>
          <w:szCs w:val="22"/>
        </w:rPr>
        <w:t>Así mismo, sobre los epígrafes de actividades económicas, se presenta la opción de una b</w:t>
      </w:r>
      <w:r>
        <w:rPr>
          <w:rFonts w:ascii="Arial" w:hAnsi="Arial" w:cs="Arial"/>
          <w:sz w:val="22"/>
          <w:szCs w:val="22"/>
        </w:rPr>
        <w:t>onificación de un 75% de la parte variable en el caso de cumplimiento de requisitos (gestión de residuos propia mediante una empresa autorizada y justificada debidamente). Siendo este caso, la empresa con actividad económica bonificada únicamente abonará l</w:t>
      </w:r>
      <w:r>
        <w:rPr>
          <w:rFonts w:ascii="Arial" w:hAnsi="Arial" w:cs="Arial"/>
          <w:sz w:val="22"/>
          <w:szCs w:val="22"/>
        </w:rPr>
        <w:t xml:space="preserve">a parte fija (63%) de la cuota tributaria correspondiente y un veinticinco por cien, de la parte variable (9,25 %). </w:t>
      </w:r>
    </w:p>
    <w:p w:rsidR="009B4233" w:rsidRDefault="009B4233">
      <w:pPr>
        <w:rPr>
          <w:rFonts w:ascii="Arial" w:hAnsi="Arial" w:cs="Arial"/>
          <w:sz w:val="22"/>
          <w:szCs w:val="22"/>
        </w:rPr>
      </w:pPr>
    </w:p>
    <w:p w:rsidR="009B4233" w:rsidRDefault="006B08B9">
      <w:pPr>
        <w:pStyle w:val="Pa10"/>
        <w:spacing w:before="160" w:after="133"/>
        <w:ind w:firstLine="709"/>
        <w:jc w:val="both"/>
      </w:pPr>
      <w:r>
        <w:rPr>
          <w:rFonts w:cs="Arial"/>
          <w:kern w:val="3"/>
          <w:sz w:val="22"/>
          <w:szCs w:val="22"/>
          <w:lang w:eastAsia="ar-SA"/>
        </w:rPr>
        <w:t>Es por lo que, esta Concejalía delegada de Hacienda PROPONE:</w:t>
      </w:r>
    </w:p>
    <w:p w:rsidR="009B4233" w:rsidRDefault="006B08B9">
      <w:pPr>
        <w:jc w:val="both"/>
      </w:pPr>
      <w:r>
        <w:rPr>
          <w:rFonts w:ascii="Arial" w:hAnsi="Arial" w:cs="Arial"/>
          <w:b/>
          <w:bCs/>
          <w:sz w:val="22"/>
          <w:szCs w:val="22"/>
        </w:rPr>
        <w:t>PRIMERO.</w:t>
      </w:r>
      <w:r>
        <w:rPr>
          <w:rFonts w:ascii="Arial" w:hAnsi="Arial" w:cs="Arial"/>
          <w:sz w:val="22"/>
          <w:szCs w:val="22"/>
        </w:rPr>
        <w:t xml:space="preserve"> Aprobar inicialmente la modificación de la Ordenanza fiscal </w:t>
      </w:r>
      <w:r>
        <w:rPr>
          <w:rFonts w:ascii="Arial" w:hAnsi="Arial" w:cs="Arial"/>
          <w:sz w:val="22"/>
          <w:szCs w:val="22"/>
        </w:rPr>
        <w:t>reguladora de la Tasa por la prestación del Servicio de Recogida, Transporte y Tratamientos de Residuos Sólidos Urbanos.</w:t>
      </w:r>
    </w:p>
    <w:p w:rsidR="009B4233" w:rsidRDefault="006B08B9">
      <w:pPr>
        <w:jc w:val="both"/>
        <w:rPr>
          <w:rFonts w:ascii="Arial" w:hAnsi="Arial" w:cs="Arial"/>
          <w:sz w:val="22"/>
          <w:szCs w:val="22"/>
          <w:lang w:val="es-ES_tradnl"/>
        </w:rPr>
      </w:pPr>
      <w:r>
        <w:rPr>
          <w:rFonts w:ascii="Arial" w:hAnsi="Arial" w:cs="Arial"/>
          <w:sz w:val="22"/>
          <w:szCs w:val="22"/>
          <w:lang w:val="es-ES_tradnl"/>
        </w:rPr>
        <w:t>.</w:t>
      </w:r>
    </w:p>
    <w:p w:rsidR="009B4233" w:rsidRDefault="009B4233">
      <w:pPr>
        <w:ind w:firstLine="720"/>
        <w:jc w:val="both"/>
        <w:rPr>
          <w:rFonts w:ascii="Arial" w:hAnsi="Arial" w:cs="Arial"/>
          <w:sz w:val="22"/>
          <w:szCs w:val="22"/>
        </w:rPr>
      </w:pPr>
    </w:p>
    <w:p w:rsidR="009B4233" w:rsidRDefault="006B08B9">
      <w:pPr>
        <w:jc w:val="both"/>
      </w:pPr>
      <w:r>
        <w:rPr>
          <w:rFonts w:ascii="Arial" w:hAnsi="Arial" w:cs="Arial"/>
          <w:b/>
          <w:bCs/>
          <w:sz w:val="22"/>
          <w:szCs w:val="22"/>
        </w:rPr>
        <w:t>SEGUNDO.</w:t>
      </w:r>
      <w:r>
        <w:rPr>
          <w:rFonts w:ascii="Arial" w:hAnsi="Arial" w:cs="Arial"/>
          <w:sz w:val="22"/>
          <w:szCs w:val="22"/>
        </w:rPr>
        <w:t xml:space="preserve"> Dar al expediente la tramitación y publicidad preceptiva, mediante exposición del mismo en el tablón de anuncios de este Ay</w:t>
      </w:r>
      <w:r>
        <w:rPr>
          <w:rFonts w:ascii="Arial" w:hAnsi="Arial" w:cs="Arial"/>
          <w:sz w:val="22"/>
          <w:szCs w:val="22"/>
        </w:rPr>
        <w:t xml:space="preserve">untamiento y en el </w:t>
      </w:r>
      <w:r>
        <w:rPr>
          <w:rFonts w:ascii="Arial" w:hAnsi="Arial" w:cs="Arial"/>
          <w:iCs/>
          <w:sz w:val="22"/>
          <w:szCs w:val="22"/>
        </w:rPr>
        <w:t xml:space="preserve">Boletín Oficial de la Provincia, </w:t>
      </w:r>
      <w:r>
        <w:rPr>
          <w:rFonts w:ascii="Arial" w:hAnsi="Arial" w:cs="Arial"/>
          <w:sz w:val="22"/>
          <w:szCs w:val="22"/>
        </w:rPr>
        <w:t>por plazo de treinta días hábiles, dentro de los cuales los interesados podrán examinarlo y plantear las reclamaciones que estimen oportunas.</w:t>
      </w:r>
    </w:p>
    <w:p w:rsidR="009B4233" w:rsidRDefault="009B4233">
      <w:pPr>
        <w:ind w:firstLine="720"/>
        <w:jc w:val="both"/>
        <w:rPr>
          <w:rFonts w:ascii="Arial" w:hAnsi="Arial" w:cs="Arial"/>
          <w:sz w:val="22"/>
          <w:szCs w:val="22"/>
        </w:rPr>
      </w:pPr>
    </w:p>
    <w:p w:rsidR="009B4233" w:rsidRDefault="006B08B9">
      <w:pPr>
        <w:ind w:firstLine="720"/>
        <w:jc w:val="both"/>
      </w:pPr>
      <w:r>
        <w:rPr>
          <w:rFonts w:ascii="Arial" w:hAnsi="Arial" w:cs="Arial"/>
          <w:sz w:val="22"/>
          <w:szCs w:val="22"/>
        </w:rPr>
        <w:t xml:space="preserve">Asimismo, estará a disposición de los interesados en la sede </w:t>
      </w:r>
      <w:r>
        <w:rPr>
          <w:rFonts w:ascii="Arial" w:hAnsi="Arial" w:cs="Arial"/>
          <w:sz w:val="22"/>
          <w:szCs w:val="22"/>
        </w:rPr>
        <w:t xml:space="preserve">electrónica de este Ayuntamiento [ </w:t>
      </w:r>
      <w:hyperlink r:id="rId23" w:history="1">
        <w:r>
          <w:rPr>
            <w:rStyle w:val="Hipervnculo"/>
            <w:rFonts w:ascii="Arial" w:hAnsi="Arial" w:cs="Arial"/>
            <w:sz w:val="22"/>
            <w:szCs w:val="22"/>
          </w:rPr>
          <w:t>https://www.candelaria.es/sede-electronica/</w:t>
        </w:r>
      </w:hyperlink>
      <w:r>
        <w:rPr>
          <w:rFonts w:ascii="Arial" w:hAnsi="Arial" w:cs="Arial"/>
          <w:sz w:val="22"/>
          <w:szCs w:val="22"/>
        </w:rPr>
        <w:t>].</w:t>
      </w:r>
    </w:p>
    <w:p w:rsidR="009B4233" w:rsidRDefault="009B4233">
      <w:pPr>
        <w:ind w:firstLine="720"/>
        <w:jc w:val="both"/>
        <w:rPr>
          <w:rFonts w:ascii="Arial" w:hAnsi="Arial" w:cs="Arial"/>
          <w:sz w:val="22"/>
          <w:szCs w:val="22"/>
        </w:rPr>
      </w:pPr>
    </w:p>
    <w:p w:rsidR="009B4233" w:rsidRDefault="006B08B9">
      <w:pPr>
        <w:jc w:val="both"/>
      </w:pPr>
      <w:r>
        <w:rPr>
          <w:rFonts w:ascii="Arial" w:hAnsi="Arial" w:cs="Arial"/>
          <w:b/>
          <w:bCs/>
          <w:sz w:val="22"/>
          <w:szCs w:val="22"/>
        </w:rPr>
        <w:t>TERCERO.</w:t>
      </w:r>
      <w:r>
        <w:rPr>
          <w:rFonts w:ascii="Arial" w:hAnsi="Arial" w:cs="Arial"/>
          <w:sz w:val="22"/>
          <w:szCs w:val="22"/>
        </w:rPr>
        <w:t xml:space="preserve"> Considerar, en el supuesto de que no se presentasen reclamaciones al expediente, en el plazo anteriormen</w:t>
      </w:r>
      <w:r>
        <w:rPr>
          <w:rFonts w:ascii="Arial" w:hAnsi="Arial" w:cs="Arial"/>
          <w:sz w:val="22"/>
          <w:szCs w:val="22"/>
        </w:rPr>
        <w:t>te indicado, que el Acuerdo es definitivo, de conformidad con el artículo 17.3 del TRLRHL.”</w:t>
      </w:r>
    </w:p>
    <w:p w:rsidR="009B4233" w:rsidRDefault="009B4233">
      <w:pPr>
        <w:jc w:val="both"/>
        <w:rPr>
          <w:rFonts w:ascii="Arial" w:hAnsi="Arial" w:cs="Arial"/>
          <w:sz w:val="22"/>
          <w:szCs w:val="22"/>
        </w:rPr>
      </w:pPr>
    </w:p>
    <w:p w:rsidR="009B4233" w:rsidRDefault="009B4233">
      <w:pPr>
        <w:jc w:val="both"/>
        <w:rPr>
          <w:rFonts w:ascii="Arial" w:hAnsi="Arial" w:cs="Arial"/>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6B08B9">
      <w:pPr>
        <w:jc w:val="both"/>
        <w:rPr>
          <w:rFonts w:ascii="Arial" w:hAnsi="Arial" w:cs="Arial"/>
          <w:b/>
          <w:sz w:val="22"/>
          <w:szCs w:val="22"/>
        </w:rPr>
      </w:pPr>
      <w:r>
        <w:rPr>
          <w:rFonts w:ascii="Arial" w:hAnsi="Arial" w:cs="Arial"/>
          <w:b/>
          <w:sz w:val="22"/>
          <w:szCs w:val="22"/>
        </w:rPr>
        <w:t xml:space="preserve">DICTAMEN FAVORABLE DE LA COMISIÓN INFORMATIVA DE HACIENDA, RECURSOS HUMANOS Y SERVICIOS GENERALES DE 22 DE SEPTIEMBRE DE 2025. </w:t>
      </w:r>
    </w:p>
    <w:p w:rsidR="009B4233" w:rsidRDefault="009B4233">
      <w:pPr>
        <w:jc w:val="both"/>
        <w:rPr>
          <w:rFonts w:ascii="Arial" w:hAnsi="Arial" w:cs="Arial"/>
          <w:b/>
          <w:sz w:val="22"/>
          <w:szCs w:val="22"/>
        </w:rPr>
      </w:pPr>
    </w:p>
    <w:p w:rsidR="009B4233" w:rsidRDefault="006B08B9">
      <w:pPr>
        <w:rPr>
          <w:rFonts w:ascii="Arial" w:hAnsi="Arial" w:cs="Arial"/>
          <w:sz w:val="22"/>
          <w:szCs w:val="22"/>
        </w:rPr>
      </w:pPr>
      <w:r>
        <w:rPr>
          <w:rFonts w:ascii="Arial" w:hAnsi="Arial" w:cs="Arial"/>
          <w:sz w:val="22"/>
          <w:szCs w:val="22"/>
        </w:rPr>
        <w:t>Votos a favor: 4.</w:t>
      </w:r>
    </w:p>
    <w:p w:rsidR="009B4233" w:rsidRDefault="006B08B9">
      <w:pPr>
        <w:jc w:val="both"/>
        <w:rPr>
          <w:rFonts w:ascii="Arial" w:hAnsi="Arial" w:cs="Arial"/>
          <w:sz w:val="22"/>
          <w:szCs w:val="22"/>
        </w:rPr>
      </w:pPr>
      <w:r>
        <w:rPr>
          <w:rFonts w:ascii="Arial" w:hAnsi="Arial" w:cs="Arial"/>
          <w:sz w:val="22"/>
          <w:szCs w:val="22"/>
        </w:rPr>
        <w:t>Los 4</w:t>
      </w:r>
      <w:r>
        <w:rPr>
          <w:rFonts w:ascii="Arial" w:hAnsi="Arial" w:cs="Arial"/>
          <w:sz w:val="22"/>
          <w:szCs w:val="22"/>
        </w:rPr>
        <w:t xml:space="preserve"> concejales del Grupo Socialista: D. Airam Pérez Chinea, D. José Francisco Pinto Ramos, Doña Margarita Eva Tendero Barroso y Doña Mónica Montserrat Yanes Delgado. </w:t>
      </w:r>
    </w:p>
    <w:p w:rsidR="009B4233" w:rsidRDefault="009B4233">
      <w:pPr>
        <w:jc w:val="both"/>
        <w:rPr>
          <w:rFonts w:ascii="Arial" w:hAnsi="Arial" w:cs="Arial"/>
          <w:sz w:val="22"/>
          <w:szCs w:val="22"/>
        </w:rPr>
      </w:pPr>
    </w:p>
    <w:p w:rsidR="009B4233" w:rsidRDefault="006B08B9">
      <w:pPr>
        <w:jc w:val="both"/>
        <w:rPr>
          <w:rFonts w:ascii="Arial" w:hAnsi="Arial" w:cs="Arial"/>
          <w:sz w:val="22"/>
          <w:szCs w:val="22"/>
        </w:rPr>
      </w:pPr>
      <w:r>
        <w:rPr>
          <w:rFonts w:ascii="Arial" w:hAnsi="Arial" w:cs="Arial"/>
          <w:sz w:val="22"/>
          <w:szCs w:val="22"/>
        </w:rPr>
        <w:t>Votos en contra: 0.</w:t>
      </w:r>
    </w:p>
    <w:p w:rsidR="009B4233" w:rsidRDefault="009B4233">
      <w:pPr>
        <w:jc w:val="both"/>
        <w:rPr>
          <w:rFonts w:ascii="Arial" w:hAnsi="Arial" w:cs="Arial"/>
          <w:sz w:val="22"/>
          <w:szCs w:val="22"/>
        </w:rPr>
      </w:pPr>
    </w:p>
    <w:p w:rsidR="009B4233" w:rsidRDefault="006B08B9">
      <w:pPr>
        <w:jc w:val="both"/>
        <w:rPr>
          <w:rFonts w:ascii="Arial" w:hAnsi="Arial" w:cs="Arial"/>
          <w:sz w:val="22"/>
          <w:szCs w:val="22"/>
        </w:rPr>
      </w:pPr>
      <w:r>
        <w:rPr>
          <w:rFonts w:ascii="Arial" w:hAnsi="Arial" w:cs="Arial"/>
          <w:sz w:val="22"/>
          <w:szCs w:val="22"/>
        </w:rPr>
        <w:t>Abstenciones: 2.</w:t>
      </w:r>
    </w:p>
    <w:p w:rsidR="009B4233" w:rsidRDefault="009B4233">
      <w:pPr>
        <w:rPr>
          <w:rFonts w:ascii="Arial" w:hAnsi="Arial" w:cs="Arial"/>
          <w:sz w:val="22"/>
          <w:szCs w:val="22"/>
        </w:rPr>
      </w:pPr>
    </w:p>
    <w:p w:rsidR="009B4233" w:rsidRDefault="006B08B9">
      <w:pPr>
        <w:jc w:val="both"/>
        <w:rPr>
          <w:rFonts w:ascii="Arial" w:hAnsi="Arial" w:cs="Arial"/>
          <w:sz w:val="22"/>
          <w:szCs w:val="22"/>
        </w:rPr>
      </w:pPr>
      <w:r>
        <w:rPr>
          <w:rFonts w:ascii="Arial" w:hAnsi="Arial" w:cs="Arial"/>
          <w:sz w:val="22"/>
          <w:szCs w:val="22"/>
        </w:rPr>
        <w:t>1 concejal del Grupo Popular: D. Jacobo López Fariña</w:t>
      </w:r>
      <w:r>
        <w:rPr>
          <w:rFonts w:ascii="Arial" w:hAnsi="Arial" w:cs="Arial"/>
          <w:sz w:val="22"/>
          <w:szCs w:val="22"/>
        </w:rPr>
        <w:t>.</w:t>
      </w:r>
    </w:p>
    <w:p w:rsidR="009B4233" w:rsidRDefault="009B4233">
      <w:pPr>
        <w:jc w:val="both"/>
        <w:rPr>
          <w:rFonts w:ascii="Arial" w:hAnsi="Arial" w:cs="Arial"/>
          <w:sz w:val="22"/>
          <w:szCs w:val="22"/>
        </w:rPr>
      </w:pPr>
    </w:p>
    <w:p w:rsidR="009B4233" w:rsidRDefault="006B08B9">
      <w:pPr>
        <w:jc w:val="both"/>
        <w:rPr>
          <w:rFonts w:ascii="Arial" w:hAnsi="Arial" w:cs="Arial"/>
          <w:sz w:val="22"/>
          <w:szCs w:val="22"/>
        </w:rPr>
      </w:pPr>
      <w:r>
        <w:rPr>
          <w:rFonts w:ascii="Arial" w:hAnsi="Arial" w:cs="Arial"/>
          <w:sz w:val="22"/>
          <w:szCs w:val="22"/>
        </w:rPr>
        <w:t>1 del concejal del Grupo Mixto (CC): D. José Yeray Padilla Cruz.</w:t>
      </w:r>
    </w:p>
    <w:p w:rsidR="009B4233" w:rsidRDefault="009B4233">
      <w:pPr>
        <w:jc w:val="both"/>
        <w:rPr>
          <w:rFonts w:ascii="Arial" w:hAnsi="Arial" w:cs="Arial"/>
          <w:sz w:val="22"/>
          <w:szCs w:val="22"/>
        </w:rPr>
      </w:pPr>
    </w:p>
    <w:p w:rsidR="009B4233" w:rsidRDefault="009B4233">
      <w:pPr>
        <w:rPr>
          <w:rFonts w:ascii="Arial" w:hAnsi="Arial" w:cs="Arial"/>
          <w:b/>
          <w:sz w:val="22"/>
          <w:szCs w:val="22"/>
        </w:rPr>
      </w:pPr>
    </w:p>
    <w:p w:rsidR="009B4233" w:rsidRDefault="006B08B9">
      <w:pPr>
        <w:rPr>
          <w:rFonts w:ascii="Arial" w:hAnsi="Arial" w:cs="Arial"/>
          <w:b/>
          <w:sz w:val="22"/>
          <w:szCs w:val="22"/>
        </w:rPr>
      </w:pPr>
      <w:r>
        <w:rPr>
          <w:rFonts w:ascii="Arial" w:hAnsi="Arial" w:cs="Arial"/>
          <w:b/>
          <w:sz w:val="22"/>
          <w:szCs w:val="22"/>
        </w:rPr>
        <w:t>JUNTA DE PORTAVOCES DE 22 DE SEPTIEMBRE DE 2025.</w:t>
      </w:r>
    </w:p>
    <w:p w:rsidR="009B4233" w:rsidRDefault="006B08B9">
      <w:pPr>
        <w:rPr>
          <w:rFonts w:ascii="Arial" w:hAnsi="Arial" w:cs="Arial"/>
          <w:sz w:val="22"/>
          <w:szCs w:val="22"/>
        </w:rPr>
      </w:pPr>
      <w:r>
        <w:rPr>
          <w:rFonts w:ascii="Arial" w:hAnsi="Arial" w:cs="Arial"/>
          <w:sz w:val="22"/>
          <w:szCs w:val="22"/>
        </w:rPr>
        <w:t xml:space="preserve">Quedó oída. </w:t>
      </w:r>
    </w:p>
    <w:p w:rsidR="009B4233" w:rsidRDefault="009B4233">
      <w:pPr>
        <w:rPr>
          <w:rFonts w:ascii="Arial" w:hAnsi="Arial" w:cs="Arial"/>
          <w:b/>
          <w:sz w:val="22"/>
          <w:szCs w:val="22"/>
        </w:rPr>
      </w:pPr>
    </w:p>
    <w:p w:rsidR="009B4233" w:rsidRDefault="009B4233">
      <w:pPr>
        <w:rPr>
          <w:rFonts w:ascii="Arial" w:hAnsi="Arial" w:cs="Arial"/>
          <w:b/>
          <w:sz w:val="22"/>
          <w:szCs w:val="22"/>
        </w:rPr>
      </w:pPr>
    </w:p>
    <w:p w:rsidR="009B4233" w:rsidRDefault="006B08B9">
      <w:pPr>
        <w:rPr>
          <w:rFonts w:ascii="Arial" w:hAnsi="Arial" w:cs="Arial"/>
          <w:b/>
          <w:sz w:val="22"/>
          <w:szCs w:val="22"/>
        </w:rPr>
      </w:pPr>
      <w:r>
        <w:rPr>
          <w:rFonts w:ascii="Arial" w:hAnsi="Arial" w:cs="Arial"/>
          <w:b/>
          <w:sz w:val="22"/>
          <w:szCs w:val="22"/>
        </w:rPr>
        <w:t>VOTACIÓN EN EL PLENO DE 25 DE SEPTIEMBRE DE 2025.</w:t>
      </w:r>
    </w:p>
    <w:p w:rsidR="009B4233" w:rsidRDefault="009B4233">
      <w:pPr>
        <w:rPr>
          <w:rFonts w:ascii="Arial" w:hAnsi="Arial" w:cs="Arial"/>
          <w:b/>
          <w:sz w:val="22"/>
          <w:szCs w:val="22"/>
        </w:rPr>
      </w:pPr>
    </w:p>
    <w:p w:rsidR="009B4233" w:rsidRDefault="006B08B9">
      <w:pPr>
        <w:jc w:val="both"/>
        <w:rPr>
          <w:rFonts w:ascii="Arial" w:hAnsi="Arial" w:cs="Arial"/>
          <w:sz w:val="22"/>
          <w:szCs w:val="22"/>
        </w:rPr>
      </w:pPr>
      <w:r>
        <w:rPr>
          <w:rFonts w:ascii="Arial" w:hAnsi="Arial" w:cs="Arial"/>
          <w:sz w:val="22"/>
          <w:szCs w:val="22"/>
        </w:rPr>
        <w:t>Votos a favor: 14.</w:t>
      </w:r>
    </w:p>
    <w:p w:rsidR="009B4233" w:rsidRDefault="009B4233">
      <w:pPr>
        <w:jc w:val="both"/>
        <w:rPr>
          <w:rFonts w:ascii="Arial" w:hAnsi="Arial" w:cs="Arial"/>
          <w:sz w:val="22"/>
          <w:szCs w:val="22"/>
        </w:rPr>
      </w:pPr>
    </w:p>
    <w:p w:rsidR="009B4233" w:rsidRDefault="006B08B9">
      <w:pPr>
        <w:jc w:val="both"/>
        <w:rPr>
          <w:rFonts w:ascii="Arial" w:hAnsi="Arial" w:cs="Arial"/>
          <w:sz w:val="22"/>
          <w:szCs w:val="22"/>
        </w:rPr>
      </w:pPr>
      <w:r>
        <w:rPr>
          <w:rFonts w:ascii="Arial" w:hAnsi="Arial" w:cs="Arial"/>
          <w:sz w:val="22"/>
          <w:szCs w:val="22"/>
        </w:rPr>
        <w:t xml:space="preserve">11 concejales del Grupo Socialista: Doña María </w:t>
      </w:r>
      <w:r>
        <w:rPr>
          <w:rFonts w:ascii="Arial" w:hAnsi="Arial" w:cs="Arial"/>
          <w:sz w:val="22"/>
          <w:szCs w:val="22"/>
        </w:rPr>
        <w:t>Concepción Brito Núñez, Don Jorge Baute Delgado, Don José Francisco Pinto Ramos, Doña Olivia Concepción Pérez Díaz, Don Reinaldo José Triviño Blanco, Don Manuel Alberto González Pestano, Doña Margarita Eva Tendero Barroso, Don Airam Pérez Chinea, Doña Marí</w:t>
      </w:r>
      <w:r>
        <w:rPr>
          <w:rFonts w:ascii="Arial" w:hAnsi="Arial" w:cs="Arial"/>
          <w:sz w:val="22"/>
          <w:szCs w:val="22"/>
        </w:rPr>
        <w:t xml:space="preserve">a del Carmen Clemente Díaz, Don Olegario Francisco Alonso Bello, Doña Mónica Monserrat Yanes Delgado. </w:t>
      </w:r>
    </w:p>
    <w:p w:rsidR="009B4233" w:rsidRDefault="006B08B9">
      <w:pPr>
        <w:jc w:val="both"/>
        <w:rPr>
          <w:rFonts w:ascii="Arial" w:hAnsi="Arial" w:cs="Arial"/>
          <w:sz w:val="22"/>
          <w:szCs w:val="22"/>
        </w:rPr>
      </w:pPr>
      <w:r>
        <w:rPr>
          <w:rFonts w:ascii="Arial" w:hAnsi="Arial" w:cs="Arial"/>
          <w:sz w:val="22"/>
          <w:szCs w:val="22"/>
        </w:rPr>
        <w:t>2 concejales del Grupo Mixto, Doña Ángela Cruz Perera y Don José Yeray Padilla Cruz (CC).</w:t>
      </w:r>
    </w:p>
    <w:p w:rsidR="009B4233" w:rsidRDefault="006B08B9">
      <w:pPr>
        <w:rPr>
          <w:rFonts w:ascii="Arial" w:hAnsi="Arial" w:cs="Arial"/>
          <w:sz w:val="22"/>
          <w:szCs w:val="22"/>
        </w:rPr>
      </w:pPr>
      <w:r>
        <w:rPr>
          <w:rFonts w:ascii="Arial" w:hAnsi="Arial" w:cs="Arial"/>
          <w:sz w:val="22"/>
          <w:szCs w:val="22"/>
        </w:rPr>
        <w:t>1 concejal del Grupo Mixto (Vox): Don José Tortosa Pallarés.</w:t>
      </w:r>
    </w:p>
    <w:p w:rsidR="009B4233" w:rsidRDefault="009B4233">
      <w:pPr>
        <w:jc w:val="both"/>
        <w:rPr>
          <w:rFonts w:ascii="Arial" w:hAnsi="Arial" w:cs="Arial"/>
          <w:sz w:val="22"/>
          <w:szCs w:val="22"/>
        </w:rPr>
      </w:pPr>
    </w:p>
    <w:p w:rsidR="009B4233" w:rsidRDefault="009B4233">
      <w:pPr>
        <w:jc w:val="both"/>
        <w:rPr>
          <w:rFonts w:ascii="Arial" w:hAnsi="Arial" w:cs="Arial"/>
          <w:sz w:val="22"/>
          <w:szCs w:val="22"/>
        </w:rPr>
      </w:pPr>
    </w:p>
    <w:p w:rsidR="009B4233" w:rsidRDefault="006B08B9">
      <w:pPr>
        <w:jc w:val="both"/>
        <w:rPr>
          <w:rFonts w:ascii="Arial" w:hAnsi="Arial" w:cs="Arial"/>
          <w:sz w:val="22"/>
          <w:szCs w:val="22"/>
        </w:rPr>
      </w:pPr>
      <w:r>
        <w:rPr>
          <w:rFonts w:ascii="Arial" w:hAnsi="Arial" w:cs="Arial"/>
          <w:sz w:val="22"/>
          <w:szCs w:val="22"/>
        </w:rPr>
        <w:t>Votos en contra: 0.</w:t>
      </w:r>
    </w:p>
    <w:p w:rsidR="009B4233" w:rsidRDefault="009B4233">
      <w:pPr>
        <w:jc w:val="both"/>
        <w:rPr>
          <w:rFonts w:ascii="Arial" w:hAnsi="Arial" w:cs="Arial"/>
          <w:sz w:val="22"/>
          <w:szCs w:val="22"/>
        </w:rPr>
      </w:pPr>
    </w:p>
    <w:p w:rsidR="009B4233" w:rsidRDefault="006B08B9">
      <w:pPr>
        <w:jc w:val="both"/>
        <w:rPr>
          <w:rFonts w:ascii="Arial" w:hAnsi="Arial" w:cs="Arial"/>
          <w:sz w:val="22"/>
          <w:szCs w:val="22"/>
        </w:rPr>
      </w:pPr>
      <w:r>
        <w:rPr>
          <w:rFonts w:ascii="Arial" w:hAnsi="Arial" w:cs="Arial"/>
          <w:sz w:val="22"/>
          <w:szCs w:val="22"/>
        </w:rPr>
        <w:t>Abstenciones: 6.</w:t>
      </w:r>
    </w:p>
    <w:p w:rsidR="009B4233" w:rsidRDefault="009B4233">
      <w:pPr>
        <w:jc w:val="both"/>
        <w:rPr>
          <w:rFonts w:ascii="Arial" w:hAnsi="Arial" w:cs="Arial"/>
          <w:sz w:val="22"/>
          <w:szCs w:val="22"/>
        </w:rPr>
      </w:pPr>
    </w:p>
    <w:p w:rsidR="009B4233" w:rsidRDefault="006B08B9">
      <w:pPr>
        <w:jc w:val="both"/>
        <w:rPr>
          <w:rFonts w:ascii="Arial" w:hAnsi="Arial" w:cs="Arial"/>
          <w:sz w:val="22"/>
          <w:szCs w:val="22"/>
        </w:rPr>
      </w:pPr>
      <w:r>
        <w:rPr>
          <w:rFonts w:ascii="Arial" w:hAnsi="Arial" w:cs="Arial"/>
          <w:sz w:val="22"/>
          <w:szCs w:val="22"/>
        </w:rPr>
        <w:t xml:space="preserve">5 concejales del Grupo Popular: Don Jacobo López Fariña, Don Miguel Eduardo Hernández Chitty, Doña María Carlota Díaz González, Don José Daniel Sosa González, y Doña Shaila Castellano Batista. </w:t>
      </w:r>
    </w:p>
    <w:p w:rsidR="009B4233" w:rsidRDefault="009B4233">
      <w:pPr>
        <w:jc w:val="both"/>
        <w:rPr>
          <w:rFonts w:ascii="Arial" w:hAnsi="Arial" w:cs="Arial"/>
          <w:sz w:val="22"/>
          <w:szCs w:val="22"/>
        </w:rPr>
      </w:pPr>
    </w:p>
    <w:p w:rsidR="009B4233" w:rsidRDefault="006B08B9">
      <w:pPr>
        <w:jc w:val="both"/>
        <w:rPr>
          <w:rFonts w:ascii="Arial" w:hAnsi="Arial" w:cs="Arial"/>
          <w:sz w:val="22"/>
          <w:szCs w:val="22"/>
        </w:rPr>
      </w:pPr>
      <w:r>
        <w:rPr>
          <w:rFonts w:ascii="Arial" w:hAnsi="Arial" w:cs="Arial"/>
          <w:sz w:val="22"/>
          <w:szCs w:val="22"/>
        </w:rPr>
        <w:t>1 del concejal del Gru</w:t>
      </w:r>
      <w:r>
        <w:rPr>
          <w:rFonts w:ascii="Arial" w:hAnsi="Arial" w:cs="Arial"/>
          <w:sz w:val="22"/>
          <w:szCs w:val="22"/>
        </w:rPr>
        <w:t>po Mixto (USP): Doña Violeta López Jiménez.</w:t>
      </w:r>
    </w:p>
    <w:p w:rsidR="009B4233" w:rsidRDefault="009B4233">
      <w:pPr>
        <w:jc w:val="both"/>
        <w:rPr>
          <w:rFonts w:ascii="Arial" w:hAnsi="Arial" w:cs="Arial"/>
          <w:sz w:val="22"/>
          <w:szCs w:val="22"/>
        </w:rPr>
      </w:pPr>
    </w:p>
    <w:p w:rsidR="009B4233" w:rsidRDefault="006B08B9">
      <w:pPr>
        <w:jc w:val="both"/>
        <w:rPr>
          <w:rFonts w:ascii="Arial" w:hAnsi="Arial" w:cs="Arial"/>
          <w:b/>
          <w:sz w:val="22"/>
          <w:szCs w:val="22"/>
        </w:rPr>
      </w:pPr>
      <w:r>
        <w:rPr>
          <w:rFonts w:ascii="Arial" w:hAnsi="Arial" w:cs="Arial"/>
          <w:b/>
          <w:sz w:val="22"/>
          <w:szCs w:val="22"/>
        </w:rPr>
        <w:t xml:space="preserve">                          </w:t>
      </w:r>
    </w:p>
    <w:p w:rsidR="009B4233" w:rsidRDefault="009B4233">
      <w:pPr>
        <w:jc w:val="both"/>
        <w:rPr>
          <w:rFonts w:ascii="Arial" w:hAnsi="Arial" w:cs="Arial"/>
          <w:b/>
          <w:sz w:val="22"/>
          <w:szCs w:val="22"/>
        </w:rPr>
      </w:pPr>
    </w:p>
    <w:p w:rsidR="009B4233" w:rsidRDefault="009B4233">
      <w:pPr>
        <w:rPr>
          <w:rFonts w:ascii="Arial" w:hAnsi="Arial" w:cs="Arial"/>
          <w:b/>
          <w:sz w:val="22"/>
          <w:szCs w:val="22"/>
        </w:rPr>
      </w:pPr>
    </w:p>
    <w:p w:rsidR="009B4233" w:rsidRDefault="009B4233">
      <w:pPr>
        <w:pStyle w:val="Textoindependiente"/>
        <w:jc w:val="both"/>
        <w:rPr>
          <w:rFonts w:cs="Arial"/>
          <w:szCs w:val="22"/>
        </w:rPr>
      </w:pPr>
    </w:p>
    <w:p w:rsidR="009B4233" w:rsidRDefault="009B4233">
      <w:pPr>
        <w:pStyle w:val="Textoindependiente"/>
        <w:jc w:val="center"/>
        <w:rPr>
          <w:rFonts w:cs="Arial"/>
          <w:b/>
          <w:szCs w:val="22"/>
        </w:rPr>
      </w:pPr>
    </w:p>
    <w:p w:rsidR="009B4233" w:rsidRDefault="009B4233">
      <w:pPr>
        <w:pStyle w:val="Textoindependiente"/>
        <w:jc w:val="center"/>
        <w:rPr>
          <w:rFonts w:cs="Arial"/>
          <w:b/>
          <w:szCs w:val="22"/>
        </w:rPr>
      </w:pPr>
    </w:p>
    <w:p w:rsidR="009B4233" w:rsidRDefault="009B4233">
      <w:pPr>
        <w:pStyle w:val="Textoindependiente"/>
        <w:jc w:val="center"/>
        <w:rPr>
          <w:rFonts w:cs="Arial"/>
          <w:b/>
          <w:szCs w:val="22"/>
        </w:rPr>
      </w:pPr>
    </w:p>
    <w:p w:rsidR="009B4233" w:rsidRDefault="009B4233">
      <w:pPr>
        <w:pStyle w:val="Textoindependiente"/>
        <w:jc w:val="center"/>
        <w:rPr>
          <w:rFonts w:cs="Arial"/>
          <w:b/>
          <w:szCs w:val="22"/>
        </w:rPr>
      </w:pPr>
    </w:p>
    <w:p w:rsidR="009B4233" w:rsidRDefault="006B08B9">
      <w:pPr>
        <w:pStyle w:val="Textoindependiente"/>
        <w:jc w:val="center"/>
        <w:rPr>
          <w:rFonts w:cs="Arial"/>
          <w:b/>
          <w:szCs w:val="22"/>
        </w:rPr>
      </w:pPr>
      <w:r>
        <w:rPr>
          <w:rFonts w:cs="Arial"/>
          <w:b/>
          <w:szCs w:val="22"/>
        </w:rPr>
        <w:t>ACUERDO DEL PLENO DE 25 DE SEPTIEMBRE DE 2025.</w:t>
      </w:r>
    </w:p>
    <w:p w:rsidR="009B4233" w:rsidRDefault="009B4233">
      <w:pPr>
        <w:jc w:val="both"/>
        <w:rPr>
          <w:rFonts w:ascii="Arial" w:hAnsi="Arial" w:cs="Arial"/>
          <w:b/>
          <w:sz w:val="22"/>
          <w:szCs w:val="22"/>
        </w:rPr>
      </w:pPr>
    </w:p>
    <w:p w:rsidR="009B4233" w:rsidRDefault="006B08B9">
      <w:pPr>
        <w:jc w:val="both"/>
      </w:pPr>
      <w:r>
        <w:rPr>
          <w:rFonts w:ascii="Arial" w:hAnsi="Arial" w:cs="Arial"/>
          <w:b/>
          <w:bCs/>
          <w:sz w:val="22"/>
          <w:szCs w:val="22"/>
        </w:rPr>
        <w:t>PRIMERO.</w:t>
      </w:r>
      <w:r>
        <w:rPr>
          <w:rFonts w:ascii="Arial" w:hAnsi="Arial" w:cs="Arial"/>
          <w:b/>
          <w:sz w:val="22"/>
          <w:szCs w:val="22"/>
        </w:rPr>
        <w:t xml:space="preserve"> Aprobar inicialmente la modificación de la Ordenanza fiscal reguladora de la Tasa por la prestación del Servicio de Reco</w:t>
      </w:r>
      <w:r>
        <w:rPr>
          <w:rFonts w:ascii="Arial" w:hAnsi="Arial" w:cs="Arial"/>
          <w:b/>
          <w:sz w:val="22"/>
          <w:szCs w:val="22"/>
        </w:rPr>
        <w:t>gida, Transporte y Tratamientos de Residuos Sólidos Urbanos.</w:t>
      </w:r>
    </w:p>
    <w:p w:rsidR="009B4233" w:rsidRDefault="009B4233">
      <w:pPr>
        <w:ind w:firstLine="720"/>
        <w:jc w:val="both"/>
        <w:rPr>
          <w:rFonts w:ascii="Arial" w:hAnsi="Arial" w:cs="Arial"/>
          <w:b/>
          <w:sz w:val="22"/>
          <w:szCs w:val="22"/>
        </w:rPr>
      </w:pPr>
    </w:p>
    <w:p w:rsidR="009B4233" w:rsidRDefault="006B08B9">
      <w:pPr>
        <w:jc w:val="both"/>
      </w:pPr>
      <w:r>
        <w:rPr>
          <w:rFonts w:ascii="Arial" w:hAnsi="Arial" w:cs="Arial"/>
          <w:b/>
          <w:bCs/>
          <w:sz w:val="22"/>
          <w:szCs w:val="22"/>
        </w:rPr>
        <w:t>SEGUNDO.</w:t>
      </w:r>
      <w:r>
        <w:rPr>
          <w:rFonts w:ascii="Arial" w:hAnsi="Arial" w:cs="Arial"/>
          <w:b/>
          <w:sz w:val="22"/>
          <w:szCs w:val="22"/>
        </w:rPr>
        <w:t xml:space="preserve"> Dar al expediente la tramitación y publicidad preceptiva, mediante exposición del mismo en el tablón de anuncios de este Ayuntamiento y en el </w:t>
      </w:r>
      <w:r>
        <w:rPr>
          <w:rFonts w:ascii="Arial" w:hAnsi="Arial" w:cs="Arial"/>
          <w:b/>
          <w:iCs/>
          <w:sz w:val="22"/>
          <w:szCs w:val="22"/>
        </w:rPr>
        <w:t xml:space="preserve">Boletín Oficial de la Provincia, </w:t>
      </w:r>
      <w:r>
        <w:rPr>
          <w:rFonts w:ascii="Arial" w:hAnsi="Arial" w:cs="Arial"/>
          <w:b/>
          <w:sz w:val="22"/>
          <w:szCs w:val="22"/>
        </w:rPr>
        <w:t xml:space="preserve">por plazo </w:t>
      </w:r>
      <w:r>
        <w:rPr>
          <w:rFonts w:ascii="Arial" w:hAnsi="Arial" w:cs="Arial"/>
          <w:b/>
          <w:sz w:val="22"/>
          <w:szCs w:val="22"/>
        </w:rPr>
        <w:t>de QUINCE hábiles, dentro de los cuales los interesados podrán examinarlo y plantear las reclamaciones que estimen oportunas.</w:t>
      </w:r>
    </w:p>
    <w:p w:rsidR="009B4233" w:rsidRDefault="009B4233">
      <w:pPr>
        <w:ind w:firstLine="720"/>
        <w:jc w:val="both"/>
        <w:rPr>
          <w:rFonts w:ascii="Arial" w:hAnsi="Arial" w:cs="Arial"/>
          <w:b/>
          <w:sz w:val="22"/>
          <w:szCs w:val="22"/>
        </w:rPr>
      </w:pPr>
    </w:p>
    <w:p w:rsidR="009B4233" w:rsidRDefault="006B08B9">
      <w:pPr>
        <w:ind w:firstLine="720"/>
        <w:jc w:val="both"/>
      </w:pPr>
      <w:r>
        <w:rPr>
          <w:rFonts w:ascii="Arial" w:hAnsi="Arial" w:cs="Arial"/>
          <w:b/>
          <w:sz w:val="22"/>
          <w:szCs w:val="22"/>
        </w:rPr>
        <w:t xml:space="preserve">Asimismo, estará a disposición de los interesados en la sede electrónica de este Ayuntamiento [ </w:t>
      </w:r>
      <w:hyperlink r:id="rId24" w:history="1">
        <w:r>
          <w:rPr>
            <w:rStyle w:val="Hipervnculo"/>
            <w:rFonts w:ascii="Arial" w:hAnsi="Arial" w:cs="Arial"/>
            <w:b/>
            <w:sz w:val="22"/>
            <w:szCs w:val="22"/>
          </w:rPr>
          <w:t>https://www.candelaria.es/sede-electronica/</w:t>
        </w:r>
      </w:hyperlink>
      <w:r>
        <w:rPr>
          <w:rFonts w:ascii="Arial" w:hAnsi="Arial" w:cs="Arial"/>
          <w:b/>
          <w:sz w:val="22"/>
          <w:szCs w:val="22"/>
        </w:rPr>
        <w:t>].</w:t>
      </w:r>
    </w:p>
    <w:p w:rsidR="009B4233" w:rsidRDefault="009B4233">
      <w:pPr>
        <w:ind w:firstLine="720"/>
        <w:jc w:val="both"/>
        <w:rPr>
          <w:rFonts w:ascii="Arial" w:hAnsi="Arial" w:cs="Arial"/>
          <w:b/>
          <w:sz w:val="22"/>
          <w:szCs w:val="22"/>
        </w:rPr>
      </w:pPr>
    </w:p>
    <w:p w:rsidR="009B4233" w:rsidRDefault="006B08B9">
      <w:pPr>
        <w:jc w:val="both"/>
      </w:pPr>
      <w:r>
        <w:rPr>
          <w:rFonts w:ascii="Arial" w:hAnsi="Arial" w:cs="Arial"/>
          <w:b/>
          <w:bCs/>
          <w:sz w:val="22"/>
          <w:szCs w:val="22"/>
        </w:rPr>
        <w:t>TERCERO.</w:t>
      </w:r>
      <w:r>
        <w:rPr>
          <w:rFonts w:ascii="Arial" w:hAnsi="Arial" w:cs="Arial"/>
          <w:b/>
          <w:sz w:val="22"/>
          <w:szCs w:val="22"/>
        </w:rPr>
        <w:t xml:space="preserve"> Considerar, en el supuesto de que no se presentasen reclamaciones al expediente, en el plazo anteriormente indicado, que el Acuerdo es definitivo, de conformidad con el </w:t>
      </w:r>
      <w:r>
        <w:rPr>
          <w:rFonts w:ascii="Arial" w:hAnsi="Arial" w:cs="Arial"/>
          <w:b/>
          <w:sz w:val="22"/>
          <w:szCs w:val="22"/>
        </w:rPr>
        <w:t>artículo 17.3 del TRLRHL.</w:t>
      </w:r>
    </w:p>
    <w:p w:rsidR="009B4233" w:rsidRDefault="009B4233">
      <w:pPr>
        <w:jc w:val="both"/>
        <w:rPr>
          <w:rFonts w:ascii="Arial" w:hAnsi="Arial" w:cs="Arial"/>
          <w:sz w:val="22"/>
          <w:szCs w:val="22"/>
        </w:rPr>
      </w:pPr>
    </w:p>
    <w:p w:rsidR="009B4233" w:rsidRDefault="009B4233">
      <w:pPr>
        <w:jc w:val="both"/>
        <w:rPr>
          <w:rFonts w:ascii="Arial" w:hAnsi="Arial" w:cs="Arial"/>
          <w:b/>
          <w:sz w:val="22"/>
          <w:szCs w:val="22"/>
        </w:rPr>
      </w:pPr>
    </w:p>
    <w:p w:rsidR="009B4233" w:rsidRDefault="009B4233">
      <w:pPr>
        <w:pStyle w:val="Textoindependiente"/>
        <w:jc w:val="both"/>
        <w:rPr>
          <w:rFonts w:cs="Arial"/>
          <w:szCs w:val="22"/>
        </w:rPr>
      </w:pPr>
    </w:p>
    <w:p w:rsidR="009B4233" w:rsidRDefault="009B4233">
      <w:pPr>
        <w:widowControl/>
        <w:suppressAutoHyphens w:val="0"/>
        <w:autoSpaceDE w:val="0"/>
        <w:jc w:val="both"/>
        <w:textAlignment w:val="auto"/>
        <w:rPr>
          <w:rFonts w:ascii="Arial" w:hAnsi="Arial" w:cs="Arial"/>
          <w:b/>
          <w:sz w:val="22"/>
          <w:szCs w:val="22"/>
        </w:rPr>
      </w:pPr>
    </w:p>
    <w:p w:rsidR="009B4233" w:rsidRDefault="009B4233">
      <w:pPr>
        <w:widowControl/>
        <w:suppressAutoHyphens w:val="0"/>
        <w:autoSpaceDE w:val="0"/>
        <w:jc w:val="both"/>
        <w:textAlignment w:val="auto"/>
        <w:rPr>
          <w:rFonts w:ascii="Arial" w:hAnsi="Arial" w:cs="Arial"/>
          <w:b/>
          <w:sz w:val="22"/>
          <w:szCs w:val="22"/>
        </w:rPr>
      </w:pPr>
    </w:p>
    <w:p w:rsidR="009B4233" w:rsidRDefault="009B4233">
      <w:pPr>
        <w:widowControl/>
        <w:suppressAutoHyphens w:val="0"/>
        <w:autoSpaceDE w:val="0"/>
        <w:jc w:val="both"/>
        <w:textAlignment w:val="auto"/>
        <w:rPr>
          <w:rFonts w:ascii="Arial" w:hAnsi="Arial" w:cs="Arial"/>
          <w:b/>
          <w:sz w:val="22"/>
          <w:szCs w:val="22"/>
        </w:rPr>
      </w:pPr>
    </w:p>
    <w:p w:rsidR="009B4233" w:rsidRDefault="009B4233">
      <w:pPr>
        <w:widowControl/>
        <w:suppressAutoHyphens w:val="0"/>
        <w:autoSpaceDE w:val="0"/>
        <w:jc w:val="both"/>
        <w:textAlignment w:val="auto"/>
        <w:rPr>
          <w:rFonts w:ascii="Arial" w:hAnsi="Arial" w:cs="Arial"/>
          <w:b/>
          <w:sz w:val="22"/>
          <w:szCs w:val="22"/>
        </w:rPr>
      </w:pPr>
    </w:p>
    <w:p w:rsidR="009B4233" w:rsidRDefault="009B4233">
      <w:pPr>
        <w:widowControl/>
        <w:suppressAutoHyphens w:val="0"/>
        <w:autoSpaceDE w:val="0"/>
        <w:jc w:val="both"/>
        <w:textAlignment w:val="auto"/>
        <w:rPr>
          <w:rFonts w:ascii="Arial" w:hAnsi="Arial" w:cs="Arial"/>
          <w:b/>
          <w:sz w:val="22"/>
          <w:szCs w:val="22"/>
        </w:rPr>
      </w:pPr>
    </w:p>
    <w:p w:rsidR="009B4233" w:rsidRDefault="009B4233">
      <w:pPr>
        <w:widowControl/>
        <w:suppressAutoHyphens w:val="0"/>
        <w:autoSpaceDE w:val="0"/>
        <w:jc w:val="both"/>
        <w:textAlignment w:val="auto"/>
        <w:rPr>
          <w:rFonts w:ascii="Arial" w:hAnsi="Arial" w:cs="Arial"/>
          <w:b/>
          <w:sz w:val="22"/>
          <w:szCs w:val="22"/>
        </w:rPr>
      </w:pPr>
    </w:p>
    <w:p w:rsidR="009B4233" w:rsidRDefault="009B4233">
      <w:pPr>
        <w:widowControl/>
        <w:suppressAutoHyphens w:val="0"/>
        <w:autoSpaceDE w:val="0"/>
        <w:jc w:val="both"/>
        <w:textAlignment w:val="auto"/>
        <w:rPr>
          <w:rFonts w:ascii="Arial" w:hAnsi="Arial" w:cs="Arial"/>
          <w:b/>
          <w:sz w:val="22"/>
          <w:szCs w:val="22"/>
        </w:rPr>
      </w:pPr>
    </w:p>
    <w:p w:rsidR="009B4233" w:rsidRDefault="009B4233">
      <w:pPr>
        <w:widowControl/>
        <w:suppressAutoHyphens w:val="0"/>
        <w:autoSpaceDE w:val="0"/>
        <w:jc w:val="both"/>
        <w:textAlignment w:val="auto"/>
        <w:rPr>
          <w:rFonts w:ascii="Arial" w:hAnsi="Arial" w:cs="Arial"/>
          <w:b/>
          <w:sz w:val="22"/>
          <w:szCs w:val="22"/>
        </w:rPr>
      </w:pPr>
    </w:p>
    <w:p w:rsidR="009B4233" w:rsidRDefault="009B4233">
      <w:pPr>
        <w:widowControl/>
        <w:suppressAutoHyphens w:val="0"/>
        <w:autoSpaceDE w:val="0"/>
        <w:jc w:val="both"/>
        <w:textAlignment w:val="auto"/>
        <w:rPr>
          <w:rFonts w:ascii="Arial" w:hAnsi="Arial" w:cs="Arial"/>
          <w:b/>
          <w:sz w:val="22"/>
          <w:szCs w:val="22"/>
        </w:rPr>
      </w:pPr>
    </w:p>
    <w:p w:rsidR="009B4233" w:rsidRDefault="009B4233">
      <w:pPr>
        <w:widowControl/>
        <w:suppressAutoHyphens w:val="0"/>
        <w:autoSpaceDE w:val="0"/>
        <w:jc w:val="both"/>
        <w:textAlignment w:val="auto"/>
        <w:rPr>
          <w:rFonts w:ascii="Arial" w:hAnsi="Arial" w:cs="Arial"/>
          <w:b/>
          <w:sz w:val="22"/>
          <w:szCs w:val="22"/>
        </w:rPr>
      </w:pPr>
    </w:p>
    <w:p w:rsidR="009B4233" w:rsidRDefault="009B4233">
      <w:pPr>
        <w:widowControl/>
        <w:suppressAutoHyphens w:val="0"/>
        <w:autoSpaceDE w:val="0"/>
        <w:jc w:val="both"/>
        <w:textAlignment w:val="auto"/>
        <w:rPr>
          <w:rFonts w:ascii="Arial" w:hAnsi="Arial" w:cs="Arial"/>
          <w:b/>
          <w:sz w:val="22"/>
          <w:szCs w:val="22"/>
        </w:rPr>
      </w:pPr>
    </w:p>
    <w:p w:rsidR="009B4233" w:rsidRDefault="009B4233">
      <w:pPr>
        <w:widowControl/>
        <w:suppressAutoHyphens w:val="0"/>
        <w:autoSpaceDE w:val="0"/>
        <w:jc w:val="both"/>
        <w:textAlignment w:val="auto"/>
        <w:rPr>
          <w:rFonts w:ascii="Arial" w:hAnsi="Arial" w:cs="Arial"/>
          <w:b/>
          <w:sz w:val="22"/>
          <w:szCs w:val="22"/>
        </w:rPr>
      </w:pPr>
    </w:p>
    <w:p w:rsidR="009B4233" w:rsidRDefault="009B4233">
      <w:pPr>
        <w:widowControl/>
        <w:suppressAutoHyphens w:val="0"/>
        <w:autoSpaceDE w:val="0"/>
        <w:jc w:val="both"/>
        <w:textAlignment w:val="auto"/>
        <w:rPr>
          <w:rFonts w:ascii="Arial" w:hAnsi="Arial" w:cs="Arial"/>
          <w:b/>
          <w:sz w:val="22"/>
          <w:szCs w:val="22"/>
        </w:rPr>
      </w:pPr>
    </w:p>
    <w:p w:rsidR="009B4233" w:rsidRDefault="009B4233">
      <w:pPr>
        <w:widowControl/>
        <w:suppressAutoHyphens w:val="0"/>
        <w:autoSpaceDE w:val="0"/>
        <w:jc w:val="both"/>
        <w:textAlignment w:val="auto"/>
        <w:rPr>
          <w:rFonts w:ascii="Arial" w:hAnsi="Arial" w:cs="Arial"/>
          <w:b/>
          <w:sz w:val="22"/>
          <w:szCs w:val="22"/>
        </w:rPr>
      </w:pPr>
    </w:p>
    <w:p w:rsidR="009B4233" w:rsidRDefault="009B4233">
      <w:pPr>
        <w:widowControl/>
        <w:suppressAutoHyphens w:val="0"/>
        <w:autoSpaceDE w:val="0"/>
        <w:jc w:val="both"/>
        <w:textAlignment w:val="auto"/>
        <w:rPr>
          <w:rFonts w:ascii="Arial" w:hAnsi="Arial" w:cs="Arial"/>
          <w:b/>
          <w:sz w:val="22"/>
          <w:szCs w:val="22"/>
        </w:rPr>
      </w:pPr>
    </w:p>
    <w:p w:rsidR="009B4233" w:rsidRDefault="006B08B9">
      <w:pPr>
        <w:jc w:val="both"/>
        <w:rPr>
          <w:rFonts w:ascii="Arial" w:hAnsi="Arial" w:cs="Arial"/>
          <w:b/>
        </w:rPr>
      </w:pPr>
      <w:r>
        <w:rPr>
          <w:rFonts w:ascii="Arial" w:hAnsi="Arial" w:cs="Arial"/>
          <w:b/>
        </w:rPr>
        <w:t>6.- Expediente 8970/2025. Propuesta de la Alcaldesa-Presidenta de 19 de septiembre de 2025 al Pleno de aprobar el expediente del contrato de obras, mediante procedimiento abierto, regulación armonizada, consisten</w:t>
      </w:r>
      <w:r>
        <w:rPr>
          <w:rFonts w:ascii="Arial" w:hAnsi="Arial" w:cs="Arial"/>
          <w:b/>
        </w:rPr>
        <w:t>te en “Proyecto de ejecución de Piscina de Candelaria”, convocar su licitación y disponer la apertura del procedimiento de adjudicación y la aprobación del gasto por importe de 7.125.505,82 € (IGIC incluido).</w:t>
      </w:r>
    </w:p>
    <w:p w:rsidR="009B4233" w:rsidRDefault="009B4233">
      <w:pPr>
        <w:pStyle w:val="Textoindependiente"/>
        <w:jc w:val="both"/>
        <w:rPr>
          <w:rFonts w:cs="Arial"/>
          <w:sz w:val="24"/>
        </w:rPr>
      </w:pPr>
    </w:p>
    <w:p w:rsidR="009B4233" w:rsidRDefault="006B08B9">
      <w:pPr>
        <w:pStyle w:val="Textoindependiente"/>
        <w:jc w:val="both"/>
      </w:pPr>
      <w:r>
        <w:rPr>
          <w:rFonts w:cs="Arial"/>
          <w:b/>
          <w:bCs/>
          <w:szCs w:val="22"/>
        </w:rPr>
        <w:t xml:space="preserve">    Consta en el expediente Informe Jurídico </w:t>
      </w:r>
      <w:r>
        <w:rPr>
          <w:rFonts w:cs="Arial"/>
          <w:b/>
          <w:bCs/>
          <w:szCs w:val="22"/>
        </w:rPr>
        <w:t xml:space="preserve">emitido por </w:t>
      </w:r>
      <w:r>
        <w:rPr>
          <w:rFonts w:cs="Arial"/>
          <w:b/>
          <w:szCs w:val="22"/>
        </w:rPr>
        <w:t>Doña Rosa Edelmira González Sabina</w:t>
      </w:r>
      <w:r>
        <w:rPr>
          <w:rFonts w:cs="Arial"/>
          <w:b/>
          <w:bCs/>
          <w:szCs w:val="22"/>
        </w:rPr>
        <w:t xml:space="preserve">, </w:t>
      </w:r>
      <w:r>
        <w:rPr>
          <w:rFonts w:cs="Arial"/>
          <w:b/>
          <w:szCs w:val="22"/>
        </w:rPr>
        <w:t>que desempeña el puesto de Jurista, del 19 de septiembre de 2025,</w:t>
      </w:r>
      <w:r>
        <w:rPr>
          <w:rFonts w:cs="Arial"/>
          <w:b/>
          <w:bCs/>
          <w:szCs w:val="22"/>
        </w:rPr>
        <w:t xml:space="preserve"> debidamente conformado por</w:t>
      </w:r>
      <w:r>
        <w:rPr>
          <w:rFonts w:cs="Arial"/>
          <w:b/>
          <w:szCs w:val="22"/>
        </w:rPr>
        <w:t xml:space="preserve"> D. Octavio Manuel Fernández Hernández, Secretario General, </w:t>
      </w:r>
      <w:r>
        <w:rPr>
          <w:rFonts w:eastAsia="Calibri" w:cs="Arial"/>
          <w:b/>
          <w:szCs w:val="22"/>
        </w:rPr>
        <w:t>del 19 de septiembre de 2025</w:t>
      </w:r>
      <w:r>
        <w:rPr>
          <w:rFonts w:cs="Arial"/>
          <w:b/>
          <w:szCs w:val="22"/>
        </w:rPr>
        <w:t>, y fiscalizado favorablemen</w:t>
      </w:r>
      <w:r>
        <w:rPr>
          <w:rFonts w:cs="Arial"/>
          <w:b/>
          <w:szCs w:val="22"/>
        </w:rPr>
        <w:t>te por D. Nicolás Rojo Garnica, I</w:t>
      </w:r>
      <w:r>
        <w:rPr>
          <w:rFonts w:eastAsia="Calibri" w:cs="Arial"/>
          <w:b/>
          <w:szCs w:val="22"/>
        </w:rPr>
        <w:t>nterventor Municipal,</w:t>
      </w:r>
      <w:r>
        <w:rPr>
          <w:rFonts w:cs="Arial"/>
          <w:b/>
          <w:szCs w:val="22"/>
        </w:rPr>
        <w:t xml:space="preserve"> del 19 de septiembre de 2025,</w:t>
      </w:r>
      <w:r>
        <w:rPr>
          <w:rFonts w:cs="Arial"/>
          <w:b/>
          <w:bCs/>
          <w:szCs w:val="22"/>
        </w:rPr>
        <w:t xml:space="preserve"> del siguiente tenor literal:</w:t>
      </w:r>
    </w:p>
    <w:p w:rsidR="009B4233" w:rsidRDefault="009B4233">
      <w:pPr>
        <w:pStyle w:val="Textoindependiente"/>
        <w:jc w:val="both"/>
        <w:rPr>
          <w:rFonts w:cs="Arial"/>
          <w:b/>
          <w:bCs/>
          <w:szCs w:val="22"/>
        </w:rPr>
      </w:pPr>
    </w:p>
    <w:p w:rsidR="009B4233" w:rsidRDefault="006B08B9">
      <w:pPr>
        <w:pStyle w:val="Ttulo1"/>
        <w:ind w:left="11" w:right="1710"/>
        <w:rPr>
          <w:rFonts w:ascii="Arial" w:hAnsi="Arial" w:cs="Arial"/>
          <w:sz w:val="22"/>
          <w:szCs w:val="22"/>
        </w:rPr>
      </w:pPr>
      <w:r>
        <w:rPr>
          <w:rFonts w:ascii="Arial" w:hAnsi="Arial" w:cs="Arial"/>
          <w:sz w:val="22"/>
          <w:szCs w:val="22"/>
        </w:rPr>
        <w:t xml:space="preserve">                      “INFORME                             </w:t>
      </w:r>
    </w:p>
    <w:p w:rsidR="009B4233" w:rsidRDefault="006B08B9">
      <w:pPr>
        <w:ind w:left="-5"/>
        <w:jc w:val="both"/>
        <w:rPr>
          <w:rFonts w:ascii="Arial" w:eastAsia="Calibri" w:hAnsi="Arial" w:cs="Arial"/>
          <w:b/>
          <w:sz w:val="22"/>
          <w:szCs w:val="22"/>
        </w:rPr>
      </w:pPr>
      <w:r>
        <w:rPr>
          <w:rFonts w:ascii="Arial" w:eastAsia="Calibri" w:hAnsi="Arial" w:cs="Arial"/>
          <w:b/>
          <w:sz w:val="22"/>
          <w:szCs w:val="22"/>
        </w:rPr>
        <w:t xml:space="preserve">Visto el expediente antedicho, la funcionaria Rosa Edelmira González Sabina, que </w:t>
      </w:r>
      <w:r>
        <w:rPr>
          <w:rFonts w:ascii="Arial" w:eastAsia="Calibri" w:hAnsi="Arial" w:cs="Arial"/>
          <w:b/>
          <w:sz w:val="22"/>
          <w:szCs w:val="22"/>
        </w:rPr>
        <w:t xml:space="preserve">desempeña el puesto de trabajo de técnico de administración general, conformado por el Secretario General, fiscalizado favorablemente por el Interventor Municipal, emite el siguiente informe: </w:t>
      </w:r>
    </w:p>
    <w:p w:rsidR="009B4233" w:rsidRDefault="009B4233">
      <w:pPr>
        <w:ind w:left="-5"/>
        <w:jc w:val="both"/>
        <w:rPr>
          <w:rFonts w:ascii="Arial" w:eastAsia="Calibri" w:hAnsi="Arial" w:cs="Arial"/>
          <w:b/>
          <w:sz w:val="22"/>
          <w:szCs w:val="22"/>
        </w:rPr>
      </w:pPr>
    </w:p>
    <w:p w:rsidR="009B4233" w:rsidRDefault="009B4233">
      <w:pPr>
        <w:ind w:left="-5"/>
        <w:rPr>
          <w:rFonts w:ascii="Arial" w:hAnsi="Arial" w:cs="Arial"/>
          <w:sz w:val="22"/>
          <w:szCs w:val="22"/>
        </w:rPr>
      </w:pPr>
    </w:p>
    <w:p w:rsidR="009B4233" w:rsidRDefault="006B08B9">
      <w:pPr>
        <w:pStyle w:val="Ttulo1"/>
        <w:ind w:left="11"/>
        <w:rPr>
          <w:rFonts w:ascii="Arial" w:hAnsi="Arial" w:cs="Arial"/>
          <w:sz w:val="22"/>
          <w:szCs w:val="22"/>
        </w:rPr>
      </w:pPr>
      <w:r>
        <w:rPr>
          <w:rFonts w:ascii="Arial" w:hAnsi="Arial" w:cs="Arial"/>
          <w:sz w:val="22"/>
          <w:szCs w:val="22"/>
        </w:rPr>
        <w:t>Antecedentes de hecho</w:t>
      </w:r>
    </w:p>
    <w:p w:rsidR="009B4233" w:rsidRDefault="006B08B9">
      <w:pPr>
        <w:ind w:left="-5"/>
        <w:jc w:val="both"/>
      </w:pPr>
      <w:r>
        <w:rPr>
          <w:rFonts w:ascii="Arial" w:eastAsia="Calibri" w:hAnsi="Arial" w:cs="Arial"/>
          <w:b/>
          <w:sz w:val="22"/>
          <w:szCs w:val="22"/>
        </w:rPr>
        <w:t>Primero</w:t>
      </w:r>
      <w:r>
        <w:rPr>
          <w:rFonts w:ascii="Arial" w:hAnsi="Arial" w:cs="Arial"/>
          <w:sz w:val="22"/>
          <w:szCs w:val="22"/>
        </w:rPr>
        <w:t xml:space="preserve">.- Consta en el expediente de </w:t>
      </w:r>
      <w:r>
        <w:rPr>
          <w:rFonts w:ascii="Arial" w:hAnsi="Arial" w:cs="Arial"/>
          <w:sz w:val="22"/>
          <w:szCs w:val="22"/>
        </w:rPr>
        <w:t>contratación como inicio del mismo la Memoria justificativa del contrato firmada por el órgano de contratación que es la AlcaldesaPresidenta, de fecha 16 de septiembre de 2025 en el que se justifica: la contratación, el procedimiento de licitación, el cálc</w:t>
      </w:r>
      <w:r>
        <w:rPr>
          <w:rFonts w:ascii="Arial" w:hAnsi="Arial" w:cs="Arial"/>
          <w:sz w:val="22"/>
          <w:szCs w:val="22"/>
        </w:rPr>
        <w:t xml:space="preserve">ulo del presupuesto base de licitación, los criterios de adjudicación y las condiciones especiales de ejecución. </w:t>
      </w:r>
    </w:p>
    <w:p w:rsidR="009B4233" w:rsidRDefault="009B4233">
      <w:pPr>
        <w:ind w:left="-5"/>
        <w:jc w:val="both"/>
        <w:rPr>
          <w:rFonts w:ascii="Arial" w:hAnsi="Arial" w:cs="Arial"/>
          <w:sz w:val="22"/>
          <w:szCs w:val="22"/>
        </w:rPr>
      </w:pPr>
    </w:p>
    <w:p w:rsidR="009B4233" w:rsidRDefault="009B4233">
      <w:pPr>
        <w:ind w:left="-5"/>
        <w:jc w:val="both"/>
        <w:rPr>
          <w:rFonts w:ascii="Arial" w:hAnsi="Arial" w:cs="Arial"/>
          <w:sz w:val="22"/>
          <w:szCs w:val="22"/>
        </w:rPr>
      </w:pPr>
    </w:p>
    <w:p w:rsidR="009B4233" w:rsidRDefault="009B4233">
      <w:pPr>
        <w:ind w:left="-5"/>
        <w:jc w:val="both"/>
        <w:rPr>
          <w:rFonts w:ascii="Arial" w:hAnsi="Arial" w:cs="Arial"/>
          <w:sz w:val="22"/>
          <w:szCs w:val="22"/>
        </w:rPr>
      </w:pPr>
    </w:p>
    <w:p w:rsidR="009B4233" w:rsidRDefault="006B08B9">
      <w:pPr>
        <w:ind w:left="-5"/>
        <w:jc w:val="both"/>
      </w:pPr>
      <w:r>
        <w:rPr>
          <w:rFonts w:ascii="Arial" w:eastAsia="Calibri" w:hAnsi="Arial" w:cs="Arial"/>
          <w:b/>
          <w:sz w:val="22"/>
          <w:szCs w:val="22"/>
        </w:rPr>
        <w:t>Segundo</w:t>
      </w:r>
      <w:r>
        <w:rPr>
          <w:rFonts w:ascii="Arial" w:hAnsi="Arial" w:cs="Arial"/>
          <w:sz w:val="22"/>
          <w:szCs w:val="22"/>
        </w:rPr>
        <w:t>.- Consta en el expediente documento acreditativo de la existencia de crédito firmado por el Interventor Municipal, con cargo a la a</w:t>
      </w:r>
      <w:r>
        <w:rPr>
          <w:rFonts w:ascii="Arial" w:hAnsi="Arial" w:cs="Arial"/>
          <w:sz w:val="22"/>
          <w:szCs w:val="22"/>
        </w:rPr>
        <w:t>plicación presupuestaria y por las anualidades siguientes:</w:t>
      </w:r>
    </w:p>
    <w:tbl>
      <w:tblPr>
        <w:tblW w:w="8862" w:type="dxa"/>
        <w:tblInd w:w="-116" w:type="dxa"/>
        <w:tblCellMar>
          <w:left w:w="10" w:type="dxa"/>
          <w:right w:w="10" w:type="dxa"/>
        </w:tblCellMar>
        <w:tblLook w:val="0000" w:firstRow="0" w:lastRow="0" w:firstColumn="0" w:lastColumn="0" w:noHBand="0" w:noVBand="0"/>
      </w:tblPr>
      <w:tblGrid>
        <w:gridCol w:w="2882"/>
        <w:gridCol w:w="3088"/>
        <w:gridCol w:w="2892"/>
      </w:tblGrid>
      <w:tr w:rsidR="009B4233">
        <w:tblPrEx>
          <w:tblCellMar>
            <w:top w:w="0" w:type="dxa"/>
            <w:bottom w:w="0" w:type="dxa"/>
          </w:tblCellMar>
        </w:tblPrEx>
        <w:trPr>
          <w:trHeight w:val="388"/>
        </w:trPr>
        <w:tc>
          <w:tcPr>
            <w:tcW w:w="2882" w:type="dxa"/>
            <w:tcBorders>
              <w:top w:val="single" w:sz="4" w:space="0" w:color="A6A6A6"/>
              <w:left w:val="single" w:sz="4" w:space="0" w:color="A6A6A6"/>
              <w:bottom w:val="single" w:sz="4" w:space="0" w:color="A6A6A6"/>
              <w:right w:val="single" w:sz="4" w:space="0" w:color="A6A6A6"/>
            </w:tcBorders>
            <w:shd w:val="clear" w:color="auto" w:fill="auto"/>
            <w:tcMar>
              <w:top w:w="12" w:type="dxa"/>
              <w:left w:w="170" w:type="dxa"/>
              <w:bottom w:w="0" w:type="dxa"/>
              <w:right w:w="115" w:type="dxa"/>
            </w:tcMar>
          </w:tcPr>
          <w:p w:rsidR="009B4233" w:rsidRDefault="006B08B9">
            <w:pPr>
              <w:ind w:right="51"/>
              <w:jc w:val="center"/>
            </w:pPr>
            <w:r>
              <w:rPr>
                <w:rFonts w:ascii="Arial" w:eastAsia="Calibri" w:hAnsi="Arial" w:cs="Arial"/>
                <w:b/>
                <w:i/>
                <w:sz w:val="22"/>
                <w:szCs w:val="22"/>
              </w:rPr>
              <w:t>Anualidad</w:t>
            </w:r>
          </w:p>
        </w:tc>
        <w:tc>
          <w:tcPr>
            <w:tcW w:w="3088" w:type="dxa"/>
            <w:tcBorders>
              <w:top w:val="single" w:sz="4" w:space="0" w:color="A6A6A6"/>
              <w:left w:val="single" w:sz="4" w:space="0" w:color="A6A6A6"/>
              <w:bottom w:val="single" w:sz="4" w:space="0" w:color="A6A6A6"/>
              <w:right w:val="single" w:sz="4" w:space="0" w:color="A6A6A6"/>
            </w:tcBorders>
            <w:shd w:val="clear" w:color="auto" w:fill="auto"/>
            <w:tcMar>
              <w:top w:w="12" w:type="dxa"/>
              <w:left w:w="170" w:type="dxa"/>
              <w:bottom w:w="0" w:type="dxa"/>
              <w:right w:w="115" w:type="dxa"/>
            </w:tcMar>
          </w:tcPr>
          <w:p w:rsidR="009B4233" w:rsidRDefault="006B08B9">
            <w:r>
              <w:rPr>
                <w:rFonts w:ascii="Arial" w:eastAsia="Calibri" w:hAnsi="Arial" w:cs="Arial"/>
                <w:b/>
                <w:i/>
                <w:sz w:val="22"/>
                <w:szCs w:val="22"/>
              </w:rPr>
              <w:t>Aplicación presupuestaria</w:t>
            </w:r>
          </w:p>
        </w:tc>
        <w:tc>
          <w:tcPr>
            <w:tcW w:w="2892" w:type="dxa"/>
            <w:tcBorders>
              <w:top w:val="single" w:sz="4" w:space="0" w:color="A6A6A6"/>
              <w:left w:val="single" w:sz="4" w:space="0" w:color="A6A6A6"/>
              <w:bottom w:val="single" w:sz="4" w:space="0" w:color="A6A6A6"/>
              <w:right w:val="single" w:sz="4" w:space="0" w:color="A6A6A6"/>
            </w:tcBorders>
            <w:shd w:val="clear" w:color="auto" w:fill="auto"/>
            <w:tcMar>
              <w:top w:w="12" w:type="dxa"/>
              <w:left w:w="170" w:type="dxa"/>
              <w:bottom w:w="0" w:type="dxa"/>
              <w:right w:w="115" w:type="dxa"/>
            </w:tcMar>
          </w:tcPr>
          <w:p w:rsidR="009B4233" w:rsidRDefault="006B08B9">
            <w:pPr>
              <w:ind w:right="49"/>
              <w:jc w:val="center"/>
            </w:pPr>
            <w:r>
              <w:rPr>
                <w:rFonts w:ascii="Arial" w:eastAsia="Calibri" w:hAnsi="Arial" w:cs="Arial"/>
                <w:b/>
                <w:i/>
                <w:sz w:val="22"/>
                <w:szCs w:val="22"/>
              </w:rPr>
              <w:t>Importe</w:t>
            </w:r>
          </w:p>
        </w:tc>
      </w:tr>
      <w:tr w:rsidR="009B4233">
        <w:tblPrEx>
          <w:tblCellMar>
            <w:top w:w="0" w:type="dxa"/>
            <w:bottom w:w="0" w:type="dxa"/>
          </w:tblCellMar>
        </w:tblPrEx>
        <w:trPr>
          <w:trHeight w:val="768"/>
        </w:trPr>
        <w:tc>
          <w:tcPr>
            <w:tcW w:w="2882" w:type="dxa"/>
            <w:tcBorders>
              <w:top w:val="single" w:sz="4" w:space="0" w:color="A6A6A6"/>
              <w:left w:val="single" w:sz="4" w:space="0" w:color="A6A6A6"/>
              <w:bottom w:val="single" w:sz="4" w:space="0" w:color="A6A6A6"/>
              <w:right w:val="single" w:sz="4" w:space="0" w:color="A6A6A6"/>
            </w:tcBorders>
            <w:shd w:val="clear" w:color="auto" w:fill="auto"/>
            <w:tcMar>
              <w:top w:w="12" w:type="dxa"/>
              <w:left w:w="170" w:type="dxa"/>
              <w:bottom w:w="0" w:type="dxa"/>
              <w:right w:w="115" w:type="dxa"/>
            </w:tcMar>
          </w:tcPr>
          <w:p w:rsidR="009B4233" w:rsidRDefault="006B08B9">
            <w:pPr>
              <w:ind w:right="36"/>
              <w:jc w:val="center"/>
              <w:rPr>
                <w:rFonts w:ascii="Arial" w:hAnsi="Arial" w:cs="Arial"/>
                <w:sz w:val="22"/>
                <w:szCs w:val="22"/>
              </w:rPr>
            </w:pPr>
            <w:r>
              <w:rPr>
                <w:rFonts w:ascii="Arial" w:hAnsi="Arial" w:cs="Arial"/>
                <w:sz w:val="22"/>
                <w:szCs w:val="22"/>
              </w:rPr>
              <w:t>2026</w:t>
            </w:r>
          </w:p>
        </w:tc>
        <w:tc>
          <w:tcPr>
            <w:tcW w:w="3088" w:type="dxa"/>
            <w:tcBorders>
              <w:top w:val="single" w:sz="4" w:space="0" w:color="A6A6A6"/>
              <w:left w:val="single" w:sz="4" w:space="0" w:color="A6A6A6"/>
              <w:bottom w:val="single" w:sz="4" w:space="0" w:color="A6A6A6"/>
              <w:right w:val="single" w:sz="4" w:space="0" w:color="A6A6A6"/>
            </w:tcBorders>
            <w:shd w:val="clear" w:color="auto" w:fill="auto"/>
            <w:tcMar>
              <w:top w:w="12" w:type="dxa"/>
              <w:left w:w="170" w:type="dxa"/>
              <w:bottom w:w="0" w:type="dxa"/>
              <w:right w:w="115" w:type="dxa"/>
            </w:tcMar>
          </w:tcPr>
          <w:p w:rsidR="009B4233" w:rsidRDefault="006B08B9">
            <w:pPr>
              <w:spacing w:after="90"/>
              <w:ind w:right="124"/>
              <w:jc w:val="center"/>
              <w:rPr>
                <w:rFonts w:ascii="Arial" w:hAnsi="Arial" w:cs="Arial"/>
                <w:sz w:val="22"/>
                <w:szCs w:val="22"/>
              </w:rPr>
            </w:pPr>
            <w:r>
              <w:rPr>
                <w:rFonts w:ascii="Arial" w:hAnsi="Arial" w:cs="Arial"/>
                <w:sz w:val="22"/>
                <w:szCs w:val="22"/>
              </w:rPr>
              <w:t xml:space="preserve">15100.60912 </w:t>
            </w:r>
          </w:p>
          <w:p w:rsidR="009B4233" w:rsidRDefault="006B08B9">
            <w:pPr>
              <w:ind w:right="122"/>
              <w:jc w:val="center"/>
              <w:rPr>
                <w:rFonts w:ascii="Arial" w:hAnsi="Arial" w:cs="Arial"/>
                <w:sz w:val="22"/>
                <w:szCs w:val="22"/>
              </w:rPr>
            </w:pPr>
            <w:r>
              <w:rPr>
                <w:rFonts w:ascii="Arial" w:hAnsi="Arial" w:cs="Arial"/>
                <w:sz w:val="22"/>
                <w:szCs w:val="22"/>
              </w:rPr>
              <w:t>(A.2.25.2.06549)</w:t>
            </w:r>
          </w:p>
        </w:tc>
        <w:tc>
          <w:tcPr>
            <w:tcW w:w="2892" w:type="dxa"/>
            <w:tcBorders>
              <w:top w:val="single" w:sz="4" w:space="0" w:color="A6A6A6"/>
              <w:left w:val="single" w:sz="4" w:space="0" w:color="A6A6A6"/>
              <w:bottom w:val="single" w:sz="4" w:space="0" w:color="A6A6A6"/>
              <w:right w:val="single" w:sz="4" w:space="0" w:color="A6A6A6"/>
            </w:tcBorders>
            <w:shd w:val="clear" w:color="auto" w:fill="auto"/>
            <w:tcMar>
              <w:top w:w="12" w:type="dxa"/>
              <w:left w:w="170" w:type="dxa"/>
              <w:bottom w:w="0" w:type="dxa"/>
              <w:right w:w="115" w:type="dxa"/>
            </w:tcMar>
          </w:tcPr>
          <w:p w:rsidR="009B4233" w:rsidRDefault="006B08B9">
            <w:pPr>
              <w:ind w:right="35"/>
              <w:jc w:val="center"/>
              <w:rPr>
                <w:rFonts w:ascii="Arial" w:hAnsi="Arial" w:cs="Arial"/>
                <w:sz w:val="22"/>
                <w:szCs w:val="22"/>
              </w:rPr>
            </w:pPr>
            <w:r>
              <w:rPr>
                <w:rFonts w:ascii="Arial" w:hAnsi="Arial" w:cs="Arial"/>
                <w:sz w:val="22"/>
                <w:szCs w:val="22"/>
              </w:rPr>
              <w:t>3.562.752,91 euros</w:t>
            </w:r>
          </w:p>
        </w:tc>
      </w:tr>
      <w:tr w:rsidR="009B4233">
        <w:tblPrEx>
          <w:tblCellMar>
            <w:top w:w="0" w:type="dxa"/>
            <w:bottom w:w="0" w:type="dxa"/>
          </w:tblCellMar>
        </w:tblPrEx>
        <w:trPr>
          <w:trHeight w:val="768"/>
        </w:trPr>
        <w:tc>
          <w:tcPr>
            <w:tcW w:w="2882" w:type="dxa"/>
            <w:tcBorders>
              <w:top w:val="single" w:sz="4" w:space="0" w:color="A6A6A6"/>
              <w:left w:val="single" w:sz="4" w:space="0" w:color="A6A6A6"/>
              <w:bottom w:val="single" w:sz="4" w:space="0" w:color="A6A6A6"/>
              <w:right w:val="single" w:sz="4" w:space="0" w:color="A6A6A6"/>
            </w:tcBorders>
            <w:shd w:val="clear" w:color="auto" w:fill="auto"/>
            <w:tcMar>
              <w:top w:w="12" w:type="dxa"/>
              <w:left w:w="170" w:type="dxa"/>
              <w:bottom w:w="0" w:type="dxa"/>
              <w:right w:w="115" w:type="dxa"/>
            </w:tcMar>
          </w:tcPr>
          <w:p w:rsidR="009B4233" w:rsidRDefault="006B08B9">
            <w:pPr>
              <w:ind w:right="36"/>
              <w:jc w:val="center"/>
              <w:rPr>
                <w:rFonts w:ascii="Arial" w:hAnsi="Arial" w:cs="Arial"/>
                <w:sz w:val="22"/>
                <w:szCs w:val="22"/>
              </w:rPr>
            </w:pPr>
            <w:r>
              <w:rPr>
                <w:rFonts w:ascii="Arial" w:hAnsi="Arial" w:cs="Arial"/>
                <w:sz w:val="22"/>
                <w:szCs w:val="22"/>
              </w:rPr>
              <w:t>2027</w:t>
            </w:r>
          </w:p>
        </w:tc>
        <w:tc>
          <w:tcPr>
            <w:tcW w:w="3088" w:type="dxa"/>
            <w:tcBorders>
              <w:top w:val="single" w:sz="4" w:space="0" w:color="A6A6A6"/>
              <w:left w:val="single" w:sz="4" w:space="0" w:color="A6A6A6"/>
              <w:bottom w:val="single" w:sz="4" w:space="0" w:color="A6A6A6"/>
              <w:right w:val="single" w:sz="4" w:space="0" w:color="A6A6A6"/>
            </w:tcBorders>
            <w:shd w:val="clear" w:color="auto" w:fill="auto"/>
            <w:tcMar>
              <w:top w:w="12" w:type="dxa"/>
              <w:left w:w="170" w:type="dxa"/>
              <w:bottom w:w="0" w:type="dxa"/>
              <w:right w:w="115" w:type="dxa"/>
            </w:tcMar>
          </w:tcPr>
          <w:p w:rsidR="009B4233" w:rsidRDefault="006B08B9">
            <w:pPr>
              <w:spacing w:after="90"/>
              <w:ind w:right="124"/>
              <w:jc w:val="center"/>
              <w:rPr>
                <w:rFonts w:ascii="Arial" w:hAnsi="Arial" w:cs="Arial"/>
                <w:sz w:val="22"/>
                <w:szCs w:val="22"/>
              </w:rPr>
            </w:pPr>
            <w:r>
              <w:rPr>
                <w:rFonts w:ascii="Arial" w:hAnsi="Arial" w:cs="Arial"/>
                <w:sz w:val="22"/>
                <w:szCs w:val="22"/>
              </w:rPr>
              <w:t xml:space="preserve">15100.60912 </w:t>
            </w:r>
          </w:p>
          <w:p w:rsidR="009B4233" w:rsidRDefault="006B08B9">
            <w:pPr>
              <w:ind w:right="122"/>
              <w:jc w:val="center"/>
              <w:rPr>
                <w:rFonts w:ascii="Arial" w:hAnsi="Arial" w:cs="Arial"/>
                <w:sz w:val="22"/>
                <w:szCs w:val="22"/>
              </w:rPr>
            </w:pPr>
            <w:r>
              <w:rPr>
                <w:rFonts w:ascii="Arial" w:hAnsi="Arial" w:cs="Arial"/>
                <w:sz w:val="22"/>
                <w:szCs w:val="22"/>
              </w:rPr>
              <w:t>(A.2.25.2.06550)</w:t>
            </w:r>
          </w:p>
        </w:tc>
        <w:tc>
          <w:tcPr>
            <w:tcW w:w="2892" w:type="dxa"/>
            <w:tcBorders>
              <w:top w:val="single" w:sz="4" w:space="0" w:color="A6A6A6"/>
              <w:left w:val="single" w:sz="4" w:space="0" w:color="A6A6A6"/>
              <w:bottom w:val="single" w:sz="4" w:space="0" w:color="A6A6A6"/>
              <w:right w:val="single" w:sz="4" w:space="0" w:color="A6A6A6"/>
            </w:tcBorders>
            <w:shd w:val="clear" w:color="auto" w:fill="auto"/>
            <w:tcMar>
              <w:top w:w="12" w:type="dxa"/>
              <w:left w:w="170" w:type="dxa"/>
              <w:bottom w:w="0" w:type="dxa"/>
              <w:right w:w="115" w:type="dxa"/>
            </w:tcMar>
          </w:tcPr>
          <w:p w:rsidR="009B4233" w:rsidRDefault="006B08B9">
            <w:pPr>
              <w:ind w:right="35"/>
              <w:jc w:val="center"/>
              <w:rPr>
                <w:rFonts w:ascii="Arial" w:hAnsi="Arial" w:cs="Arial"/>
                <w:sz w:val="22"/>
                <w:szCs w:val="22"/>
              </w:rPr>
            </w:pPr>
            <w:r>
              <w:rPr>
                <w:rFonts w:ascii="Arial" w:hAnsi="Arial" w:cs="Arial"/>
                <w:sz w:val="22"/>
                <w:szCs w:val="22"/>
              </w:rPr>
              <w:t>3.562.752,91 euros</w:t>
            </w:r>
          </w:p>
        </w:tc>
      </w:tr>
    </w:tbl>
    <w:p w:rsidR="009B4233" w:rsidRDefault="009B4233">
      <w:pPr>
        <w:ind w:left="-5"/>
        <w:rPr>
          <w:rFonts w:ascii="Arial" w:eastAsia="Calibri" w:hAnsi="Arial" w:cs="Arial"/>
          <w:b/>
          <w:sz w:val="22"/>
          <w:szCs w:val="22"/>
        </w:rPr>
      </w:pPr>
    </w:p>
    <w:p w:rsidR="009B4233" w:rsidRDefault="006B08B9">
      <w:pPr>
        <w:ind w:left="-5"/>
        <w:jc w:val="both"/>
      </w:pPr>
      <w:r>
        <w:rPr>
          <w:rFonts w:ascii="Arial" w:eastAsia="Calibri" w:hAnsi="Arial" w:cs="Arial"/>
          <w:b/>
          <w:sz w:val="22"/>
          <w:szCs w:val="22"/>
        </w:rPr>
        <w:t>Tercero</w:t>
      </w:r>
      <w:r>
        <w:rPr>
          <w:rFonts w:ascii="Arial" w:hAnsi="Arial" w:cs="Arial"/>
          <w:sz w:val="22"/>
          <w:szCs w:val="22"/>
        </w:rPr>
        <w:t xml:space="preserve">.- Consta en el expediente el </w:t>
      </w:r>
      <w:r>
        <w:rPr>
          <w:rFonts w:ascii="Arial" w:hAnsi="Arial" w:cs="Arial"/>
          <w:sz w:val="22"/>
          <w:szCs w:val="22"/>
        </w:rPr>
        <w:t>pliego de prescripciones técnicas particulares (PPTP) que consta unido al proyecto técnico, así como informe de regulación de la contratación firmado por la Arquitecta municipal de fecha 18 de septiembre de 2025 que forman parte de la documentación técnica</w:t>
      </w:r>
      <w:r>
        <w:rPr>
          <w:rFonts w:ascii="Arial" w:hAnsi="Arial" w:cs="Arial"/>
          <w:sz w:val="22"/>
          <w:szCs w:val="22"/>
        </w:rPr>
        <w:t xml:space="preserve"> de la contratación. </w:t>
      </w:r>
    </w:p>
    <w:p w:rsidR="009B4233" w:rsidRDefault="006B08B9">
      <w:pPr>
        <w:spacing w:after="462"/>
        <w:ind w:left="-5"/>
        <w:jc w:val="both"/>
      </w:pPr>
      <w:r>
        <w:rPr>
          <w:rFonts w:ascii="Arial" w:eastAsia="Calibri" w:hAnsi="Arial" w:cs="Arial"/>
          <w:b/>
          <w:sz w:val="22"/>
          <w:szCs w:val="22"/>
        </w:rPr>
        <w:t>Cuarto</w:t>
      </w:r>
      <w:r>
        <w:rPr>
          <w:rFonts w:ascii="Arial" w:hAnsi="Arial" w:cs="Arial"/>
          <w:sz w:val="22"/>
          <w:szCs w:val="22"/>
        </w:rPr>
        <w:t>.- Consta en el expediente el pliego de cláusulas administrativas particulares (PCAP) firmado por la Técnico de Administración General y el Secretario General.</w:t>
      </w:r>
    </w:p>
    <w:p w:rsidR="009B4233" w:rsidRDefault="006B08B9">
      <w:pPr>
        <w:pStyle w:val="Ttulo1"/>
        <w:ind w:left="11" w:right="6"/>
        <w:rPr>
          <w:rFonts w:ascii="Arial" w:hAnsi="Arial" w:cs="Arial"/>
          <w:sz w:val="22"/>
          <w:szCs w:val="22"/>
        </w:rPr>
      </w:pPr>
      <w:r>
        <w:rPr>
          <w:rFonts w:ascii="Arial" w:hAnsi="Arial" w:cs="Arial"/>
          <w:sz w:val="22"/>
          <w:szCs w:val="22"/>
        </w:rPr>
        <w:t>FUNDAMENTOS DE DERECHO</w:t>
      </w:r>
    </w:p>
    <w:p w:rsidR="009B4233" w:rsidRDefault="006B08B9">
      <w:pPr>
        <w:ind w:left="-5"/>
        <w:jc w:val="both"/>
      </w:pPr>
      <w:r>
        <w:rPr>
          <w:rFonts w:ascii="Arial" w:eastAsia="Calibri" w:hAnsi="Arial" w:cs="Arial"/>
          <w:b/>
          <w:sz w:val="22"/>
          <w:szCs w:val="22"/>
        </w:rPr>
        <w:t>Primero</w:t>
      </w:r>
      <w:r>
        <w:rPr>
          <w:rFonts w:ascii="Arial" w:hAnsi="Arial" w:cs="Arial"/>
          <w:sz w:val="22"/>
          <w:szCs w:val="22"/>
        </w:rPr>
        <w:t>.- Los artículos 63, 99 a 102, 116, 11</w:t>
      </w:r>
      <w:r>
        <w:rPr>
          <w:rFonts w:ascii="Arial" w:hAnsi="Arial" w:cs="Arial"/>
          <w:sz w:val="22"/>
          <w:szCs w:val="22"/>
        </w:rPr>
        <w:t xml:space="preserve">7, 122, 124 y 131 a 158 y las Disposiciones </w:t>
      </w:r>
    </w:p>
    <w:p w:rsidR="009B4233" w:rsidRDefault="006B08B9">
      <w:pPr>
        <w:ind w:left="-5"/>
        <w:jc w:val="both"/>
        <w:rPr>
          <w:rFonts w:ascii="Arial" w:hAnsi="Arial" w:cs="Arial"/>
          <w:sz w:val="22"/>
          <w:szCs w:val="22"/>
        </w:rPr>
      </w:pPr>
      <w:r>
        <w:rPr>
          <w:rFonts w:ascii="Arial" w:hAnsi="Arial" w:cs="Arial"/>
          <w:sz w:val="22"/>
          <w:szCs w:val="22"/>
        </w:rPr>
        <w:t xml:space="preserve">Adicionales Segunda, Tercera y Decimoquinta de la Ley 9/2017, de 8 de noviembre, de </w:t>
      </w:r>
    </w:p>
    <w:p w:rsidR="009B4233" w:rsidRDefault="006B08B9">
      <w:pPr>
        <w:ind w:left="-5"/>
        <w:jc w:val="both"/>
        <w:rPr>
          <w:rFonts w:ascii="Arial" w:hAnsi="Arial" w:cs="Arial"/>
          <w:sz w:val="22"/>
          <w:szCs w:val="22"/>
        </w:rPr>
      </w:pPr>
      <w:r>
        <w:rPr>
          <w:rFonts w:ascii="Arial" w:hAnsi="Arial" w:cs="Arial"/>
          <w:sz w:val="22"/>
          <w:szCs w:val="22"/>
        </w:rPr>
        <w:t xml:space="preserve">Contratos del Sector Público, por la que se transponen al ordenamiento jurídico español las Directivas del Parlamento Europeo </w:t>
      </w:r>
      <w:r>
        <w:rPr>
          <w:rFonts w:ascii="Arial" w:hAnsi="Arial" w:cs="Arial"/>
          <w:sz w:val="22"/>
          <w:szCs w:val="22"/>
        </w:rPr>
        <w:t xml:space="preserve">y del Consejo 2014/23/UE y 2014/24/UE, de 26 de febrero de 2014. En particular: </w:t>
      </w:r>
    </w:p>
    <w:p w:rsidR="009B4233" w:rsidRDefault="006B08B9">
      <w:pPr>
        <w:ind w:left="-5"/>
        <w:jc w:val="both"/>
        <w:rPr>
          <w:rFonts w:ascii="Arial" w:hAnsi="Arial" w:cs="Arial"/>
          <w:sz w:val="22"/>
          <w:szCs w:val="22"/>
        </w:rPr>
      </w:pPr>
      <w:r>
        <w:rPr>
          <w:rFonts w:ascii="Arial" w:hAnsi="Arial" w:cs="Arial"/>
          <w:sz w:val="22"/>
          <w:szCs w:val="22"/>
        </w:rPr>
        <w:t xml:space="preserve">1.- Perfil de contratante. Art 63 LCSP. </w:t>
      </w:r>
    </w:p>
    <w:p w:rsidR="009B4233" w:rsidRDefault="006B08B9">
      <w:pPr>
        <w:ind w:left="-5"/>
        <w:jc w:val="both"/>
        <w:rPr>
          <w:rFonts w:ascii="Arial" w:hAnsi="Arial" w:cs="Arial"/>
          <w:sz w:val="22"/>
          <w:szCs w:val="22"/>
        </w:rPr>
      </w:pPr>
      <w:r>
        <w:rPr>
          <w:rFonts w:ascii="Arial" w:hAnsi="Arial" w:cs="Arial"/>
          <w:sz w:val="22"/>
          <w:szCs w:val="22"/>
        </w:rPr>
        <w:t xml:space="preserve">2.- Objeto del contrato: Artículo 99 LCSP. </w:t>
      </w:r>
    </w:p>
    <w:p w:rsidR="009B4233" w:rsidRDefault="006B08B9">
      <w:pPr>
        <w:ind w:left="-5"/>
        <w:jc w:val="both"/>
        <w:rPr>
          <w:rFonts w:ascii="Arial" w:hAnsi="Arial" w:cs="Arial"/>
          <w:sz w:val="22"/>
          <w:szCs w:val="22"/>
        </w:rPr>
      </w:pPr>
      <w:r>
        <w:rPr>
          <w:rFonts w:ascii="Arial" w:hAnsi="Arial" w:cs="Arial"/>
          <w:sz w:val="22"/>
          <w:szCs w:val="22"/>
        </w:rPr>
        <w:t xml:space="preserve">3.- Presupuesto base de licitación y valor estimado. Arts. 100-101 LCSP. </w:t>
      </w:r>
    </w:p>
    <w:p w:rsidR="009B4233" w:rsidRDefault="006B08B9">
      <w:pPr>
        <w:ind w:left="-5"/>
        <w:jc w:val="both"/>
        <w:rPr>
          <w:rFonts w:ascii="Arial" w:hAnsi="Arial" w:cs="Arial"/>
          <w:sz w:val="22"/>
          <w:szCs w:val="22"/>
        </w:rPr>
      </w:pPr>
      <w:r>
        <w:rPr>
          <w:rFonts w:ascii="Arial" w:hAnsi="Arial" w:cs="Arial"/>
          <w:sz w:val="22"/>
          <w:szCs w:val="22"/>
        </w:rPr>
        <w:t>4.- Contenido de</w:t>
      </w:r>
      <w:r>
        <w:rPr>
          <w:rFonts w:ascii="Arial" w:hAnsi="Arial" w:cs="Arial"/>
          <w:sz w:val="22"/>
          <w:szCs w:val="22"/>
        </w:rPr>
        <w:t>l expediente:Art. 116 LCSP.</w:t>
      </w:r>
    </w:p>
    <w:p w:rsidR="009B4233" w:rsidRDefault="006B08B9">
      <w:pPr>
        <w:ind w:left="-5"/>
        <w:jc w:val="both"/>
        <w:rPr>
          <w:rFonts w:ascii="Arial" w:hAnsi="Arial" w:cs="Arial"/>
          <w:sz w:val="22"/>
          <w:szCs w:val="22"/>
        </w:rPr>
      </w:pPr>
      <w:r>
        <w:rPr>
          <w:rFonts w:ascii="Arial" w:hAnsi="Arial" w:cs="Arial"/>
          <w:sz w:val="22"/>
          <w:szCs w:val="22"/>
        </w:rPr>
        <w:t xml:space="preserve"> 5.- Aprobación del expediente: Art. 117 LCSP.</w:t>
      </w:r>
    </w:p>
    <w:p w:rsidR="009B4233" w:rsidRDefault="006B08B9">
      <w:pPr>
        <w:ind w:left="-5"/>
        <w:jc w:val="both"/>
        <w:rPr>
          <w:rFonts w:ascii="Arial" w:hAnsi="Arial" w:cs="Arial"/>
          <w:sz w:val="22"/>
          <w:szCs w:val="22"/>
        </w:rPr>
      </w:pPr>
      <w:r>
        <w:rPr>
          <w:rFonts w:ascii="Arial" w:hAnsi="Arial" w:cs="Arial"/>
          <w:sz w:val="22"/>
          <w:szCs w:val="22"/>
        </w:rPr>
        <w:t xml:space="preserve"> 6.- Tramitación ordinaria del expediente: Artículo 116 y 117 LCSP. </w:t>
      </w:r>
    </w:p>
    <w:p w:rsidR="009B4233" w:rsidRDefault="006B08B9">
      <w:pPr>
        <w:ind w:left="-5"/>
        <w:jc w:val="both"/>
        <w:rPr>
          <w:rFonts w:ascii="Arial" w:hAnsi="Arial" w:cs="Arial"/>
          <w:sz w:val="22"/>
          <w:szCs w:val="22"/>
        </w:rPr>
      </w:pPr>
      <w:r>
        <w:rPr>
          <w:rFonts w:ascii="Arial" w:hAnsi="Arial" w:cs="Arial"/>
          <w:sz w:val="22"/>
          <w:szCs w:val="22"/>
        </w:rPr>
        <w:t>7.- PCAP: Artículo 122 LCSP.</w:t>
      </w:r>
    </w:p>
    <w:p w:rsidR="009B4233" w:rsidRDefault="006B08B9">
      <w:pPr>
        <w:ind w:left="-5"/>
        <w:jc w:val="both"/>
        <w:rPr>
          <w:rFonts w:ascii="Arial" w:hAnsi="Arial" w:cs="Arial"/>
          <w:sz w:val="22"/>
          <w:szCs w:val="22"/>
        </w:rPr>
      </w:pPr>
      <w:r>
        <w:rPr>
          <w:rFonts w:ascii="Arial" w:hAnsi="Arial" w:cs="Arial"/>
          <w:sz w:val="22"/>
          <w:szCs w:val="22"/>
        </w:rPr>
        <w:t>8.- PPTP: Árticulo 124 LCSP.</w:t>
      </w:r>
    </w:p>
    <w:p w:rsidR="009B4233" w:rsidRDefault="006B08B9">
      <w:pPr>
        <w:ind w:left="-5"/>
        <w:jc w:val="both"/>
        <w:rPr>
          <w:rFonts w:ascii="Arial" w:hAnsi="Arial" w:cs="Arial"/>
          <w:sz w:val="22"/>
          <w:szCs w:val="22"/>
        </w:rPr>
      </w:pPr>
      <w:r>
        <w:rPr>
          <w:rFonts w:ascii="Arial" w:hAnsi="Arial" w:cs="Arial"/>
          <w:sz w:val="22"/>
          <w:szCs w:val="22"/>
        </w:rPr>
        <w:t xml:space="preserve">9.- Criterios de adjudicación del contrato: Artículo </w:t>
      </w:r>
      <w:r>
        <w:rPr>
          <w:rFonts w:ascii="Arial" w:hAnsi="Arial" w:cs="Arial"/>
          <w:sz w:val="22"/>
          <w:szCs w:val="22"/>
        </w:rPr>
        <w:t>145 LCSP.</w:t>
      </w:r>
    </w:p>
    <w:p w:rsidR="009B4233" w:rsidRDefault="006B08B9">
      <w:pPr>
        <w:spacing w:after="324"/>
        <w:ind w:left="-5"/>
        <w:jc w:val="both"/>
        <w:rPr>
          <w:rFonts w:ascii="Arial" w:hAnsi="Arial" w:cs="Arial"/>
          <w:sz w:val="22"/>
          <w:szCs w:val="22"/>
        </w:rPr>
      </w:pPr>
      <w:r>
        <w:rPr>
          <w:rFonts w:ascii="Arial" w:hAnsi="Arial" w:cs="Arial"/>
          <w:sz w:val="22"/>
          <w:szCs w:val="22"/>
        </w:rPr>
        <w:t xml:space="preserve"> 10.- Adjudicación del contrato: 150-152 LCSP. </w:t>
      </w:r>
    </w:p>
    <w:p w:rsidR="009B4233" w:rsidRDefault="006B08B9">
      <w:pPr>
        <w:spacing w:after="479" w:line="336" w:lineRule="auto"/>
        <w:ind w:left="-15" w:firstLine="708"/>
        <w:jc w:val="both"/>
        <w:rPr>
          <w:rFonts w:ascii="Arial" w:hAnsi="Arial" w:cs="Arial"/>
          <w:sz w:val="22"/>
          <w:szCs w:val="22"/>
        </w:rPr>
      </w:pPr>
      <w:r>
        <w:rPr>
          <w:rFonts w:ascii="Arial" w:hAnsi="Arial" w:cs="Arial"/>
          <w:sz w:val="22"/>
          <w:szCs w:val="22"/>
        </w:rPr>
        <w:t>11.- PRIMERO.- El órgano de contratación que actúa en nombre del Ayuntamiento de Candelaria es el Pleno, atendiendo a la Disposición Adicional segunda de la LCSP dispone:</w:t>
      </w:r>
    </w:p>
    <w:p w:rsidR="009B4233" w:rsidRDefault="006B08B9">
      <w:pPr>
        <w:spacing w:after="481" w:line="336" w:lineRule="auto"/>
        <w:ind w:left="-15" w:firstLine="708"/>
        <w:jc w:val="both"/>
        <w:rPr>
          <w:rFonts w:ascii="Arial" w:hAnsi="Arial" w:cs="Arial"/>
          <w:sz w:val="22"/>
          <w:szCs w:val="22"/>
        </w:rPr>
      </w:pPr>
      <w:r>
        <w:rPr>
          <w:rFonts w:ascii="Arial" w:hAnsi="Arial" w:cs="Arial"/>
          <w:sz w:val="22"/>
          <w:szCs w:val="22"/>
        </w:rPr>
        <w:t>“1. Corresponden a los Alca</w:t>
      </w:r>
      <w:r>
        <w:rPr>
          <w:rFonts w:ascii="Arial" w:hAnsi="Arial" w:cs="Arial"/>
          <w:sz w:val="22"/>
          <w:szCs w:val="22"/>
        </w:rPr>
        <w:t>ldes y a los Presidentes de las Entidades Locales las competencias como órgano de contratación respecto de los contratos de obras, de suministro, de servicios, los contratos de concesión de obras, los contratos de concesión de servicios y los contratos adm</w:t>
      </w:r>
      <w:r>
        <w:rPr>
          <w:rFonts w:ascii="Arial" w:hAnsi="Arial" w:cs="Arial"/>
          <w:sz w:val="22"/>
          <w:szCs w:val="22"/>
        </w:rPr>
        <w:t>inistrativos especiales, cuando su valor estimado no supere el 10 por ciento de los recursos ordinarios del presupuesto ni, en cualquier caso, la cuantía de seis millones de euros, incluidos los de carácter plurianual cuando su duración no sea superior a c</w:t>
      </w:r>
      <w:r>
        <w:rPr>
          <w:rFonts w:ascii="Arial" w:hAnsi="Arial" w:cs="Arial"/>
          <w:sz w:val="22"/>
          <w:szCs w:val="22"/>
        </w:rPr>
        <w:t>uatro años, eventuales prórrogas incluidas siempre que el importe acumulado de todas sus anualidades no supere ni el porcentaje indicado, referido a los recursos ordinarios del presupuesto del primer ejercicio, ni la cuantía señalada.</w:t>
      </w:r>
    </w:p>
    <w:p w:rsidR="009B4233" w:rsidRDefault="006B08B9">
      <w:pPr>
        <w:spacing w:after="481" w:line="336" w:lineRule="auto"/>
        <w:ind w:left="-15" w:firstLine="708"/>
        <w:jc w:val="both"/>
        <w:rPr>
          <w:rFonts w:ascii="Arial" w:hAnsi="Arial" w:cs="Arial"/>
          <w:sz w:val="22"/>
          <w:szCs w:val="22"/>
        </w:rPr>
      </w:pPr>
      <w:r>
        <w:rPr>
          <w:rFonts w:ascii="Arial" w:hAnsi="Arial" w:cs="Arial"/>
          <w:sz w:val="22"/>
          <w:szCs w:val="22"/>
        </w:rPr>
        <w:t xml:space="preserve"> 2. Corresponden al P</w:t>
      </w:r>
      <w:r>
        <w:rPr>
          <w:rFonts w:ascii="Arial" w:hAnsi="Arial" w:cs="Arial"/>
          <w:sz w:val="22"/>
          <w:szCs w:val="22"/>
        </w:rPr>
        <w:t>leno las competencias como órgano de contratación respecto de los contratos mencionados en el apartado anterior que celebre la Entidad Local, cuando por su valor o duración no correspondan al Alcalde o Presidente de la Entidad Local, conforme al apartado a</w:t>
      </w:r>
      <w:r>
        <w:rPr>
          <w:rFonts w:ascii="Arial" w:hAnsi="Arial" w:cs="Arial"/>
          <w:sz w:val="22"/>
          <w:szCs w:val="22"/>
        </w:rPr>
        <w:t>nterior.”</w:t>
      </w:r>
    </w:p>
    <w:p w:rsidR="009B4233" w:rsidRDefault="006B08B9">
      <w:pPr>
        <w:spacing w:after="88"/>
        <w:ind w:right="13"/>
        <w:jc w:val="both"/>
        <w:rPr>
          <w:rFonts w:ascii="Arial" w:hAnsi="Arial" w:cs="Arial"/>
          <w:sz w:val="22"/>
          <w:szCs w:val="22"/>
        </w:rPr>
      </w:pPr>
      <w:r>
        <w:rPr>
          <w:rFonts w:ascii="Arial" w:hAnsi="Arial" w:cs="Arial"/>
          <w:sz w:val="22"/>
          <w:szCs w:val="22"/>
        </w:rPr>
        <w:t xml:space="preserve">En el presente expediente en el que el valor estimado de contrato asciende a </w:t>
      </w:r>
    </w:p>
    <w:p w:rsidR="009B4233" w:rsidRDefault="006B08B9">
      <w:pPr>
        <w:ind w:left="-5"/>
        <w:jc w:val="both"/>
        <w:rPr>
          <w:rFonts w:ascii="Arial" w:hAnsi="Arial" w:cs="Arial"/>
          <w:sz w:val="22"/>
          <w:szCs w:val="22"/>
        </w:rPr>
      </w:pPr>
      <w:r>
        <w:rPr>
          <w:rFonts w:ascii="Arial" w:hAnsi="Arial" w:cs="Arial"/>
          <w:sz w:val="22"/>
          <w:szCs w:val="22"/>
        </w:rPr>
        <w:t xml:space="preserve">6.659.351,23 euros, éste supera el 10% del valor del Presupuesto municipal que asciende a </w:t>
      </w:r>
    </w:p>
    <w:p w:rsidR="009B4233" w:rsidRDefault="006B08B9">
      <w:pPr>
        <w:spacing w:after="328"/>
        <w:ind w:left="-5"/>
        <w:jc w:val="both"/>
        <w:rPr>
          <w:rFonts w:ascii="Arial" w:hAnsi="Arial" w:cs="Arial"/>
          <w:sz w:val="22"/>
          <w:szCs w:val="22"/>
        </w:rPr>
      </w:pPr>
      <w:r>
        <w:rPr>
          <w:rFonts w:ascii="Arial" w:hAnsi="Arial" w:cs="Arial"/>
          <w:sz w:val="22"/>
          <w:szCs w:val="22"/>
        </w:rPr>
        <w:t>30.141.417,04 euros, es el Pleno por tanto el órgano de contratación.</w:t>
      </w:r>
    </w:p>
    <w:p w:rsidR="009B4233" w:rsidRDefault="006B08B9">
      <w:pPr>
        <w:ind w:left="-5"/>
        <w:jc w:val="both"/>
      </w:pPr>
      <w:r>
        <w:rPr>
          <w:rFonts w:ascii="Arial" w:eastAsia="Calibri" w:hAnsi="Arial" w:cs="Arial"/>
          <w:b/>
          <w:sz w:val="22"/>
          <w:szCs w:val="22"/>
        </w:rPr>
        <w:t>Segundo</w:t>
      </w:r>
      <w:r>
        <w:rPr>
          <w:rFonts w:ascii="Arial" w:hAnsi="Arial" w:cs="Arial"/>
          <w:sz w:val="22"/>
          <w:szCs w:val="22"/>
        </w:rPr>
        <w:t>. - El Real Decreto 817/2009, de 8 de mayo, por el que se desarrolla parcialmente la Ley 30/2007, de 30 de octubre, de Contratos del Sector Público.</w:t>
      </w:r>
    </w:p>
    <w:p w:rsidR="009B4233" w:rsidRDefault="006B08B9">
      <w:pPr>
        <w:spacing w:after="463"/>
        <w:ind w:left="-5"/>
        <w:jc w:val="both"/>
      </w:pPr>
      <w:r>
        <w:rPr>
          <w:rFonts w:ascii="Arial" w:eastAsia="Calibri" w:hAnsi="Arial" w:cs="Arial"/>
          <w:b/>
          <w:sz w:val="22"/>
          <w:szCs w:val="22"/>
        </w:rPr>
        <w:t>Tercero</w:t>
      </w:r>
      <w:r>
        <w:rPr>
          <w:rFonts w:ascii="Arial" w:hAnsi="Arial" w:cs="Arial"/>
          <w:sz w:val="22"/>
          <w:szCs w:val="22"/>
        </w:rPr>
        <w:t>. - El Real Decreto 1098/2001, de 12 de octubre, por el que se aprueba el Reglamento General de la L</w:t>
      </w:r>
      <w:r>
        <w:rPr>
          <w:rFonts w:ascii="Arial" w:hAnsi="Arial" w:cs="Arial"/>
          <w:sz w:val="22"/>
          <w:szCs w:val="22"/>
        </w:rPr>
        <w:t xml:space="preserve">ey de Contratos de las Administraciones Públicas. (Artículos vigentes tras la entrada en vigor del Real Decreto 817/2009, de 8 de mayo). </w:t>
      </w:r>
    </w:p>
    <w:p w:rsidR="009B4233" w:rsidRDefault="006B08B9">
      <w:pPr>
        <w:pStyle w:val="Ttulo1"/>
        <w:ind w:left="11" w:right="2"/>
        <w:rPr>
          <w:rFonts w:ascii="Arial" w:hAnsi="Arial" w:cs="Arial"/>
          <w:sz w:val="22"/>
          <w:szCs w:val="22"/>
        </w:rPr>
      </w:pPr>
      <w:r>
        <w:rPr>
          <w:rFonts w:ascii="Arial" w:hAnsi="Arial" w:cs="Arial"/>
          <w:sz w:val="22"/>
          <w:szCs w:val="22"/>
        </w:rPr>
        <w:t>PROPUESTA DE RESOLUCIÓN</w:t>
      </w:r>
    </w:p>
    <w:p w:rsidR="009B4233" w:rsidRDefault="006B08B9">
      <w:pPr>
        <w:ind w:left="-5"/>
        <w:jc w:val="both"/>
      </w:pPr>
      <w:r>
        <w:rPr>
          <w:rFonts w:ascii="Arial" w:eastAsia="Calibri" w:hAnsi="Arial" w:cs="Arial"/>
          <w:b/>
          <w:sz w:val="22"/>
          <w:szCs w:val="22"/>
        </w:rPr>
        <w:t>Primero</w:t>
      </w:r>
      <w:r>
        <w:rPr>
          <w:rFonts w:ascii="Arial" w:hAnsi="Arial" w:cs="Arial"/>
          <w:sz w:val="22"/>
          <w:szCs w:val="22"/>
        </w:rPr>
        <w:t>.- Aprobar el expediente del contrato de obras, mediante procedimiento abierto, tramita</w:t>
      </w:r>
      <w:r>
        <w:rPr>
          <w:rFonts w:ascii="Arial" w:hAnsi="Arial" w:cs="Arial"/>
          <w:sz w:val="22"/>
          <w:szCs w:val="22"/>
        </w:rPr>
        <w:t>ción armonizada, consistente en “Proyecto de ejecución de Piscina de Candealria”, convocar su licitación y disponer la apertura del procedimiento de adjudicación.</w:t>
      </w:r>
    </w:p>
    <w:p w:rsidR="009B4233" w:rsidRDefault="006B08B9">
      <w:pPr>
        <w:spacing w:after="208"/>
        <w:ind w:left="-5"/>
        <w:jc w:val="both"/>
      </w:pPr>
      <w:r>
        <w:rPr>
          <w:rFonts w:ascii="Arial" w:eastAsia="Calibri" w:hAnsi="Arial" w:cs="Arial"/>
          <w:b/>
          <w:sz w:val="22"/>
          <w:szCs w:val="22"/>
        </w:rPr>
        <w:t>Segundo</w:t>
      </w:r>
      <w:r>
        <w:rPr>
          <w:rFonts w:ascii="Arial" w:hAnsi="Arial" w:cs="Arial"/>
          <w:sz w:val="22"/>
          <w:szCs w:val="22"/>
        </w:rPr>
        <w:t>. - Aprobar el gasto correspondiente por importe de 7.125.505,82</w:t>
      </w:r>
      <w:r>
        <w:rPr>
          <w:rFonts w:ascii="Arial" w:eastAsia="Calibri" w:hAnsi="Arial" w:cs="Arial"/>
          <w:b/>
          <w:sz w:val="22"/>
          <w:szCs w:val="22"/>
        </w:rPr>
        <w:t xml:space="preserve"> </w:t>
      </w:r>
      <w:r>
        <w:rPr>
          <w:rFonts w:ascii="Arial" w:hAnsi="Arial" w:cs="Arial"/>
          <w:sz w:val="22"/>
          <w:szCs w:val="22"/>
        </w:rPr>
        <w:t>€ (IGIC incluido) con</w:t>
      </w:r>
      <w:r>
        <w:rPr>
          <w:rFonts w:ascii="Arial" w:hAnsi="Arial" w:cs="Arial"/>
          <w:sz w:val="22"/>
          <w:szCs w:val="22"/>
        </w:rPr>
        <w:t xml:space="preserve"> cargo a la aplicación presupuestaria y anualidades que se especifican a continuación:</w:t>
      </w:r>
    </w:p>
    <w:tbl>
      <w:tblPr>
        <w:tblW w:w="8862" w:type="dxa"/>
        <w:tblInd w:w="-116" w:type="dxa"/>
        <w:tblCellMar>
          <w:left w:w="10" w:type="dxa"/>
          <w:right w:w="10" w:type="dxa"/>
        </w:tblCellMar>
        <w:tblLook w:val="0000" w:firstRow="0" w:lastRow="0" w:firstColumn="0" w:lastColumn="0" w:noHBand="0" w:noVBand="0"/>
      </w:tblPr>
      <w:tblGrid>
        <w:gridCol w:w="2882"/>
        <w:gridCol w:w="3088"/>
        <w:gridCol w:w="2892"/>
      </w:tblGrid>
      <w:tr w:rsidR="009B4233">
        <w:tblPrEx>
          <w:tblCellMar>
            <w:top w:w="0" w:type="dxa"/>
            <w:bottom w:w="0" w:type="dxa"/>
          </w:tblCellMar>
        </w:tblPrEx>
        <w:trPr>
          <w:trHeight w:val="388"/>
        </w:trPr>
        <w:tc>
          <w:tcPr>
            <w:tcW w:w="2882" w:type="dxa"/>
            <w:tcBorders>
              <w:top w:val="single" w:sz="4" w:space="0" w:color="A6A6A6"/>
              <w:left w:val="single" w:sz="4" w:space="0" w:color="A6A6A6"/>
              <w:bottom w:val="single" w:sz="4" w:space="0" w:color="A6A6A6"/>
              <w:right w:val="single" w:sz="4" w:space="0" w:color="A6A6A6"/>
            </w:tcBorders>
            <w:shd w:val="clear" w:color="auto" w:fill="auto"/>
            <w:tcMar>
              <w:top w:w="12" w:type="dxa"/>
              <w:left w:w="170" w:type="dxa"/>
              <w:bottom w:w="0" w:type="dxa"/>
              <w:right w:w="115" w:type="dxa"/>
            </w:tcMar>
          </w:tcPr>
          <w:p w:rsidR="009B4233" w:rsidRDefault="006B08B9">
            <w:pPr>
              <w:ind w:right="51"/>
              <w:jc w:val="center"/>
            </w:pPr>
            <w:r>
              <w:rPr>
                <w:rFonts w:ascii="Arial" w:eastAsia="Calibri" w:hAnsi="Arial" w:cs="Arial"/>
                <w:b/>
                <w:i/>
                <w:sz w:val="22"/>
                <w:szCs w:val="22"/>
              </w:rPr>
              <w:t>Anualidad</w:t>
            </w:r>
          </w:p>
        </w:tc>
        <w:tc>
          <w:tcPr>
            <w:tcW w:w="3088" w:type="dxa"/>
            <w:tcBorders>
              <w:top w:val="single" w:sz="4" w:space="0" w:color="A6A6A6"/>
              <w:left w:val="single" w:sz="4" w:space="0" w:color="A6A6A6"/>
              <w:bottom w:val="single" w:sz="4" w:space="0" w:color="A6A6A6"/>
              <w:right w:val="single" w:sz="4" w:space="0" w:color="A6A6A6"/>
            </w:tcBorders>
            <w:shd w:val="clear" w:color="auto" w:fill="auto"/>
            <w:tcMar>
              <w:top w:w="12" w:type="dxa"/>
              <w:left w:w="170" w:type="dxa"/>
              <w:bottom w:w="0" w:type="dxa"/>
              <w:right w:w="115" w:type="dxa"/>
            </w:tcMar>
          </w:tcPr>
          <w:p w:rsidR="009B4233" w:rsidRDefault="006B08B9">
            <w:r>
              <w:rPr>
                <w:rFonts w:ascii="Arial" w:eastAsia="Calibri" w:hAnsi="Arial" w:cs="Arial"/>
                <w:b/>
                <w:i/>
                <w:sz w:val="22"/>
                <w:szCs w:val="22"/>
              </w:rPr>
              <w:t>Aplicación presupuestaria</w:t>
            </w:r>
          </w:p>
        </w:tc>
        <w:tc>
          <w:tcPr>
            <w:tcW w:w="2892" w:type="dxa"/>
            <w:tcBorders>
              <w:top w:val="single" w:sz="4" w:space="0" w:color="A6A6A6"/>
              <w:left w:val="single" w:sz="4" w:space="0" w:color="A6A6A6"/>
              <w:bottom w:val="single" w:sz="4" w:space="0" w:color="A6A6A6"/>
              <w:right w:val="single" w:sz="4" w:space="0" w:color="A6A6A6"/>
            </w:tcBorders>
            <w:shd w:val="clear" w:color="auto" w:fill="auto"/>
            <w:tcMar>
              <w:top w:w="12" w:type="dxa"/>
              <w:left w:w="170" w:type="dxa"/>
              <w:bottom w:w="0" w:type="dxa"/>
              <w:right w:w="115" w:type="dxa"/>
            </w:tcMar>
          </w:tcPr>
          <w:p w:rsidR="009B4233" w:rsidRDefault="006B08B9">
            <w:pPr>
              <w:ind w:right="49"/>
              <w:jc w:val="center"/>
            </w:pPr>
            <w:r>
              <w:rPr>
                <w:rFonts w:ascii="Arial" w:eastAsia="Calibri" w:hAnsi="Arial" w:cs="Arial"/>
                <w:b/>
                <w:i/>
                <w:sz w:val="22"/>
                <w:szCs w:val="22"/>
              </w:rPr>
              <w:t>Importe</w:t>
            </w:r>
          </w:p>
        </w:tc>
      </w:tr>
      <w:tr w:rsidR="009B4233">
        <w:tblPrEx>
          <w:tblCellMar>
            <w:top w:w="0" w:type="dxa"/>
            <w:bottom w:w="0" w:type="dxa"/>
          </w:tblCellMar>
        </w:tblPrEx>
        <w:trPr>
          <w:trHeight w:val="768"/>
        </w:trPr>
        <w:tc>
          <w:tcPr>
            <w:tcW w:w="2882" w:type="dxa"/>
            <w:tcBorders>
              <w:top w:val="single" w:sz="4" w:space="0" w:color="A6A6A6"/>
              <w:left w:val="single" w:sz="4" w:space="0" w:color="A6A6A6"/>
              <w:bottom w:val="single" w:sz="4" w:space="0" w:color="A6A6A6"/>
              <w:right w:val="single" w:sz="4" w:space="0" w:color="A6A6A6"/>
            </w:tcBorders>
            <w:shd w:val="clear" w:color="auto" w:fill="auto"/>
            <w:tcMar>
              <w:top w:w="12" w:type="dxa"/>
              <w:left w:w="170" w:type="dxa"/>
              <w:bottom w:w="0" w:type="dxa"/>
              <w:right w:w="115" w:type="dxa"/>
            </w:tcMar>
          </w:tcPr>
          <w:p w:rsidR="009B4233" w:rsidRDefault="006B08B9">
            <w:pPr>
              <w:ind w:right="36"/>
              <w:jc w:val="center"/>
              <w:rPr>
                <w:rFonts w:ascii="Arial" w:hAnsi="Arial" w:cs="Arial"/>
                <w:sz w:val="22"/>
                <w:szCs w:val="22"/>
              </w:rPr>
            </w:pPr>
            <w:r>
              <w:rPr>
                <w:rFonts w:ascii="Arial" w:hAnsi="Arial" w:cs="Arial"/>
                <w:sz w:val="22"/>
                <w:szCs w:val="22"/>
              </w:rPr>
              <w:t>2026</w:t>
            </w:r>
          </w:p>
        </w:tc>
        <w:tc>
          <w:tcPr>
            <w:tcW w:w="3088" w:type="dxa"/>
            <w:tcBorders>
              <w:top w:val="single" w:sz="4" w:space="0" w:color="A6A6A6"/>
              <w:left w:val="single" w:sz="4" w:space="0" w:color="A6A6A6"/>
              <w:bottom w:val="single" w:sz="4" w:space="0" w:color="A6A6A6"/>
              <w:right w:val="single" w:sz="4" w:space="0" w:color="A6A6A6"/>
            </w:tcBorders>
            <w:shd w:val="clear" w:color="auto" w:fill="auto"/>
            <w:tcMar>
              <w:top w:w="12" w:type="dxa"/>
              <w:left w:w="170" w:type="dxa"/>
              <w:bottom w:w="0" w:type="dxa"/>
              <w:right w:w="115" w:type="dxa"/>
            </w:tcMar>
          </w:tcPr>
          <w:p w:rsidR="009B4233" w:rsidRDefault="006B08B9">
            <w:pPr>
              <w:spacing w:after="90"/>
              <w:ind w:right="124"/>
              <w:jc w:val="center"/>
              <w:rPr>
                <w:rFonts w:ascii="Arial" w:hAnsi="Arial" w:cs="Arial"/>
                <w:sz w:val="22"/>
                <w:szCs w:val="22"/>
              </w:rPr>
            </w:pPr>
            <w:r>
              <w:rPr>
                <w:rFonts w:ascii="Arial" w:hAnsi="Arial" w:cs="Arial"/>
                <w:sz w:val="22"/>
                <w:szCs w:val="22"/>
              </w:rPr>
              <w:t xml:space="preserve">15100.60912 </w:t>
            </w:r>
          </w:p>
          <w:p w:rsidR="009B4233" w:rsidRDefault="006B08B9">
            <w:pPr>
              <w:ind w:right="122"/>
              <w:jc w:val="center"/>
              <w:rPr>
                <w:rFonts w:ascii="Arial" w:hAnsi="Arial" w:cs="Arial"/>
                <w:sz w:val="22"/>
                <w:szCs w:val="22"/>
              </w:rPr>
            </w:pPr>
            <w:r>
              <w:rPr>
                <w:rFonts w:ascii="Arial" w:hAnsi="Arial" w:cs="Arial"/>
                <w:sz w:val="22"/>
                <w:szCs w:val="22"/>
              </w:rPr>
              <w:t>(A.2.25.2.06549)</w:t>
            </w:r>
          </w:p>
        </w:tc>
        <w:tc>
          <w:tcPr>
            <w:tcW w:w="2892" w:type="dxa"/>
            <w:tcBorders>
              <w:top w:val="single" w:sz="4" w:space="0" w:color="A6A6A6"/>
              <w:left w:val="single" w:sz="4" w:space="0" w:color="A6A6A6"/>
              <w:bottom w:val="single" w:sz="4" w:space="0" w:color="A6A6A6"/>
              <w:right w:val="single" w:sz="4" w:space="0" w:color="A6A6A6"/>
            </w:tcBorders>
            <w:shd w:val="clear" w:color="auto" w:fill="auto"/>
            <w:tcMar>
              <w:top w:w="12" w:type="dxa"/>
              <w:left w:w="170" w:type="dxa"/>
              <w:bottom w:w="0" w:type="dxa"/>
              <w:right w:w="115" w:type="dxa"/>
            </w:tcMar>
          </w:tcPr>
          <w:p w:rsidR="009B4233" w:rsidRDefault="006B08B9">
            <w:pPr>
              <w:ind w:right="35"/>
              <w:jc w:val="center"/>
              <w:rPr>
                <w:rFonts w:ascii="Arial" w:hAnsi="Arial" w:cs="Arial"/>
                <w:sz w:val="22"/>
                <w:szCs w:val="22"/>
              </w:rPr>
            </w:pPr>
            <w:r>
              <w:rPr>
                <w:rFonts w:ascii="Arial" w:hAnsi="Arial" w:cs="Arial"/>
                <w:sz w:val="22"/>
                <w:szCs w:val="22"/>
              </w:rPr>
              <w:t>3.562.752,91 euros</w:t>
            </w:r>
          </w:p>
        </w:tc>
      </w:tr>
      <w:tr w:rsidR="009B4233">
        <w:tblPrEx>
          <w:tblCellMar>
            <w:top w:w="0" w:type="dxa"/>
            <w:bottom w:w="0" w:type="dxa"/>
          </w:tblCellMar>
        </w:tblPrEx>
        <w:trPr>
          <w:trHeight w:val="768"/>
        </w:trPr>
        <w:tc>
          <w:tcPr>
            <w:tcW w:w="2882" w:type="dxa"/>
            <w:tcBorders>
              <w:top w:val="single" w:sz="4" w:space="0" w:color="A6A6A6"/>
              <w:left w:val="single" w:sz="4" w:space="0" w:color="A6A6A6"/>
              <w:bottom w:val="single" w:sz="4" w:space="0" w:color="A6A6A6"/>
              <w:right w:val="single" w:sz="4" w:space="0" w:color="A6A6A6"/>
            </w:tcBorders>
            <w:shd w:val="clear" w:color="auto" w:fill="auto"/>
            <w:tcMar>
              <w:top w:w="12" w:type="dxa"/>
              <w:left w:w="170" w:type="dxa"/>
              <w:bottom w:w="0" w:type="dxa"/>
              <w:right w:w="115" w:type="dxa"/>
            </w:tcMar>
          </w:tcPr>
          <w:p w:rsidR="009B4233" w:rsidRDefault="006B08B9">
            <w:pPr>
              <w:ind w:right="36"/>
              <w:jc w:val="center"/>
              <w:rPr>
                <w:rFonts w:ascii="Arial" w:hAnsi="Arial" w:cs="Arial"/>
                <w:sz w:val="22"/>
                <w:szCs w:val="22"/>
              </w:rPr>
            </w:pPr>
            <w:r>
              <w:rPr>
                <w:rFonts w:ascii="Arial" w:hAnsi="Arial" w:cs="Arial"/>
                <w:sz w:val="22"/>
                <w:szCs w:val="22"/>
              </w:rPr>
              <w:t>2027</w:t>
            </w:r>
          </w:p>
        </w:tc>
        <w:tc>
          <w:tcPr>
            <w:tcW w:w="3088" w:type="dxa"/>
            <w:tcBorders>
              <w:top w:val="single" w:sz="4" w:space="0" w:color="A6A6A6"/>
              <w:left w:val="single" w:sz="4" w:space="0" w:color="A6A6A6"/>
              <w:bottom w:val="single" w:sz="4" w:space="0" w:color="A6A6A6"/>
              <w:right w:val="single" w:sz="4" w:space="0" w:color="A6A6A6"/>
            </w:tcBorders>
            <w:shd w:val="clear" w:color="auto" w:fill="auto"/>
            <w:tcMar>
              <w:top w:w="12" w:type="dxa"/>
              <w:left w:w="170" w:type="dxa"/>
              <w:bottom w:w="0" w:type="dxa"/>
              <w:right w:w="115" w:type="dxa"/>
            </w:tcMar>
          </w:tcPr>
          <w:p w:rsidR="009B4233" w:rsidRDefault="006B08B9">
            <w:pPr>
              <w:spacing w:after="90"/>
              <w:ind w:right="124"/>
              <w:jc w:val="center"/>
              <w:rPr>
                <w:rFonts w:ascii="Arial" w:hAnsi="Arial" w:cs="Arial"/>
                <w:sz w:val="22"/>
                <w:szCs w:val="22"/>
              </w:rPr>
            </w:pPr>
            <w:r>
              <w:rPr>
                <w:rFonts w:ascii="Arial" w:hAnsi="Arial" w:cs="Arial"/>
                <w:sz w:val="22"/>
                <w:szCs w:val="22"/>
              </w:rPr>
              <w:t xml:space="preserve">15100.60912 </w:t>
            </w:r>
          </w:p>
          <w:p w:rsidR="009B4233" w:rsidRDefault="006B08B9">
            <w:pPr>
              <w:ind w:right="122"/>
              <w:jc w:val="center"/>
              <w:rPr>
                <w:rFonts w:ascii="Arial" w:hAnsi="Arial" w:cs="Arial"/>
                <w:sz w:val="22"/>
                <w:szCs w:val="22"/>
              </w:rPr>
            </w:pPr>
            <w:r>
              <w:rPr>
                <w:rFonts w:ascii="Arial" w:hAnsi="Arial" w:cs="Arial"/>
                <w:sz w:val="22"/>
                <w:szCs w:val="22"/>
              </w:rPr>
              <w:t>(A.2.25.2.06550)</w:t>
            </w:r>
          </w:p>
        </w:tc>
        <w:tc>
          <w:tcPr>
            <w:tcW w:w="2892" w:type="dxa"/>
            <w:tcBorders>
              <w:top w:val="single" w:sz="4" w:space="0" w:color="A6A6A6"/>
              <w:left w:val="single" w:sz="4" w:space="0" w:color="A6A6A6"/>
              <w:bottom w:val="single" w:sz="4" w:space="0" w:color="A6A6A6"/>
              <w:right w:val="single" w:sz="4" w:space="0" w:color="A6A6A6"/>
            </w:tcBorders>
            <w:shd w:val="clear" w:color="auto" w:fill="auto"/>
            <w:tcMar>
              <w:top w:w="12" w:type="dxa"/>
              <w:left w:w="170" w:type="dxa"/>
              <w:bottom w:w="0" w:type="dxa"/>
              <w:right w:w="115" w:type="dxa"/>
            </w:tcMar>
          </w:tcPr>
          <w:p w:rsidR="009B4233" w:rsidRDefault="006B08B9">
            <w:pPr>
              <w:ind w:right="35"/>
              <w:jc w:val="center"/>
              <w:rPr>
                <w:rFonts w:ascii="Arial" w:hAnsi="Arial" w:cs="Arial"/>
                <w:sz w:val="22"/>
                <w:szCs w:val="22"/>
              </w:rPr>
            </w:pPr>
            <w:r>
              <w:rPr>
                <w:rFonts w:ascii="Arial" w:hAnsi="Arial" w:cs="Arial"/>
                <w:sz w:val="22"/>
                <w:szCs w:val="22"/>
              </w:rPr>
              <w:t>3.562.752,91 euros</w:t>
            </w:r>
          </w:p>
        </w:tc>
      </w:tr>
    </w:tbl>
    <w:p w:rsidR="009B4233" w:rsidRDefault="006B08B9">
      <w:pPr>
        <w:ind w:left="-5"/>
        <w:jc w:val="both"/>
      </w:pPr>
      <w:r>
        <w:rPr>
          <w:rFonts w:ascii="Arial" w:eastAsia="Calibri" w:hAnsi="Arial" w:cs="Arial"/>
          <w:b/>
          <w:sz w:val="22"/>
          <w:szCs w:val="22"/>
        </w:rPr>
        <w:t>Tercero</w:t>
      </w:r>
      <w:r>
        <w:rPr>
          <w:rFonts w:ascii="Arial" w:hAnsi="Arial" w:cs="Arial"/>
          <w:sz w:val="22"/>
          <w:szCs w:val="22"/>
        </w:rPr>
        <w:t xml:space="preserve">.- </w:t>
      </w:r>
      <w:r>
        <w:rPr>
          <w:rFonts w:ascii="Arial" w:hAnsi="Arial" w:cs="Arial"/>
          <w:sz w:val="22"/>
          <w:szCs w:val="22"/>
        </w:rPr>
        <w:t xml:space="preserve">Aprobar los Pliegos de Cláusulas Administrativas Particulares (PCAP), de </w:t>
      </w:r>
    </w:p>
    <w:p w:rsidR="009B4233" w:rsidRDefault="006B08B9">
      <w:pPr>
        <w:ind w:left="-5"/>
        <w:jc w:val="both"/>
        <w:rPr>
          <w:rFonts w:ascii="Arial" w:hAnsi="Arial" w:cs="Arial"/>
          <w:sz w:val="22"/>
          <w:szCs w:val="22"/>
        </w:rPr>
      </w:pPr>
      <w:r>
        <w:rPr>
          <w:rFonts w:ascii="Arial" w:hAnsi="Arial" w:cs="Arial"/>
          <w:sz w:val="22"/>
          <w:szCs w:val="22"/>
        </w:rPr>
        <w:t>Prescripciones Técnicas (PPTP) y el informe de regulación de la contratación firmado por la Arquitecta municipal de fecha 18 de septiembre de 2025 que forma parte de la documentación</w:t>
      </w:r>
      <w:r>
        <w:rPr>
          <w:rFonts w:ascii="Arial" w:hAnsi="Arial" w:cs="Arial"/>
          <w:sz w:val="22"/>
          <w:szCs w:val="22"/>
        </w:rPr>
        <w:t xml:space="preserve"> técnica de la contratación, que regirán el contrato. </w:t>
      </w:r>
    </w:p>
    <w:p w:rsidR="009B4233" w:rsidRDefault="006B08B9">
      <w:pPr>
        <w:ind w:left="-5"/>
        <w:jc w:val="both"/>
      </w:pPr>
      <w:r>
        <w:rPr>
          <w:rFonts w:ascii="Arial" w:eastAsia="Calibri" w:hAnsi="Arial" w:cs="Arial"/>
          <w:b/>
          <w:sz w:val="22"/>
          <w:szCs w:val="22"/>
        </w:rPr>
        <w:t>Cuarto</w:t>
      </w:r>
      <w:r>
        <w:rPr>
          <w:rFonts w:ascii="Arial" w:hAnsi="Arial" w:cs="Arial"/>
          <w:sz w:val="22"/>
          <w:szCs w:val="22"/>
        </w:rPr>
        <w:t xml:space="preserve">.- Publicar el anuncio de licitación en el perfil de contratante con el contenido contemplado en el anexo III de la Ley 9/2017 de 8 de noviembre, de Contratos del Sector Público. </w:t>
      </w:r>
    </w:p>
    <w:p w:rsidR="009B4233" w:rsidRDefault="006B08B9">
      <w:pPr>
        <w:ind w:left="-5"/>
        <w:jc w:val="both"/>
      </w:pPr>
      <w:r>
        <w:rPr>
          <w:rFonts w:ascii="Arial" w:eastAsia="Calibri" w:hAnsi="Arial" w:cs="Arial"/>
          <w:b/>
          <w:sz w:val="22"/>
          <w:szCs w:val="22"/>
        </w:rPr>
        <w:t>Quinto</w:t>
      </w:r>
      <w:r>
        <w:rPr>
          <w:rFonts w:ascii="Arial" w:hAnsi="Arial" w:cs="Arial"/>
          <w:sz w:val="22"/>
          <w:szCs w:val="22"/>
        </w:rPr>
        <w:t xml:space="preserve">.- </w:t>
      </w:r>
      <w:r>
        <w:rPr>
          <w:rFonts w:ascii="Arial" w:hAnsi="Arial" w:cs="Arial"/>
          <w:sz w:val="22"/>
          <w:szCs w:val="22"/>
        </w:rPr>
        <w:t xml:space="preserve">Publicar en el perfil de contratante la siguiente documentación integrante del expediente de contratación: Memoria justificativa del contrato, PPTP, proyecto técnico, PCAP y la resolución por el que se aprueba el expediente. </w:t>
      </w:r>
    </w:p>
    <w:p w:rsidR="009B4233" w:rsidRDefault="006B08B9">
      <w:pPr>
        <w:spacing w:after="463"/>
        <w:ind w:left="-5"/>
        <w:jc w:val="both"/>
      </w:pPr>
      <w:r>
        <w:rPr>
          <w:rFonts w:ascii="Arial" w:eastAsia="Calibri" w:hAnsi="Arial" w:cs="Arial"/>
          <w:b/>
          <w:sz w:val="22"/>
          <w:szCs w:val="22"/>
        </w:rPr>
        <w:t>Sexto</w:t>
      </w:r>
      <w:r>
        <w:rPr>
          <w:rFonts w:ascii="Arial" w:hAnsi="Arial" w:cs="Arial"/>
          <w:sz w:val="22"/>
          <w:szCs w:val="22"/>
        </w:rPr>
        <w:t xml:space="preserve">.- Designar como Unidad </w:t>
      </w:r>
      <w:r>
        <w:rPr>
          <w:rFonts w:ascii="Arial" w:hAnsi="Arial" w:cs="Arial"/>
          <w:sz w:val="22"/>
          <w:szCs w:val="22"/>
        </w:rPr>
        <w:t>encargada del seguimiento y ejecución del contrato: Oficina Técnica Municipal de la Concejalía Delegada de Gestión y Planificación Urbanística y Vivienda según la cláusula 33ª del PCAP.”</w:t>
      </w:r>
    </w:p>
    <w:p w:rsidR="009B4233" w:rsidRDefault="006B08B9">
      <w:pPr>
        <w:jc w:val="both"/>
        <w:rPr>
          <w:rFonts w:ascii="Arial" w:eastAsia="Times New Roman" w:hAnsi="Arial" w:cs="Arial"/>
          <w:b/>
          <w:color w:val="000000"/>
          <w:sz w:val="22"/>
          <w:szCs w:val="22"/>
          <w:lang w:eastAsia="es-ES"/>
        </w:rPr>
      </w:pPr>
      <w:r>
        <w:rPr>
          <w:rFonts w:ascii="Arial" w:eastAsia="Times New Roman" w:hAnsi="Arial" w:cs="Arial"/>
          <w:b/>
          <w:color w:val="000000"/>
          <w:sz w:val="22"/>
          <w:szCs w:val="22"/>
          <w:lang w:eastAsia="es-ES"/>
        </w:rPr>
        <w:t>Consta en el expediente propuesta de la Alcaldesa-Presidenta, de fech</w:t>
      </w:r>
      <w:r>
        <w:rPr>
          <w:rFonts w:ascii="Arial" w:eastAsia="Times New Roman" w:hAnsi="Arial" w:cs="Arial"/>
          <w:b/>
          <w:color w:val="000000"/>
          <w:sz w:val="22"/>
          <w:szCs w:val="22"/>
          <w:lang w:eastAsia="es-ES"/>
        </w:rPr>
        <w:t>a 19 de septiembre de 2025, cuyo tenor literal es el siguiente:</w:t>
      </w:r>
    </w:p>
    <w:p w:rsidR="009B4233" w:rsidRDefault="009B4233">
      <w:pPr>
        <w:pStyle w:val="Textoindependiente"/>
        <w:jc w:val="both"/>
        <w:rPr>
          <w:rFonts w:cs="Arial"/>
          <w:b/>
          <w:bCs/>
          <w:szCs w:val="22"/>
        </w:rPr>
      </w:pPr>
    </w:p>
    <w:p w:rsidR="009B4233" w:rsidRDefault="009B4233">
      <w:pPr>
        <w:spacing w:after="84" w:line="249" w:lineRule="auto"/>
        <w:rPr>
          <w:rFonts w:ascii="Arial" w:hAnsi="Arial" w:cs="Arial"/>
          <w:sz w:val="22"/>
          <w:szCs w:val="22"/>
        </w:rPr>
      </w:pPr>
    </w:p>
    <w:p w:rsidR="009B4233" w:rsidRDefault="006B08B9">
      <w:pPr>
        <w:pStyle w:val="Ttulo1"/>
        <w:ind w:left="11" w:right="5"/>
        <w:rPr>
          <w:rFonts w:ascii="Arial" w:hAnsi="Arial" w:cs="Arial"/>
          <w:sz w:val="22"/>
          <w:szCs w:val="22"/>
        </w:rPr>
      </w:pPr>
      <w:r>
        <w:rPr>
          <w:rFonts w:ascii="Arial" w:hAnsi="Arial" w:cs="Arial"/>
          <w:sz w:val="22"/>
          <w:szCs w:val="22"/>
        </w:rPr>
        <w:t>“PROPUESTA DE LA ALCALDÍA-PRESIDENCIA</w:t>
      </w:r>
    </w:p>
    <w:p w:rsidR="009B4233" w:rsidRDefault="009B4233">
      <w:pPr>
        <w:rPr>
          <w:rFonts w:ascii="Arial" w:hAnsi="Arial" w:cs="Arial"/>
          <w:sz w:val="22"/>
          <w:szCs w:val="22"/>
          <w:lang w:eastAsia="es-ES"/>
        </w:rPr>
      </w:pPr>
    </w:p>
    <w:p w:rsidR="009B4233" w:rsidRDefault="006B08B9">
      <w:pPr>
        <w:ind w:left="-5"/>
        <w:jc w:val="both"/>
        <w:rPr>
          <w:rFonts w:ascii="Arial" w:hAnsi="Arial" w:cs="Arial"/>
          <w:sz w:val="22"/>
          <w:szCs w:val="22"/>
        </w:rPr>
      </w:pPr>
      <w:r>
        <w:rPr>
          <w:rFonts w:ascii="Arial" w:hAnsi="Arial" w:cs="Arial"/>
          <w:sz w:val="22"/>
          <w:szCs w:val="22"/>
        </w:rPr>
        <w:t>La que suscribe, Alcaldesa-Presidenta del Ayuntamiento de la Villa de Candelaria, al amparo de lo dispuesto en el Reglamento de Organización, Funcionam</w:t>
      </w:r>
      <w:r>
        <w:rPr>
          <w:rFonts w:ascii="Arial" w:hAnsi="Arial" w:cs="Arial"/>
          <w:sz w:val="22"/>
          <w:szCs w:val="22"/>
        </w:rPr>
        <w:t>iento y Régimen Jurídico de las Entidades Locales, así como en la Ley 7/1985, de 2 de abril, Reguladora de las Bases de Régimen Local, tienen el honor de someter a la consideración del Ayuntamiento Pleno la siguiente propuesta:</w:t>
      </w:r>
    </w:p>
    <w:p w:rsidR="009B4233" w:rsidRDefault="009B4233">
      <w:pPr>
        <w:ind w:left="-5"/>
        <w:rPr>
          <w:rFonts w:ascii="Arial" w:hAnsi="Arial" w:cs="Arial"/>
          <w:sz w:val="22"/>
          <w:szCs w:val="22"/>
        </w:rPr>
      </w:pPr>
    </w:p>
    <w:p w:rsidR="009B4233" w:rsidRDefault="006B08B9">
      <w:pPr>
        <w:pStyle w:val="Ttulo1"/>
        <w:ind w:left="11"/>
        <w:rPr>
          <w:rFonts w:ascii="Arial" w:hAnsi="Arial" w:cs="Arial"/>
          <w:sz w:val="22"/>
          <w:szCs w:val="22"/>
        </w:rPr>
      </w:pPr>
      <w:r>
        <w:rPr>
          <w:rFonts w:ascii="Arial" w:hAnsi="Arial" w:cs="Arial"/>
          <w:sz w:val="22"/>
          <w:szCs w:val="22"/>
        </w:rPr>
        <w:t>“INFORME</w:t>
      </w:r>
    </w:p>
    <w:p w:rsidR="009B4233" w:rsidRDefault="006B08B9">
      <w:pPr>
        <w:ind w:left="-5"/>
        <w:jc w:val="both"/>
        <w:rPr>
          <w:rFonts w:ascii="Arial" w:eastAsia="Calibri" w:hAnsi="Arial" w:cs="Arial"/>
          <w:b/>
          <w:sz w:val="22"/>
          <w:szCs w:val="22"/>
        </w:rPr>
      </w:pPr>
      <w:r>
        <w:rPr>
          <w:rFonts w:ascii="Arial" w:eastAsia="Calibri" w:hAnsi="Arial" w:cs="Arial"/>
          <w:b/>
          <w:sz w:val="22"/>
          <w:szCs w:val="22"/>
        </w:rPr>
        <w:t>Visto el expedient</w:t>
      </w:r>
      <w:r>
        <w:rPr>
          <w:rFonts w:ascii="Arial" w:eastAsia="Calibri" w:hAnsi="Arial" w:cs="Arial"/>
          <w:b/>
          <w:sz w:val="22"/>
          <w:szCs w:val="22"/>
        </w:rPr>
        <w:t xml:space="preserve">e antedicho, la funcionaria Rosa Edelmira González Sabina, que desempeña el puesto de trabajo de técnico de administración general, conformado por el Secretario General, fiscalizado favorablemente por el Interventor Municipal, emite el siguiente informe: </w:t>
      </w:r>
    </w:p>
    <w:p w:rsidR="009B4233" w:rsidRDefault="009B4233">
      <w:pPr>
        <w:ind w:left="-5"/>
        <w:rPr>
          <w:rFonts w:ascii="Arial" w:hAnsi="Arial" w:cs="Arial"/>
          <w:sz w:val="22"/>
          <w:szCs w:val="22"/>
        </w:rPr>
      </w:pPr>
    </w:p>
    <w:p w:rsidR="009B4233" w:rsidRDefault="006B08B9">
      <w:pPr>
        <w:pStyle w:val="Ttulo1"/>
        <w:ind w:left="11"/>
        <w:rPr>
          <w:rFonts w:ascii="Arial" w:hAnsi="Arial" w:cs="Arial"/>
          <w:sz w:val="22"/>
          <w:szCs w:val="22"/>
        </w:rPr>
      </w:pPr>
      <w:r>
        <w:rPr>
          <w:rFonts w:ascii="Arial" w:hAnsi="Arial" w:cs="Arial"/>
          <w:sz w:val="22"/>
          <w:szCs w:val="22"/>
        </w:rPr>
        <w:t>Antecedentes de hecho</w:t>
      </w:r>
    </w:p>
    <w:p w:rsidR="009B4233" w:rsidRDefault="006B08B9">
      <w:pPr>
        <w:ind w:left="-5"/>
        <w:jc w:val="both"/>
      </w:pPr>
      <w:r>
        <w:rPr>
          <w:rFonts w:ascii="Arial" w:eastAsia="Calibri" w:hAnsi="Arial" w:cs="Arial"/>
          <w:b/>
          <w:sz w:val="22"/>
          <w:szCs w:val="22"/>
        </w:rPr>
        <w:t>Primero</w:t>
      </w:r>
      <w:r>
        <w:rPr>
          <w:rFonts w:ascii="Arial" w:hAnsi="Arial" w:cs="Arial"/>
          <w:sz w:val="22"/>
          <w:szCs w:val="22"/>
        </w:rPr>
        <w:t>.- Consta en el expediente de contratación como inicio del mismo la Memoria justificativa del contrato firmada por el órgano de contratación que es la Alcaldesa-Presidenta, de fecha 16 de septiembre de 2025 en el que se justif</w:t>
      </w:r>
      <w:r>
        <w:rPr>
          <w:rFonts w:ascii="Arial" w:hAnsi="Arial" w:cs="Arial"/>
          <w:sz w:val="22"/>
          <w:szCs w:val="22"/>
        </w:rPr>
        <w:t xml:space="preserve">ica: la contratación, el procedimiento de licitación, el cálculo del presupuesto base de licitación, los criterios de adjudicación y las condiciones especiales de ejecución. </w:t>
      </w:r>
    </w:p>
    <w:p w:rsidR="009B4233" w:rsidRDefault="009B4233">
      <w:pPr>
        <w:ind w:left="-5"/>
        <w:jc w:val="both"/>
        <w:rPr>
          <w:rFonts w:ascii="Arial" w:hAnsi="Arial" w:cs="Arial"/>
          <w:sz w:val="22"/>
          <w:szCs w:val="22"/>
        </w:rPr>
      </w:pPr>
    </w:p>
    <w:p w:rsidR="009B4233" w:rsidRDefault="006B08B9">
      <w:pPr>
        <w:ind w:left="-5"/>
        <w:jc w:val="both"/>
      </w:pPr>
      <w:r>
        <w:rPr>
          <w:rFonts w:ascii="Arial" w:eastAsia="Calibri" w:hAnsi="Arial" w:cs="Arial"/>
          <w:b/>
          <w:sz w:val="22"/>
          <w:szCs w:val="22"/>
        </w:rPr>
        <w:t>Segundo</w:t>
      </w:r>
      <w:r>
        <w:rPr>
          <w:rFonts w:ascii="Arial" w:hAnsi="Arial" w:cs="Arial"/>
          <w:sz w:val="22"/>
          <w:szCs w:val="22"/>
        </w:rPr>
        <w:t>.- Consta en el expediente documento acreditativo de la existencia de cré</w:t>
      </w:r>
      <w:r>
        <w:rPr>
          <w:rFonts w:ascii="Arial" w:hAnsi="Arial" w:cs="Arial"/>
          <w:sz w:val="22"/>
          <w:szCs w:val="22"/>
        </w:rPr>
        <w:t>dito firmado por el Interventor Municipal, con cargo a la aplicación presupuestaria y por las anualidades siguientes:</w:t>
      </w:r>
    </w:p>
    <w:tbl>
      <w:tblPr>
        <w:tblW w:w="8862" w:type="dxa"/>
        <w:tblInd w:w="-116" w:type="dxa"/>
        <w:tblCellMar>
          <w:left w:w="10" w:type="dxa"/>
          <w:right w:w="10" w:type="dxa"/>
        </w:tblCellMar>
        <w:tblLook w:val="0000" w:firstRow="0" w:lastRow="0" w:firstColumn="0" w:lastColumn="0" w:noHBand="0" w:noVBand="0"/>
      </w:tblPr>
      <w:tblGrid>
        <w:gridCol w:w="2882"/>
        <w:gridCol w:w="3088"/>
        <w:gridCol w:w="2892"/>
      </w:tblGrid>
      <w:tr w:rsidR="009B4233">
        <w:tblPrEx>
          <w:tblCellMar>
            <w:top w:w="0" w:type="dxa"/>
            <w:bottom w:w="0" w:type="dxa"/>
          </w:tblCellMar>
        </w:tblPrEx>
        <w:trPr>
          <w:trHeight w:val="388"/>
        </w:trPr>
        <w:tc>
          <w:tcPr>
            <w:tcW w:w="2882" w:type="dxa"/>
            <w:tcBorders>
              <w:top w:val="single" w:sz="4" w:space="0" w:color="A6A6A6"/>
              <w:left w:val="single" w:sz="4" w:space="0" w:color="A6A6A6"/>
              <w:bottom w:val="single" w:sz="4" w:space="0" w:color="A6A6A6"/>
              <w:right w:val="single" w:sz="4" w:space="0" w:color="A6A6A6"/>
            </w:tcBorders>
            <w:shd w:val="clear" w:color="auto" w:fill="auto"/>
            <w:tcMar>
              <w:top w:w="12" w:type="dxa"/>
              <w:left w:w="170" w:type="dxa"/>
              <w:bottom w:w="0" w:type="dxa"/>
              <w:right w:w="115" w:type="dxa"/>
            </w:tcMar>
          </w:tcPr>
          <w:p w:rsidR="009B4233" w:rsidRDefault="006B08B9">
            <w:pPr>
              <w:spacing w:line="249" w:lineRule="auto"/>
              <w:ind w:right="51"/>
              <w:jc w:val="center"/>
            </w:pPr>
            <w:r>
              <w:rPr>
                <w:rFonts w:ascii="Arial" w:eastAsia="Calibri" w:hAnsi="Arial" w:cs="Arial"/>
                <w:b/>
                <w:i/>
                <w:sz w:val="22"/>
                <w:szCs w:val="22"/>
              </w:rPr>
              <w:t>Anualidad</w:t>
            </w:r>
          </w:p>
        </w:tc>
        <w:tc>
          <w:tcPr>
            <w:tcW w:w="3088" w:type="dxa"/>
            <w:tcBorders>
              <w:top w:val="single" w:sz="4" w:space="0" w:color="A6A6A6"/>
              <w:left w:val="single" w:sz="4" w:space="0" w:color="A6A6A6"/>
              <w:bottom w:val="single" w:sz="4" w:space="0" w:color="A6A6A6"/>
              <w:right w:val="single" w:sz="4" w:space="0" w:color="A6A6A6"/>
            </w:tcBorders>
            <w:shd w:val="clear" w:color="auto" w:fill="auto"/>
            <w:tcMar>
              <w:top w:w="12" w:type="dxa"/>
              <w:left w:w="170" w:type="dxa"/>
              <w:bottom w:w="0" w:type="dxa"/>
              <w:right w:w="115" w:type="dxa"/>
            </w:tcMar>
          </w:tcPr>
          <w:p w:rsidR="009B4233" w:rsidRDefault="006B08B9">
            <w:pPr>
              <w:spacing w:line="249" w:lineRule="auto"/>
            </w:pPr>
            <w:r>
              <w:rPr>
                <w:rFonts w:ascii="Arial" w:eastAsia="Calibri" w:hAnsi="Arial" w:cs="Arial"/>
                <w:b/>
                <w:i/>
                <w:sz w:val="22"/>
                <w:szCs w:val="22"/>
              </w:rPr>
              <w:t>Aplicación presupuestaria</w:t>
            </w:r>
          </w:p>
        </w:tc>
        <w:tc>
          <w:tcPr>
            <w:tcW w:w="2892" w:type="dxa"/>
            <w:tcBorders>
              <w:top w:val="single" w:sz="4" w:space="0" w:color="A6A6A6"/>
              <w:left w:val="single" w:sz="4" w:space="0" w:color="A6A6A6"/>
              <w:bottom w:val="single" w:sz="4" w:space="0" w:color="A6A6A6"/>
              <w:right w:val="single" w:sz="4" w:space="0" w:color="A6A6A6"/>
            </w:tcBorders>
            <w:shd w:val="clear" w:color="auto" w:fill="auto"/>
            <w:tcMar>
              <w:top w:w="12" w:type="dxa"/>
              <w:left w:w="170" w:type="dxa"/>
              <w:bottom w:w="0" w:type="dxa"/>
              <w:right w:w="115" w:type="dxa"/>
            </w:tcMar>
          </w:tcPr>
          <w:p w:rsidR="009B4233" w:rsidRDefault="006B08B9">
            <w:pPr>
              <w:spacing w:line="249" w:lineRule="auto"/>
              <w:ind w:right="49"/>
              <w:jc w:val="center"/>
            </w:pPr>
            <w:r>
              <w:rPr>
                <w:rFonts w:ascii="Arial" w:eastAsia="Calibri" w:hAnsi="Arial" w:cs="Arial"/>
                <w:b/>
                <w:i/>
                <w:sz w:val="22"/>
                <w:szCs w:val="22"/>
              </w:rPr>
              <w:t>Importe</w:t>
            </w:r>
          </w:p>
        </w:tc>
      </w:tr>
      <w:tr w:rsidR="009B4233">
        <w:tblPrEx>
          <w:tblCellMar>
            <w:top w:w="0" w:type="dxa"/>
            <w:bottom w:w="0" w:type="dxa"/>
          </w:tblCellMar>
        </w:tblPrEx>
        <w:trPr>
          <w:trHeight w:val="768"/>
        </w:trPr>
        <w:tc>
          <w:tcPr>
            <w:tcW w:w="2882" w:type="dxa"/>
            <w:tcBorders>
              <w:top w:val="single" w:sz="4" w:space="0" w:color="A6A6A6"/>
              <w:left w:val="single" w:sz="4" w:space="0" w:color="A6A6A6"/>
              <w:bottom w:val="single" w:sz="4" w:space="0" w:color="A6A6A6"/>
              <w:right w:val="single" w:sz="4" w:space="0" w:color="A6A6A6"/>
            </w:tcBorders>
            <w:shd w:val="clear" w:color="auto" w:fill="auto"/>
            <w:tcMar>
              <w:top w:w="12" w:type="dxa"/>
              <w:left w:w="170" w:type="dxa"/>
              <w:bottom w:w="0" w:type="dxa"/>
              <w:right w:w="115" w:type="dxa"/>
            </w:tcMar>
          </w:tcPr>
          <w:p w:rsidR="009B4233" w:rsidRDefault="006B08B9">
            <w:pPr>
              <w:spacing w:line="249" w:lineRule="auto"/>
              <w:ind w:right="36"/>
              <w:jc w:val="center"/>
              <w:rPr>
                <w:rFonts w:ascii="Arial" w:hAnsi="Arial" w:cs="Arial"/>
                <w:sz w:val="22"/>
                <w:szCs w:val="22"/>
              </w:rPr>
            </w:pPr>
            <w:r>
              <w:rPr>
                <w:rFonts w:ascii="Arial" w:hAnsi="Arial" w:cs="Arial"/>
                <w:sz w:val="22"/>
                <w:szCs w:val="22"/>
              </w:rPr>
              <w:t>2026</w:t>
            </w:r>
          </w:p>
        </w:tc>
        <w:tc>
          <w:tcPr>
            <w:tcW w:w="3088" w:type="dxa"/>
            <w:tcBorders>
              <w:top w:val="single" w:sz="4" w:space="0" w:color="A6A6A6"/>
              <w:left w:val="single" w:sz="4" w:space="0" w:color="A6A6A6"/>
              <w:bottom w:val="single" w:sz="4" w:space="0" w:color="A6A6A6"/>
              <w:right w:val="single" w:sz="4" w:space="0" w:color="A6A6A6"/>
            </w:tcBorders>
            <w:shd w:val="clear" w:color="auto" w:fill="auto"/>
            <w:tcMar>
              <w:top w:w="12" w:type="dxa"/>
              <w:left w:w="170" w:type="dxa"/>
              <w:bottom w:w="0" w:type="dxa"/>
              <w:right w:w="115" w:type="dxa"/>
            </w:tcMar>
          </w:tcPr>
          <w:p w:rsidR="009B4233" w:rsidRDefault="006B08B9">
            <w:pPr>
              <w:spacing w:after="90" w:line="249" w:lineRule="auto"/>
              <w:ind w:right="124"/>
              <w:jc w:val="center"/>
              <w:rPr>
                <w:rFonts w:ascii="Arial" w:hAnsi="Arial" w:cs="Arial"/>
                <w:sz w:val="22"/>
                <w:szCs w:val="22"/>
              </w:rPr>
            </w:pPr>
            <w:r>
              <w:rPr>
                <w:rFonts w:ascii="Arial" w:hAnsi="Arial" w:cs="Arial"/>
                <w:sz w:val="22"/>
                <w:szCs w:val="22"/>
              </w:rPr>
              <w:t xml:space="preserve">15100.60912 </w:t>
            </w:r>
          </w:p>
          <w:p w:rsidR="009B4233" w:rsidRDefault="006B08B9">
            <w:pPr>
              <w:spacing w:line="249" w:lineRule="auto"/>
              <w:ind w:right="122"/>
              <w:jc w:val="center"/>
              <w:rPr>
                <w:rFonts w:ascii="Arial" w:hAnsi="Arial" w:cs="Arial"/>
                <w:sz w:val="22"/>
                <w:szCs w:val="22"/>
              </w:rPr>
            </w:pPr>
            <w:r>
              <w:rPr>
                <w:rFonts w:ascii="Arial" w:hAnsi="Arial" w:cs="Arial"/>
                <w:sz w:val="22"/>
                <w:szCs w:val="22"/>
              </w:rPr>
              <w:t>(A.2.25.2.06549)</w:t>
            </w:r>
          </w:p>
        </w:tc>
        <w:tc>
          <w:tcPr>
            <w:tcW w:w="2892" w:type="dxa"/>
            <w:tcBorders>
              <w:top w:val="single" w:sz="4" w:space="0" w:color="A6A6A6"/>
              <w:left w:val="single" w:sz="4" w:space="0" w:color="A6A6A6"/>
              <w:bottom w:val="single" w:sz="4" w:space="0" w:color="A6A6A6"/>
              <w:right w:val="single" w:sz="4" w:space="0" w:color="A6A6A6"/>
            </w:tcBorders>
            <w:shd w:val="clear" w:color="auto" w:fill="auto"/>
            <w:tcMar>
              <w:top w:w="12" w:type="dxa"/>
              <w:left w:w="170" w:type="dxa"/>
              <w:bottom w:w="0" w:type="dxa"/>
              <w:right w:w="115" w:type="dxa"/>
            </w:tcMar>
          </w:tcPr>
          <w:p w:rsidR="009B4233" w:rsidRDefault="006B08B9">
            <w:pPr>
              <w:spacing w:line="249" w:lineRule="auto"/>
              <w:ind w:right="35"/>
              <w:jc w:val="center"/>
              <w:rPr>
                <w:rFonts w:ascii="Arial" w:hAnsi="Arial" w:cs="Arial"/>
                <w:sz w:val="22"/>
                <w:szCs w:val="22"/>
              </w:rPr>
            </w:pPr>
            <w:r>
              <w:rPr>
                <w:rFonts w:ascii="Arial" w:hAnsi="Arial" w:cs="Arial"/>
                <w:sz w:val="22"/>
                <w:szCs w:val="22"/>
              </w:rPr>
              <w:t>3.562.752,91 euros</w:t>
            </w:r>
          </w:p>
        </w:tc>
      </w:tr>
      <w:tr w:rsidR="009B4233">
        <w:tblPrEx>
          <w:tblCellMar>
            <w:top w:w="0" w:type="dxa"/>
            <w:bottom w:w="0" w:type="dxa"/>
          </w:tblCellMar>
        </w:tblPrEx>
        <w:trPr>
          <w:trHeight w:val="768"/>
        </w:trPr>
        <w:tc>
          <w:tcPr>
            <w:tcW w:w="2882" w:type="dxa"/>
            <w:tcBorders>
              <w:top w:val="single" w:sz="4" w:space="0" w:color="A6A6A6"/>
              <w:left w:val="single" w:sz="4" w:space="0" w:color="A6A6A6"/>
              <w:bottom w:val="single" w:sz="4" w:space="0" w:color="A6A6A6"/>
              <w:right w:val="single" w:sz="4" w:space="0" w:color="A6A6A6"/>
            </w:tcBorders>
            <w:shd w:val="clear" w:color="auto" w:fill="auto"/>
            <w:tcMar>
              <w:top w:w="12" w:type="dxa"/>
              <w:left w:w="170" w:type="dxa"/>
              <w:bottom w:w="0" w:type="dxa"/>
              <w:right w:w="115" w:type="dxa"/>
            </w:tcMar>
          </w:tcPr>
          <w:p w:rsidR="009B4233" w:rsidRDefault="006B08B9">
            <w:pPr>
              <w:spacing w:line="249" w:lineRule="auto"/>
              <w:ind w:right="36"/>
              <w:jc w:val="center"/>
              <w:rPr>
                <w:rFonts w:ascii="Arial" w:hAnsi="Arial" w:cs="Arial"/>
                <w:sz w:val="22"/>
                <w:szCs w:val="22"/>
              </w:rPr>
            </w:pPr>
            <w:r>
              <w:rPr>
                <w:rFonts w:ascii="Arial" w:hAnsi="Arial" w:cs="Arial"/>
                <w:sz w:val="22"/>
                <w:szCs w:val="22"/>
              </w:rPr>
              <w:t>2027</w:t>
            </w:r>
          </w:p>
        </w:tc>
        <w:tc>
          <w:tcPr>
            <w:tcW w:w="3088" w:type="dxa"/>
            <w:tcBorders>
              <w:top w:val="single" w:sz="4" w:space="0" w:color="A6A6A6"/>
              <w:left w:val="single" w:sz="4" w:space="0" w:color="A6A6A6"/>
              <w:bottom w:val="single" w:sz="4" w:space="0" w:color="A6A6A6"/>
              <w:right w:val="single" w:sz="4" w:space="0" w:color="A6A6A6"/>
            </w:tcBorders>
            <w:shd w:val="clear" w:color="auto" w:fill="auto"/>
            <w:tcMar>
              <w:top w:w="12" w:type="dxa"/>
              <w:left w:w="170" w:type="dxa"/>
              <w:bottom w:w="0" w:type="dxa"/>
              <w:right w:w="115" w:type="dxa"/>
            </w:tcMar>
          </w:tcPr>
          <w:p w:rsidR="009B4233" w:rsidRDefault="006B08B9">
            <w:pPr>
              <w:spacing w:after="90" w:line="249" w:lineRule="auto"/>
              <w:ind w:right="124"/>
              <w:jc w:val="center"/>
              <w:rPr>
                <w:rFonts w:ascii="Arial" w:hAnsi="Arial" w:cs="Arial"/>
                <w:sz w:val="22"/>
                <w:szCs w:val="22"/>
              </w:rPr>
            </w:pPr>
            <w:r>
              <w:rPr>
                <w:rFonts w:ascii="Arial" w:hAnsi="Arial" w:cs="Arial"/>
                <w:sz w:val="22"/>
                <w:szCs w:val="22"/>
              </w:rPr>
              <w:t xml:space="preserve">15100.60912 </w:t>
            </w:r>
          </w:p>
          <w:p w:rsidR="009B4233" w:rsidRDefault="006B08B9">
            <w:pPr>
              <w:spacing w:line="249" w:lineRule="auto"/>
              <w:ind w:right="122"/>
              <w:jc w:val="center"/>
              <w:rPr>
                <w:rFonts w:ascii="Arial" w:hAnsi="Arial" w:cs="Arial"/>
                <w:sz w:val="22"/>
                <w:szCs w:val="22"/>
              </w:rPr>
            </w:pPr>
            <w:r>
              <w:rPr>
                <w:rFonts w:ascii="Arial" w:hAnsi="Arial" w:cs="Arial"/>
                <w:sz w:val="22"/>
                <w:szCs w:val="22"/>
              </w:rPr>
              <w:t>(A.2.25.2.06550)</w:t>
            </w:r>
          </w:p>
        </w:tc>
        <w:tc>
          <w:tcPr>
            <w:tcW w:w="2892" w:type="dxa"/>
            <w:tcBorders>
              <w:top w:val="single" w:sz="4" w:space="0" w:color="A6A6A6"/>
              <w:left w:val="single" w:sz="4" w:space="0" w:color="A6A6A6"/>
              <w:bottom w:val="single" w:sz="4" w:space="0" w:color="A6A6A6"/>
              <w:right w:val="single" w:sz="4" w:space="0" w:color="A6A6A6"/>
            </w:tcBorders>
            <w:shd w:val="clear" w:color="auto" w:fill="auto"/>
            <w:tcMar>
              <w:top w:w="12" w:type="dxa"/>
              <w:left w:w="170" w:type="dxa"/>
              <w:bottom w:w="0" w:type="dxa"/>
              <w:right w:w="115" w:type="dxa"/>
            </w:tcMar>
          </w:tcPr>
          <w:p w:rsidR="009B4233" w:rsidRDefault="006B08B9">
            <w:pPr>
              <w:spacing w:line="249" w:lineRule="auto"/>
              <w:ind w:right="35"/>
              <w:jc w:val="center"/>
              <w:rPr>
                <w:rFonts w:ascii="Arial" w:hAnsi="Arial" w:cs="Arial"/>
                <w:sz w:val="22"/>
                <w:szCs w:val="22"/>
              </w:rPr>
            </w:pPr>
            <w:r>
              <w:rPr>
                <w:rFonts w:ascii="Arial" w:hAnsi="Arial" w:cs="Arial"/>
                <w:sz w:val="22"/>
                <w:szCs w:val="22"/>
              </w:rPr>
              <w:t>3.562.752,91 euros</w:t>
            </w:r>
          </w:p>
        </w:tc>
      </w:tr>
    </w:tbl>
    <w:p w:rsidR="009B4233" w:rsidRDefault="009B4233">
      <w:pPr>
        <w:ind w:left="-5"/>
        <w:rPr>
          <w:rFonts w:ascii="Arial" w:eastAsia="Calibri" w:hAnsi="Arial" w:cs="Arial"/>
          <w:b/>
          <w:sz w:val="22"/>
          <w:szCs w:val="22"/>
        </w:rPr>
      </w:pPr>
    </w:p>
    <w:p w:rsidR="009B4233" w:rsidRDefault="006B08B9">
      <w:pPr>
        <w:ind w:left="-5"/>
        <w:jc w:val="both"/>
      </w:pPr>
      <w:r>
        <w:rPr>
          <w:rFonts w:ascii="Arial" w:eastAsia="Calibri" w:hAnsi="Arial" w:cs="Arial"/>
          <w:b/>
          <w:sz w:val="22"/>
          <w:szCs w:val="22"/>
        </w:rPr>
        <w:t>Tercero</w:t>
      </w:r>
      <w:r>
        <w:rPr>
          <w:rFonts w:ascii="Arial" w:hAnsi="Arial" w:cs="Arial"/>
          <w:sz w:val="22"/>
          <w:szCs w:val="22"/>
        </w:rPr>
        <w:t xml:space="preserve">.- Consta en el expediente el pliego de prescripciones técnicas particulares (PPTP) que consta unido al proyecto técnico, así como informe de regulación de la contratación firmado por la Arquitecta municipal de fecha 18 de </w:t>
      </w:r>
      <w:r>
        <w:rPr>
          <w:rFonts w:ascii="Arial" w:hAnsi="Arial" w:cs="Arial"/>
          <w:sz w:val="22"/>
          <w:szCs w:val="22"/>
        </w:rPr>
        <w:t xml:space="preserve">septiembre de 2025 que forman parte de la documentación técnica de la contratación. </w:t>
      </w:r>
    </w:p>
    <w:p w:rsidR="009B4233" w:rsidRDefault="009B4233">
      <w:pPr>
        <w:ind w:left="-5"/>
        <w:jc w:val="both"/>
        <w:rPr>
          <w:rFonts w:ascii="Arial" w:hAnsi="Arial" w:cs="Arial"/>
          <w:sz w:val="22"/>
          <w:szCs w:val="22"/>
        </w:rPr>
      </w:pPr>
    </w:p>
    <w:p w:rsidR="009B4233" w:rsidRDefault="006B08B9">
      <w:pPr>
        <w:spacing w:after="450"/>
        <w:ind w:left="-5"/>
        <w:jc w:val="both"/>
      </w:pPr>
      <w:r>
        <w:rPr>
          <w:rFonts w:ascii="Arial" w:eastAsia="Calibri" w:hAnsi="Arial" w:cs="Arial"/>
          <w:b/>
          <w:sz w:val="22"/>
          <w:szCs w:val="22"/>
        </w:rPr>
        <w:t>Cuarto</w:t>
      </w:r>
      <w:r>
        <w:rPr>
          <w:rFonts w:ascii="Arial" w:hAnsi="Arial" w:cs="Arial"/>
          <w:sz w:val="22"/>
          <w:szCs w:val="22"/>
        </w:rPr>
        <w:t>.- Consta en el expediente el pliego de cláusulas administrativas particulares (PCAP) firmado por la Técnico de Administración General y el Secretario General.</w:t>
      </w:r>
    </w:p>
    <w:p w:rsidR="009B4233" w:rsidRDefault="006B08B9">
      <w:pPr>
        <w:pStyle w:val="Ttulo1"/>
        <w:ind w:left="11" w:right="6"/>
        <w:rPr>
          <w:rFonts w:ascii="Arial" w:hAnsi="Arial" w:cs="Arial"/>
          <w:sz w:val="22"/>
          <w:szCs w:val="22"/>
        </w:rPr>
      </w:pPr>
      <w:r>
        <w:rPr>
          <w:rFonts w:ascii="Arial" w:hAnsi="Arial" w:cs="Arial"/>
          <w:sz w:val="22"/>
          <w:szCs w:val="22"/>
        </w:rPr>
        <w:t>FUND</w:t>
      </w:r>
      <w:r>
        <w:rPr>
          <w:rFonts w:ascii="Arial" w:hAnsi="Arial" w:cs="Arial"/>
          <w:sz w:val="22"/>
          <w:szCs w:val="22"/>
        </w:rPr>
        <w:t>AMENTOS DE DERECHO</w:t>
      </w:r>
    </w:p>
    <w:p w:rsidR="009B4233" w:rsidRDefault="006B08B9">
      <w:pPr>
        <w:ind w:left="-5"/>
        <w:jc w:val="both"/>
      </w:pPr>
      <w:r>
        <w:rPr>
          <w:rFonts w:ascii="Arial" w:eastAsia="Calibri" w:hAnsi="Arial" w:cs="Arial"/>
          <w:b/>
          <w:sz w:val="22"/>
          <w:szCs w:val="22"/>
        </w:rPr>
        <w:t>Primero</w:t>
      </w:r>
      <w:r>
        <w:rPr>
          <w:rFonts w:ascii="Arial" w:hAnsi="Arial" w:cs="Arial"/>
          <w:sz w:val="22"/>
          <w:szCs w:val="22"/>
        </w:rPr>
        <w:t xml:space="preserve">.- Los artículos 63, 99 a 102, 116, 117, 122, 124 y 131 a 158 y las Disposiciones </w:t>
      </w:r>
    </w:p>
    <w:p w:rsidR="009B4233" w:rsidRDefault="006B08B9">
      <w:pPr>
        <w:ind w:left="-5"/>
        <w:jc w:val="both"/>
        <w:rPr>
          <w:rFonts w:ascii="Arial" w:hAnsi="Arial" w:cs="Arial"/>
          <w:sz w:val="22"/>
          <w:szCs w:val="22"/>
        </w:rPr>
      </w:pPr>
      <w:r>
        <w:rPr>
          <w:rFonts w:ascii="Arial" w:hAnsi="Arial" w:cs="Arial"/>
          <w:sz w:val="22"/>
          <w:szCs w:val="22"/>
        </w:rPr>
        <w:t xml:space="preserve">Adicionales Segunda, Tercera y Decimoquinta de la Ley 9/2017, de 8 de noviembre, de </w:t>
      </w:r>
    </w:p>
    <w:p w:rsidR="009B4233" w:rsidRDefault="006B08B9">
      <w:pPr>
        <w:ind w:left="-5"/>
        <w:jc w:val="both"/>
        <w:rPr>
          <w:rFonts w:ascii="Arial" w:hAnsi="Arial" w:cs="Arial"/>
          <w:sz w:val="22"/>
          <w:szCs w:val="22"/>
        </w:rPr>
      </w:pPr>
      <w:r>
        <w:rPr>
          <w:rFonts w:ascii="Arial" w:hAnsi="Arial" w:cs="Arial"/>
          <w:sz w:val="22"/>
          <w:szCs w:val="22"/>
        </w:rPr>
        <w:t>Contratos del Sector Público, por la que se transponen al orde</w:t>
      </w:r>
      <w:r>
        <w:rPr>
          <w:rFonts w:ascii="Arial" w:hAnsi="Arial" w:cs="Arial"/>
          <w:sz w:val="22"/>
          <w:szCs w:val="22"/>
        </w:rPr>
        <w:t xml:space="preserve">namiento jurídico español las Directivas del Parlamento Europeo y del Consejo 2014/23/UE y 2014/24/UE, de 26 de febrero de 2014. En particular: </w:t>
      </w:r>
    </w:p>
    <w:p w:rsidR="009B4233" w:rsidRDefault="006B08B9">
      <w:pPr>
        <w:ind w:left="-5"/>
        <w:jc w:val="both"/>
        <w:rPr>
          <w:rFonts w:ascii="Arial" w:hAnsi="Arial" w:cs="Arial"/>
          <w:sz w:val="22"/>
          <w:szCs w:val="22"/>
        </w:rPr>
      </w:pPr>
      <w:r>
        <w:rPr>
          <w:rFonts w:ascii="Arial" w:hAnsi="Arial" w:cs="Arial"/>
          <w:sz w:val="22"/>
          <w:szCs w:val="22"/>
        </w:rPr>
        <w:t xml:space="preserve">1.- Perfil de contratante. Art 63 LCSP. </w:t>
      </w:r>
    </w:p>
    <w:p w:rsidR="009B4233" w:rsidRDefault="006B08B9">
      <w:pPr>
        <w:ind w:left="-5"/>
        <w:jc w:val="both"/>
        <w:rPr>
          <w:rFonts w:ascii="Arial" w:hAnsi="Arial" w:cs="Arial"/>
          <w:sz w:val="22"/>
          <w:szCs w:val="22"/>
        </w:rPr>
      </w:pPr>
      <w:r>
        <w:rPr>
          <w:rFonts w:ascii="Arial" w:hAnsi="Arial" w:cs="Arial"/>
          <w:sz w:val="22"/>
          <w:szCs w:val="22"/>
        </w:rPr>
        <w:t xml:space="preserve">2.- Objeto del contrato: Artículo 99 LCSP. </w:t>
      </w:r>
    </w:p>
    <w:p w:rsidR="009B4233" w:rsidRDefault="006B08B9">
      <w:pPr>
        <w:ind w:left="-5"/>
        <w:jc w:val="both"/>
        <w:rPr>
          <w:rFonts w:ascii="Arial" w:hAnsi="Arial" w:cs="Arial"/>
          <w:sz w:val="22"/>
          <w:szCs w:val="22"/>
        </w:rPr>
      </w:pPr>
      <w:r>
        <w:rPr>
          <w:rFonts w:ascii="Arial" w:hAnsi="Arial" w:cs="Arial"/>
          <w:sz w:val="22"/>
          <w:szCs w:val="22"/>
        </w:rPr>
        <w:t>3.- Presupuesto base de li</w:t>
      </w:r>
      <w:r>
        <w:rPr>
          <w:rFonts w:ascii="Arial" w:hAnsi="Arial" w:cs="Arial"/>
          <w:sz w:val="22"/>
          <w:szCs w:val="22"/>
        </w:rPr>
        <w:t xml:space="preserve">citación y valor estimado. Arts. 100-101 LCSP. </w:t>
      </w:r>
    </w:p>
    <w:p w:rsidR="009B4233" w:rsidRDefault="006B08B9">
      <w:pPr>
        <w:ind w:left="-5"/>
        <w:jc w:val="both"/>
        <w:rPr>
          <w:rFonts w:ascii="Arial" w:hAnsi="Arial" w:cs="Arial"/>
          <w:sz w:val="22"/>
          <w:szCs w:val="22"/>
        </w:rPr>
      </w:pPr>
      <w:r>
        <w:rPr>
          <w:rFonts w:ascii="Arial" w:hAnsi="Arial" w:cs="Arial"/>
          <w:sz w:val="22"/>
          <w:szCs w:val="22"/>
        </w:rPr>
        <w:t>4.- Contenido del expediente:Art. 116 LCSP.</w:t>
      </w:r>
    </w:p>
    <w:p w:rsidR="009B4233" w:rsidRDefault="006B08B9">
      <w:pPr>
        <w:ind w:left="-5"/>
        <w:jc w:val="both"/>
        <w:rPr>
          <w:rFonts w:ascii="Arial" w:hAnsi="Arial" w:cs="Arial"/>
          <w:sz w:val="22"/>
          <w:szCs w:val="22"/>
        </w:rPr>
      </w:pPr>
      <w:r>
        <w:rPr>
          <w:rFonts w:ascii="Arial" w:hAnsi="Arial" w:cs="Arial"/>
          <w:sz w:val="22"/>
          <w:szCs w:val="22"/>
        </w:rPr>
        <w:t xml:space="preserve"> 5.- Aprobación del expediente: Art. 117 LCSP.</w:t>
      </w:r>
    </w:p>
    <w:p w:rsidR="009B4233" w:rsidRDefault="006B08B9">
      <w:pPr>
        <w:ind w:left="-5"/>
        <w:jc w:val="both"/>
        <w:rPr>
          <w:rFonts w:ascii="Arial" w:hAnsi="Arial" w:cs="Arial"/>
          <w:sz w:val="22"/>
          <w:szCs w:val="22"/>
        </w:rPr>
      </w:pPr>
      <w:r>
        <w:rPr>
          <w:rFonts w:ascii="Arial" w:hAnsi="Arial" w:cs="Arial"/>
          <w:sz w:val="22"/>
          <w:szCs w:val="22"/>
        </w:rPr>
        <w:t xml:space="preserve"> 6.- Tramitación ordinaria del expediente: Artículo 116 y 117 LCSP. </w:t>
      </w:r>
    </w:p>
    <w:p w:rsidR="009B4233" w:rsidRDefault="006B08B9">
      <w:pPr>
        <w:ind w:left="-5"/>
        <w:jc w:val="both"/>
        <w:rPr>
          <w:rFonts w:ascii="Arial" w:hAnsi="Arial" w:cs="Arial"/>
          <w:sz w:val="22"/>
          <w:szCs w:val="22"/>
        </w:rPr>
      </w:pPr>
      <w:r>
        <w:rPr>
          <w:rFonts w:ascii="Arial" w:hAnsi="Arial" w:cs="Arial"/>
          <w:sz w:val="22"/>
          <w:szCs w:val="22"/>
        </w:rPr>
        <w:t>7.- PCAP: Artículo 122 LCSP.</w:t>
      </w:r>
    </w:p>
    <w:p w:rsidR="009B4233" w:rsidRDefault="006B08B9">
      <w:pPr>
        <w:ind w:left="-5"/>
        <w:jc w:val="both"/>
        <w:rPr>
          <w:rFonts w:ascii="Arial" w:hAnsi="Arial" w:cs="Arial"/>
          <w:sz w:val="22"/>
          <w:szCs w:val="22"/>
        </w:rPr>
      </w:pPr>
      <w:r>
        <w:rPr>
          <w:rFonts w:ascii="Arial" w:hAnsi="Arial" w:cs="Arial"/>
          <w:sz w:val="22"/>
          <w:szCs w:val="22"/>
        </w:rPr>
        <w:t xml:space="preserve">8.- PPTP: Árticulo </w:t>
      </w:r>
      <w:r>
        <w:rPr>
          <w:rFonts w:ascii="Arial" w:hAnsi="Arial" w:cs="Arial"/>
          <w:sz w:val="22"/>
          <w:szCs w:val="22"/>
        </w:rPr>
        <w:t>124 LCSP.</w:t>
      </w:r>
    </w:p>
    <w:p w:rsidR="009B4233" w:rsidRDefault="006B08B9">
      <w:pPr>
        <w:ind w:left="-5"/>
        <w:jc w:val="both"/>
        <w:rPr>
          <w:rFonts w:ascii="Arial" w:hAnsi="Arial" w:cs="Arial"/>
          <w:sz w:val="22"/>
          <w:szCs w:val="22"/>
        </w:rPr>
      </w:pPr>
      <w:r>
        <w:rPr>
          <w:rFonts w:ascii="Arial" w:hAnsi="Arial" w:cs="Arial"/>
          <w:sz w:val="22"/>
          <w:szCs w:val="22"/>
        </w:rPr>
        <w:t>9.- Criterios de adjudicación del contrato: Artículo 145 LCSP.</w:t>
      </w:r>
    </w:p>
    <w:p w:rsidR="009B4233" w:rsidRDefault="006B08B9">
      <w:pPr>
        <w:spacing w:after="318"/>
        <w:ind w:left="-5"/>
        <w:jc w:val="both"/>
        <w:rPr>
          <w:rFonts w:ascii="Arial" w:hAnsi="Arial" w:cs="Arial"/>
          <w:sz w:val="22"/>
          <w:szCs w:val="22"/>
        </w:rPr>
      </w:pPr>
      <w:r>
        <w:rPr>
          <w:rFonts w:ascii="Arial" w:hAnsi="Arial" w:cs="Arial"/>
          <w:sz w:val="22"/>
          <w:szCs w:val="22"/>
        </w:rPr>
        <w:t xml:space="preserve"> 10.- Adjudicación del contrato: 150-152 LCSP. </w:t>
      </w:r>
    </w:p>
    <w:p w:rsidR="009B4233" w:rsidRDefault="006B08B9">
      <w:pPr>
        <w:spacing w:after="479" w:line="336" w:lineRule="auto"/>
        <w:ind w:left="-15" w:firstLine="708"/>
        <w:jc w:val="both"/>
        <w:rPr>
          <w:rFonts w:ascii="Arial" w:hAnsi="Arial" w:cs="Arial"/>
          <w:sz w:val="22"/>
          <w:szCs w:val="22"/>
        </w:rPr>
      </w:pPr>
      <w:r>
        <w:rPr>
          <w:rFonts w:ascii="Arial" w:hAnsi="Arial" w:cs="Arial"/>
          <w:sz w:val="22"/>
          <w:szCs w:val="22"/>
        </w:rPr>
        <w:t>11.- PRIMERO.- El órgano de contratación que actúa en nombre del Ayuntamiento de Candelaria es el Pleno, atendiendo a la Disposición Ad</w:t>
      </w:r>
      <w:r>
        <w:rPr>
          <w:rFonts w:ascii="Arial" w:hAnsi="Arial" w:cs="Arial"/>
          <w:sz w:val="22"/>
          <w:szCs w:val="22"/>
        </w:rPr>
        <w:t>icional segunda de la LCSP dispone:</w:t>
      </w:r>
    </w:p>
    <w:p w:rsidR="009B4233" w:rsidRDefault="006B08B9">
      <w:pPr>
        <w:spacing w:after="481" w:line="336" w:lineRule="auto"/>
        <w:ind w:left="-15" w:firstLine="708"/>
        <w:jc w:val="both"/>
        <w:rPr>
          <w:rFonts w:ascii="Arial" w:hAnsi="Arial" w:cs="Arial"/>
          <w:sz w:val="22"/>
          <w:szCs w:val="22"/>
        </w:rPr>
      </w:pPr>
      <w:r>
        <w:rPr>
          <w:rFonts w:ascii="Arial" w:hAnsi="Arial" w:cs="Arial"/>
          <w:sz w:val="22"/>
          <w:szCs w:val="22"/>
        </w:rPr>
        <w:t>“1. Corresponden a los Alcaldes y a los Presidentes de las Entidades Locales las competencias como órgano de contratación respecto de los contratos de obras, de suministro, de servicios, los contratos de concesión de obr</w:t>
      </w:r>
      <w:r>
        <w:rPr>
          <w:rFonts w:ascii="Arial" w:hAnsi="Arial" w:cs="Arial"/>
          <w:sz w:val="22"/>
          <w:szCs w:val="22"/>
        </w:rPr>
        <w:t>as, los contratos de concesión de servicios y los contratos administrativos especiales, cuando su valor estimado no supere el 10 por ciento de los recursos ordinarios del presupuesto ni, en cualquier caso, la cuantía de seis millones de euros, incluidos lo</w:t>
      </w:r>
      <w:r>
        <w:rPr>
          <w:rFonts w:ascii="Arial" w:hAnsi="Arial" w:cs="Arial"/>
          <w:sz w:val="22"/>
          <w:szCs w:val="22"/>
        </w:rPr>
        <w:t xml:space="preserve">s de carácter plurianual cuando su duración no sea superior a cuatro años, eventuales prórrogas incluidas siempre que el importe acumulado de todas sus anualidades no supere ni el porcentaje indicado, referido a los recursos ordinarios del presupuesto del </w:t>
      </w:r>
      <w:r>
        <w:rPr>
          <w:rFonts w:ascii="Arial" w:hAnsi="Arial" w:cs="Arial"/>
          <w:sz w:val="22"/>
          <w:szCs w:val="22"/>
        </w:rPr>
        <w:t>primer ejercicio, ni la cuantía señalada.</w:t>
      </w:r>
    </w:p>
    <w:p w:rsidR="009B4233" w:rsidRDefault="006B08B9">
      <w:pPr>
        <w:spacing w:line="336" w:lineRule="auto"/>
        <w:ind w:left="-15" w:firstLine="708"/>
        <w:jc w:val="both"/>
        <w:rPr>
          <w:rFonts w:ascii="Arial" w:hAnsi="Arial" w:cs="Arial"/>
          <w:sz w:val="22"/>
          <w:szCs w:val="22"/>
        </w:rPr>
      </w:pPr>
      <w:r>
        <w:rPr>
          <w:rFonts w:ascii="Arial" w:hAnsi="Arial" w:cs="Arial"/>
          <w:sz w:val="22"/>
          <w:szCs w:val="22"/>
        </w:rPr>
        <w:t xml:space="preserve"> 2. Corresponden al Pleno las competencias como órgano de contratación respecto de los contratos mencionados en el apartado anterior que celebre la Entidad Local, cuando por su valor o duración no correspondan al </w:t>
      </w:r>
      <w:r>
        <w:rPr>
          <w:rFonts w:ascii="Arial" w:hAnsi="Arial" w:cs="Arial"/>
          <w:sz w:val="22"/>
          <w:szCs w:val="22"/>
        </w:rPr>
        <w:t>Alcalde o Presidente de la Entidad Local, conforme al apartado anterior.”</w:t>
      </w:r>
    </w:p>
    <w:p w:rsidR="009B4233" w:rsidRDefault="006B08B9">
      <w:pPr>
        <w:spacing w:after="88" w:line="249" w:lineRule="auto"/>
        <w:ind w:right="13"/>
        <w:jc w:val="both"/>
        <w:rPr>
          <w:rFonts w:ascii="Arial" w:hAnsi="Arial" w:cs="Arial"/>
          <w:sz w:val="22"/>
          <w:szCs w:val="22"/>
        </w:rPr>
      </w:pPr>
      <w:r>
        <w:rPr>
          <w:rFonts w:ascii="Arial" w:hAnsi="Arial" w:cs="Arial"/>
          <w:sz w:val="22"/>
          <w:szCs w:val="22"/>
        </w:rPr>
        <w:t xml:space="preserve">En el presente expediente en el que el valor estimado de contrato asciende a </w:t>
      </w:r>
    </w:p>
    <w:p w:rsidR="009B4233" w:rsidRDefault="006B08B9">
      <w:pPr>
        <w:ind w:left="-5"/>
        <w:jc w:val="both"/>
        <w:rPr>
          <w:rFonts w:ascii="Arial" w:hAnsi="Arial" w:cs="Arial"/>
          <w:sz w:val="22"/>
          <w:szCs w:val="22"/>
        </w:rPr>
      </w:pPr>
      <w:r>
        <w:rPr>
          <w:rFonts w:ascii="Arial" w:hAnsi="Arial" w:cs="Arial"/>
          <w:sz w:val="22"/>
          <w:szCs w:val="22"/>
        </w:rPr>
        <w:t xml:space="preserve">6.659.351,23 euros, éste supera el 10% del valor del Presupuesto municipal que asciende a </w:t>
      </w:r>
    </w:p>
    <w:p w:rsidR="009B4233" w:rsidRDefault="006B08B9">
      <w:pPr>
        <w:spacing w:after="322"/>
        <w:ind w:left="-5"/>
        <w:jc w:val="both"/>
        <w:rPr>
          <w:rFonts w:ascii="Arial" w:hAnsi="Arial" w:cs="Arial"/>
          <w:sz w:val="22"/>
          <w:szCs w:val="22"/>
        </w:rPr>
      </w:pPr>
      <w:r>
        <w:rPr>
          <w:rFonts w:ascii="Arial" w:hAnsi="Arial" w:cs="Arial"/>
          <w:sz w:val="22"/>
          <w:szCs w:val="22"/>
        </w:rPr>
        <w:t>30.141.417,04</w:t>
      </w:r>
      <w:r>
        <w:rPr>
          <w:rFonts w:ascii="Arial" w:hAnsi="Arial" w:cs="Arial"/>
          <w:sz w:val="22"/>
          <w:szCs w:val="22"/>
        </w:rPr>
        <w:t xml:space="preserve"> euros,  es el Pleno por tanto el órgano de contratación.</w:t>
      </w:r>
    </w:p>
    <w:p w:rsidR="009B4233" w:rsidRDefault="006B08B9">
      <w:pPr>
        <w:ind w:left="-5"/>
        <w:jc w:val="both"/>
      </w:pPr>
      <w:r>
        <w:rPr>
          <w:rFonts w:ascii="Arial" w:eastAsia="Calibri" w:hAnsi="Arial" w:cs="Arial"/>
          <w:b/>
          <w:sz w:val="22"/>
          <w:szCs w:val="22"/>
        </w:rPr>
        <w:t>Segundo</w:t>
      </w:r>
      <w:r>
        <w:rPr>
          <w:rFonts w:ascii="Arial" w:hAnsi="Arial" w:cs="Arial"/>
          <w:sz w:val="22"/>
          <w:szCs w:val="22"/>
        </w:rPr>
        <w:t>.- El Real Decreto 817/2009, de 8 de mayo, por el que se desarrolla parcialmente la Ley 30/2007, de 30 de octubre, de Contratos del Sector Público.</w:t>
      </w:r>
    </w:p>
    <w:p w:rsidR="009B4233" w:rsidRDefault="009B4233">
      <w:pPr>
        <w:spacing w:after="457"/>
        <w:ind w:left="-5"/>
        <w:jc w:val="both"/>
        <w:rPr>
          <w:rFonts w:ascii="Arial" w:eastAsia="Calibri" w:hAnsi="Arial" w:cs="Arial"/>
          <w:b/>
          <w:sz w:val="22"/>
          <w:szCs w:val="22"/>
        </w:rPr>
      </w:pPr>
    </w:p>
    <w:p w:rsidR="009B4233" w:rsidRDefault="006B08B9">
      <w:pPr>
        <w:spacing w:after="457"/>
        <w:ind w:left="-5"/>
        <w:jc w:val="both"/>
      </w:pPr>
      <w:r>
        <w:rPr>
          <w:rFonts w:ascii="Arial" w:eastAsia="Calibri" w:hAnsi="Arial" w:cs="Arial"/>
          <w:b/>
          <w:sz w:val="22"/>
          <w:szCs w:val="22"/>
        </w:rPr>
        <w:t>Tercero</w:t>
      </w:r>
      <w:r>
        <w:rPr>
          <w:rFonts w:ascii="Arial" w:hAnsi="Arial" w:cs="Arial"/>
          <w:sz w:val="22"/>
          <w:szCs w:val="22"/>
        </w:rPr>
        <w:t>.- El Real Decreto 1098/2001, de 12</w:t>
      </w:r>
      <w:r>
        <w:rPr>
          <w:rFonts w:ascii="Arial" w:hAnsi="Arial" w:cs="Arial"/>
          <w:sz w:val="22"/>
          <w:szCs w:val="22"/>
        </w:rPr>
        <w:t xml:space="preserve"> de octubre, por el que se aprueba el Reglamento General de la Ley de Contratos de las Administraciones Públicas. (Artículos vigentes tras la entrada en vigor del Real Decreto 817/2009, de 8 de mayo). </w:t>
      </w:r>
    </w:p>
    <w:p w:rsidR="009B4233" w:rsidRDefault="006B08B9">
      <w:pPr>
        <w:pStyle w:val="Ttulo1"/>
        <w:ind w:left="11" w:right="2"/>
        <w:rPr>
          <w:rFonts w:ascii="Arial" w:hAnsi="Arial" w:cs="Arial"/>
          <w:sz w:val="22"/>
          <w:szCs w:val="22"/>
        </w:rPr>
      </w:pPr>
      <w:r>
        <w:rPr>
          <w:rFonts w:ascii="Arial" w:hAnsi="Arial" w:cs="Arial"/>
          <w:sz w:val="22"/>
          <w:szCs w:val="22"/>
        </w:rPr>
        <w:t>PROPUESTA DE RESOLUCIÓN</w:t>
      </w:r>
    </w:p>
    <w:p w:rsidR="009B4233" w:rsidRDefault="006B08B9">
      <w:pPr>
        <w:ind w:left="-5"/>
        <w:jc w:val="both"/>
      </w:pPr>
      <w:r>
        <w:rPr>
          <w:rFonts w:ascii="Arial" w:eastAsia="Calibri" w:hAnsi="Arial" w:cs="Arial"/>
          <w:b/>
          <w:sz w:val="22"/>
          <w:szCs w:val="22"/>
        </w:rPr>
        <w:t>Primero</w:t>
      </w:r>
      <w:r>
        <w:rPr>
          <w:rFonts w:ascii="Arial" w:hAnsi="Arial" w:cs="Arial"/>
          <w:sz w:val="22"/>
          <w:szCs w:val="22"/>
        </w:rPr>
        <w:t>.- Aprobar el expedient</w:t>
      </w:r>
      <w:r>
        <w:rPr>
          <w:rFonts w:ascii="Arial" w:hAnsi="Arial" w:cs="Arial"/>
          <w:sz w:val="22"/>
          <w:szCs w:val="22"/>
        </w:rPr>
        <w:t>e del contrato de obras, mediante procedimiento abierto, tramitación armonizada, consistente en “Proyecto de ejecución de Piscina de Candealria”, convocar su licitación y disponer la apertura del procedimiento de adjudicación.</w:t>
      </w:r>
    </w:p>
    <w:p w:rsidR="009B4233" w:rsidRDefault="006B08B9">
      <w:pPr>
        <w:spacing w:after="203"/>
        <w:ind w:left="-5"/>
        <w:jc w:val="both"/>
      </w:pPr>
      <w:r>
        <w:rPr>
          <w:rFonts w:ascii="Arial" w:eastAsia="Calibri" w:hAnsi="Arial" w:cs="Arial"/>
          <w:b/>
          <w:sz w:val="22"/>
          <w:szCs w:val="22"/>
        </w:rPr>
        <w:t>Segundo</w:t>
      </w:r>
      <w:r>
        <w:rPr>
          <w:rFonts w:ascii="Arial" w:hAnsi="Arial" w:cs="Arial"/>
          <w:sz w:val="22"/>
          <w:szCs w:val="22"/>
        </w:rPr>
        <w:t>. - Aprobar el gasto c</w:t>
      </w:r>
      <w:r>
        <w:rPr>
          <w:rFonts w:ascii="Arial" w:hAnsi="Arial" w:cs="Arial"/>
          <w:sz w:val="22"/>
          <w:szCs w:val="22"/>
        </w:rPr>
        <w:t>orrespondiente por importe de 7.125.505,82</w:t>
      </w:r>
      <w:r>
        <w:rPr>
          <w:rFonts w:ascii="Arial" w:eastAsia="Calibri" w:hAnsi="Arial" w:cs="Arial"/>
          <w:b/>
          <w:sz w:val="22"/>
          <w:szCs w:val="22"/>
        </w:rPr>
        <w:t xml:space="preserve"> </w:t>
      </w:r>
      <w:r>
        <w:rPr>
          <w:rFonts w:ascii="Arial" w:hAnsi="Arial" w:cs="Arial"/>
          <w:sz w:val="22"/>
          <w:szCs w:val="22"/>
        </w:rPr>
        <w:t>€ (IGIC incluido) con cargo a la aplicación presupuestaria y anualidades que se especifican a continuación:</w:t>
      </w:r>
    </w:p>
    <w:tbl>
      <w:tblPr>
        <w:tblW w:w="8862" w:type="dxa"/>
        <w:tblInd w:w="-116" w:type="dxa"/>
        <w:tblCellMar>
          <w:left w:w="10" w:type="dxa"/>
          <w:right w:w="10" w:type="dxa"/>
        </w:tblCellMar>
        <w:tblLook w:val="0000" w:firstRow="0" w:lastRow="0" w:firstColumn="0" w:lastColumn="0" w:noHBand="0" w:noVBand="0"/>
      </w:tblPr>
      <w:tblGrid>
        <w:gridCol w:w="2882"/>
        <w:gridCol w:w="3088"/>
        <w:gridCol w:w="2892"/>
      </w:tblGrid>
      <w:tr w:rsidR="009B4233">
        <w:tblPrEx>
          <w:tblCellMar>
            <w:top w:w="0" w:type="dxa"/>
            <w:bottom w:w="0" w:type="dxa"/>
          </w:tblCellMar>
        </w:tblPrEx>
        <w:trPr>
          <w:trHeight w:val="388"/>
        </w:trPr>
        <w:tc>
          <w:tcPr>
            <w:tcW w:w="2882" w:type="dxa"/>
            <w:tcBorders>
              <w:top w:val="single" w:sz="4" w:space="0" w:color="A6A6A6"/>
              <w:left w:val="single" w:sz="4" w:space="0" w:color="A6A6A6"/>
              <w:bottom w:val="single" w:sz="4" w:space="0" w:color="A6A6A6"/>
              <w:right w:val="single" w:sz="4" w:space="0" w:color="A6A6A6"/>
            </w:tcBorders>
            <w:shd w:val="clear" w:color="auto" w:fill="auto"/>
            <w:tcMar>
              <w:top w:w="12" w:type="dxa"/>
              <w:left w:w="170" w:type="dxa"/>
              <w:bottom w:w="0" w:type="dxa"/>
              <w:right w:w="115" w:type="dxa"/>
            </w:tcMar>
          </w:tcPr>
          <w:p w:rsidR="009B4233" w:rsidRDefault="006B08B9">
            <w:pPr>
              <w:spacing w:line="249" w:lineRule="auto"/>
              <w:ind w:right="51"/>
              <w:jc w:val="center"/>
            </w:pPr>
            <w:r>
              <w:rPr>
                <w:rFonts w:ascii="Arial" w:eastAsia="Calibri" w:hAnsi="Arial" w:cs="Arial"/>
                <w:b/>
                <w:i/>
                <w:sz w:val="22"/>
                <w:szCs w:val="22"/>
              </w:rPr>
              <w:t>Anualidad</w:t>
            </w:r>
          </w:p>
        </w:tc>
        <w:tc>
          <w:tcPr>
            <w:tcW w:w="3088" w:type="dxa"/>
            <w:tcBorders>
              <w:top w:val="single" w:sz="4" w:space="0" w:color="A6A6A6"/>
              <w:left w:val="single" w:sz="4" w:space="0" w:color="A6A6A6"/>
              <w:bottom w:val="single" w:sz="4" w:space="0" w:color="A6A6A6"/>
              <w:right w:val="single" w:sz="4" w:space="0" w:color="A6A6A6"/>
            </w:tcBorders>
            <w:shd w:val="clear" w:color="auto" w:fill="auto"/>
            <w:tcMar>
              <w:top w:w="12" w:type="dxa"/>
              <w:left w:w="170" w:type="dxa"/>
              <w:bottom w:w="0" w:type="dxa"/>
              <w:right w:w="115" w:type="dxa"/>
            </w:tcMar>
          </w:tcPr>
          <w:p w:rsidR="009B4233" w:rsidRDefault="006B08B9">
            <w:pPr>
              <w:spacing w:line="249" w:lineRule="auto"/>
            </w:pPr>
            <w:r>
              <w:rPr>
                <w:rFonts w:ascii="Arial" w:eastAsia="Calibri" w:hAnsi="Arial" w:cs="Arial"/>
                <w:b/>
                <w:i/>
                <w:sz w:val="22"/>
                <w:szCs w:val="22"/>
              </w:rPr>
              <w:t>Aplicación presupuestaria</w:t>
            </w:r>
          </w:p>
        </w:tc>
        <w:tc>
          <w:tcPr>
            <w:tcW w:w="2892" w:type="dxa"/>
            <w:tcBorders>
              <w:top w:val="single" w:sz="4" w:space="0" w:color="A6A6A6"/>
              <w:left w:val="single" w:sz="4" w:space="0" w:color="A6A6A6"/>
              <w:bottom w:val="single" w:sz="4" w:space="0" w:color="A6A6A6"/>
              <w:right w:val="single" w:sz="4" w:space="0" w:color="A6A6A6"/>
            </w:tcBorders>
            <w:shd w:val="clear" w:color="auto" w:fill="auto"/>
            <w:tcMar>
              <w:top w:w="12" w:type="dxa"/>
              <w:left w:w="170" w:type="dxa"/>
              <w:bottom w:w="0" w:type="dxa"/>
              <w:right w:w="115" w:type="dxa"/>
            </w:tcMar>
          </w:tcPr>
          <w:p w:rsidR="009B4233" w:rsidRDefault="006B08B9">
            <w:pPr>
              <w:spacing w:line="249" w:lineRule="auto"/>
              <w:ind w:right="49"/>
              <w:jc w:val="center"/>
            </w:pPr>
            <w:r>
              <w:rPr>
                <w:rFonts w:ascii="Arial" w:eastAsia="Calibri" w:hAnsi="Arial" w:cs="Arial"/>
                <w:b/>
                <w:i/>
                <w:sz w:val="22"/>
                <w:szCs w:val="22"/>
              </w:rPr>
              <w:t>Importe</w:t>
            </w:r>
          </w:p>
        </w:tc>
      </w:tr>
      <w:tr w:rsidR="009B4233">
        <w:tblPrEx>
          <w:tblCellMar>
            <w:top w:w="0" w:type="dxa"/>
            <w:bottom w:w="0" w:type="dxa"/>
          </w:tblCellMar>
        </w:tblPrEx>
        <w:trPr>
          <w:trHeight w:val="768"/>
        </w:trPr>
        <w:tc>
          <w:tcPr>
            <w:tcW w:w="2882" w:type="dxa"/>
            <w:tcBorders>
              <w:top w:val="single" w:sz="4" w:space="0" w:color="A6A6A6"/>
              <w:left w:val="single" w:sz="4" w:space="0" w:color="A6A6A6"/>
              <w:bottom w:val="single" w:sz="4" w:space="0" w:color="A6A6A6"/>
              <w:right w:val="single" w:sz="4" w:space="0" w:color="A6A6A6"/>
            </w:tcBorders>
            <w:shd w:val="clear" w:color="auto" w:fill="auto"/>
            <w:tcMar>
              <w:top w:w="12" w:type="dxa"/>
              <w:left w:w="170" w:type="dxa"/>
              <w:bottom w:w="0" w:type="dxa"/>
              <w:right w:w="115" w:type="dxa"/>
            </w:tcMar>
          </w:tcPr>
          <w:p w:rsidR="009B4233" w:rsidRDefault="006B08B9">
            <w:pPr>
              <w:spacing w:line="249" w:lineRule="auto"/>
              <w:ind w:right="36"/>
              <w:jc w:val="center"/>
              <w:rPr>
                <w:rFonts w:ascii="Arial" w:hAnsi="Arial" w:cs="Arial"/>
                <w:sz w:val="22"/>
                <w:szCs w:val="22"/>
              </w:rPr>
            </w:pPr>
            <w:r>
              <w:rPr>
                <w:rFonts w:ascii="Arial" w:hAnsi="Arial" w:cs="Arial"/>
                <w:sz w:val="22"/>
                <w:szCs w:val="22"/>
              </w:rPr>
              <w:t>2026</w:t>
            </w:r>
          </w:p>
        </w:tc>
        <w:tc>
          <w:tcPr>
            <w:tcW w:w="3088" w:type="dxa"/>
            <w:tcBorders>
              <w:top w:val="single" w:sz="4" w:space="0" w:color="A6A6A6"/>
              <w:left w:val="single" w:sz="4" w:space="0" w:color="A6A6A6"/>
              <w:bottom w:val="single" w:sz="4" w:space="0" w:color="A6A6A6"/>
              <w:right w:val="single" w:sz="4" w:space="0" w:color="A6A6A6"/>
            </w:tcBorders>
            <w:shd w:val="clear" w:color="auto" w:fill="auto"/>
            <w:tcMar>
              <w:top w:w="12" w:type="dxa"/>
              <w:left w:w="170" w:type="dxa"/>
              <w:bottom w:w="0" w:type="dxa"/>
              <w:right w:w="115" w:type="dxa"/>
            </w:tcMar>
          </w:tcPr>
          <w:p w:rsidR="009B4233" w:rsidRDefault="006B08B9">
            <w:pPr>
              <w:spacing w:after="90" w:line="249" w:lineRule="auto"/>
              <w:ind w:right="124"/>
              <w:jc w:val="center"/>
              <w:rPr>
                <w:rFonts w:ascii="Arial" w:hAnsi="Arial" w:cs="Arial"/>
                <w:sz w:val="22"/>
                <w:szCs w:val="22"/>
              </w:rPr>
            </w:pPr>
            <w:r>
              <w:rPr>
                <w:rFonts w:ascii="Arial" w:hAnsi="Arial" w:cs="Arial"/>
                <w:sz w:val="22"/>
                <w:szCs w:val="22"/>
              </w:rPr>
              <w:t xml:space="preserve">15100.60912 </w:t>
            </w:r>
          </w:p>
          <w:p w:rsidR="009B4233" w:rsidRDefault="006B08B9">
            <w:pPr>
              <w:spacing w:line="249" w:lineRule="auto"/>
              <w:ind w:right="122"/>
              <w:jc w:val="center"/>
              <w:rPr>
                <w:rFonts w:ascii="Arial" w:hAnsi="Arial" w:cs="Arial"/>
                <w:sz w:val="22"/>
                <w:szCs w:val="22"/>
              </w:rPr>
            </w:pPr>
            <w:r>
              <w:rPr>
                <w:rFonts w:ascii="Arial" w:hAnsi="Arial" w:cs="Arial"/>
                <w:sz w:val="22"/>
                <w:szCs w:val="22"/>
              </w:rPr>
              <w:t>(A.2.25.2.06549)</w:t>
            </w:r>
          </w:p>
        </w:tc>
        <w:tc>
          <w:tcPr>
            <w:tcW w:w="2892" w:type="dxa"/>
            <w:tcBorders>
              <w:top w:val="single" w:sz="4" w:space="0" w:color="A6A6A6"/>
              <w:left w:val="single" w:sz="4" w:space="0" w:color="A6A6A6"/>
              <w:bottom w:val="single" w:sz="4" w:space="0" w:color="A6A6A6"/>
              <w:right w:val="single" w:sz="4" w:space="0" w:color="A6A6A6"/>
            </w:tcBorders>
            <w:shd w:val="clear" w:color="auto" w:fill="auto"/>
            <w:tcMar>
              <w:top w:w="12" w:type="dxa"/>
              <w:left w:w="170" w:type="dxa"/>
              <w:bottom w:w="0" w:type="dxa"/>
              <w:right w:w="115" w:type="dxa"/>
            </w:tcMar>
          </w:tcPr>
          <w:p w:rsidR="009B4233" w:rsidRDefault="006B08B9">
            <w:pPr>
              <w:spacing w:line="249" w:lineRule="auto"/>
              <w:ind w:right="35"/>
              <w:jc w:val="center"/>
              <w:rPr>
                <w:rFonts w:ascii="Arial" w:hAnsi="Arial" w:cs="Arial"/>
                <w:sz w:val="22"/>
                <w:szCs w:val="22"/>
              </w:rPr>
            </w:pPr>
            <w:r>
              <w:rPr>
                <w:rFonts w:ascii="Arial" w:hAnsi="Arial" w:cs="Arial"/>
                <w:sz w:val="22"/>
                <w:szCs w:val="22"/>
              </w:rPr>
              <w:t>3.562.752,91 euros</w:t>
            </w:r>
          </w:p>
        </w:tc>
      </w:tr>
      <w:tr w:rsidR="009B4233">
        <w:tblPrEx>
          <w:tblCellMar>
            <w:top w:w="0" w:type="dxa"/>
            <w:bottom w:w="0" w:type="dxa"/>
          </w:tblCellMar>
        </w:tblPrEx>
        <w:trPr>
          <w:trHeight w:val="768"/>
        </w:trPr>
        <w:tc>
          <w:tcPr>
            <w:tcW w:w="2882" w:type="dxa"/>
            <w:tcBorders>
              <w:top w:val="single" w:sz="4" w:space="0" w:color="A6A6A6"/>
              <w:left w:val="single" w:sz="4" w:space="0" w:color="A6A6A6"/>
              <w:bottom w:val="single" w:sz="4" w:space="0" w:color="A6A6A6"/>
              <w:right w:val="single" w:sz="4" w:space="0" w:color="A6A6A6"/>
            </w:tcBorders>
            <w:shd w:val="clear" w:color="auto" w:fill="auto"/>
            <w:tcMar>
              <w:top w:w="12" w:type="dxa"/>
              <w:left w:w="170" w:type="dxa"/>
              <w:bottom w:w="0" w:type="dxa"/>
              <w:right w:w="115" w:type="dxa"/>
            </w:tcMar>
          </w:tcPr>
          <w:p w:rsidR="009B4233" w:rsidRDefault="006B08B9">
            <w:pPr>
              <w:spacing w:line="249" w:lineRule="auto"/>
              <w:ind w:right="36"/>
              <w:jc w:val="center"/>
              <w:rPr>
                <w:rFonts w:ascii="Arial" w:hAnsi="Arial" w:cs="Arial"/>
                <w:sz w:val="22"/>
                <w:szCs w:val="22"/>
              </w:rPr>
            </w:pPr>
            <w:r>
              <w:rPr>
                <w:rFonts w:ascii="Arial" w:hAnsi="Arial" w:cs="Arial"/>
                <w:sz w:val="22"/>
                <w:szCs w:val="22"/>
              </w:rPr>
              <w:t>2027</w:t>
            </w:r>
          </w:p>
        </w:tc>
        <w:tc>
          <w:tcPr>
            <w:tcW w:w="3088" w:type="dxa"/>
            <w:tcBorders>
              <w:top w:val="single" w:sz="4" w:space="0" w:color="A6A6A6"/>
              <w:left w:val="single" w:sz="4" w:space="0" w:color="A6A6A6"/>
              <w:bottom w:val="single" w:sz="4" w:space="0" w:color="A6A6A6"/>
              <w:right w:val="single" w:sz="4" w:space="0" w:color="A6A6A6"/>
            </w:tcBorders>
            <w:shd w:val="clear" w:color="auto" w:fill="auto"/>
            <w:tcMar>
              <w:top w:w="12" w:type="dxa"/>
              <w:left w:w="170" w:type="dxa"/>
              <w:bottom w:w="0" w:type="dxa"/>
              <w:right w:w="115" w:type="dxa"/>
            </w:tcMar>
          </w:tcPr>
          <w:p w:rsidR="009B4233" w:rsidRDefault="006B08B9">
            <w:pPr>
              <w:spacing w:after="90" w:line="249" w:lineRule="auto"/>
              <w:ind w:right="124"/>
              <w:jc w:val="center"/>
              <w:rPr>
                <w:rFonts w:ascii="Arial" w:hAnsi="Arial" w:cs="Arial"/>
                <w:sz w:val="22"/>
                <w:szCs w:val="22"/>
              </w:rPr>
            </w:pPr>
            <w:r>
              <w:rPr>
                <w:rFonts w:ascii="Arial" w:hAnsi="Arial" w:cs="Arial"/>
                <w:sz w:val="22"/>
                <w:szCs w:val="22"/>
              </w:rPr>
              <w:t xml:space="preserve">15100.60912 </w:t>
            </w:r>
          </w:p>
          <w:p w:rsidR="009B4233" w:rsidRDefault="006B08B9">
            <w:pPr>
              <w:spacing w:line="249" w:lineRule="auto"/>
              <w:ind w:right="122"/>
              <w:jc w:val="center"/>
              <w:rPr>
                <w:rFonts w:ascii="Arial" w:hAnsi="Arial" w:cs="Arial"/>
                <w:sz w:val="22"/>
                <w:szCs w:val="22"/>
              </w:rPr>
            </w:pPr>
            <w:r>
              <w:rPr>
                <w:rFonts w:ascii="Arial" w:hAnsi="Arial" w:cs="Arial"/>
                <w:sz w:val="22"/>
                <w:szCs w:val="22"/>
              </w:rPr>
              <w:t>(A.2.25.2.06550)</w:t>
            </w:r>
          </w:p>
        </w:tc>
        <w:tc>
          <w:tcPr>
            <w:tcW w:w="2892" w:type="dxa"/>
            <w:tcBorders>
              <w:top w:val="single" w:sz="4" w:space="0" w:color="A6A6A6"/>
              <w:left w:val="single" w:sz="4" w:space="0" w:color="A6A6A6"/>
              <w:bottom w:val="single" w:sz="4" w:space="0" w:color="A6A6A6"/>
              <w:right w:val="single" w:sz="4" w:space="0" w:color="A6A6A6"/>
            </w:tcBorders>
            <w:shd w:val="clear" w:color="auto" w:fill="auto"/>
            <w:tcMar>
              <w:top w:w="12" w:type="dxa"/>
              <w:left w:w="170" w:type="dxa"/>
              <w:bottom w:w="0" w:type="dxa"/>
              <w:right w:w="115" w:type="dxa"/>
            </w:tcMar>
          </w:tcPr>
          <w:p w:rsidR="009B4233" w:rsidRDefault="006B08B9">
            <w:pPr>
              <w:spacing w:line="249" w:lineRule="auto"/>
              <w:ind w:right="35"/>
              <w:jc w:val="center"/>
              <w:rPr>
                <w:rFonts w:ascii="Arial" w:hAnsi="Arial" w:cs="Arial"/>
                <w:sz w:val="22"/>
                <w:szCs w:val="22"/>
              </w:rPr>
            </w:pPr>
            <w:r>
              <w:rPr>
                <w:rFonts w:ascii="Arial" w:hAnsi="Arial" w:cs="Arial"/>
                <w:sz w:val="22"/>
                <w:szCs w:val="22"/>
              </w:rPr>
              <w:t>3.562.752,91 euros</w:t>
            </w:r>
          </w:p>
        </w:tc>
      </w:tr>
    </w:tbl>
    <w:p w:rsidR="009B4233" w:rsidRDefault="006B08B9">
      <w:pPr>
        <w:ind w:left="-5"/>
        <w:jc w:val="both"/>
      </w:pPr>
      <w:r>
        <w:rPr>
          <w:rFonts w:ascii="Arial" w:eastAsia="Calibri" w:hAnsi="Arial" w:cs="Arial"/>
          <w:b/>
          <w:sz w:val="22"/>
          <w:szCs w:val="22"/>
        </w:rPr>
        <w:t>Tercero</w:t>
      </w:r>
      <w:r>
        <w:rPr>
          <w:rFonts w:ascii="Arial" w:hAnsi="Arial" w:cs="Arial"/>
          <w:sz w:val="22"/>
          <w:szCs w:val="22"/>
        </w:rPr>
        <w:t xml:space="preserve">.- Aprobar los Pliegos de Cláusulas Administrativas Particulares (PCAP), de </w:t>
      </w:r>
    </w:p>
    <w:p w:rsidR="009B4233" w:rsidRDefault="006B08B9">
      <w:pPr>
        <w:ind w:left="-5"/>
        <w:jc w:val="both"/>
        <w:rPr>
          <w:rFonts w:ascii="Arial" w:hAnsi="Arial" w:cs="Arial"/>
          <w:sz w:val="22"/>
          <w:szCs w:val="22"/>
        </w:rPr>
      </w:pPr>
      <w:r>
        <w:rPr>
          <w:rFonts w:ascii="Arial" w:hAnsi="Arial" w:cs="Arial"/>
          <w:sz w:val="22"/>
          <w:szCs w:val="22"/>
        </w:rPr>
        <w:t xml:space="preserve">Prescripciones Técnicas (PPTP) y el informe de regulación de la contratación firmado por la Arquitecta municipal de fecha </w:t>
      </w:r>
      <w:r>
        <w:rPr>
          <w:rFonts w:ascii="Arial" w:hAnsi="Arial" w:cs="Arial"/>
          <w:sz w:val="22"/>
          <w:szCs w:val="22"/>
        </w:rPr>
        <w:t xml:space="preserve">18 de septiembre de 2025 que forma parte de la documentación técnica de la contratación, que regirán el contrato. </w:t>
      </w:r>
    </w:p>
    <w:p w:rsidR="009B4233" w:rsidRDefault="006B08B9">
      <w:pPr>
        <w:ind w:left="-5"/>
        <w:jc w:val="both"/>
      </w:pPr>
      <w:r>
        <w:rPr>
          <w:rFonts w:ascii="Arial" w:eastAsia="Calibri" w:hAnsi="Arial" w:cs="Arial"/>
          <w:b/>
          <w:sz w:val="22"/>
          <w:szCs w:val="22"/>
        </w:rPr>
        <w:t>Cuarto</w:t>
      </w:r>
      <w:r>
        <w:rPr>
          <w:rFonts w:ascii="Arial" w:hAnsi="Arial" w:cs="Arial"/>
          <w:sz w:val="22"/>
          <w:szCs w:val="22"/>
        </w:rPr>
        <w:t xml:space="preserve">.- Publicar el anuncio de licitación en el perfil de contratante con el contenido contemplado en el anexo III de la Ley 9/2017 de 8 de </w:t>
      </w:r>
      <w:r>
        <w:rPr>
          <w:rFonts w:ascii="Arial" w:hAnsi="Arial" w:cs="Arial"/>
          <w:sz w:val="22"/>
          <w:szCs w:val="22"/>
        </w:rPr>
        <w:t xml:space="preserve">noviembre, de Contratos del Sector Público. </w:t>
      </w:r>
    </w:p>
    <w:p w:rsidR="009B4233" w:rsidRDefault="006B08B9">
      <w:pPr>
        <w:ind w:left="-5"/>
        <w:jc w:val="both"/>
      </w:pPr>
      <w:r>
        <w:rPr>
          <w:rFonts w:ascii="Arial" w:eastAsia="Calibri" w:hAnsi="Arial" w:cs="Arial"/>
          <w:b/>
          <w:sz w:val="22"/>
          <w:szCs w:val="22"/>
        </w:rPr>
        <w:t>Quinto</w:t>
      </w:r>
      <w:r>
        <w:rPr>
          <w:rFonts w:ascii="Arial" w:hAnsi="Arial" w:cs="Arial"/>
          <w:sz w:val="22"/>
          <w:szCs w:val="22"/>
        </w:rPr>
        <w:t xml:space="preserve">.- Publicar en el perfil de contratante la siguiente documentación integrante del expediente de contratación: Memoria justificativa del contrato, PPTP, proyecto técnico, PCAP y la resolución por el que se </w:t>
      </w:r>
      <w:r>
        <w:rPr>
          <w:rFonts w:ascii="Arial" w:hAnsi="Arial" w:cs="Arial"/>
          <w:sz w:val="22"/>
          <w:szCs w:val="22"/>
        </w:rPr>
        <w:t xml:space="preserve">aprueba el expediente. </w:t>
      </w:r>
    </w:p>
    <w:p w:rsidR="009B4233" w:rsidRDefault="006B08B9">
      <w:pPr>
        <w:ind w:left="-5"/>
        <w:jc w:val="both"/>
      </w:pPr>
      <w:r>
        <w:rPr>
          <w:rFonts w:ascii="Arial" w:eastAsia="Calibri" w:hAnsi="Arial" w:cs="Arial"/>
          <w:b/>
          <w:sz w:val="22"/>
          <w:szCs w:val="22"/>
        </w:rPr>
        <w:t>Sexto</w:t>
      </w:r>
      <w:r>
        <w:rPr>
          <w:rFonts w:ascii="Arial" w:hAnsi="Arial" w:cs="Arial"/>
          <w:sz w:val="22"/>
          <w:szCs w:val="22"/>
        </w:rPr>
        <w:t xml:space="preserve">.- Designar como Unidad encargada del seguimiento y ejecución del contrato: Oficina </w:t>
      </w:r>
    </w:p>
    <w:p w:rsidR="009B4233" w:rsidRDefault="006B08B9">
      <w:pPr>
        <w:spacing w:after="457"/>
        <w:ind w:left="-5"/>
        <w:jc w:val="both"/>
        <w:rPr>
          <w:rFonts w:ascii="Arial" w:hAnsi="Arial" w:cs="Arial"/>
          <w:sz w:val="22"/>
          <w:szCs w:val="22"/>
        </w:rPr>
      </w:pPr>
      <w:r>
        <w:rPr>
          <w:rFonts w:ascii="Arial" w:hAnsi="Arial" w:cs="Arial"/>
          <w:sz w:val="22"/>
          <w:szCs w:val="22"/>
        </w:rPr>
        <w:t>Técnica Municipal de la Concejalía Delegada de Gestión y Planificación Urbanística y Vivienda según la cláusula 33ª del PCAP.”</w:t>
      </w:r>
    </w:p>
    <w:p w:rsidR="009B4233" w:rsidRDefault="006B08B9">
      <w:pPr>
        <w:spacing w:line="249" w:lineRule="auto"/>
        <w:ind w:left="110"/>
        <w:jc w:val="center"/>
      </w:pPr>
      <w:r>
        <w:rPr>
          <w:rFonts w:ascii="Arial" w:hAnsi="Arial" w:cs="Arial"/>
          <w:sz w:val="22"/>
          <w:szCs w:val="22"/>
        </w:rPr>
        <w:t>En virtud de lo</w:t>
      </w:r>
      <w:r>
        <w:rPr>
          <w:rFonts w:ascii="Arial" w:hAnsi="Arial" w:cs="Arial"/>
          <w:sz w:val="22"/>
          <w:szCs w:val="22"/>
        </w:rPr>
        <w:t xml:space="preserve"> expuesto se somete al </w:t>
      </w:r>
      <w:r>
        <w:rPr>
          <w:rFonts w:ascii="Arial" w:eastAsia="Calibri" w:hAnsi="Arial" w:cs="Arial"/>
          <w:b/>
          <w:sz w:val="22"/>
          <w:szCs w:val="22"/>
        </w:rPr>
        <w:t xml:space="preserve">Pleno </w:t>
      </w:r>
      <w:r>
        <w:rPr>
          <w:rFonts w:ascii="Arial" w:hAnsi="Arial" w:cs="Arial"/>
          <w:sz w:val="22"/>
          <w:szCs w:val="22"/>
        </w:rPr>
        <w:t>la siguiente propuesta de acuerdo:</w:t>
      </w:r>
    </w:p>
    <w:p w:rsidR="009B4233" w:rsidRDefault="009B4233">
      <w:pPr>
        <w:spacing w:line="249" w:lineRule="auto"/>
        <w:ind w:left="110"/>
        <w:jc w:val="center"/>
        <w:rPr>
          <w:rFonts w:ascii="Arial" w:hAnsi="Arial" w:cs="Arial"/>
          <w:sz w:val="22"/>
          <w:szCs w:val="22"/>
        </w:rPr>
      </w:pPr>
    </w:p>
    <w:p w:rsidR="009B4233" w:rsidRDefault="009B4233">
      <w:pPr>
        <w:spacing w:line="249" w:lineRule="auto"/>
        <w:ind w:left="110"/>
        <w:jc w:val="center"/>
        <w:rPr>
          <w:rFonts w:ascii="Arial" w:hAnsi="Arial" w:cs="Arial"/>
          <w:sz w:val="22"/>
          <w:szCs w:val="22"/>
        </w:rPr>
      </w:pPr>
    </w:p>
    <w:p w:rsidR="009B4233" w:rsidRDefault="006B08B9">
      <w:pPr>
        <w:pStyle w:val="Ttulo1"/>
        <w:spacing w:after="450"/>
        <w:ind w:left="11" w:right="4"/>
        <w:rPr>
          <w:rFonts w:ascii="Arial" w:hAnsi="Arial" w:cs="Arial"/>
          <w:sz w:val="22"/>
          <w:szCs w:val="22"/>
        </w:rPr>
      </w:pPr>
      <w:r>
        <w:rPr>
          <w:rFonts w:ascii="Arial" w:hAnsi="Arial" w:cs="Arial"/>
          <w:sz w:val="22"/>
          <w:szCs w:val="22"/>
        </w:rPr>
        <w:t>PROPUESTA DE ACUERDO</w:t>
      </w:r>
    </w:p>
    <w:p w:rsidR="009B4233" w:rsidRDefault="006B08B9">
      <w:pPr>
        <w:ind w:left="-5"/>
        <w:jc w:val="both"/>
      </w:pPr>
      <w:r>
        <w:rPr>
          <w:rFonts w:ascii="Arial" w:eastAsia="Calibri" w:hAnsi="Arial" w:cs="Arial"/>
          <w:b/>
          <w:sz w:val="22"/>
          <w:szCs w:val="22"/>
        </w:rPr>
        <w:t>Primero</w:t>
      </w:r>
      <w:r>
        <w:rPr>
          <w:rFonts w:ascii="Arial" w:hAnsi="Arial" w:cs="Arial"/>
          <w:sz w:val="22"/>
          <w:szCs w:val="22"/>
        </w:rPr>
        <w:t xml:space="preserve">. - Aprobar el expediente del contrato de obras, mediante procedimiento abierto, tramitación armonizada, consistente en “Proyecto de ejecución de Piscina de </w:t>
      </w:r>
      <w:r>
        <w:rPr>
          <w:rFonts w:ascii="Arial" w:hAnsi="Arial" w:cs="Arial"/>
          <w:sz w:val="22"/>
          <w:szCs w:val="22"/>
        </w:rPr>
        <w:t>Candealria”, convocar su licitación y disponer la apertura del procedimiento de adjudicación.</w:t>
      </w:r>
    </w:p>
    <w:p w:rsidR="009B4233" w:rsidRDefault="009B4233">
      <w:pPr>
        <w:ind w:left="-5"/>
        <w:jc w:val="both"/>
        <w:rPr>
          <w:rFonts w:ascii="Arial" w:hAnsi="Arial" w:cs="Arial"/>
          <w:sz w:val="22"/>
          <w:szCs w:val="22"/>
        </w:rPr>
      </w:pPr>
    </w:p>
    <w:p w:rsidR="009B4233" w:rsidRDefault="009B4233">
      <w:pPr>
        <w:ind w:left="-5"/>
        <w:jc w:val="both"/>
        <w:rPr>
          <w:rFonts w:ascii="Arial" w:hAnsi="Arial" w:cs="Arial"/>
          <w:sz w:val="22"/>
          <w:szCs w:val="22"/>
        </w:rPr>
      </w:pPr>
    </w:p>
    <w:p w:rsidR="009B4233" w:rsidRDefault="006B08B9">
      <w:pPr>
        <w:spacing w:after="203"/>
        <w:ind w:left="-5"/>
        <w:jc w:val="both"/>
      </w:pPr>
      <w:r>
        <w:rPr>
          <w:rFonts w:ascii="Arial" w:eastAsia="Calibri" w:hAnsi="Arial" w:cs="Arial"/>
          <w:b/>
          <w:sz w:val="22"/>
          <w:szCs w:val="22"/>
        </w:rPr>
        <w:t>Segundo</w:t>
      </w:r>
      <w:r>
        <w:rPr>
          <w:rFonts w:ascii="Arial" w:hAnsi="Arial" w:cs="Arial"/>
          <w:sz w:val="22"/>
          <w:szCs w:val="22"/>
        </w:rPr>
        <w:t>. - Aprobar el gasto correspondiente por importe de 7.125.505,82</w:t>
      </w:r>
      <w:r>
        <w:rPr>
          <w:rFonts w:ascii="Arial" w:eastAsia="Calibri" w:hAnsi="Arial" w:cs="Arial"/>
          <w:b/>
          <w:sz w:val="22"/>
          <w:szCs w:val="22"/>
        </w:rPr>
        <w:t xml:space="preserve"> </w:t>
      </w:r>
      <w:r>
        <w:rPr>
          <w:rFonts w:ascii="Arial" w:hAnsi="Arial" w:cs="Arial"/>
          <w:sz w:val="22"/>
          <w:szCs w:val="22"/>
        </w:rPr>
        <w:t>€ (IGIC incluido) con cargo a la aplicación presupuestaria y anualidades que se especifi</w:t>
      </w:r>
      <w:r>
        <w:rPr>
          <w:rFonts w:ascii="Arial" w:hAnsi="Arial" w:cs="Arial"/>
          <w:sz w:val="22"/>
          <w:szCs w:val="22"/>
        </w:rPr>
        <w:t>can a continuación:</w:t>
      </w:r>
    </w:p>
    <w:tbl>
      <w:tblPr>
        <w:tblW w:w="8862" w:type="dxa"/>
        <w:tblInd w:w="-116" w:type="dxa"/>
        <w:tblCellMar>
          <w:left w:w="10" w:type="dxa"/>
          <w:right w:w="10" w:type="dxa"/>
        </w:tblCellMar>
        <w:tblLook w:val="0000" w:firstRow="0" w:lastRow="0" w:firstColumn="0" w:lastColumn="0" w:noHBand="0" w:noVBand="0"/>
      </w:tblPr>
      <w:tblGrid>
        <w:gridCol w:w="2882"/>
        <w:gridCol w:w="3088"/>
        <w:gridCol w:w="2892"/>
      </w:tblGrid>
      <w:tr w:rsidR="009B4233">
        <w:tblPrEx>
          <w:tblCellMar>
            <w:top w:w="0" w:type="dxa"/>
            <w:bottom w:w="0" w:type="dxa"/>
          </w:tblCellMar>
        </w:tblPrEx>
        <w:trPr>
          <w:trHeight w:val="388"/>
        </w:trPr>
        <w:tc>
          <w:tcPr>
            <w:tcW w:w="2882" w:type="dxa"/>
            <w:tcBorders>
              <w:top w:val="single" w:sz="4" w:space="0" w:color="A6A6A6"/>
              <w:left w:val="single" w:sz="4" w:space="0" w:color="A6A6A6"/>
              <w:bottom w:val="single" w:sz="4" w:space="0" w:color="A6A6A6"/>
              <w:right w:val="single" w:sz="4" w:space="0" w:color="A6A6A6"/>
            </w:tcBorders>
            <w:shd w:val="clear" w:color="auto" w:fill="auto"/>
            <w:tcMar>
              <w:top w:w="12" w:type="dxa"/>
              <w:left w:w="170" w:type="dxa"/>
              <w:bottom w:w="0" w:type="dxa"/>
              <w:right w:w="115" w:type="dxa"/>
            </w:tcMar>
          </w:tcPr>
          <w:p w:rsidR="009B4233" w:rsidRDefault="006B08B9">
            <w:pPr>
              <w:spacing w:line="249" w:lineRule="auto"/>
              <w:ind w:right="51"/>
              <w:jc w:val="center"/>
            </w:pPr>
            <w:r>
              <w:rPr>
                <w:rFonts w:ascii="Arial" w:eastAsia="Calibri" w:hAnsi="Arial" w:cs="Arial"/>
                <w:b/>
                <w:i/>
                <w:sz w:val="22"/>
                <w:szCs w:val="22"/>
              </w:rPr>
              <w:t>Anualidad</w:t>
            </w:r>
          </w:p>
        </w:tc>
        <w:tc>
          <w:tcPr>
            <w:tcW w:w="3088" w:type="dxa"/>
            <w:tcBorders>
              <w:top w:val="single" w:sz="4" w:space="0" w:color="A6A6A6"/>
              <w:left w:val="single" w:sz="4" w:space="0" w:color="A6A6A6"/>
              <w:bottom w:val="single" w:sz="4" w:space="0" w:color="A6A6A6"/>
              <w:right w:val="single" w:sz="4" w:space="0" w:color="A6A6A6"/>
            </w:tcBorders>
            <w:shd w:val="clear" w:color="auto" w:fill="auto"/>
            <w:tcMar>
              <w:top w:w="12" w:type="dxa"/>
              <w:left w:w="170" w:type="dxa"/>
              <w:bottom w:w="0" w:type="dxa"/>
              <w:right w:w="115" w:type="dxa"/>
            </w:tcMar>
          </w:tcPr>
          <w:p w:rsidR="009B4233" w:rsidRDefault="006B08B9">
            <w:pPr>
              <w:spacing w:line="249" w:lineRule="auto"/>
            </w:pPr>
            <w:r>
              <w:rPr>
                <w:rFonts w:ascii="Arial" w:eastAsia="Calibri" w:hAnsi="Arial" w:cs="Arial"/>
                <w:b/>
                <w:i/>
                <w:sz w:val="22"/>
                <w:szCs w:val="22"/>
              </w:rPr>
              <w:t>Aplicación presupuestaria</w:t>
            </w:r>
          </w:p>
        </w:tc>
        <w:tc>
          <w:tcPr>
            <w:tcW w:w="2892" w:type="dxa"/>
            <w:tcBorders>
              <w:top w:val="single" w:sz="4" w:space="0" w:color="A6A6A6"/>
              <w:left w:val="single" w:sz="4" w:space="0" w:color="A6A6A6"/>
              <w:bottom w:val="single" w:sz="4" w:space="0" w:color="A6A6A6"/>
              <w:right w:val="single" w:sz="4" w:space="0" w:color="A6A6A6"/>
            </w:tcBorders>
            <w:shd w:val="clear" w:color="auto" w:fill="auto"/>
            <w:tcMar>
              <w:top w:w="12" w:type="dxa"/>
              <w:left w:w="170" w:type="dxa"/>
              <w:bottom w:w="0" w:type="dxa"/>
              <w:right w:w="115" w:type="dxa"/>
            </w:tcMar>
          </w:tcPr>
          <w:p w:rsidR="009B4233" w:rsidRDefault="006B08B9">
            <w:pPr>
              <w:spacing w:line="249" w:lineRule="auto"/>
              <w:ind w:right="49"/>
              <w:jc w:val="center"/>
            </w:pPr>
            <w:r>
              <w:rPr>
                <w:rFonts w:ascii="Arial" w:eastAsia="Calibri" w:hAnsi="Arial" w:cs="Arial"/>
                <w:b/>
                <w:i/>
                <w:sz w:val="22"/>
                <w:szCs w:val="22"/>
              </w:rPr>
              <w:t>Importe</w:t>
            </w:r>
          </w:p>
        </w:tc>
      </w:tr>
      <w:tr w:rsidR="009B4233">
        <w:tblPrEx>
          <w:tblCellMar>
            <w:top w:w="0" w:type="dxa"/>
            <w:bottom w:w="0" w:type="dxa"/>
          </w:tblCellMar>
        </w:tblPrEx>
        <w:trPr>
          <w:trHeight w:val="768"/>
        </w:trPr>
        <w:tc>
          <w:tcPr>
            <w:tcW w:w="2882" w:type="dxa"/>
            <w:tcBorders>
              <w:top w:val="single" w:sz="4" w:space="0" w:color="A6A6A6"/>
              <w:left w:val="single" w:sz="4" w:space="0" w:color="A6A6A6"/>
              <w:bottom w:val="single" w:sz="4" w:space="0" w:color="A6A6A6"/>
              <w:right w:val="single" w:sz="4" w:space="0" w:color="A6A6A6"/>
            </w:tcBorders>
            <w:shd w:val="clear" w:color="auto" w:fill="auto"/>
            <w:tcMar>
              <w:top w:w="12" w:type="dxa"/>
              <w:left w:w="170" w:type="dxa"/>
              <w:bottom w:w="0" w:type="dxa"/>
              <w:right w:w="115" w:type="dxa"/>
            </w:tcMar>
          </w:tcPr>
          <w:p w:rsidR="009B4233" w:rsidRDefault="006B08B9">
            <w:pPr>
              <w:spacing w:line="249" w:lineRule="auto"/>
              <w:ind w:right="36"/>
              <w:jc w:val="center"/>
              <w:rPr>
                <w:rFonts w:ascii="Arial" w:hAnsi="Arial" w:cs="Arial"/>
                <w:sz w:val="22"/>
                <w:szCs w:val="22"/>
              </w:rPr>
            </w:pPr>
            <w:r>
              <w:rPr>
                <w:rFonts w:ascii="Arial" w:hAnsi="Arial" w:cs="Arial"/>
                <w:sz w:val="22"/>
                <w:szCs w:val="22"/>
              </w:rPr>
              <w:t>2026</w:t>
            </w:r>
          </w:p>
        </w:tc>
        <w:tc>
          <w:tcPr>
            <w:tcW w:w="3088" w:type="dxa"/>
            <w:tcBorders>
              <w:top w:val="single" w:sz="4" w:space="0" w:color="A6A6A6"/>
              <w:left w:val="single" w:sz="4" w:space="0" w:color="A6A6A6"/>
              <w:bottom w:val="single" w:sz="4" w:space="0" w:color="A6A6A6"/>
              <w:right w:val="single" w:sz="4" w:space="0" w:color="A6A6A6"/>
            </w:tcBorders>
            <w:shd w:val="clear" w:color="auto" w:fill="auto"/>
            <w:tcMar>
              <w:top w:w="12" w:type="dxa"/>
              <w:left w:w="170" w:type="dxa"/>
              <w:bottom w:w="0" w:type="dxa"/>
              <w:right w:w="115" w:type="dxa"/>
            </w:tcMar>
          </w:tcPr>
          <w:p w:rsidR="009B4233" w:rsidRDefault="006B08B9">
            <w:pPr>
              <w:spacing w:after="90" w:line="249" w:lineRule="auto"/>
              <w:ind w:right="124"/>
              <w:jc w:val="center"/>
              <w:rPr>
                <w:rFonts w:ascii="Arial" w:hAnsi="Arial" w:cs="Arial"/>
                <w:sz w:val="22"/>
                <w:szCs w:val="22"/>
              </w:rPr>
            </w:pPr>
            <w:r>
              <w:rPr>
                <w:rFonts w:ascii="Arial" w:hAnsi="Arial" w:cs="Arial"/>
                <w:sz w:val="22"/>
                <w:szCs w:val="22"/>
              </w:rPr>
              <w:t xml:space="preserve">15100.60912 </w:t>
            </w:r>
          </w:p>
          <w:p w:rsidR="009B4233" w:rsidRDefault="006B08B9">
            <w:pPr>
              <w:spacing w:line="249" w:lineRule="auto"/>
              <w:ind w:right="122"/>
              <w:jc w:val="center"/>
              <w:rPr>
                <w:rFonts w:ascii="Arial" w:hAnsi="Arial" w:cs="Arial"/>
                <w:sz w:val="22"/>
                <w:szCs w:val="22"/>
              </w:rPr>
            </w:pPr>
            <w:r>
              <w:rPr>
                <w:rFonts w:ascii="Arial" w:hAnsi="Arial" w:cs="Arial"/>
                <w:sz w:val="22"/>
                <w:szCs w:val="22"/>
              </w:rPr>
              <w:t>(A.2.25.2.06549)</w:t>
            </w:r>
          </w:p>
        </w:tc>
        <w:tc>
          <w:tcPr>
            <w:tcW w:w="2892" w:type="dxa"/>
            <w:tcBorders>
              <w:top w:val="single" w:sz="4" w:space="0" w:color="A6A6A6"/>
              <w:left w:val="single" w:sz="4" w:space="0" w:color="A6A6A6"/>
              <w:bottom w:val="single" w:sz="4" w:space="0" w:color="A6A6A6"/>
              <w:right w:val="single" w:sz="4" w:space="0" w:color="A6A6A6"/>
            </w:tcBorders>
            <w:shd w:val="clear" w:color="auto" w:fill="auto"/>
            <w:tcMar>
              <w:top w:w="12" w:type="dxa"/>
              <w:left w:w="170" w:type="dxa"/>
              <w:bottom w:w="0" w:type="dxa"/>
              <w:right w:w="115" w:type="dxa"/>
            </w:tcMar>
          </w:tcPr>
          <w:p w:rsidR="009B4233" w:rsidRDefault="006B08B9">
            <w:pPr>
              <w:spacing w:line="249" w:lineRule="auto"/>
              <w:ind w:right="35"/>
              <w:jc w:val="center"/>
              <w:rPr>
                <w:rFonts w:ascii="Arial" w:hAnsi="Arial" w:cs="Arial"/>
                <w:sz w:val="22"/>
                <w:szCs w:val="22"/>
              </w:rPr>
            </w:pPr>
            <w:r>
              <w:rPr>
                <w:rFonts w:ascii="Arial" w:hAnsi="Arial" w:cs="Arial"/>
                <w:sz w:val="22"/>
                <w:szCs w:val="22"/>
              </w:rPr>
              <w:t>3.562.752,91 euros</w:t>
            </w:r>
          </w:p>
        </w:tc>
      </w:tr>
      <w:tr w:rsidR="009B4233">
        <w:tblPrEx>
          <w:tblCellMar>
            <w:top w:w="0" w:type="dxa"/>
            <w:bottom w:w="0" w:type="dxa"/>
          </w:tblCellMar>
        </w:tblPrEx>
        <w:trPr>
          <w:trHeight w:val="768"/>
        </w:trPr>
        <w:tc>
          <w:tcPr>
            <w:tcW w:w="2882" w:type="dxa"/>
            <w:tcBorders>
              <w:top w:val="single" w:sz="4" w:space="0" w:color="A6A6A6"/>
              <w:left w:val="single" w:sz="4" w:space="0" w:color="A6A6A6"/>
              <w:bottom w:val="single" w:sz="4" w:space="0" w:color="A6A6A6"/>
              <w:right w:val="single" w:sz="4" w:space="0" w:color="A6A6A6"/>
            </w:tcBorders>
            <w:shd w:val="clear" w:color="auto" w:fill="auto"/>
            <w:tcMar>
              <w:top w:w="12" w:type="dxa"/>
              <w:left w:w="170" w:type="dxa"/>
              <w:bottom w:w="0" w:type="dxa"/>
              <w:right w:w="115" w:type="dxa"/>
            </w:tcMar>
          </w:tcPr>
          <w:p w:rsidR="009B4233" w:rsidRDefault="006B08B9">
            <w:pPr>
              <w:spacing w:line="249" w:lineRule="auto"/>
              <w:ind w:right="36"/>
              <w:jc w:val="center"/>
              <w:rPr>
                <w:rFonts w:ascii="Arial" w:hAnsi="Arial" w:cs="Arial"/>
                <w:sz w:val="22"/>
                <w:szCs w:val="22"/>
              </w:rPr>
            </w:pPr>
            <w:r>
              <w:rPr>
                <w:rFonts w:ascii="Arial" w:hAnsi="Arial" w:cs="Arial"/>
                <w:sz w:val="22"/>
                <w:szCs w:val="22"/>
              </w:rPr>
              <w:t>2027</w:t>
            </w:r>
          </w:p>
        </w:tc>
        <w:tc>
          <w:tcPr>
            <w:tcW w:w="3088" w:type="dxa"/>
            <w:tcBorders>
              <w:top w:val="single" w:sz="4" w:space="0" w:color="A6A6A6"/>
              <w:left w:val="single" w:sz="4" w:space="0" w:color="A6A6A6"/>
              <w:bottom w:val="single" w:sz="4" w:space="0" w:color="A6A6A6"/>
              <w:right w:val="single" w:sz="4" w:space="0" w:color="A6A6A6"/>
            </w:tcBorders>
            <w:shd w:val="clear" w:color="auto" w:fill="auto"/>
            <w:tcMar>
              <w:top w:w="12" w:type="dxa"/>
              <w:left w:w="170" w:type="dxa"/>
              <w:bottom w:w="0" w:type="dxa"/>
              <w:right w:w="115" w:type="dxa"/>
            </w:tcMar>
          </w:tcPr>
          <w:p w:rsidR="009B4233" w:rsidRDefault="006B08B9">
            <w:pPr>
              <w:spacing w:after="90" w:line="249" w:lineRule="auto"/>
              <w:ind w:right="124"/>
              <w:jc w:val="center"/>
              <w:rPr>
                <w:rFonts w:ascii="Arial" w:hAnsi="Arial" w:cs="Arial"/>
                <w:sz w:val="22"/>
                <w:szCs w:val="22"/>
              </w:rPr>
            </w:pPr>
            <w:r>
              <w:rPr>
                <w:rFonts w:ascii="Arial" w:hAnsi="Arial" w:cs="Arial"/>
                <w:sz w:val="22"/>
                <w:szCs w:val="22"/>
              </w:rPr>
              <w:t xml:space="preserve">15100.60912 </w:t>
            </w:r>
          </w:p>
          <w:p w:rsidR="009B4233" w:rsidRDefault="006B08B9">
            <w:pPr>
              <w:spacing w:line="249" w:lineRule="auto"/>
              <w:ind w:right="122"/>
              <w:jc w:val="center"/>
              <w:rPr>
                <w:rFonts w:ascii="Arial" w:hAnsi="Arial" w:cs="Arial"/>
                <w:sz w:val="22"/>
                <w:szCs w:val="22"/>
              </w:rPr>
            </w:pPr>
            <w:r>
              <w:rPr>
                <w:rFonts w:ascii="Arial" w:hAnsi="Arial" w:cs="Arial"/>
                <w:sz w:val="22"/>
                <w:szCs w:val="22"/>
              </w:rPr>
              <w:t>(A.2.25.2.06550)</w:t>
            </w:r>
          </w:p>
        </w:tc>
        <w:tc>
          <w:tcPr>
            <w:tcW w:w="2892" w:type="dxa"/>
            <w:tcBorders>
              <w:top w:val="single" w:sz="4" w:space="0" w:color="A6A6A6"/>
              <w:left w:val="single" w:sz="4" w:space="0" w:color="A6A6A6"/>
              <w:bottom w:val="single" w:sz="4" w:space="0" w:color="A6A6A6"/>
              <w:right w:val="single" w:sz="4" w:space="0" w:color="A6A6A6"/>
            </w:tcBorders>
            <w:shd w:val="clear" w:color="auto" w:fill="auto"/>
            <w:tcMar>
              <w:top w:w="12" w:type="dxa"/>
              <w:left w:w="170" w:type="dxa"/>
              <w:bottom w:w="0" w:type="dxa"/>
              <w:right w:w="115" w:type="dxa"/>
            </w:tcMar>
          </w:tcPr>
          <w:p w:rsidR="009B4233" w:rsidRDefault="006B08B9">
            <w:pPr>
              <w:spacing w:line="249" w:lineRule="auto"/>
              <w:ind w:right="35"/>
              <w:jc w:val="center"/>
              <w:rPr>
                <w:rFonts w:ascii="Arial" w:hAnsi="Arial" w:cs="Arial"/>
                <w:sz w:val="22"/>
                <w:szCs w:val="22"/>
              </w:rPr>
            </w:pPr>
            <w:r>
              <w:rPr>
                <w:rFonts w:ascii="Arial" w:hAnsi="Arial" w:cs="Arial"/>
                <w:sz w:val="22"/>
                <w:szCs w:val="22"/>
              </w:rPr>
              <w:t>3.562.752,91 euros</w:t>
            </w:r>
          </w:p>
        </w:tc>
      </w:tr>
    </w:tbl>
    <w:p w:rsidR="009B4233" w:rsidRDefault="009B4233">
      <w:pPr>
        <w:ind w:left="-5"/>
        <w:jc w:val="both"/>
        <w:rPr>
          <w:rFonts w:ascii="Arial" w:eastAsia="Calibri" w:hAnsi="Arial" w:cs="Arial"/>
          <w:b/>
          <w:sz w:val="22"/>
          <w:szCs w:val="22"/>
        </w:rPr>
      </w:pPr>
    </w:p>
    <w:p w:rsidR="009B4233" w:rsidRDefault="006B08B9">
      <w:pPr>
        <w:ind w:left="-5"/>
        <w:jc w:val="both"/>
      </w:pPr>
      <w:r>
        <w:rPr>
          <w:rFonts w:ascii="Arial" w:eastAsia="Calibri" w:hAnsi="Arial" w:cs="Arial"/>
          <w:b/>
          <w:sz w:val="22"/>
          <w:szCs w:val="22"/>
        </w:rPr>
        <w:t>Tercero</w:t>
      </w:r>
      <w:r>
        <w:rPr>
          <w:rFonts w:ascii="Arial" w:hAnsi="Arial" w:cs="Arial"/>
          <w:sz w:val="22"/>
          <w:szCs w:val="22"/>
        </w:rPr>
        <w:t xml:space="preserve">.- Aprobar los Pliegos de Cláusulas Administrativas Particulares (PCAP), </w:t>
      </w:r>
      <w:r>
        <w:rPr>
          <w:rFonts w:ascii="Arial" w:hAnsi="Arial" w:cs="Arial"/>
          <w:sz w:val="22"/>
          <w:szCs w:val="22"/>
        </w:rPr>
        <w:t xml:space="preserve">de </w:t>
      </w:r>
    </w:p>
    <w:p w:rsidR="009B4233" w:rsidRDefault="006B08B9">
      <w:pPr>
        <w:ind w:left="-5"/>
        <w:jc w:val="both"/>
        <w:rPr>
          <w:rFonts w:ascii="Arial" w:hAnsi="Arial" w:cs="Arial"/>
          <w:sz w:val="22"/>
          <w:szCs w:val="22"/>
        </w:rPr>
      </w:pPr>
      <w:r>
        <w:rPr>
          <w:rFonts w:ascii="Arial" w:hAnsi="Arial" w:cs="Arial"/>
          <w:sz w:val="22"/>
          <w:szCs w:val="22"/>
        </w:rPr>
        <w:t xml:space="preserve">Prescripciones Técnicas (PPTP) y el informe de regulación de la contratación firmado por la Arquitecta municipal de fecha 18 de septiembre de 2025 que forma parte de la documentación técnica de la contratación, que regirán el contrato. </w:t>
      </w:r>
    </w:p>
    <w:p w:rsidR="009B4233" w:rsidRDefault="009B4233">
      <w:pPr>
        <w:ind w:left="-5"/>
        <w:jc w:val="both"/>
        <w:rPr>
          <w:rFonts w:ascii="Arial" w:eastAsia="Calibri" w:hAnsi="Arial" w:cs="Arial"/>
          <w:b/>
          <w:sz w:val="22"/>
          <w:szCs w:val="22"/>
        </w:rPr>
      </w:pPr>
    </w:p>
    <w:p w:rsidR="009B4233" w:rsidRDefault="006B08B9">
      <w:pPr>
        <w:ind w:left="-5"/>
        <w:jc w:val="both"/>
      </w:pPr>
      <w:r>
        <w:rPr>
          <w:rFonts w:ascii="Arial" w:eastAsia="Calibri" w:hAnsi="Arial" w:cs="Arial"/>
          <w:b/>
          <w:sz w:val="22"/>
          <w:szCs w:val="22"/>
        </w:rPr>
        <w:t>Cuarto</w:t>
      </w:r>
      <w:r>
        <w:rPr>
          <w:rFonts w:ascii="Arial" w:hAnsi="Arial" w:cs="Arial"/>
          <w:sz w:val="22"/>
          <w:szCs w:val="22"/>
        </w:rPr>
        <w:t>.- Publi</w:t>
      </w:r>
      <w:r>
        <w:rPr>
          <w:rFonts w:ascii="Arial" w:hAnsi="Arial" w:cs="Arial"/>
          <w:sz w:val="22"/>
          <w:szCs w:val="22"/>
        </w:rPr>
        <w:t xml:space="preserve">car el anuncio de licitación en el perfil de contratante con el contenido contemplado en el anexo III de la Ley 9/2017 de 8 de noviembre, de Contratos del Sector Público. </w:t>
      </w:r>
    </w:p>
    <w:p w:rsidR="009B4233" w:rsidRDefault="009B4233">
      <w:pPr>
        <w:ind w:left="-5"/>
        <w:jc w:val="both"/>
        <w:rPr>
          <w:rFonts w:ascii="Arial" w:eastAsia="Calibri" w:hAnsi="Arial" w:cs="Arial"/>
          <w:b/>
          <w:sz w:val="22"/>
          <w:szCs w:val="22"/>
        </w:rPr>
      </w:pPr>
    </w:p>
    <w:p w:rsidR="009B4233" w:rsidRDefault="006B08B9">
      <w:pPr>
        <w:ind w:left="-5"/>
        <w:jc w:val="both"/>
      </w:pPr>
      <w:r>
        <w:rPr>
          <w:rFonts w:ascii="Arial" w:eastAsia="Calibri" w:hAnsi="Arial" w:cs="Arial"/>
          <w:b/>
          <w:sz w:val="22"/>
          <w:szCs w:val="22"/>
        </w:rPr>
        <w:t>Quinto</w:t>
      </w:r>
      <w:r>
        <w:rPr>
          <w:rFonts w:ascii="Arial" w:hAnsi="Arial" w:cs="Arial"/>
          <w:sz w:val="22"/>
          <w:szCs w:val="22"/>
        </w:rPr>
        <w:t>.- Publicar en el perfil de contratante la siguiente documentación integrante</w:t>
      </w:r>
      <w:r>
        <w:rPr>
          <w:rFonts w:ascii="Arial" w:hAnsi="Arial" w:cs="Arial"/>
          <w:sz w:val="22"/>
          <w:szCs w:val="22"/>
        </w:rPr>
        <w:t xml:space="preserve"> del expediente de contratación: Memoria justificativa del contrato, PPTP, proyecto técnico, PCAP y la resolución por el que se aprueba el expediente. </w:t>
      </w:r>
    </w:p>
    <w:p w:rsidR="009B4233" w:rsidRDefault="009B4233">
      <w:pPr>
        <w:spacing w:after="457"/>
        <w:ind w:left="-5"/>
        <w:jc w:val="both"/>
        <w:rPr>
          <w:rFonts w:ascii="Arial" w:eastAsia="Calibri" w:hAnsi="Arial" w:cs="Arial"/>
          <w:b/>
          <w:sz w:val="22"/>
          <w:szCs w:val="22"/>
        </w:rPr>
      </w:pPr>
    </w:p>
    <w:p w:rsidR="009B4233" w:rsidRDefault="006B08B9">
      <w:pPr>
        <w:spacing w:after="457"/>
        <w:ind w:left="-5"/>
        <w:jc w:val="both"/>
      </w:pPr>
      <w:r>
        <w:rPr>
          <w:rFonts w:ascii="Arial" w:eastAsia="Calibri" w:hAnsi="Arial" w:cs="Arial"/>
          <w:b/>
          <w:sz w:val="22"/>
          <w:szCs w:val="22"/>
        </w:rPr>
        <w:t>Sexto</w:t>
      </w:r>
      <w:r>
        <w:rPr>
          <w:rFonts w:ascii="Arial" w:hAnsi="Arial" w:cs="Arial"/>
          <w:sz w:val="22"/>
          <w:szCs w:val="22"/>
        </w:rPr>
        <w:t>.- Designar como Unidad encargada del seguimiento y ejecución del contrato: Oficina Técnica Munici</w:t>
      </w:r>
      <w:r>
        <w:rPr>
          <w:rFonts w:ascii="Arial" w:hAnsi="Arial" w:cs="Arial"/>
          <w:sz w:val="22"/>
          <w:szCs w:val="22"/>
        </w:rPr>
        <w:t>pal de la Concejalía Delegada de Gestión y Planificación Urbanística y Vivienda según la cláusula 33ª del PCAP.</w:t>
      </w:r>
    </w:p>
    <w:p w:rsidR="009B4233" w:rsidRDefault="009B4233">
      <w:pPr>
        <w:spacing w:after="457"/>
        <w:ind w:left="-5"/>
        <w:jc w:val="both"/>
        <w:rPr>
          <w:rFonts w:ascii="Arial" w:hAnsi="Arial" w:cs="Arial"/>
          <w:b/>
          <w:sz w:val="22"/>
          <w:szCs w:val="22"/>
        </w:rPr>
      </w:pPr>
    </w:p>
    <w:p w:rsidR="009B4233" w:rsidRDefault="009B4233">
      <w:pPr>
        <w:spacing w:after="457"/>
        <w:ind w:left="-5"/>
        <w:jc w:val="both"/>
        <w:rPr>
          <w:rFonts w:ascii="Arial" w:hAnsi="Arial" w:cs="Arial"/>
          <w:b/>
          <w:sz w:val="22"/>
          <w:szCs w:val="22"/>
        </w:rPr>
      </w:pPr>
    </w:p>
    <w:p w:rsidR="009B4233" w:rsidRDefault="006B08B9">
      <w:pPr>
        <w:spacing w:after="457"/>
        <w:ind w:left="-5"/>
        <w:jc w:val="both"/>
      </w:pPr>
      <w:r>
        <w:rPr>
          <w:rFonts w:ascii="Arial" w:hAnsi="Arial" w:cs="Arial"/>
          <w:b/>
          <w:sz w:val="22"/>
          <w:szCs w:val="22"/>
        </w:rPr>
        <w:t xml:space="preserve">DICTAMEN FAVORABLE DE LA COMISIÓN INFORMATIVA DE URBANISMO, OBRAS Y SERVICIOS PÚBLICOS DE 29 DE SEPTIEMBRE DE 2025. </w:t>
      </w:r>
    </w:p>
    <w:p w:rsidR="009B4233" w:rsidRDefault="009B4233">
      <w:pPr>
        <w:jc w:val="both"/>
        <w:rPr>
          <w:rFonts w:ascii="Arial" w:hAnsi="Arial" w:cs="Arial"/>
          <w:b/>
          <w:sz w:val="22"/>
          <w:szCs w:val="22"/>
        </w:rPr>
      </w:pPr>
    </w:p>
    <w:p w:rsidR="009B4233" w:rsidRDefault="006B08B9">
      <w:pPr>
        <w:ind w:firstLine="709"/>
        <w:jc w:val="both"/>
        <w:rPr>
          <w:rFonts w:ascii="Arial" w:hAnsi="Arial" w:cs="Arial"/>
          <w:b/>
          <w:sz w:val="22"/>
          <w:szCs w:val="22"/>
        </w:rPr>
      </w:pPr>
      <w:r>
        <w:rPr>
          <w:rFonts w:ascii="Arial" w:hAnsi="Arial" w:cs="Arial"/>
          <w:b/>
          <w:sz w:val="22"/>
          <w:szCs w:val="22"/>
        </w:rPr>
        <w:t xml:space="preserve">Previa ratificación de </w:t>
      </w:r>
      <w:r>
        <w:rPr>
          <w:rFonts w:ascii="Arial" w:hAnsi="Arial" w:cs="Arial"/>
          <w:b/>
          <w:sz w:val="22"/>
          <w:szCs w:val="22"/>
        </w:rPr>
        <w:t>la urgencia, por la unanimidad de los concejales presentes, se pasó al debate y votación del asunto en comisión, con el siguiente resultado de aprobación del dictamen, que es el informe propuesta transcrito precedentemente.</w:t>
      </w:r>
    </w:p>
    <w:p w:rsidR="009B4233" w:rsidRDefault="009B4233">
      <w:pPr>
        <w:jc w:val="both"/>
        <w:rPr>
          <w:rFonts w:ascii="Arial" w:hAnsi="Arial" w:cs="Arial"/>
          <w:b/>
          <w:sz w:val="22"/>
          <w:szCs w:val="22"/>
        </w:rPr>
      </w:pPr>
    </w:p>
    <w:p w:rsidR="009B4233" w:rsidRDefault="006B08B9">
      <w:pPr>
        <w:rPr>
          <w:rFonts w:ascii="Arial" w:hAnsi="Arial" w:cs="Arial"/>
          <w:sz w:val="22"/>
          <w:szCs w:val="22"/>
        </w:rPr>
      </w:pPr>
      <w:r>
        <w:rPr>
          <w:rFonts w:ascii="Arial" w:hAnsi="Arial" w:cs="Arial"/>
          <w:sz w:val="22"/>
          <w:szCs w:val="22"/>
        </w:rPr>
        <w:t>Votos a favor: 4.</w:t>
      </w:r>
    </w:p>
    <w:p w:rsidR="009B4233" w:rsidRDefault="006B08B9">
      <w:pPr>
        <w:jc w:val="both"/>
        <w:rPr>
          <w:rFonts w:ascii="Arial" w:hAnsi="Arial" w:cs="Arial"/>
          <w:sz w:val="22"/>
          <w:szCs w:val="22"/>
        </w:rPr>
      </w:pPr>
      <w:r>
        <w:rPr>
          <w:rFonts w:ascii="Arial" w:hAnsi="Arial" w:cs="Arial"/>
          <w:sz w:val="22"/>
          <w:szCs w:val="22"/>
        </w:rPr>
        <w:t>Los 4 conceja</w:t>
      </w:r>
      <w:r>
        <w:rPr>
          <w:rFonts w:ascii="Arial" w:hAnsi="Arial" w:cs="Arial"/>
          <w:sz w:val="22"/>
          <w:szCs w:val="22"/>
        </w:rPr>
        <w:t xml:space="preserve">les del Grupo Socialista: D. Reinaldo José Triviño Blanco, Don Jorge Baute Delgado, Doña Margarita Eva Tendero Barroso y Doña Mónica Montserrat Yanes Delgado. </w:t>
      </w:r>
    </w:p>
    <w:p w:rsidR="009B4233" w:rsidRDefault="009B4233">
      <w:pPr>
        <w:jc w:val="both"/>
        <w:rPr>
          <w:rFonts w:ascii="Arial" w:hAnsi="Arial" w:cs="Arial"/>
          <w:sz w:val="22"/>
          <w:szCs w:val="22"/>
        </w:rPr>
      </w:pPr>
    </w:p>
    <w:p w:rsidR="009B4233" w:rsidRDefault="006B08B9">
      <w:pPr>
        <w:jc w:val="both"/>
        <w:rPr>
          <w:rFonts w:ascii="Arial" w:hAnsi="Arial" w:cs="Arial"/>
          <w:sz w:val="22"/>
          <w:szCs w:val="22"/>
        </w:rPr>
      </w:pPr>
      <w:r>
        <w:rPr>
          <w:rFonts w:ascii="Arial" w:hAnsi="Arial" w:cs="Arial"/>
          <w:sz w:val="22"/>
          <w:szCs w:val="22"/>
        </w:rPr>
        <w:t>Votos en contra: 0.</w:t>
      </w:r>
    </w:p>
    <w:p w:rsidR="009B4233" w:rsidRDefault="009B4233">
      <w:pPr>
        <w:jc w:val="both"/>
        <w:rPr>
          <w:rFonts w:ascii="Arial" w:hAnsi="Arial" w:cs="Arial"/>
          <w:sz w:val="22"/>
          <w:szCs w:val="22"/>
        </w:rPr>
      </w:pPr>
    </w:p>
    <w:p w:rsidR="009B4233" w:rsidRDefault="006B08B9">
      <w:pPr>
        <w:jc w:val="both"/>
        <w:rPr>
          <w:rFonts w:ascii="Arial" w:hAnsi="Arial" w:cs="Arial"/>
          <w:sz w:val="22"/>
          <w:szCs w:val="22"/>
        </w:rPr>
      </w:pPr>
      <w:r>
        <w:rPr>
          <w:rFonts w:ascii="Arial" w:hAnsi="Arial" w:cs="Arial"/>
          <w:sz w:val="22"/>
          <w:szCs w:val="22"/>
        </w:rPr>
        <w:t>Abstenciones: 2.</w:t>
      </w:r>
    </w:p>
    <w:p w:rsidR="009B4233" w:rsidRDefault="009B4233">
      <w:pPr>
        <w:rPr>
          <w:rFonts w:ascii="Arial" w:hAnsi="Arial" w:cs="Arial"/>
          <w:sz w:val="22"/>
          <w:szCs w:val="22"/>
        </w:rPr>
      </w:pPr>
    </w:p>
    <w:p w:rsidR="009B4233" w:rsidRDefault="006B08B9">
      <w:pPr>
        <w:jc w:val="both"/>
        <w:rPr>
          <w:rFonts w:ascii="Arial" w:hAnsi="Arial" w:cs="Arial"/>
          <w:sz w:val="22"/>
          <w:szCs w:val="22"/>
        </w:rPr>
      </w:pPr>
      <w:r>
        <w:rPr>
          <w:rFonts w:ascii="Arial" w:hAnsi="Arial" w:cs="Arial"/>
          <w:sz w:val="22"/>
          <w:szCs w:val="22"/>
        </w:rPr>
        <w:t>1 concejal del Grupo Popular: D. Jacobo López Fariña.</w:t>
      </w:r>
    </w:p>
    <w:p w:rsidR="009B4233" w:rsidRDefault="009B4233">
      <w:pPr>
        <w:jc w:val="both"/>
        <w:rPr>
          <w:rFonts w:ascii="Arial" w:hAnsi="Arial" w:cs="Arial"/>
          <w:sz w:val="22"/>
          <w:szCs w:val="22"/>
        </w:rPr>
      </w:pPr>
    </w:p>
    <w:p w:rsidR="009B4233" w:rsidRDefault="006B08B9">
      <w:pPr>
        <w:jc w:val="both"/>
        <w:rPr>
          <w:rFonts w:ascii="Arial" w:hAnsi="Arial" w:cs="Arial"/>
          <w:sz w:val="22"/>
          <w:szCs w:val="22"/>
        </w:rPr>
      </w:pPr>
      <w:r>
        <w:rPr>
          <w:rFonts w:ascii="Arial" w:hAnsi="Arial" w:cs="Arial"/>
          <w:sz w:val="22"/>
          <w:szCs w:val="22"/>
        </w:rPr>
        <w:t>1</w:t>
      </w:r>
      <w:r>
        <w:rPr>
          <w:rFonts w:ascii="Arial" w:hAnsi="Arial" w:cs="Arial"/>
          <w:sz w:val="22"/>
          <w:szCs w:val="22"/>
        </w:rPr>
        <w:t xml:space="preserve"> del concejal del Grupo Mixto (USP): Doña Violeta López Jiménez.</w:t>
      </w:r>
    </w:p>
    <w:p w:rsidR="009B4233" w:rsidRDefault="009B4233">
      <w:pPr>
        <w:rPr>
          <w:rFonts w:ascii="Arial" w:hAnsi="Arial" w:cs="Arial"/>
          <w:b/>
          <w:sz w:val="22"/>
          <w:szCs w:val="22"/>
        </w:rPr>
      </w:pPr>
    </w:p>
    <w:p w:rsidR="009B4233" w:rsidRDefault="009B4233">
      <w:pPr>
        <w:pStyle w:val="Textoindependiente"/>
        <w:jc w:val="both"/>
        <w:rPr>
          <w:rFonts w:cs="Arial"/>
          <w:b/>
          <w:szCs w:val="22"/>
        </w:rPr>
      </w:pPr>
    </w:p>
    <w:p w:rsidR="009B4233" w:rsidRDefault="006B08B9">
      <w:pPr>
        <w:pStyle w:val="Textoindependiente"/>
        <w:jc w:val="both"/>
      </w:pPr>
      <w:r>
        <w:rPr>
          <w:rFonts w:cs="Arial"/>
          <w:b/>
          <w:szCs w:val="22"/>
        </w:rPr>
        <w:t>JUNTA DE PORTAVOCES DE 25 DE SEPTIEMBRE DE 2025.</w:t>
      </w:r>
    </w:p>
    <w:p w:rsidR="009B4233" w:rsidRDefault="006B08B9">
      <w:pPr>
        <w:rPr>
          <w:rFonts w:ascii="Arial" w:hAnsi="Arial" w:cs="Arial"/>
          <w:sz w:val="22"/>
          <w:szCs w:val="22"/>
        </w:rPr>
      </w:pPr>
      <w:r>
        <w:rPr>
          <w:rFonts w:ascii="Arial" w:hAnsi="Arial" w:cs="Arial"/>
          <w:sz w:val="22"/>
          <w:szCs w:val="22"/>
        </w:rPr>
        <w:t xml:space="preserve">Quedó oída. </w:t>
      </w:r>
    </w:p>
    <w:p w:rsidR="009B4233" w:rsidRDefault="009B4233">
      <w:pPr>
        <w:rPr>
          <w:rFonts w:ascii="Arial" w:hAnsi="Arial" w:cs="Arial"/>
          <w:sz w:val="22"/>
          <w:szCs w:val="22"/>
        </w:rPr>
      </w:pPr>
    </w:p>
    <w:p w:rsidR="009B4233" w:rsidRDefault="009B4233">
      <w:pPr>
        <w:rPr>
          <w:rFonts w:ascii="Arial" w:hAnsi="Arial" w:cs="Arial"/>
          <w:sz w:val="22"/>
          <w:szCs w:val="22"/>
        </w:rPr>
      </w:pPr>
    </w:p>
    <w:p w:rsidR="009B4233" w:rsidRDefault="009B4233">
      <w:pPr>
        <w:rPr>
          <w:rFonts w:ascii="Arial" w:hAnsi="Arial" w:cs="Arial"/>
          <w:sz w:val="22"/>
          <w:szCs w:val="22"/>
        </w:rPr>
      </w:pPr>
    </w:p>
    <w:p w:rsidR="009B4233" w:rsidRDefault="006B08B9">
      <w:pPr>
        <w:jc w:val="center"/>
      </w:pPr>
      <w:r>
        <w:rPr>
          <w:rFonts w:ascii="Arial" w:hAnsi="Arial" w:cs="Arial"/>
          <w:b/>
          <w:sz w:val="22"/>
          <w:szCs w:val="22"/>
        </w:rPr>
        <w:t>VOTACIÓN EN EL PLENO DE 25 DE SEPTIEMBRE DE 2025.</w:t>
      </w:r>
    </w:p>
    <w:p w:rsidR="009B4233" w:rsidRDefault="009B4233">
      <w:pPr>
        <w:rPr>
          <w:rFonts w:ascii="Arial" w:hAnsi="Arial" w:cs="Arial"/>
          <w:sz w:val="22"/>
          <w:szCs w:val="22"/>
        </w:rPr>
      </w:pPr>
    </w:p>
    <w:p w:rsidR="009B4233" w:rsidRDefault="006B08B9">
      <w:pPr>
        <w:ind w:firstLine="709"/>
        <w:jc w:val="both"/>
        <w:rPr>
          <w:rFonts w:ascii="Arial" w:hAnsi="Arial" w:cs="Arial"/>
          <w:sz w:val="22"/>
          <w:szCs w:val="22"/>
        </w:rPr>
      </w:pPr>
      <w:r>
        <w:rPr>
          <w:rFonts w:ascii="Arial" w:hAnsi="Arial" w:cs="Arial"/>
          <w:sz w:val="22"/>
          <w:szCs w:val="22"/>
        </w:rPr>
        <w:t>Votos a favor: La unanimidad de los 20 concejales presentes:</w:t>
      </w:r>
    </w:p>
    <w:p w:rsidR="009B4233" w:rsidRDefault="009B4233">
      <w:pPr>
        <w:jc w:val="both"/>
        <w:rPr>
          <w:rFonts w:ascii="Arial" w:hAnsi="Arial" w:cs="Arial"/>
          <w:sz w:val="22"/>
          <w:szCs w:val="22"/>
        </w:rPr>
      </w:pPr>
    </w:p>
    <w:p w:rsidR="009B4233" w:rsidRDefault="006B08B9">
      <w:pPr>
        <w:ind w:firstLine="709"/>
        <w:jc w:val="both"/>
        <w:rPr>
          <w:rFonts w:ascii="Arial" w:hAnsi="Arial" w:cs="Arial"/>
          <w:sz w:val="22"/>
          <w:szCs w:val="22"/>
        </w:rPr>
      </w:pPr>
      <w:r>
        <w:rPr>
          <w:rFonts w:ascii="Arial" w:hAnsi="Arial" w:cs="Arial"/>
          <w:sz w:val="22"/>
          <w:szCs w:val="22"/>
        </w:rPr>
        <w:t xml:space="preserve">11 </w:t>
      </w:r>
      <w:r>
        <w:rPr>
          <w:rFonts w:ascii="Arial" w:hAnsi="Arial" w:cs="Arial"/>
          <w:sz w:val="22"/>
          <w:szCs w:val="22"/>
        </w:rPr>
        <w:t>concejales del Grupo Socialista: Doña María Concepción Brito Núñez, Don Jorge Baute Delgado, Don José Francisco Pinto Ramos, Doña Olivia Concepción Pérez Díaz, Don Reinaldo José Triviño Blanco, Don Manuel Alberto González Pestano, Doña Margarita Eva Tender</w:t>
      </w:r>
      <w:r>
        <w:rPr>
          <w:rFonts w:ascii="Arial" w:hAnsi="Arial" w:cs="Arial"/>
          <w:sz w:val="22"/>
          <w:szCs w:val="22"/>
        </w:rPr>
        <w:t xml:space="preserve">o Barroso, Don Airam Pérez Chinea, Doña María del Carmen Clemente Díaz, Don Olegario Francisco Alonso Bello, Doña Mónica Monserrat Yanes Delgado. </w:t>
      </w:r>
    </w:p>
    <w:p w:rsidR="009B4233" w:rsidRDefault="009B4233">
      <w:pPr>
        <w:jc w:val="both"/>
        <w:rPr>
          <w:rFonts w:ascii="Arial" w:hAnsi="Arial" w:cs="Arial"/>
          <w:sz w:val="22"/>
          <w:szCs w:val="22"/>
        </w:rPr>
      </w:pPr>
    </w:p>
    <w:p w:rsidR="009B4233" w:rsidRDefault="006B08B9">
      <w:pPr>
        <w:ind w:firstLine="709"/>
        <w:jc w:val="both"/>
        <w:rPr>
          <w:rFonts w:ascii="Arial" w:hAnsi="Arial" w:cs="Arial"/>
          <w:sz w:val="22"/>
          <w:szCs w:val="22"/>
        </w:rPr>
      </w:pPr>
      <w:r>
        <w:rPr>
          <w:rFonts w:ascii="Arial" w:hAnsi="Arial" w:cs="Arial"/>
          <w:sz w:val="22"/>
          <w:szCs w:val="22"/>
        </w:rPr>
        <w:t>5 concejales del Grupo Popular: Don Jacobo López Fariña, Don Miguel Eduardo Hernández Chitty, Doña María Car</w:t>
      </w:r>
      <w:r>
        <w:rPr>
          <w:rFonts w:ascii="Arial" w:hAnsi="Arial" w:cs="Arial"/>
          <w:sz w:val="22"/>
          <w:szCs w:val="22"/>
        </w:rPr>
        <w:t xml:space="preserve">lota Díaz González, Don José Daniel Sosa González, y Doña Shaila Castellano Batista. </w:t>
      </w:r>
    </w:p>
    <w:p w:rsidR="009B4233" w:rsidRDefault="009B4233">
      <w:pPr>
        <w:jc w:val="both"/>
        <w:rPr>
          <w:rFonts w:ascii="Arial" w:hAnsi="Arial" w:cs="Arial"/>
          <w:sz w:val="22"/>
          <w:szCs w:val="22"/>
        </w:rPr>
      </w:pPr>
    </w:p>
    <w:p w:rsidR="009B4233" w:rsidRDefault="006B08B9">
      <w:pPr>
        <w:ind w:firstLine="709"/>
        <w:jc w:val="both"/>
      </w:pPr>
      <w:r>
        <w:rPr>
          <w:rFonts w:ascii="Arial" w:hAnsi="Arial" w:cs="Arial"/>
          <w:sz w:val="22"/>
          <w:szCs w:val="22"/>
        </w:rPr>
        <w:t>4 concejales del Grupo Mixto: Doña Ángela Cruz Perera Armas y Don José Yeray Padilla Cruz (CC), Don José Tortosa Pallarés (VOX) y Doña Violeta López Jiménez (USP)</w:t>
      </w:r>
    </w:p>
    <w:p w:rsidR="009B4233" w:rsidRDefault="006B08B9">
      <w:pPr>
        <w:jc w:val="both"/>
        <w:rPr>
          <w:rFonts w:ascii="Arial" w:hAnsi="Arial" w:cs="Arial"/>
          <w:b/>
          <w:sz w:val="22"/>
          <w:szCs w:val="22"/>
        </w:rPr>
      </w:pPr>
      <w:r>
        <w:rPr>
          <w:rFonts w:ascii="Arial" w:hAnsi="Arial" w:cs="Arial"/>
          <w:b/>
          <w:sz w:val="22"/>
          <w:szCs w:val="22"/>
        </w:rPr>
        <w:t xml:space="preserve">      </w:t>
      </w:r>
      <w:r>
        <w:rPr>
          <w:rFonts w:ascii="Arial" w:hAnsi="Arial" w:cs="Arial"/>
          <w:b/>
          <w:sz w:val="22"/>
          <w:szCs w:val="22"/>
        </w:rPr>
        <w:t xml:space="preserve">                    </w:t>
      </w:r>
    </w:p>
    <w:p w:rsidR="009B4233" w:rsidRDefault="009B4233">
      <w:pPr>
        <w:pStyle w:val="Textoindependiente"/>
        <w:ind w:left="709" w:firstLine="709"/>
        <w:rPr>
          <w:rFonts w:cs="Arial"/>
          <w:b/>
          <w:szCs w:val="22"/>
        </w:rPr>
      </w:pPr>
    </w:p>
    <w:p w:rsidR="009B4233" w:rsidRDefault="009B4233">
      <w:pPr>
        <w:pStyle w:val="Textoindependiente"/>
        <w:ind w:left="709" w:firstLine="709"/>
        <w:rPr>
          <w:rFonts w:cs="Arial"/>
          <w:b/>
          <w:szCs w:val="22"/>
        </w:rPr>
      </w:pPr>
    </w:p>
    <w:p w:rsidR="009B4233" w:rsidRDefault="009B4233">
      <w:pPr>
        <w:pStyle w:val="Textoindependiente"/>
        <w:ind w:left="709" w:firstLine="709"/>
        <w:rPr>
          <w:rFonts w:cs="Arial"/>
          <w:b/>
          <w:szCs w:val="22"/>
        </w:rPr>
      </w:pPr>
    </w:p>
    <w:p w:rsidR="009B4233" w:rsidRDefault="006B08B9">
      <w:pPr>
        <w:pStyle w:val="Textoindependiente"/>
        <w:ind w:left="709" w:firstLine="709"/>
        <w:rPr>
          <w:rFonts w:cs="Arial"/>
          <w:b/>
          <w:szCs w:val="22"/>
        </w:rPr>
      </w:pPr>
      <w:r>
        <w:rPr>
          <w:rFonts w:cs="Arial"/>
          <w:b/>
          <w:szCs w:val="22"/>
        </w:rPr>
        <w:t>ACUERDO DEL PLENO DE 25 DE SEPTIEMBRE DE 2025.</w:t>
      </w:r>
    </w:p>
    <w:p w:rsidR="009B4233" w:rsidRDefault="006B08B9">
      <w:pPr>
        <w:ind w:firstLine="709"/>
        <w:jc w:val="both"/>
      </w:pPr>
      <w:r>
        <w:rPr>
          <w:rFonts w:ascii="Arial" w:eastAsia="Calibri" w:hAnsi="Arial" w:cs="Arial"/>
          <w:b/>
          <w:sz w:val="22"/>
          <w:szCs w:val="22"/>
        </w:rPr>
        <w:t>Primero</w:t>
      </w:r>
      <w:r>
        <w:rPr>
          <w:rFonts w:ascii="Arial" w:hAnsi="Arial" w:cs="Arial"/>
          <w:b/>
          <w:sz w:val="22"/>
          <w:szCs w:val="22"/>
        </w:rPr>
        <w:t xml:space="preserve">. - Aprobar el expediente del contrato de obras, mediante procedimiento abierto, regulación armonizada, consistente en “Proyecto de ejecución de Piscina de Candelaria”, convocar </w:t>
      </w:r>
      <w:r>
        <w:rPr>
          <w:rFonts w:ascii="Arial" w:hAnsi="Arial" w:cs="Arial"/>
          <w:b/>
          <w:sz w:val="22"/>
          <w:szCs w:val="22"/>
        </w:rPr>
        <w:t>su licitación y disponer la apertura del procedimiento de adjudicación.</w:t>
      </w:r>
    </w:p>
    <w:p w:rsidR="009B4233" w:rsidRDefault="009B4233">
      <w:pPr>
        <w:ind w:left="-5"/>
        <w:jc w:val="both"/>
        <w:rPr>
          <w:rFonts w:ascii="Arial" w:hAnsi="Arial" w:cs="Arial"/>
          <w:b/>
          <w:sz w:val="22"/>
          <w:szCs w:val="22"/>
        </w:rPr>
      </w:pPr>
    </w:p>
    <w:p w:rsidR="009B4233" w:rsidRDefault="006B08B9">
      <w:pPr>
        <w:spacing w:after="203"/>
        <w:ind w:left="-5" w:firstLine="714"/>
        <w:jc w:val="both"/>
      </w:pPr>
      <w:r>
        <w:rPr>
          <w:rFonts w:ascii="Arial" w:eastAsia="Calibri" w:hAnsi="Arial" w:cs="Arial"/>
          <w:b/>
          <w:sz w:val="22"/>
          <w:szCs w:val="22"/>
        </w:rPr>
        <w:t>Segundo</w:t>
      </w:r>
      <w:r>
        <w:rPr>
          <w:rFonts w:ascii="Arial" w:hAnsi="Arial" w:cs="Arial"/>
          <w:b/>
          <w:sz w:val="22"/>
          <w:szCs w:val="22"/>
        </w:rPr>
        <w:t>. - Aprobar el gasto correspondiente por importe de 7.125.505,82</w:t>
      </w:r>
      <w:r>
        <w:rPr>
          <w:rFonts w:ascii="Arial" w:eastAsia="Calibri" w:hAnsi="Arial" w:cs="Arial"/>
          <w:b/>
          <w:sz w:val="22"/>
          <w:szCs w:val="22"/>
        </w:rPr>
        <w:t xml:space="preserve"> </w:t>
      </w:r>
      <w:r>
        <w:rPr>
          <w:rFonts w:ascii="Arial" w:hAnsi="Arial" w:cs="Arial"/>
          <w:b/>
          <w:sz w:val="22"/>
          <w:szCs w:val="22"/>
        </w:rPr>
        <w:t>€ (IGIC incluido) con cargo a la aplicación presupuestaria y anualidades que se especifican a continuación:</w:t>
      </w:r>
    </w:p>
    <w:tbl>
      <w:tblPr>
        <w:tblW w:w="8862" w:type="dxa"/>
        <w:tblInd w:w="-116" w:type="dxa"/>
        <w:tblCellMar>
          <w:left w:w="10" w:type="dxa"/>
          <w:right w:w="10" w:type="dxa"/>
        </w:tblCellMar>
        <w:tblLook w:val="0000" w:firstRow="0" w:lastRow="0" w:firstColumn="0" w:lastColumn="0" w:noHBand="0" w:noVBand="0"/>
      </w:tblPr>
      <w:tblGrid>
        <w:gridCol w:w="2882"/>
        <w:gridCol w:w="3088"/>
        <w:gridCol w:w="2892"/>
      </w:tblGrid>
      <w:tr w:rsidR="009B4233">
        <w:tblPrEx>
          <w:tblCellMar>
            <w:top w:w="0" w:type="dxa"/>
            <w:bottom w:w="0" w:type="dxa"/>
          </w:tblCellMar>
        </w:tblPrEx>
        <w:trPr>
          <w:trHeight w:val="388"/>
        </w:trPr>
        <w:tc>
          <w:tcPr>
            <w:tcW w:w="2882" w:type="dxa"/>
            <w:tcBorders>
              <w:top w:val="single" w:sz="4" w:space="0" w:color="A6A6A6"/>
              <w:left w:val="single" w:sz="4" w:space="0" w:color="A6A6A6"/>
              <w:bottom w:val="single" w:sz="4" w:space="0" w:color="A6A6A6"/>
              <w:right w:val="single" w:sz="4" w:space="0" w:color="A6A6A6"/>
            </w:tcBorders>
            <w:shd w:val="clear" w:color="auto" w:fill="auto"/>
            <w:tcMar>
              <w:top w:w="12" w:type="dxa"/>
              <w:left w:w="170" w:type="dxa"/>
              <w:bottom w:w="0" w:type="dxa"/>
              <w:right w:w="115" w:type="dxa"/>
            </w:tcMar>
          </w:tcPr>
          <w:p w:rsidR="009B4233" w:rsidRDefault="006B08B9">
            <w:pPr>
              <w:spacing w:line="249" w:lineRule="auto"/>
              <w:ind w:right="51"/>
              <w:jc w:val="center"/>
            </w:pPr>
            <w:r>
              <w:rPr>
                <w:rFonts w:ascii="Arial" w:eastAsia="Calibri" w:hAnsi="Arial" w:cs="Arial"/>
                <w:b/>
                <w:i/>
                <w:sz w:val="22"/>
                <w:szCs w:val="22"/>
              </w:rPr>
              <w:t>Anualidad</w:t>
            </w:r>
          </w:p>
        </w:tc>
        <w:tc>
          <w:tcPr>
            <w:tcW w:w="3088" w:type="dxa"/>
            <w:tcBorders>
              <w:top w:val="single" w:sz="4" w:space="0" w:color="A6A6A6"/>
              <w:left w:val="single" w:sz="4" w:space="0" w:color="A6A6A6"/>
              <w:bottom w:val="single" w:sz="4" w:space="0" w:color="A6A6A6"/>
              <w:right w:val="single" w:sz="4" w:space="0" w:color="A6A6A6"/>
            </w:tcBorders>
            <w:shd w:val="clear" w:color="auto" w:fill="auto"/>
            <w:tcMar>
              <w:top w:w="12" w:type="dxa"/>
              <w:left w:w="170" w:type="dxa"/>
              <w:bottom w:w="0" w:type="dxa"/>
              <w:right w:w="115" w:type="dxa"/>
            </w:tcMar>
          </w:tcPr>
          <w:p w:rsidR="009B4233" w:rsidRDefault="006B08B9">
            <w:pPr>
              <w:spacing w:line="249" w:lineRule="auto"/>
            </w:pPr>
            <w:r>
              <w:rPr>
                <w:rFonts w:ascii="Arial" w:eastAsia="Calibri" w:hAnsi="Arial" w:cs="Arial"/>
                <w:b/>
                <w:i/>
                <w:sz w:val="22"/>
                <w:szCs w:val="22"/>
              </w:rPr>
              <w:t>Aplicación presupuestaria</w:t>
            </w:r>
          </w:p>
        </w:tc>
        <w:tc>
          <w:tcPr>
            <w:tcW w:w="2892" w:type="dxa"/>
            <w:tcBorders>
              <w:top w:val="single" w:sz="4" w:space="0" w:color="A6A6A6"/>
              <w:left w:val="single" w:sz="4" w:space="0" w:color="A6A6A6"/>
              <w:bottom w:val="single" w:sz="4" w:space="0" w:color="A6A6A6"/>
              <w:right w:val="single" w:sz="4" w:space="0" w:color="A6A6A6"/>
            </w:tcBorders>
            <w:shd w:val="clear" w:color="auto" w:fill="auto"/>
            <w:tcMar>
              <w:top w:w="12" w:type="dxa"/>
              <w:left w:w="170" w:type="dxa"/>
              <w:bottom w:w="0" w:type="dxa"/>
              <w:right w:w="115" w:type="dxa"/>
            </w:tcMar>
          </w:tcPr>
          <w:p w:rsidR="009B4233" w:rsidRDefault="006B08B9">
            <w:pPr>
              <w:spacing w:line="249" w:lineRule="auto"/>
              <w:ind w:right="49"/>
              <w:jc w:val="center"/>
            </w:pPr>
            <w:r>
              <w:rPr>
                <w:rFonts w:ascii="Arial" w:eastAsia="Calibri" w:hAnsi="Arial" w:cs="Arial"/>
                <w:b/>
                <w:i/>
                <w:sz w:val="22"/>
                <w:szCs w:val="22"/>
              </w:rPr>
              <w:t>Importe</w:t>
            </w:r>
          </w:p>
        </w:tc>
      </w:tr>
      <w:tr w:rsidR="009B4233">
        <w:tblPrEx>
          <w:tblCellMar>
            <w:top w:w="0" w:type="dxa"/>
            <w:bottom w:w="0" w:type="dxa"/>
          </w:tblCellMar>
        </w:tblPrEx>
        <w:trPr>
          <w:trHeight w:val="768"/>
        </w:trPr>
        <w:tc>
          <w:tcPr>
            <w:tcW w:w="2882" w:type="dxa"/>
            <w:tcBorders>
              <w:top w:val="single" w:sz="4" w:space="0" w:color="A6A6A6"/>
              <w:left w:val="single" w:sz="4" w:space="0" w:color="A6A6A6"/>
              <w:bottom w:val="single" w:sz="4" w:space="0" w:color="A6A6A6"/>
              <w:right w:val="single" w:sz="4" w:space="0" w:color="A6A6A6"/>
            </w:tcBorders>
            <w:shd w:val="clear" w:color="auto" w:fill="auto"/>
            <w:tcMar>
              <w:top w:w="12" w:type="dxa"/>
              <w:left w:w="170" w:type="dxa"/>
              <w:bottom w:w="0" w:type="dxa"/>
              <w:right w:w="115" w:type="dxa"/>
            </w:tcMar>
          </w:tcPr>
          <w:p w:rsidR="009B4233" w:rsidRDefault="006B08B9">
            <w:pPr>
              <w:spacing w:line="249" w:lineRule="auto"/>
              <w:ind w:right="36"/>
              <w:jc w:val="center"/>
              <w:rPr>
                <w:rFonts w:ascii="Arial" w:hAnsi="Arial" w:cs="Arial"/>
                <w:b/>
                <w:sz w:val="22"/>
                <w:szCs w:val="22"/>
              </w:rPr>
            </w:pPr>
            <w:r>
              <w:rPr>
                <w:rFonts w:ascii="Arial" w:hAnsi="Arial" w:cs="Arial"/>
                <w:b/>
                <w:sz w:val="22"/>
                <w:szCs w:val="22"/>
              </w:rPr>
              <w:t>2026</w:t>
            </w:r>
          </w:p>
        </w:tc>
        <w:tc>
          <w:tcPr>
            <w:tcW w:w="3088" w:type="dxa"/>
            <w:tcBorders>
              <w:top w:val="single" w:sz="4" w:space="0" w:color="A6A6A6"/>
              <w:left w:val="single" w:sz="4" w:space="0" w:color="A6A6A6"/>
              <w:bottom w:val="single" w:sz="4" w:space="0" w:color="A6A6A6"/>
              <w:right w:val="single" w:sz="4" w:space="0" w:color="A6A6A6"/>
            </w:tcBorders>
            <w:shd w:val="clear" w:color="auto" w:fill="auto"/>
            <w:tcMar>
              <w:top w:w="12" w:type="dxa"/>
              <w:left w:w="170" w:type="dxa"/>
              <w:bottom w:w="0" w:type="dxa"/>
              <w:right w:w="115" w:type="dxa"/>
            </w:tcMar>
          </w:tcPr>
          <w:p w:rsidR="009B4233" w:rsidRDefault="006B08B9">
            <w:pPr>
              <w:spacing w:after="90" w:line="249" w:lineRule="auto"/>
              <w:ind w:right="124"/>
              <w:jc w:val="center"/>
              <w:rPr>
                <w:rFonts w:ascii="Arial" w:hAnsi="Arial" w:cs="Arial"/>
                <w:b/>
                <w:sz w:val="22"/>
                <w:szCs w:val="22"/>
              </w:rPr>
            </w:pPr>
            <w:r>
              <w:rPr>
                <w:rFonts w:ascii="Arial" w:hAnsi="Arial" w:cs="Arial"/>
                <w:b/>
                <w:sz w:val="22"/>
                <w:szCs w:val="22"/>
              </w:rPr>
              <w:t xml:space="preserve">15100.60912 </w:t>
            </w:r>
          </w:p>
          <w:p w:rsidR="009B4233" w:rsidRDefault="006B08B9">
            <w:pPr>
              <w:spacing w:line="249" w:lineRule="auto"/>
              <w:ind w:right="122"/>
              <w:jc w:val="center"/>
              <w:rPr>
                <w:rFonts w:ascii="Arial" w:hAnsi="Arial" w:cs="Arial"/>
                <w:b/>
                <w:sz w:val="22"/>
                <w:szCs w:val="22"/>
              </w:rPr>
            </w:pPr>
            <w:r>
              <w:rPr>
                <w:rFonts w:ascii="Arial" w:hAnsi="Arial" w:cs="Arial"/>
                <w:b/>
                <w:sz w:val="22"/>
                <w:szCs w:val="22"/>
              </w:rPr>
              <w:t>(A.2.25.2.06549)</w:t>
            </w:r>
          </w:p>
        </w:tc>
        <w:tc>
          <w:tcPr>
            <w:tcW w:w="2892" w:type="dxa"/>
            <w:tcBorders>
              <w:top w:val="single" w:sz="4" w:space="0" w:color="A6A6A6"/>
              <w:left w:val="single" w:sz="4" w:space="0" w:color="A6A6A6"/>
              <w:bottom w:val="single" w:sz="4" w:space="0" w:color="A6A6A6"/>
              <w:right w:val="single" w:sz="4" w:space="0" w:color="A6A6A6"/>
            </w:tcBorders>
            <w:shd w:val="clear" w:color="auto" w:fill="auto"/>
            <w:tcMar>
              <w:top w:w="12" w:type="dxa"/>
              <w:left w:w="170" w:type="dxa"/>
              <w:bottom w:w="0" w:type="dxa"/>
              <w:right w:w="115" w:type="dxa"/>
            </w:tcMar>
          </w:tcPr>
          <w:p w:rsidR="009B4233" w:rsidRDefault="006B08B9">
            <w:pPr>
              <w:spacing w:line="249" w:lineRule="auto"/>
              <w:ind w:right="35"/>
              <w:jc w:val="center"/>
              <w:rPr>
                <w:rFonts w:ascii="Arial" w:hAnsi="Arial" w:cs="Arial"/>
                <w:b/>
                <w:sz w:val="22"/>
                <w:szCs w:val="22"/>
              </w:rPr>
            </w:pPr>
            <w:r>
              <w:rPr>
                <w:rFonts w:ascii="Arial" w:hAnsi="Arial" w:cs="Arial"/>
                <w:b/>
                <w:sz w:val="22"/>
                <w:szCs w:val="22"/>
              </w:rPr>
              <w:t>3.562.752,91 euros</w:t>
            </w:r>
          </w:p>
        </w:tc>
      </w:tr>
      <w:tr w:rsidR="009B4233">
        <w:tblPrEx>
          <w:tblCellMar>
            <w:top w:w="0" w:type="dxa"/>
            <w:bottom w:w="0" w:type="dxa"/>
          </w:tblCellMar>
        </w:tblPrEx>
        <w:trPr>
          <w:trHeight w:val="768"/>
        </w:trPr>
        <w:tc>
          <w:tcPr>
            <w:tcW w:w="2882" w:type="dxa"/>
            <w:tcBorders>
              <w:top w:val="single" w:sz="4" w:space="0" w:color="A6A6A6"/>
              <w:left w:val="single" w:sz="4" w:space="0" w:color="A6A6A6"/>
              <w:bottom w:val="single" w:sz="4" w:space="0" w:color="A6A6A6"/>
              <w:right w:val="single" w:sz="4" w:space="0" w:color="A6A6A6"/>
            </w:tcBorders>
            <w:shd w:val="clear" w:color="auto" w:fill="auto"/>
            <w:tcMar>
              <w:top w:w="12" w:type="dxa"/>
              <w:left w:w="170" w:type="dxa"/>
              <w:bottom w:w="0" w:type="dxa"/>
              <w:right w:w="115" w:type="dxa"/>
            </w:tcMar>
          </w:tcPr>
          <w:p w:rsidR="009B4233" w:rsidRDefault="006B08B9">
            <w:pPr>
              <w:spacing w:line="249" w:lineRule="auto"/>
              <w:ind w:right="36"/>
              <w:jc w:val="center"/>
              <w:rPr>
                <w:rFonts w:ascii="Arial" w:hAnsi="Arial" w:cs="Arial"/>
                <w:b/>
                <w:sz w:val="22"/>
                <w:szCs w:val="22"/>
              </w:rPr>
            </w:pPr>
            <w:r>
              <w:rPr>
                <w:rFonts w:ascii="Arial" w:hAnsi="Arial" w:cs="Arial"/>
                <w:b/>
                <w:sz w:val="22"/>
                <w:szCs w:val="22"/>
              </w:rPr>
              <w:t>2027</w:t>
            </w:r>
          </w:p>
        </w:tc>
        <w:tc>
          <w:tcPr>
            <w:tcW w:w="3088" w:type="dxa"/>
            <w:tcBorders>
              <w:top w:val="single" w:sz="4" w:space="0" w:color="A6A6A6"/>
              <w:left w:val="single" w:sz="4" w:space="0" w:color="A6A6A6"/>
              <w:bottom w:val="single" w:sz="4" w:space="0" w:color="A6A6A6"/>
              <w:right w:val="single" w:sz="4" w:space="0" w:color="A6A6A6"/>
            </w:tcBorders>
            <w:shd w:val="clear" w:color="auto" w:fill="auto"/>
            <w:tcMar>
              <w:top w:w="12" w:type="dxa"/>
              <w:left w:w="170" w:type="dxa"/>
              <w:bottom w:w="0" w:type="dxa"/>
              <w:right w:w="115" w:type="dxa"/>
            </w:tcMar>
          </w:tcPr>
          <w:p w:rsidR="009B4233" w:rsidRDefault="006B08B9">
            <w:pPr>
              <w:spacing w:after="90" w:line="249" w:lineRule="auto"/>
              <w:ind w:right="124"/>
              <w:jc w:val="center"/>
              <w:rPr>
                <w:rFonts w:ascii="Arial" w:hAnsi="Arial" w:cs="Arial"/>
                <w:b/>
                <w:sz w:val="22"/>
                <w:szCs w:val="22"/>
              </w:rPr>
            </w:pPr>
            <w:r>
              <w:rPr>
                <w:rFonts w:ascii="Arial" w:hAnsi="Arial" w:cs="Arial"/>
                <w:b/>
                <w:sz w:val="22"/>
                <w:szCs w:val="22"/>
              </w:rPr>
              <w:t xml:space="preserve">15100.60912 </w:t>
            </w:r>
          </w:p>
          <w:p w:rsidR="009B4233" w:rsidRDefault="006B08B9">
            <w:pPr>
              <w:spacing w:line="249" w:lineRule="auto"/>
              <w:ind w:right="122"/>
              <w:jc w:val="center"/>
              <w:rPr>
                <w:rFonts w:ascii="Arial" w:hAnsi="Arial" w:cs="Arial"/>
                <w:b/>
                <w:sz w:val="22"/>
                <w:szCs w:val="22"/>
              </w:rPr>
            </w:pPr>
            <w:r>
              <w:rPr>
                <w:rFonts w:ascii="Arial" w:hAnsi="Arial" w:cs="Arial"/>
                <w:b/>
                <w:sz w:val="22"/>
                <w:szCs w:val="22"/>
              </w:rPr>
              <w:t>(A.2.25.2.06550)</w:t>
            </w:r>
          </w:p>
        </w:tc>
        <w:tc>
          <w:tcPr>
            <w:tcW w:w="2892" w:type="dxa"/>
            <w:tcBorders>
              <w:top w:val="single" w:sz="4" w:space="0" w:color="A6A6A6"/>
              <w:left w:val="single" w:sz="4" w:space="0" w:color="A6A6A6"/>
              <w:bottom w:val="single" w:sz="4" w:space="0" w:color="A6A6A6"/>
              <w:right w:val="single" w:sz="4" w:space="0" w:color="A6A6A6"/>
            </w:tcBorders>
            <w:shd w:val="clear" w:color="auto" w:fill="auto"/>
            <w:tcMar>
              <w:top w:w="12" w:type="dxa"/>
              <w:left w:w="170" w:type="dxa"/>
              <w:bottom w:w="0" w:type="dxa"/>
              <w:right w:w="115" w:type="dxa"/>
            </w:tcMar>
          </w:tcPr>
          <w:p w:rsidR="009B4233" w:rsidRDefault="006B08B9">
            <w:pPr>
              <w:spacing w:line="249" w:lineRule="auto"/>
              <w:ind w:right="35"/>
              <w:jc w:val="center"/>
              <w:rPr>
                <w:rFonts w:ascii="Arial" w:hAnsi="Arial" w:cs="Arial"/>
                <w:b/>
                <w:sz w:val="22"/>
                <w:szCs w:val="22"/>
              </w:rPr>
            </w:pPr>
            <w:r>
              <w:rPr>
                <w:rFonts w:ascii="Arial" w:hAnsi="Arial" w:cs="Arial"/>
                <w:b/>
                <w:sz w:val="22"/>
                <w:szCs w:val="22"/>
              </w:rPr>
              <w:t>3.562.752,91 euros</w:t>
            </w:r>
          </w:p>
        </w:tc>
      </w:tr>
    </w:tbl>
    <w:p w:rsidR="009B4233" w:rsidRDefault="009B4233">
      <w:pPr>
        <w:ind w:left="-5"/>
        <w:jc w:val="both"/>
        <w:rPr>
          <w:rFonts w:ascii="Arial" w:eastAsia="Calibri" w:hAnsi="Arial" w:cs="Arial"/>
          <w:b/>
          <w:sz w:val="22"/>
          <w:szCs w:val="22"/>
        </w:rPr>
      </w:pPr>
    </w:p>
    <w:p w:rsidR="009B4233" w:rsidRDefault="006B08B9">
      <w:pPr>
        <w:ind w:left="-5" w:firstLine="714"/>
        <w:jc w:val="both"/>
      </w:pPr>
      <w:r>
        <w:rPr>
          <w:rFonts w:ascii="Arial" w:eastAsia="Calibri" w:hAnsi="Arial" w:cs="Arial"/>
          <w:b/>
          <w:sz w:val="22"/>
          <w:szCs w:val="22"/>
        </w:rPr>
        <w:t>Tercero</w:t>
      </w:r>
      <w:r>
        <w:rPr>
          <w:rFonts w:ascii="Arial" w:hAnsi="Arial" w:cs="Arial"/>
          <w:b/>
          <w:sz w:val="22"/>
          <w:szCs w:val="22"/>
        </w:rPr>
        <w:t xml:space="preserve">. - Aprobar los Pliegos de Cláusulas Administrativas Particulares (PCAP), de Prescripciones </w:t>
      </w:r>
      <w:r>
        <w:rPr>
          <w:rFonts w:ascii="Arial" w:hAnsi="Arial" w:cs="Arial"/>
          <w:b/>
          <w:sz w:val="22"/>
          <w:szCs w:val="22"/>
        </w:rPr>
        <w:t xml:space="preserve">Técnicas (PPTP) y el informe de regulación de la contratación firmado por la Arquitecta municipal de fecha 18 de septiembre de 2025 que forma parte de la documentación técnica de la contratación, que regirán el contrato. </w:t>
      </w:r>
    </w:p>
    <w:p w:rsidR="009B4233" w:rsidRDefault="009B4233">
      <w:pPr>
        <w:ind w:left="-5"/>
        <w:jc w:val="both"/>
        <w:rPr>
          <w:rFonts w:ascii="Arial" w:eastAsia="Calibri" w:hAnsi="Arial" w:cs="Arial"/>
          <w:b/>
          <w:sz w:val="22"/>
          <w:szCs w:val="22"/>
        </w:rPr>
      </w:pPr>
    </w:p>
    <w:p w:rsidR="009B4233" w:rsidRDefault="006B08B9">
      <w:pPr>
        <w:ind w:left="-5" w:firstLine="714"/>
        <w:jc w:val="both"/>
      </w:pPr>
      <w:r>
        <w:rPr>
          <w:rFonts w:ascii="Arial" w:eastAsia="Calibri" w:hAnsi="Arial" w:cs="Arial"/>
          <w:b/>
          <w:sz w:val="22"/>
          <w:szCs w:val="22"/>
        </w:rPr>
        <w:t>Cuarto</w:t>
      </w:r>
      <w:r>
        <w:rPr>
          <w:rFonts w:ascii="Arial" w:hAnsi="Arial" w:cs="Arial"/>
          <w:b/>
          <w:sz w:val="22"/>
          <w:szCs w:val="22"/>
        </w:rPr>
        <w:t xml:space="preserve">. - Publicar el anuncio de </w:t>
      </w:r>
      <w:r>
        <w:rPr>
          <w:rFonts w:ascii="Arial" w:hAnsi="Arial" w:cs="Arial"/>
          <w:b/>
          <w:sz w:val="22"/>
          <w:szCs w:val="22"/>
        </w:rPr>
        <w:t xml:space="preserve">licitación en el perfil de contratante con el contenido contemplado en el anexo III de la Ley 9/2017 de 8 de noviembre, de Contratos del Sector Público. </w:t>
      </w:r>
    </w:p>
    <w:p w:rsidR="009B4233" w:rsidRDefault="009B4233">
      <w:pPr>
        <w:ind w:left="-5"/>
        <w:jc w:val="both"/>
        <w:rPr>
          <w:rFonts w:ascii="Arial" w:eastAsia="Calibri" w:hAnsi="Arial" w:cs="Arial"/>
          <w:b/>
          <w:sz w:val="22"/>
          <w:szCs w:val="22"/>
        </w:rPr>
      </w:pPr>
    </w:p>
    <w:p w:rsidR="009B4233" w:rsidRDefault="006B08B9">
      <w:pPr>
        <w:ind w:left="-5" w:firstLine="714"/>
        <w:jc w:val="both"/>
      </w:pPr>
      <w:r>
        <w:rPr>
          <w:rFonts w:ascii="Arial" w:eastAsia="Calibri" w:hAnsi="Arial" w:cs="Arial"/>
          <w:b/>
          <w:sz w:val="22"/>
          <w:szCs w:val="22"/>
        </w:rPr>
        <w:t>Quinto</w:t>
      </w:r>
      <w:r>
        <w:rPr>
          <w:rFonts w:ascii="Arial" w:hAnsi="Arial" w:cs="Arial"/>
          <w:b/>
          <w:sz w:val="22"/>
          <w:szCs w:val="22"/>
        </w:rPr>
        <w:t>. - Publicar en el perfil de contratante la siguiente documentación integrante del expediente d</w:t>
      </w:r>
      <w:r>
        <w:rPr>
          <w:rFonts w:ascii="Arial" w:hAnsi="Arial" w:cs="Arial"/>
          <w:b/>
          <w:sz w:val="22"/>
          <w:szCs w:val="22"/>
        </w:rPr>
        <w:t xml:space="preserve">e contratación: Memoria justificativa del contrato, PPTP, proyecto técnico, PCAP. y la resolución por el que se aprueba el expediente. </w:t>
      </w:r>
    </w:p>
    <w:p w:rsidR="009B4233" w:rsidRDefault="009B4233">
      <w:pPr>
        <w:jc w:val="both"/>
        <w:rPr>
          <w:rFonts w:ascii="Arial" w:eastAsia="Calibri" w:hAnsi="Arial" w:cs="Arial"/>
          <w:b/>
          <w:sz w:val="22"/>
          <w:szCs w:val="22"/>
        </w:rPr>
      </w:pPr>
    </w:p>
    <w:p w:rsidR="009B4233" w:rsidRDefault="006B08B9">
      <w:pPr>
        <w:ind w:firstLine="709"/>
        <w:jc w:val="both"/>
      </w:pPr>
      <w:r>
        <w:rPr>
          <w:rFonts w:ascii="Arial" w:eastAsia="Calibri" w:hAnsi="Arial" w:cs="Arial"/>
          <w:b/>
          <w:sz w:val="22"/>
          <w:szCs w:val="22"/>
        </w:rPr>
        <w:t>Sexto</w:t>
      </w:r>
      <w:r>
        <w:rPr>
          <w:rFonts w:ascii="Arial" w:hAnsi="Arial" w:cs="Arial"/>
          <w:b/>
          <w:sz w:val="22"/>
          <w:szCs w:val="22"/>
        </w:rPr>
        <w:t>. - Designar como Unidad encargada del seguimiento y ejecución del contrato: Oficina Técnica Municipal de la Conce</w:t>
      </w:r>
      <w:r>
        <w:rPr>
          <w:rFonts w:ascii="Arial" w:hAnsi="Arial" w:cs="Arial"/>
          <w:b/>
          <w:sz w:val="22"/>
          <w:szCs w:val="22"/>
        </w:rPr>
        <w:t>jalía Delegada de Gestión y Planificación Urbanística y Vivienda según la cláusula 33ª del PCAP.</w:t>
      </w:r>
    </w:p>
    <w:p w:rsidR="009B4233" w:rsidRDefault="009B4233">
      <w:pPr>
        <w:jc w:val="both"/>
        <w:rPr>
          <w:rFonts w:ascii="Arial" w:hAnsi="Arial" w:cs="Arial"/>
          <w:b/>
          <w:sz w:val="22"/>
          <w:szCs w:val="22"/>
        </w:rPr>
      </w:pPr>
    </w:p>
    <w:p w:rsidR="009B4233" w:rsidRDefault="009B4233">
      <w:pPr>
        <w:widowControl/>
        <w:suppressAutoHyphens w:val="0"/>
        <w:autoSpaceDE w:val="0"/>
        <w:jc w:val="both"/>
        <w:textAlignment w:val="auto"/>
        <w:rPr>
          <w:rFonts w:ascii="Arial" w:hAnsi="Arial" w:cs="Arial"/>
          <w:b/>
          <w:sz w:val="22"/>
          <w:szCs w:val="22"/>
        </w:rPr>
      </w:pPr>
    </w:p>
    <w:p w:rsidR="009B4233" w:rsidRDefault="009B4233">
      <w:pPr>
        <w:widowControl/>
        <w:suppressAutoHyphens w:val="0"/>
        <w:autoSpaceDE w:val="0"/>
        <w:textAlignment w:val="auto"/>
        <w:rPr>
          <w:rFonts w:ascii="Arial" w:hAnsi="Arial" w:cs="Arial"/>
          <w:b/>
          <w:sz w:val="22"/>
          <w:szCs w:val="22"/>
        </w:rPr>
      </w:pPr>
    </w:p>
    <w:p w:rsidR="009B4233" w:rsidRDefault="009B4233">
      <w:pPr>
        <w:widowControl/>
        <w:suppressAutoHyphens w:val="0"/>
        <w:autoSpaceDE w:val="0"/>
        <w:jc w:val="both"/>
        <w:textAlignment w:val="auto"/>
        <w:rPr>
          <w:rFonts w:ascii="Arial" w:hAnsi="Arial" w:cs="Arial"/>
          <w:b/>
          <w:sz w:val="22"/>
          <w:szCs w:val="22"/>
        </w:rPr>
      </w:pPr>
    </w:p>
    <w:p w:rsidR="009B4233" w:rsidRDefault="009B4233">
      <w:pPr>
        <w:widowControl/>
        <w:suppressAutoHyphens w:val="0"/>
        <w:autoSpaceDE w:val="0"/>
        <w:jc w:val="both"/>
        <w:textAlignment w:val="auto"/>
        <w:rPr>
          <w:rFonts w:ascii="Arial" w:hAnsi="Arial" w:cs="Arial"/>
          <w:b/>
          <w:sz w:val="22"/>
          <w:szCs w:val="22"/>
        </w:rPr>
      </w:pPr>
    </w:p>
    <w:p w:rsidR="009B4233" w:rsidRDefault="009B4233">
      <w:pPr>
        <w:widowControl/>
        <w:suppressAutoHyphens w:val="0"/>
        <w:autoSpaceDE w:val="0"/>
        <w:jc w:val="both"/>
        <w:textAlignment w:val="auto"/>
        <w:rPr>
          <w:rFonts w:ascii="Arial" w:hAnsi="Arial" w:cs="Arial"/>
          <w:b/>
          <w:sz w:val="22"/>
          <w:szCs w:val="22"/>
        </w:rPr>
      </w:pPr>
    </w:p>
    <w:p w:rsidR="009B4233" w:rsidRDefault="009B4233">
      <w:pPr>
        <w:widowControl/>
        <w:suppressAutoHyphens w:val="0"/>
        <w:autoSpaceDE w:val="0"/>
        <w:jc w:val="both"/>
        <w:textAlignment w:val="auto"/>
        <w:rPr>
          <w:rFonts w:ascii="Arial" w:hAnsi="Arial" w:cs="Arial"/>
          <w:b/>
          <w:sz w:val="22"/>
          <w:szCs w:val="22"/>
        </w:rPr>
      </w:pPr>
    </w:p>
    <w:p w:rsidR="009B4233" w:rsidRDefault="009B4233">
      <w:pPr>
        <w:widowControl/>
        <w:suppressAutoHyphens w:val="0"/>
        <w:autoSpaceDE w:val="0"/>
        <w:jc w:val="both"/>
        <w:textAlignment w:val="auto"/>
        <w:rPr>
          <w:rFonts w:ascii="Arial" w:hAnsi="Arial" w:cs="Arial"/>
          <w:b/>
          <w:sz w:val="22"/>
          <w:szCs w:val="22"/>
        </w:rPr>
      </w:pPr>
    </w:p>
    <w:p w:rsidR="009B4233" w:rsidRDefault="009B4233">
      <w:pPr>
        <w:widowControl/>
        <w:suppressAutoHyphens w:val="0"/>
        <w:autoSpaceDE w:val="0"/>
        <w:jc w:val="both"/>
        <w:textAlignment w:val="auto"/>
        <w:rPr>
          <w:rFonts w:ascii="Arial" w:hAnsi="Arial" w:cs="Arial"/>
          <w:b/>
          <w:sz w:val="22"/>
          <w:szCs w:val="22"/>
        </w:rPr>
      </w:pPr>
    </w:p>
    <w:p w:rsidR="009B4233" w:rsidRDefault="009B4233">
      <w:pPr>
        <w:widowControl/>
        <w:suppressAutoHyphens w:val="0"/>
        <w:autoSpaceDE w:val="0"/>
        <w:jc w:val="both"/>
        <w:textAlignment w:val="auto"/>
        <w:rPr>
          <w:rFonts w:ascii="Arial" w:hAnsi="Arial" w:cs="Arial"/>
          <w:b/>
          <w:sz w:val="22"/>
          <w:szCs w:val="22"/>
        </w:rPr>
      </w:pPr>
    </w:p>
    <w:p w:rsidR="009B4233" w:rsidRDefault="009B4233">
      <w:pPr>
        <w:widowControl/>
        <w:suppressAutoHyphens w:val="0"/>
        <w:autoSpaceDE w:val="0"/>
        <w:jc w:val="both"/>
        <w:textAlignment w:val="auto"/>
        <w:rPr>
          <w:rFonts w:ascii="Arial" w:hAnsi="Arial" w:cs="Arial"/>
          <w:b/>
          <w:sz w:val="22"/>
          <w:szCs w:val="22"/>
        </w:rPr>
      </w:pPr>
    </w:p>
    <w:p w:rsidR="009B4233" w:rsidRDefault="009B4233">
      <w:pPr>
        <w:widowControl/>
        <w:suppressAutoHyphens w:val="0"/>
        <w:autoSpaceDE w:val="0"/>
        <w:jc w:val="both"/>
        <w:textAlignment w:val="auto"/>
        <w:rPr>
          <w:rFonts w:ascii="Arial" w:hAnsi="Arial" w:cs="Arial"/>
          <w:b/>
          <w:sz w:val="22"/>
          <w:szCs w:val="22"/>
        </w:rPr>
      </w:pPr>
    </w:p>
    <w:p w:rsidR="009B4233" w:rsidRDefault="009B4233">
      <w:pPr>
        <w:widowControl/>
        <w:suppressAutoHyphens w:val="0"/>
        <w:autoSpaceDE w:val="0"/>
        <w:jc w:val="both"/>
        <w:textAlignment w:val="auto"/>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6B08B9">
      <w:pPr>
        <w:jc w:val="both"/>
        <w:rPr>
          <w:rFonts w:ascii="Arial" w:hAnsi="Arial" w:cs="Arial"/>
          <w:b/>
        </w:rPr>
      </w:pPr>
      <w:r>
        <w:rPr>
          <w:rFonts w:ascii="Arial" w:hAnsi="Arial" w:cs="Arial"/>
          <w:b/>
        </w:rPr>
        <w:t xml:space="preserve">7.- Expediente 7020/2021. Propuesta de Alcaldesa-Presidenta de 17 de septiembre al Pleno de puesta a disposición del Cabildo </w:t>
      </w:r>
      <w:r>
        <w:rPr>
          <w:rFonts w:ascii="Arial" w:hAnsi="Arial" w:cs="Arial"/>
          <w:b/>
        </w:rPr>
        <w:t>Insular de Tenerife de los bienes descritos en el informe técnico emitido por la Arquitecta municipal con fecha 16 de septiembre de 2025, con el objeto de destinarlos a la ejecución del “Modificado nº 1 del Proyecto Remodelación de la Plaza de la Patrona d</w:t>
      </w:r>
      <w:r>
        <w:rPr>
          <w:rFonts w:ascii="Arial" w:hAnsi="Arial" w:cs="Arial"/>
          <w:b/>
        </w:rPr>
        <w:t>e Canarias, canalización de cauce e implantación de conducciones hidráulicas (sectores 1, 2 y 3)”:</w:t>
      </w:r>
    </w:p>
    <w:p w:rsidR="009B4233" w:rsidRDefault="009B4233">
      <w:pPr>
        <w:jc w:val="both"/>
        <w:rPr>
          <w:rFonts w:ascii="Arial" w:hAnsi="Arial" w:cs="Arial"/>
          <w:b/>
        </w:rPr>
      </w:pPr>
    </w:p>
    <w:p w:rsidR="009B4233" w:rsidRDefault="009B4233">
      <w:pPr>
        <w:jc w:val="both"/>
        <w:rPr>
          <w:rFonts w:ascii="Arial" w:hAnsi="Arial" w:cs="Arial"/>
          <w:b/>
          <w:sz w:val="22"/>
          <w:szCs w:val="22"/>
        </w:rPr>
      </w:pPr>
    </w:p>
    <w:p w:rsidR="009B4233" w:rsidRDefault="006B08B9">
      <w:pPr>
        <w:pStyle w:val="Textoindependiente"/>
        <w:jc w:val="both"/>
      </w:pPr>
      <w:r>
        <w:rPr>
          <w:rFonts w:cs="Arial"/>
          <w:b/>
          <w:color w:val="000000"/>
          <w:szCs w:val="22"/>
          <w:shd w:val="clear" w:color="auto" w:fill="FFFFFF"/>
        </w:rPr>
        <w:t xml:space="preserve">     Consta en el expediente Informe Técnico emitido por Doña Nayra Guzmán Hernández, Arquitecta Municipal, de 16 de septiembre de 2025,</w:t>
      </w:r>
      <w:r>
        <w:rPr>
          <w:rFonts w:cs="Arial"/>
          <w:b/>
          <w:bCs/>
          <w:szCs w:val="22"/>
        </w:rPr>
        <w:t xml:space="preserve"> del siguiente teno</w:t>
      </w:r>
      <w:r>
        <w:rPr>
          <w:rFonts w:cs="Arial"/>
          <w:b/>
          <w:bCs/>
          <w:szCs w:val="22"/>
        </w:rPr>
        <w:t>r literal:</w:t>
      </w:r>
    </w:p>
    <w:p w:rsidR="009B4233" w:rsidRDefault="009B4233">
      <w:pPr>
        <w:jc w:val="both"/>
        <w:rPr>
          <w:rFonts w:ascii="Arial" w:hAnsi="Arial" w:cs="Arial"/>
          <w:b/>
          <w:sz w:val="22"/>
          <w:szCs w:val="22"/>
        </w:rPr>
      </w:pPr>
    </w:p>
    <w:p w:rsidR="009B4233" w:rsidRDefault="006B08B9">
      <w:pPr>
        <w:pStyle w:val="Ttulo1"/>
        <w:ind w:left="10" w:right="40"/>
        <w:rPr>
          <w:rFonts w:ascii="Arial" w:hAnsi="Arial" w:cs="Arial"/>
          <w:sz w:val="22"/>
          <w:szCs w:val="22"/>
        </w:rPr>
      </w:pPr>
      <w:r>
        <w:rPr>
          <w:rFonts w:ascii="Arial" w:hAnsi="Arial" w:cs="Arial"/>
          <w:sz w:val="22"/>
          <w:szCs w:val="22"/>
        </w:rPr>
        <w:t>“INFORME</w:t>
      </w:r>
    </w:p>
    <w:p w:rsidR="009B4233" w:rsidRDefault="006B08B9">
      <w:pPr>
        <w:spacing w:after="83"/>
        <w:ind w:left="11" w:right="52"/>
        <w:jc w:val="both"/>
      </w:pPr>
      <w:r>
        <w:rPr>
          <w:rFonts w:ascii="Arial" w:hAnsi="Arial" w:cs="Arial"/>
          <w:sz w:val="22"/>
          <w:szCs w:val="22"/>
        </w:rPr>
        <w:t xml:space="preserve">A la vista de los Oficios presentados por el Cabildo Insular de Tenerife, con fechas 21 de agosto de 2025 y nº de registro de entrada 2025-E-RC-7850, en relación con la puesta a disposición de los terrenos adyacentes a la Plaza de Los </w:t>
      </w:r>
      <w:r>
        <w:rPr>
          <w:rFonts w:ascii="Arial" w:hAnsi="Arial" w:cs="Arial"/>
          <w:sz w:val="22"/>
          <w:szCs w:val="22"/>
        </w:rPr>
        <w:t xml:space="preserve">Artesanos y el edificio Oceánica, así como la conformidad del </w:t>
      </w:r>
      <w:r>
        <w:rPr>
          <w:rFonts w:ascii="Arial" w:eastAsia="Arial" w:hAnsi="Arial" w:cs="Arial"/>
          <w:b/>
          <w:sz w:val="22"/>
          <w:szCs w:val="22"/>
        </w:rPr>
        <w:t>Proyecto de Remodelación de la Plaza de la Patrona</w:t>
      </w:r>
      <w:r>
        <w:rPr>
          <w:rFonts w:ascii="Arial" w:hAnsi="Arial" w:cs="Arial"/>
          <w:sz w:val="22"/>
          <w:szCs w:val="22"/>
        </w:rPr>
        <w:t xml:space="preserve"> </w:t>
      </w:r>
      <w:r>
        <w:rPr>
          <w:rFonts w:ascii="Arial" w:eastAsia="Arial" w:hAnsi="Arial" w:cs="Arial"/>
          <w:b/>
          <w:sz w:val="22"/>
          <w:szCs w:val="22"/>
        </w:rPr>
        <w:t xml:space="preserve"> y el Modificado nº 1 del Proyecto Remodelación de la Plaza de la Patrona de Canarias, canalización de cauce e implantación de conducciones hid</w:t>
      </w:r>
      <w:r>
        <w:rPr>
          <w:rFonts w:ascii="Arial" w:eastAsia="Arial" w:hAnsi="Arial" w:cs="Arial"/>
          <w:b/>
          <w:sz w:val="22"/>
          <w:szCs w:val="22"/>
        </w:rPr>
        <w:t xml:space="preserve">ráulicas (sectores 1, 2 y 3), </w:t>
      </w:r>
      <w:r>
        <w:rPr>
          <w:rFonts w:ascii="Arial" w:hAnsi="Arial" w:cs="Arial"/>
          <w:sz w:val="22"/>
          <w:szCs w:val="22"/>
        </w:rPr>
        <w:t xml:space="preserve">Nayra Guzmán Hernández, arquitecta emite el presente informe: </w:t>
      </w:r>
    </w:p>
    <w:p w:rsidR="009B4233" w:rsidRDefault="009B4233">
      <w:pPr>
        <w:spacing w:after="83"/>
        <w:ind w:left="11" w:right="52"/>
        <w:rPr>
          <w:rFonts w:ascii="Arial" w:hAnsi="Arial" w:cs="Arial"/>
          <w:sz w:val="22"/>
          <w:szCs w:val="22"/>
        </w:rPr>
      </w:pPr>
    </w:p>
    <w:tbl>
      <w:tblPr>
        <w:tblW w:w="8504" w:type="dxa"/>
        <w:tblInd w:w="13" w:type="dxa"/>
        <w:tblCellMar>
          <w:left w:w="10" w:type="dxa"/>
          <w:right w:w="10" w:type="dxa"/>
        </w:tblCellMar>
        <w:tblLook w:val="0000" w:firstRow="0" w:lastRow="0" w:firstColumn="0" w:lastColumn="0" w:noHBand="0" w:noVBand="0"/>
      </w:tblPr>
      <w:tblGrid>
        <w:gridCol w:w="275"/>
        <w:gridCol w:w="8229"/>
      </w:tblGrid>
      <w:tr w:rsidR="009B4233">
        <w:tblPrEx>
          <w:tblCellMar>
            <w:top w:w="0" w:type="dxa"/>
            <w:bottom w:w="0" w:type="dxa"/>
          </w:tblCellMar>
        </w:tblPrEx>
        <w:trPr>
          <w:trHeight w:val="252"/>
        </w:trPr>
        <w:tc>
          <w:tcPr>
            <w:tcW w:w="275" w:type="dxa"/>
            <w:shd w:val="clear" w:color="auto" w:fill="E0E0E0"/>
            <w:tcMar>
              <w:top w:w="8" w:type="dxa"/>
              <w:left w:w="3" w:type="dxa"/>
              <w:bottom w:w="0" w:type="dxa"/>
              <w:right w:w="88" w:type="dxa"/>
            </w:tcMar>
          </w:tcPr>
          <w:p w:rsidR="009B4233" w:rsidRDefault="006B08B9">
            <w:pPr>
              <w:spacing w:line="249" w:lineRule="auto"/>
            </w:pPr>
            <w:r>
              <w:rPr>
                <w:rFonts w:ascii="Arial" w:eastAsia="Arial" w:hAnsi="Arial" w:cs="Arial"/>
                <w:b/>
                <w:sz w:val="22"/>
                <w:szCs w:val="22"/>
              </w:rPr>
              <w:t>1.</w:t>
            </w:r>
          </w:p>
        </w:tc>
        <w:tc>
          <w:tcPr>
            <w:tcW w:w="8229" w:type="dxa"/>
            <w:shd w:val="clear" w:color="auto" w:fill="E0E0E0"/>
            <w:tcMar>
              <w:top w:w="8" w:type="dxa"/>
              <w:left w:w="3" w:type="dxa"/>
              <w:bottom w:w="0" w:type="dxa"/>
              <w:right w:w="88" w:type="dxa"/>
            </w:tcMar>
          </w:tcPr>
          <w:p w:rsidR="009B4233" w:rsidRDefault="006B08B9">
            <w:pPr>
              <w:spacing w:line="249" w:lineRule="auto"/>
              <w:ind w:left="151"/>
            </w:pPr>
            <w:r>
              <w:rPr>
                <w:rFonts w:ascii="Arial" w:eastAsia="Arial" w:hAnsi="Arial" w:cs="Arial"/>
                <w:b/>
                <w:sz w:val="22"/>
                <w:szCs w:val="22"/>
                <w:shd w:val="clear" w:color="auto" w:fill="E6E6E6"/>
              </w:rPr>
              <w:t>ANTECEDENTES</w:t>
            </w:r>
            <w:r>
              <w:rPr>
                <w:rFonts w:ascii="Arial" w:eastAsia="Arial" w:hAnsi="Arial" w:cs="Arial"/>
                <w:b/>
                <w:sz w:val="22"/>
                <w:szCs w:val="22"/>
              </w:rPr>
              <w:t>. -</w:t>
            </w:r>
          </w:p>
        </w:tc>
      </w:tr>
    </w:tbl>
    <w:p w:rsidR="009B4233" w:rsidRDefault="006B08B9">
      <w:pPr>
        <w:widowControl/>
        <w:numPr>
          <w:ilvl w:val="0"/>
          <w:numId w:val="64"/>
        </w:numPr>
        <w:suppressAutoHyphens w:val="0"/>
        <w:spacing w:after="7" w:line="264" w:lineRule="auto"/>
        <w:ind w:right="52" w:hanging="284"/>
        <w:jc w:val="both"/>
        <w:textAlignment w:val="auto"/>
        <w:rPr>
          <w:rFonts w:ascii="Arial" w:hAnsi="Arial" w:cs="Arial"/>
          <w:sz w:val="22"/>
          <w:szCs w:val="22"/>
        </w:rPr>
      </w:pPr>
      <w:r>
        <w:rPr>
          <w:rFonts w:ascii="Arial" w:hAnsi="Arial" w:cs="Arial"/>
          <w:sz w:val="22"/>
          <w:szCs w:val="22"/>
        </w:rPr>
        <w:t xml:space="preserve">Con fecha 14 de mayo del 2009, se resuelve adjudicar, como resultado del Concurso de Ideas, la Remodelación de la Plaza de la Patrona y su </w:t>
      </w:r>
      <w:r>
        <w:rPr>
          <w:rFonts w:ascii="Arial" w:hAnsi="Arial" w:cs="Arial"/>
          <w:sz w:val="22"/>
          <w:szCs w:val="22"/>
        </w:rPr>
        <w:t xml:space="preserve">Entorno, </w:t>
      </w:r>
    </w:p>
    <w:p w:rsidR="009B4233" w:rsidRDefault="006B08B9">
      <w:pPr>
        <w:ind w:left="310" w:right="52"/>
        <w:jc w:val="both"/>
      </w:pPr>
      <w:r>
        <w:rPr>
          <w:rFonts w:ascii="Arial" w:hAnsi="Arial" w:cs="Arial"/>
          <w:sz w:val="22"/>
          <w:szCs w:val="22"/>
        </w:rPr>
        <w:t xml:space="preserve">Término Municipal de Candelaria al Equipo Redactor </w:t>
      </w:r>
      <w:r>
        <w:rPr>
          <w:rFonts w:ascii="Arial" w:eastAsia="Arial" w:hAnsi="Arial" w:cs="Arial"/>
          <w:b/>
          <w:sz w:val="22"/>
          <w:szCs w:val="22"/>
        </w:rPr>
        <w:t xml:space="preserve">RUIZ-LARREA &amp; ASOCIADOS S.L Y ESTUDIO </w:t>
      </w:r>
    </w:p>
    <w:p w:rsidR="009B4233" w:rsidRDefault="006B08B9">
      <w:pPr>
        <w:widowControl/>
        <w:numPr>
          <w:ilvl w:val="0"/>
          <w:numId w:val="64"/>
        </w:numPr>
        <w:suppressAutoHyphens w:val="0"/>
        <w:spacing w:after="8" w:line="264" w:lineRule="auto"/>
        <w:ind w:right="52" w:hanging="284"/>
        <w:jc w:val="both"/>
        <w:textAlignment w:val="auto"/>
      </w:pPr>
      <w:r>
        <w:rPr>
          <w:rFonts w:ascii="Arial" w:eastAsia="Arial" w:hAnsi="Arial" w:cs="Arial"/>
          <w:b/>
          <w:sz w:val="22"/>
          <w:szCs w:val="22"/>
        </w:rPr>
        <w:t xml:space="preserve">ARQUITECTURA EUSTAQUIO MARTÍNEZ SLPU “RLA &amp; EM UTE” </w:t>
      </w:r>
      <w:r>
        <w:rPr>
          <w:rFonts w:ascii="Arial" w:eastAsia="Courier New" w:hAnsi="Arial" w:cs="Arial"/>
          <w:sz w:val="22"/>
          <w:szCs w:val="22"/>
        </w:rPr>
        <w:t xml:space="preserve">o </w:t>
      </w:r>
      <w:r>
        <w:rPr>
          <w:rFonts w:ascii="Arial" w:hAnsi="Arial" w:cs="Arial"/>
          <w:sz w:val="22"/>
          <w:szCs w:val="22"/>
        </w:rPr>
        <w:t xml:space="preserve">Con fecha </w:t>
      </w:r>
    </w:p>
    <w:p w:rsidR="009B4233" w:rsidRDefault="006B08B9">
      <w:pPr>
        <w:ind w:left="310" w:right="52"/>
        <w:jc w:val="both"/>
        <w:rPr>
          <w:rFonts w:ascii="Arial" w:hAnsi="Arial" w:cs="Arial"/>
          <w:sz w:val="22"/>
          <w:szCs w:val="22"/>
        </w:rPr>
      </w:pPr>
      <w:r>
        <w:rPr>
          <w:rFonts w:ascii="Arial" w:hAnsi="Arial" w:cs="Arial"/>
          <w:sz w:val="22"/>
          <w:szCs w:val="22"/>
        </w:rPr>
        <w:t>9 de noviembre de 2010, se aprueba por el Excmo. Cabildo Insular de Tenerife (Área de Turis</w:t>
      </w:r>
      <w:r>
        <w:rPr>
          <w:rFonts w:ascii="Arial" w:hAnsi="Arial" w:cs="Arial"/>
          <w:sz w:val="22"/>
          <w:szCs w:val="22"/>
        </w:rPr>
        <w:t>mo y Planificación), el Plan Director para la redacción del proyecto de la Remodelación de la Plaza de la Patrona y su Entorno, Término Municipal de Candelaria</w:t>
      </w:r>
    </w:p>
    <w:p w:rsidR="009B4233" w:rsidRDefault="006B08B9">
      <w:pPr>
        <w:widowControl/>
        <w:numPr>
          <w:ilvl w:val="0"/>
          <w:numId w:val="64"/>
        </w:numPr>
        <w:suppressAutoHyphens w:val="0"/>
        <w:spacing w:after="7" w:line="264" w:lineRule="auto"/>
        <w:ind w:right="52" w:hanging="284"/>
        <w:jc w:val="both"/>
        <w:textAlignment w:val="auto"/>
      </w:pPr>
      <w:r>
        <w:rPr>
          <w:rFonts w:ascii="Arial" w:hAnsi="Arial" w:cs="Arial"/>
          <w:sz w:val="22"/>
          <w:szCs w:val="22"/>
        </w:rPr>
        <w:t>Con fecha 11 de febrero de 2011, se presentan por parte del Ayuntamiento de Candelaria, sugerenc</w:t>
      </w:r>
      <w:r>
        <w:rPr>
          <w:rFonts w:ascii="Arial" w:hAnsi="Arial" w:cs="Arial"/>
          <w:sz w:val="22"/>
          <w:szCs w:val="22"/>
        </w:rPr>
        <w:t xml:space="preserve">ias al Documento del Plan Director </w:t>
      </w:r>
      <w:r>
        <w:rPr>
          <w:rFonts w:ascii="Arial" w:eastAsia="Courier New" w:hAnsi="Arial" w:cs="Arial"/>
          <w:sz w:val="22"/>
          <w:szCs w:val="22"/>
        </w:rPr>
        <w:t xml:space="preserve">o </w:t>
      </w:r>
      <w:r>
        <w:rPr>
          <w:rFonts w:ascii="Arial" w:hAnsi="Arial" w:cs="Arial"/>
          <w:sz w:val="22"/>
          <w:szCs w:val="22"/>
        </w:rPr>
        <w:t>Con fecha 26 de enero de 2016 se presenta informe por parte de la Comisión Insular de Patrimonio Histórico del Excmo. Cabildo Insular de Tenerife</w:t>
      </w:r>
    </w:p>
    <w:p w:rsidR="009B4233" w:rsidRDefault="006B08B9">
      <w:pPr>
        <w:widowControl/>
        <w:numPr>
          <w:ilvl w:val="0"/>
          <w:numId w:val="64"/>
        </w:numPr>
        <w:suppressAutoHyphens w:val="0"/>
        <w:spacing w:after="7" w:line="264" w:lineRule="auto"/>
        <w:ind w:right="52" w:hanging="284"/>
        <w:jc w:val="both"/>
        <w:textAlignment w:val="auto"/>
        <w:rPr>
          <w:rFonts w:ascii="Arial" w:hAnsi="Arial" w:cs="Arial"/>
          <w:sz w:val="22"/>
          <w:szCs w:val="22"/>
        </w:rPr>
      </w:pPr>
      <w:r>
        <w:rPr>
          <w:rFonts w:ascii="Arial" w:hAnsi="Arial" w:cs="Arial"/>
          <w:sz w:val="22"/>
          <w:szCs w:val="22"/>
        </w:rPr>
        <w:t xml:space="preserve">Con fecha 14 de febrero de 2019, se presenta Proyecto de Remodelación de </w:t>
      </w:r>
      <w:r>
        <w:rPr>
          <w:rFonts w:ascii="Arial" w:hAnsi="Arial" w:cs="Arial"/>
          <w:sz w:val="22"/>
          <w:szCs w:val="22"/>
        </w:rPr>
        <w:t>la Plaza de la Basílica.</w:t>
      </w:r>
    </w:p>
    <w:p w:rsidR="009B4233" w:rsidRDefault="006B08B9">
      <w:pPr>
        <w:widowControl/>
        <w:numPr>
          <w:ilvl w:val="0"/>
          <w:numId w:val="64"/>
        </w:numPr>
        <w:suppressAutoHyphens w:val="0"/>
        <w:spacing w:after="7" w:line="264" w:lineRule="auto"/>
        <w:ind w:right="52" w:hanging="284"/>
        <w:jc w:val="both"/>
        <w:textAlignment w:val="auto"/>
        <w:rPr>
          <w:rFonts w:ascii="Arial" w:hAnsi="Arial" w:cs="Arial"/>
          <w:sz w:val="22"/>
          <w:szCs w:val="22"/>
        </w:rPr>
      </w:pPr>
      <w:r>
        <w:rPr>
          <w:rFonts w:ascii="Arial" w:hAnsi="Arial" w:cs="Arial"/>
          <w:sz w:val="22"/>
          <w:szCs w:val="22"/>
        </w:rPr>
        <w:t>Con fecha 14 de marzo de 2019 y nº de registro de salida se remite al Cabildo, informe sobre la compatibilidad urbanística del Proyecto, con las siguientes conclusiones:</w:t>
      </w:r>
    </w:p>
    <w:p w:rsidR="009B4233" w:rsidRDefault="006B08B9">
      <w:pPr>
        <w:widowControl/>
        <w:numPr>
          <w:ilvl w:val="0"/>
          <w:numId w:val="64"/>
        </w:numPr>
        <w:suppressAutoHyphens w:val="0"/>
        <w:spacing w:after="469" w:line="264" w:lineRule="auto"/>
        <w:ind w:right="52" w:hanging="284"/>
        <w:jc w:val="both"/>
        <w:textAlignment w:val="auto"/>
        <w:rPr>
          <w:rFonts w:ascii="Arial" w:hAnsi="Arial" w:cs="Arial"/>
          <w:sz w:val="22"/>
          <w:szCs w:val="22"/>
        </w:rPr>
      </w:pPr>
      <w:r>
        <w:rPr>
          <w:rFonts w:ascii="Arial" w:hAnsi="Arial" w:cs="Arial"/>
          <w:sz w:val="22"/>
          <w:szCs w:val="22"/>
        </w:rPr>
        <w:t>“…Los tres sectores, se encuentran dentro del Suelo Urbano Co</w:t>
      </w:r>
      <w:r>
        <w:rPr>
          <w:rFonts w:ascii="Arial" w:hAnsi="Arial" w:cs="Arial"/>
          <w:sz w:val="22"/>
          <w:szCs w:val="22"/>
        </w:rPr>
        <w:t>nsolidado de Interés Cultural, en el Casco de Candelaria, incluido en el Bien de Interés Cultural, en la categoría de Monumento, del Santuario de la Virgen de Candelaria y del Convento. El entorno abarca el antiguo Ayuntamiento, La Plaza, y los Riscos de l</w:t>
      </w:r>
      <w:r>
        <w:rPr>
          <w:rFonts w:ascii="Arial" w:hAnsi="Arial" w:cs="Arial"/>
          <w:sz w:val="22"/>
          <w:szCs w:val="22"/>
        </w:rPr>
        <w:t xml:space="preserve">a </w:t>
      </w:r>
    </w:p>
    <w:p w:rsidR="009B4233" w:rsidRDefault="009B4233">
      <w:pPr>
        <w:spacing w:line="249" w:lineRule="auto"/>
        <w:ind w:right="1"/>
        <w:jc w:val="both"/>
        <w:rPr>
          <w:rFonts w:ascii="Arial" w:hAnsi="Arial" w:cs="Arial"/>
          <w:sz w:val="22"/>
          <w:szCs w:val="22"/>
        </w:rPr>
      </w:pPr>
    </w:p>
    <w:p w:rsidR="009B4233" w:rsidRDefault="006B08B9">
      <w:pPr>
        <w:spacing w:after="4" w:line="264" w:lineRule="auto"/>
        <w:ind w:left="288"/>
        <w:jc w:val="both"/>
        <w:rPr>
          <w:rFonts w:ascii="Arial" w:hAnsi="Arial" w:cs="Arial"/>
          <w:sz w:val="22"/>
          <w:szCs w:val="22"/>
        </w:rPr>
      </w:pPr>
      <w:r>
        <w:rPr>
          <w:rFonts w:ascii="Arial" w:hAnsi="Arial" w:cs="Arial"/>
          <w:sz w:val="22"/>
          <w:szCs w:val="22"/>
        </w:rPr>
        <w:t>Basílica hasta la Cueva de San Blas.</w:t>
      </w:r>
    </w:p>
    <w:p w:rsidR="009B4233" w:rsidRDefault="006B08B9">
      <w:pPr>
        <w:widowControl/>
        <w:numPr>
          <w:ilvl w:val="0"/>
          <w:numId w:val="64"/>
        </w:numPr>
        <w:suppressAutoHyphens w:val="0"/>
        <w:spacing w:after="4" w:line="264" w:lineRule="auto"/>
        <w:ind w:right="52" w:hanging="284"/>
        <w:jc w:val="both"/>
        <w:textAlignment w:val="auto"/>
        <w:rPr>
          <w:rFonts w:ascii="Arial" w:hAnsi="Arial" w:cs="Arial"/>
          <w:sz w:val="22"/>
          <w:szCs w:val="22"/>
        </w:rPr>
      </w:pPr>
      <w:r>
        <w:rPr>
          <w:rFonts w:ascii="Arial" w:hAnsi="Arial" w:cs="Arial"/>
          <w:sz w:val="22"/>
          <w:szCs w:val="22"/>
        </w:rPr>
        <w:t xml:space="preserve">Las obras permitidas en líneas generales son las de son de conservación, restauración y consolidación y por tanto las obras descritas dentro del Proyecto de Remodelación de la Plaza de la Basílica, incluidas dentro </w:t>
      </w:r>
      <w:r>
        <w:rPr>
          <w:rFonts w:ascii="Arial" w:hAnsi="Arial" w:cs="Arial"/>
          <w:sz w:val="22"/>
          <w:szCs w:val="22"/>
        </w:rPr>
        <w:t xml:space="preserve">de los tres primeros sectores se consideran COMPATIBLES con el Plan General de Ordenación. </w:t>
      </w:r>
    </w:p>
    <w:p w:rsidR="009B4233" w:rsidRDefault="006B08B9">
      <w:pPr>
        <w:widowControl/>
        <w:numPr>
          <w:ilvl w:val="0"/>
          <w:numId w:val="64"/>
        </w:numPr>
        <w:suppressAutoHyphens w:val="0"/>
        <w:spacing w:after="4" w:line="264" w:lineRule="auto"/>
        <w:ind w:right="52" w:hanging="284"/>
        <w:jc w:val="both"/>
        <w:textAlignment w:val="auto"/>
        <w:rPr>
          <w:rFonts w:ascii="Arial" w:hAnsi="Arial" w:cs="Arial"/>
          <w:sz w:val="22"/>
          <w:szCs w:val="22"/>
        </w:rPr>
      </w:pPr>
      <w:r>
        <w:rPr>
          <w:rFonts w:ascii="Arial" w:hAnsi="Arial" w:cs="Arial"/>
          <w:sz w:val="22"/>
          <w:szCs w:val="22"/>
        </w:rPr>
        <w:t>En el presente informe se comprueba la compatibilidad urbanística del proyecto presentado con el Plan General de Ordenación y por tanto quedará condicionado a cuant</w:t>
      </w:r>
      <w:r>
        <w:rPr>
          <w:rFonts w:ascii="Arial" w:hAnsi="Arial" w:cs="Arial"/>
          <w:sz w:val="22"/>
          <w:szCs w:val="22"/>
        </w:rPr>
        <w:t>os informes sectoriales le sea de aplicación, en especial a los emitidos por la Comisión Insular de Patrimonio Histórico del Excmo. Cabildo Insular de Tenerife, Consejo Insular de aguas y Demarcación de Costas ,..”</w:t>
      </w:r>
    </w:p>
    <w:p w:rsidR="009B4233" w:rsidRDefault="006B08B9">
      <w:pPr>
        <w:widowControl/>
        <w:numPr>
          <w:ilvl w:val="0"/>
          <w:numId w:val="64"/>
        </w:numPr>
        <w:suppressAutoHyphens w:val="0"/>
        <w:spacing w:after="7" w:line="264" w:lineRule="auto"/>
        <w:ind w:right="52" w:hanging="284"/>
        <w:jc w:val="both"/>
        <w:textAlignment w:val="auto"/>
        <w:rPr>
          <w:rFonts w:ascii="Arial" w:hAnsi="Arial" w:cs="Arial"/>
          <w:sz w:val="22"/>
          <w:szCs w:val="22"/>
        </w:rPr>
      </w:pPr>
      <w:r>
        <w:rPr>
          <w:rFonts w:ascii="Arial" w:hAnsi="Arial" w:cs="Arial"/>
          <w:sz w:val="22"/>
          <w:szCs w:val="22"/>
        </w:rPr>
        <w:t>Con fecha 28 de septiembre de 2020 y nº d</w:t>
      </w:r>
      <w:r>
        <w:rPr>
          <w:rFonts w:ascii="Arial" w:hAnsi="Arial" w:cs="Arial"/>
          <w:sz w:val="22"/>
          <w:szCs w:val="22"/>
        </w:rPr>
        <w:t>e registro de entrada 2020-E-RC-10531 se presenta por parte del Cabildo el Proyecto actualizado recogiendo las consideraciones realizadas por los diferentes organismos y entidades públicas.</w:t>
      </w:r>
    </w:p>
    <w:p w:rsidR="009B4233" w:rsidRDefault="006B08B9">
      <w:pPr>
        <w:widowControl/>
        <w:numPr>
          <w:ilvl w:val="0"/>
          <w:numId w:val="64"/>
        </w:numPr>
        <w:suppressAutoHyphens w:val="0"/>
        <w:spacing w:after="7" w:line="264" w:lineRule="auto"/>
        <w:ind w:right="52" w:hanging="284"/>
        <w:jc w:val="both"/>
        <w:textAlignment w:val="auto"/>
        <w:rPr>
          <w:rFonts w:ascii="Arial" w:hAnsi="Arial" w:cs="Arial"/>
          <w:sz w:val="22"/>
          <w:szCs w:val="22"/>
        </w:rPr>
      </w:pPr>
      <w:r>
        <w:rPr>
          <w:rFonts w:ascii="Arial" w:hAnsi="Arial" w:cs="Arial"/>
          <w:sz w:val="22"/>
          <w:szCs w:val="22"/>
        </w:rPr>
        <w:t>Con fecha 25 de febrero de 2021 se solicita por parte del Ayuntami</w:t>
      </w:r>
      <w:r>
        <w:rPr>
          <w:rFonts w:ascii="Arial" w:hAnsi="Arial" w:cs="Arial"/>
          <w:sz w:val="22"/>
          <w:szCs w:val="22"/>
        </w:rPr>
        <w:t>ento autorización de del Servicio Provincial de Costas de las Obras contenidas en el Proyecto.</w:t>
      </w:r>
    </w:p>
    <w:p w:rsidR="009B4233" w:rsidRDefault="006B08B9">
      <w:pPr>
        <w:widowControl/>
        <w:numPr>
          <w:ilvl w:val="0"/>
          <w:numId w:val="64"/>
        </w:numPr>
        <w:suppressAutoHyphens w:val="0"/>
        <w:spacing w:after="7" w:line="264" w:lineRule="auto"/>
        <w:ind w:right="52" w:hanging="284"/>
        <w:jc w:val="both"/>
        <w:textAlignment w:val="auto"/>
        <w:rPr>
          <w:rFonts w:ascii="Arial" w:hAnsi="Arial" w:cs="Arial"/>
          <w:sz w:val="22"/>
          <w:szCs w:val="22"/>
        </w:rPr>
      </w:pPr>
      <w:r>
        <w:rPr>
          <w:rFonts w:ascii="Arial" w:hAnsi="Arial" w:cs="Arial"/>
          <w:sz w:val="22"/>
          <w:szCs w:val="22"/>
        </w:rPr>
        <w:t>Con fecha 10 de mayo de 2023 y nº de registro de salida 2023-S-RC-1900, se remite al Cabildo de Tenerife el certificado de propuesta del Pleno para la puesta a d</w:t>
      </w:r>
      <w:r>
        <w:rPr>
          <w:rFonts w:ascii="Arial" w:hAnsi="Arial" w:cs="Arial"/>
          <w:sz w:val="22"/>
          <w:szCs w:val="22"/>
        </w:rPr>
        <w:t xml:space="preserve">isposición de bienes para el Proyecto de Remodelación de la Plaza de la Patrona de Canarias y su entorno, canalización de cauce e implantación de obras hidráulicas. </w:t>
      </w:r>
    </w:p>
    <w:p w:rsidR="009B4233" w:rsidRDefault="006B08B9">
      <w:pPr>
        <w:widowControl/>
        <w:numPr>
          <w:ilvl w:val="0"/>
          <w:numId w:val="64"/>
        </w:numPr>
        <w:suppressAutoHyphens w:val="0"/>
        <w:spacing w:after="7" w:line="264" w:lineRule="auto"/>
        <w:ind w:right="52" w:hanging="284"/>
        <w:jc w:val="both"/>
        <w:textAlignment w:val="auto"/>
        <w:rPr>
          <w:rFonts w:ascii="Arial" w:hAnsi="Arial" w:cs="Arial"/>
          <w:sz w:val="22"/>
          <w:szCs w:val="22"/>
        </w:rPr>
      </w:pPr>
      <w:r>
        <w:rPr>
          <w:rFonts w:ascii="Arial" w:hAnsi="Arial" w:cs="Arial"/>
          <w:sz w:val="22"/>
          <w:szCs w:val="22"/>
        </w:rPr>
        <w:t>Con fecha de 9 de octubre de 2024, el Consejo de Gobierno Insular, adjudicó el contrato de</w:t>
      </w:r>
      <w:r>
        <w:rPr>
          <w:rFonts w:ascii="Arial" w:hAnsi="Arial" w:cs="Arial"/>
          <w:sz w:val="22"/>
          <w:szCs w:val="22"/>
        </w:rPr>
        <w:t xml:space="preserve"> obras para la ejecución del proyecto “Remodelación de la Plaza de la Patrona y su entorno, canalización de cauce e implantación de conducciones hidráulica”, y las separatas que lo integran, en el término municipal de Candelaria, a la empresa CONSTRUCCIONE</w:t>
      </w:r>
      <w:r>
        <w:rPr>
          <w:rFonts w:ascii="Arial" w:hAnsi="Arial" w:cs="Arial"/>
          <w:sz w:val="22"/>
          <w:szCs w:val="22"/>
        </w:rPr>
        <w:t xml:space="preserve">S SÁNCHEZ DOMÍNGUEZ-SANDO, S.A.U., con </w:t>
      </w:r>
    </w:p>
    <w:p w:rsidR="009B4233" w:rsidRDefault="006B08B9">
      <w:pPr>
        <w:ind w:left="310" w:right="52"/>
        <w:jc w:val="both"/>
        <w:rPr>
          <w:rFonts w:ascii="Arial" w:hAnsi="Arial" w:cs="Arial"/>
          <w:sz w:val="22"/>
          <w:szCs w:val="22"/>
        </w:rPr>
      </w:pPr>
      <w:r>
        <w:rPr>
          <w:rFonts w:ascii="Arial" w:hAnsi="Arial" w:cs="Arial"/>
          <w:sz w:val="22"/>
          <w:szCs w:val="22"/>
        </w:rPr>
        <w:t>NIF-A29029428, por un importe de dieciséis millones doscientos veintinueve mil ciento cuarenta y nueve euros con cuarenta y siete céntimos (16.229.149,47 €), con el 7% de IGIC incluido, y un plazo de ejecución de tre</w:t>
      </w:r>
      <w:r>
        <w:rPr>
          <w:rFonts w:ascii="Arial" w:hAnsi="Arial" w:cs="Arial"/>
          <w:sz w:val="22"/>
          <w:szCs w:val="22"/>
        </w:rPr>
        <w:t>inta y seis (36) meses contados a partir del día siguiente a la fecha de suscripción del acta de comprobación del replanteo.</w:t>
      </w:r>
    </w:p>
    <w:p w:rsidR="009B4233" w:rsidRDefault="006B08B9">
      <w:pPr>
        <w:widowControl/>
        <w:numPr>
          <w:ilvl w:val="0"/>
          <w:numId w:val="64"/>
        </w:numPr>
        <w:suppressAutoHyphens w:val="0"/>
        <w:spacing w:after="7" w:line="264" w:lineRule="auto"/>
        <w:ind w:right="52" w:hanging="284"/>
        <w:jc w:val="both"/>
        <w:textAlignment w:val="auto"/>
        <w:rPr>
          <w:rFonts w:ascii="Arial" w:hAnsi="Arial" w:cs="Arial"/>
          <w:sz w:val="22"/>
          <w:szCs w:val="22"/>
        </w:rPr>
      </w:pPr>
      <w:r>
        <w:rPr>
          <w:rFonts w:ascii="Arial" w:hAnsi="Arial" w:cs="Arial"/>
          <w:sz w:val="22"/>
          <w:szCs w:val="22"/>
        </w:rPr>
        <w:t>Con fecha 27 de diciembre de 2024 se firma el Acta de Replanteo de las Obras</w:t>
      </w:r>
    </w:p>
    <w:p w:rsidR="009B4233" w:rsidRDefault="006B08B9">
      <w:pPr>
        <w:widowControl/>
        <w:numPr>
          <w:ilvl w:val="0"/>
          <w:numId w:val="64"/>
        </w:numPr>
        <w:suppressAutoHyphens w:val="0"/>
        <w:spacing w:after="7" w:line="264" w:lineRule="auto"/>
        <w:ind w:right="52" w:hanging="284"/>
        <w:jc w:val="both"/>
        <w:textAlignment w:val="auto"/>
        <w:rPr>
          <w:rFonts w:ascii="Arial" w:hAnsi="Arial" w:cs="Arial"/>
          <w:sz w:val="22"/>
          <w:szCs w:val="22"/>
        </w:rPr>
      </w:pPr>
      <w:r>
        <w:rPr>
          <w:rFonts w:ascii="Arial" w:hAnsi="Arial" w:cs="Arial"/>
          <w:sz w:val="22"/>
          <w:szCs w:val="22"/>
        </w:rPr>
        <w:t xml:space="preserve">Con fecha 12 de junio de 2025 se autoriza por parte </w:t>
      </w:r>
      <w:r>
        <w:rPr>
          <w:rFonts w:ascii="Arial" w:hAnsi="Arial" w:cs="Arial"/>
          <w:sz w:val="22"/>
          <w:szCs w:val="22"/>
        </w:rPr>
        <w:t xml:space="preserve">del Consejo Insular de Aguas a favor del Ayuntamiento, la propuesta de modificación de un tramo del encauzamiento del Barranco de La Arena, presentada por el Cabildo Insular de Tenerife </w:t>
      </w:r>
    </w:p>
    <w:p w:rsidR="009B4233" w:rsidRDefault="006B08B9">
      <w:pPr>
        <w:widowControl/>
        <w:numPr>
          <w:ilvl w:val="0"/>
          <w:numId w:val="64"/>
        </w:numPr>
        <w:suppressAutoHyphens w:val="0"/>
        <w:spacing w:after="7" w:line="264" w:lineRule="auto"/>
        <w:ind w:right="52" w:hanging="284"/>
        <w:jc w:val="both"/>
        <w:textAlignment w:val="auto"/>
        <w:rPr>
          <w:rFonts w:ascii="Arial" w:hAnsi="Arial" w:cs="Arial"/>
          <w:sz w:val="22"/>
          <w:szCs w:val="22"/>
        </w:rPr>
      </w:pPr>
      <w:r>
        <w:rPr>
          <w:rFonts w:ascii="Arial" w:hAnsi="Arial" w:cs="Arial"/>
          <w:sz w:val="22"/>
          <w:szCs w:val="22"/>
        </w:rPr>
        <w:t>Con fecha 21 de agosto de 2025 y número de registro de entrada 2025-E</w:t>
      </w:r>
      <w:r>
        <w:rPr>
          <w:rFonts w:ascii="Arial" w:hAnsi="Arial" w:cs="Arial"/>
          <w:sz w:val="22"/>
          <w:szCs w:val="22"/>
        </w:rPr>
        <w:t xml:space="preserve">-RC-7850, se remite por parte del Cabildo de Tenerife el Modificado nº 1 del Proyecto Remodelación de la Plaza de la Patrona de Canarias, canalización de cauce e </w:t>
      </w:r>
    </w:p>
    <w:p w:rsidR="009B4233" w:rsidRDefault="006B08B9">
      <w:pPr>
        <w:ind w:left="285" w:right="52" w:hanging="284"/>
        <w:jc w:val="both"/>
        <w:rPr>
          <w:rFonts w:ascii="Arial" w:hAnsi="Arial" w:cs="Arial"/>
          <w:sz w:val="22"/>
          <w:szCs w:val="22"/>
        </w:rPr>
      </w:pPr>
      <w:r>
        <w:rPr>
          <w:rFonts w:ascii="Arial" w:hAnsi="Arial" w:cs="Arial"/>
          <w:sz w:val="22"/>
          <w:szCs w:val="22"/>
        </w:rPr>
        <w:t>implantación de conducciones hidráulicas (sectores 1, 2 y 3), solicitando la puesta a disposi</w:t>
      </w:r>
      <w:r>
        <w:rPr>
          <w:rFonts w:ascii="Arial" w:hAnsi="Arial" w:cs="Arial"/>
          <w:sz w:val="22"/>
          <w:szCs w:val="22"/>
        </w:rPr>
        <w:t>ción de los terrenos adyacentes a la Plaza de Los Artesanos y el edificio Oceánica.</w:t>
      </w:r>
    </w:p>
    <w:p w:rsidR="009B4233" w:rsidRDefault="009B4233">
      <w:pPr>
        <w:pageBreakBefore/>
        <w:spacing w:line="249" w:lineRule="auto"/>
        <w:ind w:left="-1690"/>
        <w:rPr>
          <w:rFonts w:ascii="Arial" w:hAnsi="Arial" w:cs="Arial"/>
          <w:sz w:val="22"/>
          <w:szCs w:val="22"/>
        </w:rPr>
      </w:pPr>
    </w:p>
    <w:p w:rsidR="009B4233" w:rsidRDefault="006B08B9">
      <w:pPr>
        <w:ind w:left="11" w:right="52"/>
        <w:jc w:val="both"/>
        <w:rPr>
          <w:rFonts w:ascii="Arial" w:hAnsi="Arial" w:cs="Arial"/>
          <w:sz w:val="22"/>
          <w:szCs w:val="22"/>
        </w:rPr>
      </w:pPr>
      <w:r>
        <w:rPr>
          <w:rFonts w:ascii="Arial" w:hAnsi="Arial" w:cs="Arial"/>
          <w:sz w:val="22"/>
          <w:szCs w:val="22"/>
        </w:rPr>
        <w:t xml:space="preserve">Es por ello que, habiendo consultado con el Ayuntamiento de Candelaria al respecto, es necesario realizar una serie de actuaciones, ajuste y reformas sobre la solución </w:t>
      </w:r>
      <w:r>
        <w:rPr>
          <w:rFonts w:ascii="Arial" w:hAnsi="Arial" w:cs="Arial"/>
          <w:sz w:val="22"/>
          <w:szCs w:val="22"/>
        </w:rPr>
        <w:t>planteada del proyecto de la plaza de los Artesanos, a fin de adecuar el proyecto en este ámbito las cotas para el correcto funcionamiento tanto del espacio público de la Plaza, resolviendo al tiempo la operatividad de los accesos de los propietarios de la</w:t>
      </w:r>
      <w:r>
        <w:rPr>
          <w:rFonts w:ascii="Arial" w:hAnsi="Arial" w:cs="Arial"/>
          <w:sz w:val="22"/>
          <w:szCs w:val="22"/>
        </w:rPr>
        <w:t>s viviendas y garajes al edificio denominado Oceánica.</w:t>
      </w:r>
    </w:p>
    <w:p w:rsidR="009B4233" w:rsidRDefault="006B08B9">
      <w:pPr>
        <w:ind w:left="11" w:right="52"/>
        <w:jc w:val="both"/>
        <w:rPr>
          <w:rFonts w:ascii="Arial" w:hAnsi="Arial" w:cs="Arial"/>
          <w:sz w:val="22"/>
          <w:szCs w:val="22"/>
        </w:rPr>
      </w:pPr>
      <w:r>
        <w:rPr>
          <w:rFonts w:ascii="Arial" w:hAnsi="Arial" w:cs="Arial"/>
          <w:sz w:val="22"/>
          <w:szCs w:val="22"/>
        </w:rPr>
        <w:t xml:space="preserve">En cualquier caso, hemos de recalcar que la nueva solución, no afecta ni merma las condiciones funcionales, de calidad y espaciales del espacio público, sino que se adaptan los conceptos derivados del </w:t>
      </w:r>
      <w:r>
        <w:rPr>
          <w:rFonts w:ascii="Arial" w:hAnsi="Arial" w:cs="Arial"/>
          <w:sz w:val="22"/>
          <w:szCs w:val="22"/>
        </w:rPr>
        <w:t>proyecto aprobado.</w:t>
      </w:r>
    </w:p>
    <w:p w:rsidR="009B4233" w:rsidRDefault="006B08B9">
      <w:pPr>
        <w:spacing w:after="220"/>
        <w:ind w:left="11" w:right="52"/>
        <w:jc w:val="both"/>
        <w:rPr>
          <w:rFonts w:ascii="Arial" w:hAnsi="Arial" w:cs="Arial"/>
          <w:sz w:val="22"/>
          <w:szCs w:val="22"/>
        </w:rPr>
      </w:pPr>
      <w:r>
        <w:rPr>
          <w:rFonts w:ascii="Arial" w:hAnsi="Arial" w:cs="Arial"/>
          <w:sz w:val="22"/>
          <w:szCs w:val="22"/>
        </w:rPr>
        <w:t>La reordenación de la Plaza de Los Artesanos, para dar cabida al acceso del Edificio Oceánica, ha llevado la aparición de un peatonal y un tramo de vial de acceso al garaje del mismo. Ha sido necesario definir un nuevo alumbrado.</w:t>
      </w:r>
    </w:p>
    <w:p w:rsidR="009B4233" w:rsidRDefault="006B08B9">
      <w:pPr>
        <w:pStyle w:val="Ttulo2"/>
        <w:ind w:left="11"/>
        <w:rPr>
          <w:rFonts w:ascii="Arial" w:hAnsi="Arial" w:cs="Arial"/>
          <w:sz w:val="22"/>
          <w:szCs w:val="22"/>
        </w:rPr>
      </w:pPr>
      <w:r>
        <w:rPr>
          <w:rFonts w:ascii="Arial" w:hAnsi="Arial" w:cs="Arial"/>
          <w:sz w:val="22"/>
          <w:szCs w:val="22"/>
        </w:rPr>
        <w:t>B.- ELI</w:t>
      </w:r>
      <w:r>
        <w:rPr>
          <w:rFonts w:ascii="Arial" w:hAnsi="Arial" w:cs="Arial"/>
          <w:sz w:val="22"/>
          <w:szCs w:val="22"/>
        </w:rPr>
        <w:t>MINACIÓN DE LA RAMPA DE MADERA PREVISTA PARA DAR ACCESIBILIDAD ENTRE LA PLAYA Y LA PLAZA</w:t>
      </w:r>
    </w:p>
    <w:p w:rsidR="009B4233" w:rsidRDefault="006B08B9">
      <w:pPr>
        <w:ind w:left="11" w:right="52"/>
        <w:jc w:val="both"/>
        <w:rPr>
          <w:rFonts w:ascii="Arial" w:hAnsi="Arial" w:cs="Arial"/>
          <w:sz w:val="22"/>
          <w:szCs w:val="22"/>
        </w:rPr>
      </w:pPr>
      <w:r>
        <w:rPr>
          <w:rFonts w:ascii="Arial" w:hAnsi="Arial" w:cs="Arial"/>
          <w:sz w:val="22"/>
          <w:szCs w:val="22"/>
        </w:rPr>
        <w:t>Atendiendo a las indicaciones del organismo responsable del mantenimiento de la fibra óptica, fibra de comunicación entre islas y península, que discurre enterrada baj</w:t>
      </w:r>
      <w:r>
        <w:rPr>
          <w:rFonts w:ascii="Arial" w:hAnsi="Arial" w:cs="Arial"/>
          <w:sz w:val="22"/>
          <w:szCs w:val="22"/>
        </w:rPr>
        <w:t xml:space="preserve">o la plaza y se introduce en el mar a través de una gran arqueta enterrada bajo el nivel de la plaza situada en la esquina norte de la plaza, zona donde el proyecto tiene prevista la ubicación de una rampa de madera que soluciona la accesibilidad entre el </w:t>
      </w:r>
      <w:r>
        <w:rPr>
          <w:rFonts w:ascii="Arial" w:hAnsi="Arial" w:cs="Arial"/>
          <w:sz w:val="22"/>
          <w:szCs w:val="22"/>
        </w:rPr>
        <w:t>nivel de la plaza y la playa, se nos informa del riesgo, que durante la ejecución de los trabajos de cimentación de dicha rampa, se pueda producir algún tipo de daño a la fibra, pudiendo producir la desconexión de la misma.</w:t>
      </w:r>
    </w:p>
    <w:p w:rsidR="009B4233" w:rsidRDefault="006B08B9">
      <w:pPr>
        <w:spacing w:after="220"/>
        <w:ind w:left="11" w:right="52"/>
        <w:jc w:val="both"/>
        <w:rPr>
          <w:rFonts w:ascii="Arial" w:hAnsi="Arial" w:cs="Arial"/>
          <w:sz w:val="22"/>
          <w:szCs w:val="22"/>
        </w:rPr>
      </w:pPr>
      <w:r>
        <w:rPr>
          <w:rFonts w:ascii="Arial" w:hAnsi="Arial" w:cs="Arial"/>
          <w:sz w:val="22"/>
          <w:szCs w:val="22"/>
        </w:rPr>
        <w:t>A la vista de las indicaciones d</w:t>
      </w:r>
      <w:r>
        <w:rPr>
          <w:rFonts w:ascii="Arial" w:hAnsi="Arial" w:cs="Arial"/>
          <w:sz w:val="22"/>
          <w:szCs w:val="22"/>
        </w:rPr>
        <w:t xml:space="preserve">e riesgo de la ejecución de obras en la zona de la playa donde se encuentra la salida de la citada fibra y que coincide con la situación de la rampa accesible proyectada, se solicita realizar una modificación sobre la solución de la accesibilidad entre la </w:t>
      </w:r>
      <w:r>
        <w:rPr>
          <w:rFonts w:ascii="Arial" w:hAnsi="Arial" w:cs="Arial"/>
          <w:sz w:val="22"/>
          <w:szCs w:val="22"/>
        </w:rPr>
        <w:t>plaza y la playa mediante la adaptación, según la normativa de aplicación, de una de las rampas laterales al botaolas central, lo que permitirá eliminar el acceso de madera y evitar, por tanto, cualquier tipo de obra próxima a la zona de salida de la fibra</w:t>
      </w:r>
      <w:r>
        <w:rPr>
          <w:rFonts w:ascii="Arial" w:hAnsi="Arial" w:cs="Arial"/>
          <w:sz w:val="22"/>
          <w:szCs w:val="22"/>
        </w:rPr>
        <w:t xml:space="preserve"> al mar, evitando así los posibles daños que se pudieran causar a la misma.</w:t>
      </w:r>
    </w:p>
    <w:p w:rsidR="009B4233" w:rsidRDefault="006B08B9">
      <w:pPr>
        <w:pStyle w:val="Ttulo2"/>
        <w:ind w:left="11"/>
        <w:rPr>
          <w:rFonts w:ascii="Arial" w:hAnsi="Arial" w:cs="Arial"/>
          <w:sz w:val="22"/>
          <w:szCs w:val="22"/>
        </w:rPr>
      </w:pPr>
      <w:r>
        <w:rPr>
          <w:rFonts w:ascii="Arial" w:hAnsi="Arial" w:cs="Arial"/>
          <w:sz w:val="22"/>
          <w:szCs w:val="22"/>
        </w:rPr>
        <w:t>C.- ADECUACIÓN DE PIEZAS DE BASALTO DEL PAVIMENTO DE URBANIZACIÓN</w:t>
      </w:r>
    </w:p>
    <w:p w:rsidR="009B4233" w:rsidRDefault="006B08B9">
      <w:pPr>
        <w:ind w:left="11" w:right="52"/>
        <w:jc w:val="both"/>
        <w:rPr>
          <w:rFonts w:ascii="Arial" w:hAnsi="Arial" w:cs="Arial"/>
          <w:sz w:val="22"/>
          <w:szCs w:val="22"/>
        </w:rPr>
      </w:pPr>
      <w:r>
        <w:rPr>
          <w:rFonts w:ascii="Arial" w:hAnsi="Arial" w:cs="Arial"/>
          <w:sz w:val="22"/>
          <w:szCs w:val="22"/>
        </w:rPr>
        <w:t>La solución general del proyecto contempla la ejecución del pavimento mediante piezas de basalto de diferentes dim</w:t>
      </w:r>
      <w:r>
        <w:rPr>
          <w:rFonts w:ascii="Arial" w:hAnsi="Arial" w:cs="Arial"/>
          <w:sz w:val="22"/>
          <w:szCs w:val="22"/>
        </w:rPr>
        <w:t>ensiones y tratamientos superficiales específicos. Sin embargo, tras la revisión conjunta con la contrata de las partidas incluidas en el proyecto aprobado, se ha constatado la necesidad técnica de modificar los espesores originalmente proyectados. Esta mo</w:t>
      </w:r>
      <w:r>
        <w:rPr>
          <w:rFonts w:ascii="Arial" w:hAnsi="Arial" w:cs="Arial"/>
          <w:sz w:val="22"/>
          <w:szCs w:val="22"/>
        </w:rPr>
        <w:t>dificación resulta imprescindible para garantizar la adecuada respuesta del pavimento frente a los usos reales de cada zona del ámbito de actuación, optimizando así el comportamiento estructural y funcional del basalto como material de acabado. La adaptaci</w:t>
      </w:r>
      <w:r>
        <w:rPr>
          <w:rFonts w:ascii="Arial" w:hAnsi="Arial" w:cs="Arial"/>
          <w:sz w:val="22"/>
          <w:szCs w:val="22"/>
        </w:rPr>
        <w:t>ón propuesta no solo responde a criterios de racionalidad constructiva, sino que constituye una medida técnica indispensable para asegurar la durabilidad y seguridad del pavimento previsto.</w:t>
      </w:r>
    </w:p>
    <w:p w:rsidR="00000000" w:rsidRDefault="006B08B9">
      <w:pPr>
        <w:rPr>
          <w:rFonts w:cs="Mangal"/>
          <w:szCs w:val="21"/>
        </w:rPr>
        <w:sectPr w:rsidR="00000000">
          <w:type w:val="continuous"/>
          <w:pgSz w:w="11906" w:h="16838"/>
          <w:pgMar w:top="2835" w:right="1644" w:bottom="1644" w:left="1688" w:header="692" w:footer="567" w:gutter="0"/>
          <w:cols w:space="720"/>
          <w:titlePg/>
        </w:sectPr>
      </w:pPr>
    </w:p>
    <w:p w:rsidR="009B4233" w:rsidRDefault="006B08B9">
      <w:pPr>
        <w:pStyle w:val="Ttulo2"/>
        <w:ind w:left="11"/>
        <w:rPr>
          <w:rFonts w:ascii="Arial" w:hAnsi="Arial" w:cs="Arial"/>
          <w:sz w:val="22"/>
          <w:szCs w:val="22"/>
        </w:rPr>
      </w:pPr>
      <w:r>
        <w:rPr>
          <w:rFonts w:ascii="Arial" w:hAnsi="Arial" w:cs="Arial"/>
          <w:sz w:val="22"/>
          <w:szCs w:val="22"/>
        </w:rPr>
        <w:t>D.- INCORPORACIÓN DE PARTIDAS DE DESVÍOS PROVISIONALES DE LAS INS</w:t>
      </w:r>
      <w:r>
        <w:rPr>
          <w:rFonts w:ascii="Arial" w:hAnsi="Arial" w:cs="Arial"/>
          <w:sz w:val="22"/>
          <w:szCs w:val="22"/>
        </w:rPr>
        <w:t>TALACIONES</w:t>
      </w:r>
    </w:p>
    <w:p w:rsidR="009B4233" w:rsidRDefault="006B08B9">
      <w:pPr>
        <w:ind w:left="11" w:right="52"/>
        <w:jc w:val="both"/>
        <w:rPr>
          <w:rFonts w:ascii="Arial" w:hAnsi="Arial" w:cs="Arial"/>
          <w:sz w:val="22"/>
          <w:szCs w:val="22"/>
        </w:rPr>
      </w:pPr>
      <w:r>
        <w:rPr>
          <w:rFonts w:ascii="Arial" w:hAnsi="Arial" w:cs="Arial"/>
          <w:sz w:val="22"/>
          <w:szCs w:val="22"/>
        </w:rPr>
        <w:t>Una vez comenzados los trabajos de reconocimiento in situ mediante la apertura de zanjas y otros métodos de detección, se han identificado en distintas zonas, elementos de obra civil no inventariados por las distintas compañías suministradoras y</w:t>
      </w:r>
      <w:r>
        <w:rPr>
          <w:rFonts w:ascii="Arial" w:hAnsi="Arial" w:cs="Arial"/>
          <w:sz w:val="22"/>
          <w:szCs w:val="22"/>
        </w:rPr>
        <w:t xml:space="preserve"> la administración local involucrada, razón por la que la redacción del proyecto de ingeniería no las contempló como servicios afectados.</w:t>
      </w:r>
    </w:p>
    <w:p w:rsidR="009B4233" w:rsidRDefault="006B08B9">
      <w:pPr>
        <w:ind w:left="11" w:right="52"/>
        <w:jc w:val="both"/>
        <w:rPr>
          <w:rFonts w:ascii="Arial" w:hAnsi="Arial" w:cs="Arial"/>
          <w:sz w:val="22"/>
          <w:szCs w:val="22"/>
        </w:rPr>
      </w:pPr>
      <w:r>
        <w:rPr>
          <w:rFonts w:ascii="Arial" w:hAnsi="Arial" w:cs="Arial"/>
          <w:sz w:val="22"/>
          <w:szCs w:val="22"/>
        </w:rPr>
        <w:t>De entre los servicios afectados más significativos se pueden señalar: arquetas y cámaras enterradas de distribución d</w:t>
      </w:r>
      <w:r>
        <w:rPr>
          <w:rFonts w:ascii="Arial" w:hAnsi="Arial" w:cs="Arial"/>
          <w:sz w:val="22"/>
          <w:szCs w:val="22"/>
        </w:rPr>
        <w:t>e telefonía de dimensiones no convencionales (2x3 mts de planta y una altura media de 2,5 mts); redes existentes, detectadas en la apertura de zanjas, en un estado de deterioro considerable que imposibilita la realización directa de las obras para la futur</w:t>
      </w:r>
      <w:r>
        <w:rPr>
          <w:rFonts w:ascii="Arial" w:hAnsi="Arial" w:cs="Arial"/>
          <w:sz w:val="22"/>
          <w:szCs w:val="22"/>
        </w:rPr>
        <w:t>a red en esos puntos; trazados de redes de pluviales, telefonía-, saneamiento y otras. definitiva, entendiendo necesario incorporar una serie de partidas alzadas a justificar por la dirección facultativa.</w:t>
      </w:r>
    </w:p>
    <w:p w:rsidR="009B4233" w:rsidRDefault="006B08B9">
      <w:pPr>
        <w:ind w:left="11" w:right="52"/>
        <w:jc w:val="both"/>
        <w:rPr>
          <w:rFonts w:ascii="Arial" w:hAnsi="Arial" w:cs="Arial"/>
          <w:sz w:val="22"/>
          <w:szCs w:val="22"/>
        </w:rPr>
      </w:pPr>
      <w:r>
        <w:rPr>
          <w:rFonts w:ascii="Arial" w:hAnsi="Arial" w:cs="Arial"/>
          <w:sz w:val="22"/>
          <w:szCs w:val="22"/>
        </w:rPr>
        <w:t>También se ha variado el ajardinado de la plaza, po</w:t>
      </w:r>
      <w:r>
        <w:rPr>
          <w:rFonts w:ascii="Arial" w:hAnsi="Arial" w:cs="Arial"/>
          <w:sz w:val="22"/>
          <w:szCs w:val="22"/>
        </w:rPr>
        <w:t>r lo que ha sido necesario variar la ubicación de los postes previsto para su alumbrado general, aproximándolos más al eje de la plaza, y variar la dotación en proyectores de los mismos, para ajustarse mejor a esta nueva disposición.</w:t>
      </w:r>
    </w:p>
    <w:p w:rsidR="009B4233" w:rsidRDefault="006B08B9">
      <w:pPr>
        <w:ind w:left="11" w:right="52"/>
        <w:jc w:val="both"/>
        <w:rPr>
          <w:rFonts w:ascii="Arial" w:hAnsi="Arial" w:cs="Arial"/>
          <w:sz w:val="22"/>
          <w:szCs w:val="22"/>
        </w:rPr>
      </w:pPr>
      <w:r>
        <w:rPr>
          <w:rFonts w:ascii="Arial" w:hAnsi="Arial" w:cs="Arial"/>
          <w:sz w:val="22"/>
          <w:szCs w:val="22"/>
        </w:rPr>
        <w:t>La variación en el aja</w:t>
      </w:r>
      <w:r>
        <w:rPr>
          <w:rFonts w:ascii="Arial" w:hAnsi="Arial" w:cs="Arial"/>
          <w:sz w:val="22"/>
          <w:szCs w:val="22"/>
        </w:rPr>
        <w:t>rdinado ha hecho necesaria la instalación en proyectores UPLIGHT adicionales, tanto del tipo previsto en proyecto, como de un nuevo tipo previstos para especies de portes bajos.</w:t>
      </w:r>
    </w:p>
    <w:p w:rsidR="009B4233" w:rsidRDefault="006B08B9">
      <w:pPr>
        <w:spacing w:after="220"/>
        <w:ind w:left="11" w:right="52"/>
        <w:jc w:val="both"/>
        <w:rPr>
          <w:rFonts w:ascii="Arial" w:hAnsi="Arial" w:cs="Arial"/>
          <w:sz w:val="22"/>
          <w:szCs w:val="22"/>
        </w:rPr>
      </w:pPr>
      <w:r>
        <w:rPr>
          <w:rFonts w:ascii="Arial" w:hAnsi="Arial" w:cs="Arial"/>
          <w:sz w:val="22"/>
          <w:szCs w:val="22"/>
        </w:rPr>
        <w:t>Todo ello conlleva la ampliación de cableado prevista en proyecto, para los el</w:t>
      </w:r>
      <w:r>
        <w:rPr>
          <w:rFonts w:ascii="Arial" w:hAnsi="Arial" w:cs="Arial"/>
          <w:sz w:val="22"/>
          <w:szCs w:val="22"/>
        </w:rPr>
        <w:t>ementos nuevos o adicionales, así como las canalizaciones y arquetas para su instalación subterránea. Las modificaciones previstas pueden observarse en planos adjuntos.</w:t>
      </w:r>
    </w:p>
    <w:p w:rsidR="009B4233" w:rsidRDefault="006B08B9">
      <w:pPr>
        <w:spacing w:after="234" w:line="242" w:lineRule="auto"/>
        <w:ind w:left="11"/>
      </w:pPr>
      <w:r>
        <w:rPr>
          <w:rFonts w:ascii="Arial" w:eastAsia="Arial" w:hAnsi="Arial" w:cs="Arial"/>
          <w:b/>
          <w:sz w:val="22"/>
          <w:szCs w:val="22"/>
        </w:rPr>
        <w:t>DESVÍOS PROVISIONALES ESPECIFICOS:</w:t>
      </w:r>
    </w:p>
    <w:p w:rsidR="009B4233" w:rsidRDefault="006B08B9">
      <w:pPr>
        <w:ind w:left="11" w:right="52"/>
        <w:jc w:val="both"/>
      </w:pPr>
      <w:r>
        <w:rPr>
          <w:rFonts w:ascii="Arial" w:hAnsi="Arial" w:cs="Arial"/>
          <w:sz w:val="22"/>
          <w:szCs w:val="22"/>
        </w:rPr>
        <w:t xml:space="preserve">La canalización de </w:t>
      </w:r>
      <w:r>
        <w:rPr>
          <w:rFonts w:ascii="Arial" w:eastAsia="Arial" w:hAnsi="Arial" w:cs="Arial"/>
          <w:b/>
          <w:sz w:val="22"/>
          <w:szCs w:val="22"/>
        </w:rPr>
        <w:t xml:space="preserve">TELEFÓNICA </w:t>
      </w:r>
      <w:r>
        <w:rPr>
          <w:rFonts w:ascii="Arial" w:hAnsi="Arial" w:cs="Arial"/>
          <w:sz w:val="22"/>
          <w:szCs w:val="22"/>
        </w:rPr>
        <w:t>que asciende por Antón</w:t>
      </w:r>
      <w:r>
        <w:rPr>
          <w:rFonts w:ascii="Arial" w:hAnsi="Arial" w:cs="Arial"/>
          <w:sz w:val="22"/>
          <w:szCs w:val="22"/>
        </w:rPr>
        <w:t xml:space="preserve"> Guanche figuraba en la información facilitada paralela al eje de la vía, sin embargo, realizadas las primeras catas se ha encontrado que en algunos tramos se encuentran en diagonal, por lo que se hace necesario realizar un desvío provisional de la red de </w:t>
      </w:r>
      <w:r>
        <w:rPr>
          <w:rFonts w:ascii="Arial" w:hAnsi="Arial" w:cs="Arial"/>
          <w:sz w:val="22"/>
          <w:szCs w:val="22"/>
        </w:rPr>
        <w:t>fibra óptica en servicio, para rectificar el trazado de su canalización y dar cabida al resto de canalizaciones previstas.</w:t>
      </w:r>
    </w:p>
    <w:p w:rsidR="009B4233" w:rsidRDefault="006B08B9">
      <w:pPr>
        <w:ind w:left="11" w:right="52"/>
        <w:jc w:val="both"/>
        <w:rPr>
          <w:rFonts w:ascii="Arial" w:hAnsi="Arial" w:cs="Arial"/>
          <w:sz w:val="22"/>
          <w:szCs w:val="22"/>
        </w:rPr>
      </w:pPr>
      <w:r>
        <w:rPr>
          <w:rFonts w:ascii="Arial" w:hAnsi="Arial" w:cs="Arial"/>
          <w:sz w:val="22"/>
          <w:szCs w:val="22"/>
        </w:rPr>
        <w:t>Este desvío se realizará por dicha compañía, con la colaboración de la contrata que aportan mano de obra de apoyo, medios y ayudas de</w:t>
      </w:r>
      <w:r>
        <w:rPr>
          <w:rFonts w:ascii="Arial" w:hAnsi="Arial" w:cs="Arial"/>
          <w:sz w:val="22"/>
          <w:szCs w:val="22"/>
        </w:rPr>
        <w:t xml:space="preserve"> albañilería. El trazado ha sido estudiado por TELEFÓNICA, y será aéreo, sobre postes, liberando también la zona próxima al azud y su recorrido en la Plaza de La Patrona que se alinea con Antón Guanche, con lo que facilita la ejecución de las canalizacione</w:t>
      </w:r>
      <w:r>
        <w:rPr>
          <w:rFonts w:ascii="Arial" w:hAnsi="Arial" w:cs="Arial"/>
          <w:sz w:val="22"/>
          <w:szCs w:val="22"/>
        </w:rPr>
        <w:t>s previstas en ambos tramos. En planos adjunto puede observarse el trazado propuesto.</w:t>
      </w:r>
    </w:p>
    <w:p w:rsidR="009B4233" w:rsidRDefault="006B08B9">
      <w:pPr>
        <w:spacing w:after="258"/>
        <w:ind w:left="11" w:right="52"/>
        <w:jc w:val="both"/>
      </w:pPr>
      <w:r>
        <w:rPr>
          <w:rFonts w:ascii="Arial" w:hAnsi="Arial" w:cs="Arial"/>
          <w:sz w:val="22"/>
          <w:szCs w:val="22"/>
        </w:rPr>
        <w:t>La posición que finalmente se ha decidido para el MARCO DE PLUVIALES que discurrirá por la Plaza de los Artesanos y desciende a La Plaza de la Patrona, así como la planif</w:t>
      </w:r>
      <w:r>
        <w:rPr>
          <w:rFonts w:ascii="Arial" w:hAnsi="Arial" w:cs="Arial"/>
          <w:sz w:val="22"/>
          <w:szCs w:val="22"/>
        </w:rPr>
        <w:t xml:space="preserve">icación de la obra han hecho necesario prever desvíos provisionales de obra, tanto para la </w:t>
      </w:r>
      <w:r>
        <w:rPr>
          <w:rFonts w:ascii="Arial" w:eastAsia="Arial" w:hAnsi="Arial" w:cs="Arial"/>
          <w:b/>
          <w:sz w:val="22"/>
          <w:szCs w:val="22"/>
        </w:rPr>
        <w:t xml:space="preserve">RED DE RESIDUALES </w:t>
      </w:r>
      <w:r>
        <w:rPr>
          <w:rFonts w:ascii="Arial" w:hAnsi="Arial" w:cs="Arial"/>
          <w:sz w:val="22"/>
          <w:szCs w:val="22"/>
        </w:rPr>
        <w:t xml:space="preserve">como para la </w:t>
      </w:r>
      <w:r>
        <w:rPr>
          <w:rFonts w:ascii="Arial" w:eastAsia="Arial" w:hAnsi="Arial" w:cs="Arial"/>
          <w:b/>
          <w:sz w:val="22"/>
          <w:szCs w:val="22"/>
        </w:rPr>
        <w:t>RED</w:t>
      </w:r>
      <w:r>
        <w:rPr>
          <w:rFonts w:ascii="Arial" w:hAnsi="Arial" w:cs="Arial"/>
          <w:sz w:val="22"/>
          <w:szCs w:val="22"/>
        </w:rPr>
        <w:t xml:space="preserve"> </w:t>
      </w:r>
      <w:r>
        <w:rPr>
          <w:rFonts w:ascii="Arial" w:eastAsia="Arial" w:hAnsi="Arial" w:cs="Arial"/>
          <w:b/>
          <w:sz w:val="22"/>
          <w:szCs w:val="22"/>
        </w:rPr>
        <w:t>DE ABASTECIMIENTO</w:t>
      </w:r>
      <w:r>
        <w:rPr>
          <w:rFonts w:ascii="Arial" w:hAnsi="Arial" w:cs="Arial"/>
          <w:sz w:val="22"/>
          <w:szCs w:val="22"/>
        </w:rPr>
        <w:t>, con el fin de mantener en servicio las acometidas domiciliarias en la zona de la Plaza de Los Artesanos, a real</w:t>
      </w:r>
      <w:r>
        <w:rPr>
          <w:rFonts w:ascii="Arial" w:hAnsi="Arial" w:cs="Arial"/>
          <w:sz w:val="22"/>
          <w:szCs w:val="22"/>
        </w:rPr>
        <w:t>izar de forma previa a las redes definitivas. En planos adjuntos puede observarse que ambas instalaciones tienen tramos que se cruzan con el recorrido del marco, y se han definido nuevos recorridos, que permitan eliminar esos cruces, y el actual punto de b</w:t>
      </w:r>
      <w:r>
        <w:rPr>
          <w:rFonts w:ascii="Arial" w:hAnsi="Arial" w:cs="Arial"/>
          <w:sz w:val="22"/>
          <w:szCs w:val="22"/>
        </w:rPr>
        <w:t>ajada en la zona de La Cueva. De esa manera se podrá realizar el marco y la bajada de residuales definitiva previstas en proyecto sin interferencias.</w:t>
      </w:r>
    </w:p>
    <w:p w:rsidR="009B4233" w:rsidRDefault="006B08B9">
      <w:pPr>
        <w:pStyle w:val="Ttulo2"/>
        <w:spacing w:after="295"/>
        <w:ind w:left="11"/>
        <w:rPr>
          <w:rFonts w:ascii="Arial" w:hAnsi="Arial" w:cs="Arial"/>
          <w:sz w:val="22"/>
          <w:szCs w:val="22"/>
        </w:rPr>
      </w:pPr>
      <w:r>
        <w:rPr>
          <w:rFonts w:ascii="Arial" w:hAnsi="Arial" w:cs="Arial"/>
          <w:sz w:val="22"/>
          <w:szCs w:val="22"/>
        </w:rPr>
        <w:t>E.- ADECUACIÓN DEL ACCESO PEATONAL EN LA ZONA DEL AZUD PREVISTO CON EL CIATF</w:t>
      </w:r>
    </w:p>
    <w:p w:rsidR="009B4233" w:rsidRDefault="006B08B9">
      <w:pPr>
        <w:ind w:left="11" w:right="52"/>
        <w:jc w:val="both"/>
        <w:rPr>
          <w:rFonts w:ascii="Arial" w:hAnsi="Arial" w:cs="Arial"/>
          <w:sz w:val="22"/>
          <w:szCs w:val="22"/>
        </w:rPr>
      </w:pPr>
      <w:r>
        <w:rPr>
          <w:rFonts w:ascii="Arial" w:hAnsi="Arial" w:cs="Arial"/>
          <w:sz w:val="22"/>
          <w:szCs w:val="22"/>
        </w:rPr>
        <w:t xml:space="preserve">Durante los trabajos previos </w:t>
      </w:r>
      <w:r>
        <w:rPr>
          <w:rFonts w:ascii="Arial" w:hAnsi="Arial" w:cs="Arial"/>
          <w:sz w:val="22"/>
          <w:szCs w:val="22"/>
        </w:rPr>
        <w:t xml:space="preserve">que se han venido realizando para la ejecución del azud, previsto en el proyecto del encauzamiento del barranco de Tapia, los servicios municipales del Ayuntamiento de Candelaria, han solicitado dar solución a la continuidad peatonal en esta zona y que el </w:t>
      </w:r>
      <w:r>
        <w:rPr>
          <w:rFonts w:ascii="Arial" w:hAnsi="Arial" w:cs="Arial"/>
          <w:sz w:val="22"/>
          <w:szCs w:val="22"/>
        </w:rPr>
        <w:t>proyecto de arquitectura tenía previsto terminar en este lado de la calle Antón Guanche en el encuentro del frente edificado con el barranco de Tapia, tal y como existe en la actualidad.</w:t>
      </w:r>
    </w:p>
    <w:p w:rsidR="009B4233" w:rsidRDefault="006B08B9">
      <w:pPr>
        <w:spacing w:after="397"/>
        <w:ind w:left="11" w:right="52"/>
        <w:jc w:val="both"/>
        <w:rPr>
          <w:rFonts w:ascii="Arial" w:hAnsi="Arial" w:cs="Arial"/>
          <w:sz w:val="22"/>
          <w:szCs w:val="22"/>
        </w:rPr>
      </w:pPr>
      <w:r>
        <w:rPr>
          <w:rFonts w:ascii="Arial" w:hAnsi="Arial" w:cs="Arial"/>
          <w:sz w:val="22"/>
          <w:szCs w:val="22"/>
        </w:rPr>
        <w:t>Es por ello que se solicita realizar una serie modificaciones de esta</w:t>
      </w:r>
      <w:r>
        <w:rPr>
          <w:rFonts w:ascii="Arial" w:hAnsi="Arial" w:cs="Arial"/>
          <w:sz w:val="22"/>
          <w:szCs w:val="22"/>
        </w:rPr>
        <w:t xml:space="preserve"> zona al ser necesaria una serie de ajustes en relación a la urbanización, de mutuo acuerdo entre la DF de arquitectura y la DF de la obra hidráulica, teniendo como objetivo principal el de obtener, habilitar y diseñar un espacio peatonal de continuidad, n</w:t>
      </w:r>
      <w:r>
        <w:rPr>
          <w:rFonts w:ascii="Arial" w:hAnsi="Arial" w:cs="Arial"/>
          <w:sz w:val="22"/>
          <w:szCs w:val="22"/>
        </w:rPr>
        <w:t>o prevista en el lado del azud, mediante la incorporación de una franja peatonal que permita la continuidad de la acera.</w:t>
      </w:r>
    </w:p>
    <w:tbl>
      <w:tblPr>
        <w:tblW w:w="8504" w:type="dxa"/>
        <w:tblInd w:w="-3" w:type="dxa"/>
        <w:tblCellMar>
          <w:left w:w="10" w:type="dxa"/>
          <w:right w:w="10" w:type="dxa"/>
        </w:tblCellMar>
        <w:tblLook w:val="0000" w:firstRow="0" w:lastRow="0" w:firstColumn="0" w:lastColumn="0" w:noHBand="0" w:noVBand="0"/>
      </w:tblPr>
      <w:tblGrid>
        <w:gridCol w:w="363"/>
        <w:gridCol w:w="8141"/>
      </w:tblGrid>
      <w:tr w:rsidR="009B4233">
        <w:tblPrEx>
          <w:tblCellMar>
            <w:top w:w="0" w:type="dxa"/>
            <w:bottom w:w="0" w:type="dxa"/>
          </w:tblCellMar>
        </w:tblPrEx>
        <w:trPr>
          <w:trHeight w:val="252"/>
        </w:trPr>
        <w:tc>
          <w:tcPr>
            <w:tcW w:w="363" w:type="dxa"/>
            <w:shd w:val="clear" w:color="auto" w:fill="E0E0E0"/>
            <w:tcMar>
              <w:top w:w="8" w:type="dxa"/>
              <w:left w:w="0" w:type="dxa"/>
              <w:bottom w:w="0" w:type="dxa"/>
              <w:right w:w="115" w:type="dxa"/>
            </w:tcMar>
          </w:tcPr>
          <w:p w:rsidR="009B4233" w:rsidRDefault="006B08B9">
            <w:pPr>
              <w:spacing w:line="249" w:lineRule="auto"/>
              <w:ind w:left="3"/>
            </w:pPr>
            <w:r>
              <w:rPr>
                <w:rFonts w:ascii="Arial" w:eastAsia="Arial" w:hAnsi="Arial" w:cs="Arial"/>
                <w:b/>
                <w:sz w:val="22"/>
                <w:szCs w:val="22"/>
              </w:rPr>
              <w:t>4.</w:t>
            </w:r>
          </w:p>
        </w:tc>
        <w:tc>
          <w:tcPr>
            <w:tcW w:w="8141" w:type="dxa"/>
            <w:shd w:val="clear" w:color="auto" w:fill="E0E0E0"/>
            <w:tcMar>
              <w:top w:w="8" w:type="dxa"/>
              <w:left w:w="0" w:type="dxa"/>
              <w:bottom w:w="0" w:type="dxa"/>
              <w:right w:w="115" w:type="dxa"/>
            </w:tcMar>
          </w:tcPr>
          <w:p w:rsidR="009B4233" w:rsidRDefault="006B08B9">
            <w:pPr>
              <w:spacing w:line="249" w:lineRule="auto"/>
            </w:pPr>
            <w:r>
              <w:rPr>
                <w:rFonts w:ascii="Arial" w:eastAsia="Arial" w:hAnsi="Arial" w:cs="Arial"/>
                <w:b/>
                <w:sz w:val="22"/>
                <w:szCs w:val="22"/>
                <w:shd w:val="clear" w:color="auto" w:fill="E6E6E6"/>
              </w:rPr>
              <w:t>REGIMEN URBANÍSTICO DE APLICACIÓN</w:t>
            </w:r>
            <w:r>
              <w:rPr>
                <w:rFonts w:ascii="Arial" w:eastAsia="Arial" w:hAnsi="Arial" w:cs="Arial"/>
                <w:b/>
                <w:sz w:val="22"/>
                <w:szCs w:val="22"/>
              </w:rPr>
              <w:t>-</w:t>
            </w:r>
          </w:p>
        </w:tc>
      </w:tr>
    </w:tbl>
    <w:p w:rsidR="009B4233" w:rsidRDefault="006B08B9">
      <w:pPr>
        <w:spacing w:after="294"/>
        <w:ind w:left="11" w:right="52"/>
        <w:jc w:val="both"/>
        <w:rPr>
          <w:rFonts w:ascii="Arial" w:hAnsi="Arial" w:cs="Arial"/>
          <w:sz w:val="22"/>
          <w:szCs w:val="22"/>
        </w:rPr>
      </w:pPr>
      <w:r>
        <w:rPr>
          <w:rFonts w:ascii="Arial" w:hAnsi="Arial" w:cs="Arial"/>
          <w:sz w:val="22"/>
          <w:szCs w:val="22"/>
        </w:rPr>
        <w:t>De acuerdo con el PLAN GENERAL DE ORDENACIÓN, planeamiento municipal en vigor, con publicaciones</w:t>
      </w:r>
      <w:r>
        <w:rPr>
          <w:rFonts w:ascii="Arial" w:hAnsi="Arial" w:cs="Arial"/>
          <w:sz w:val="22"/>
          <w:szCs w:val="22"/>
        </w:rPr>
        <w:t xml:space="preserve"> en B.O.C. de fecha 10 de mayo de 2007 y B.O.P. de fecha 17 de mayo de 2007 y Modificaciones Puntuales, aprobadas definitivamente por acuerdo del Ayuntamiento Pleno, en sesiones ordinarias de fecha 26 de marzo de 2009 y 29 de diciembre de 2011 y publicada </w:t>
      </w:r>
      <w:r>
        <w:rPr>
          <w:rFonts w:ascii="Arial" w:hAnsi="Arial" w:cs="Arial"/>
          <w:sz w:val="22"/>
          <w:szCs w:val="22"/>
        </w:rPr>
        <w:t>en el BOP de Santa Cruz de Tenerife de fecha 17 de junio de 2009 y 3 de febrero de 2012</w:t>
      </w:r>
    </w:p>
    <w:p w:rsidR="009B4233" w:rsidRDefault="006B08B9">
      <w:pPr>
        <w:spacing w:after="3040"/>
        <w:ind w:left="11" w:right="52"/>
        <w:jc w:val="both"/>
        <w:rPr>
          <w:rFonts w:ascii="Arial" w:hAnsi="Arial" w:cs="Arial"/>
          <w:sz w:val="22"/>
          <w:szCs w:val="22"/>
        </w:rPr>
      </w:pPr>
      <w:r>
        <w:rPr>
          <w:rFonts w:ascii="Arial" w:hAnsi="Arial" w:cs="Arial"/>
          <w:sz w:val="22"/>
          <w:szCs w:val="22"/>
        </w:rPr>
        <w:t xml:space="preserve">Con carácter general cabe destacar que los tres sectores se localizan dentro de un Suelo Urbano Consolidado de Interés Cultural, incluido en el Casco de Candelaria, </w:t>
      </w:r>
      <w:r>
        <w:rPr>
          <w:rFonts w:ascii="Arial" w:hAnsi="Arial" w:cs="Arial"/>
          <w:sz w:val="22"/>
          <w:szCs w:val="22"/>
        </w:rPr>
        <w:t>conjunto de interés con Protección Ambiental y dentro del Bien de Interés Cultural, en la categoría de Monumento, del Santuario de la Virgen de Candelaria y del Convento. El entorno abarca el antiguo Ayuntamiento, La Plaza, y los Riscos de la Basílica hast</w:t>
      </w:r>
      <w:r>
        <w:rPr>
          <w:rFonts w:ascii="Arial" w:hAnsi="Arial" w:cs="Arial"/>
          <w:sz w:val="22"/>
          <w:szCs w:val="22"/>
        </w:rPr>
        <w:t>a la Cueva de San Blas</w:t>
      </w:r>
    </w:p>
    <w:p w:rsidR="009B4233" w:rsidRDefault="006B08B9">
      <w:pPr>
        <w:ind w:left="370" w:right="52"/>
        <w:rPr>
          <w:rFonts w:ascii="Arial" w:hAnsi="Arial" w:cs="Arial"/>
          <w:sz w:val="22"/>
          <w:szCs w:val="22"/>
        </w:rPr>
      </w:pPr>
      <w:r>
        <w:rPr>
          <w:rFonts w:ascii="Arial" w:hAnsi="Arial" w:cs="Arial"/>
          <w:sz w:val="22"/>
          <w:szCs w:val="22"/>
        </w:rPr>
        <w:t>ORDENACIÓN DETALLADA PLAN GENERAL</w:t>
      </w:r>
    </w:p>
    <w:p w:rsidR="009B4233" w:rsidRDefault="006B08B9">
      <w:pPr>
        <w:spacing w:after="262" w:line="249" w:lineRule="auto"/>
        <w:ind w:left="1588"/>
      </w:pPr>
      <w:r>
        <w:rPr>
          <w:rFonts w:ascii="Arial" w:hAnsi="Arial" w:cs="Arial"/>
          <w:noProof/>
          <w:sz w:val="22"/>
          <w:szCs w:val="22"/>
          <w:lang w:eastAsia="es-ES" w:bidi="ar-SA"/>
        </w:rPr>
        <w:drawing>
          <wp:inline distT="0" distB="0" distL="0" distR="0">
            <wp:extent cx="3604263" cy="3147063"/>
            <wp:effectExtent l="0" t="0" r="0" b="0"/>
            <wp:docPr id="25" name="Imagen 15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rcRect/>
                    <a:stretch>
                      <a:fillRect/>
                    </a:stretch>
                  </pic:blipFill>
                  <pic:spPr>
                    <a:xfrm>
                      <a:off x="0" y="0"/>
                      <a:ext cx="3604263" cy="3147063"/>
                    </a:xfrm>
                    <a:prstGeom prst="rect">
                      <a:avLst/>
                    </a:prstGeom>
                    <a:noFill/>
                    <a:ln>
                      <a:noFill/>
                      <a:prstDash/>
                    </a:ln>
                  </pic:spPr>
                </pic:pic>
              </a:graphicData>
            </a:graphic>
          </wp:inline>
        </w:drawing>
      </w:r>
    </w:p>
    <w:p w:rsidR="009B4233" w:rsidRDefault="006B08B9">
      <w:pPr>
        <w:ind w:left="370" w:right="52"/>
        <w:rPr>
          <w:rFonts w:ascii="Arial" w:hAnsi="Arial" w:cs="Arial"/>
          <w:sz w:val="22"/>
          <w:szCs w:val="22"/>
        </w:rPr>
      </w:pPr>
      <w:r>
        <w:rPr>
          <w:rFonts w:ascii="Arial" w:hAnsi="Arial" w:cs="Arial"/>
          <w:sz w:val="22"/>
          <w:szCs w:val="22"/>
        </w:rPr>
        <w:t>ORDENACIÓN ESTRUCTURAL:</w:t>
      </w:r>
    </w:p>
    <w:p w:rsidR="009B4233" w:rsidRDefault="006B08B9">
      <w:pPr>
        <w:spacing w:after="10" w:line="249" w:lineRule="auto"/>
        <w:ind w:left="1615"/>
      </w:pPr>
      <w:r>
        <w:rPr>
          <w:rFonts w:ascii="Arial" w:hAnsi="Arial" w:cs="Arial"/>
          <w:noProof/>
          <w:sz w:val="22"/>
          <w:szCs w:val="22"/>
          <w:lang w:eastAsia="es-ES" w:bidi="ar-SA"/>
        </w:rPr>
        <w:drawing>
          <wp:inline distT="0" distB="0" distL="0" distR="0">
            <wp:extent cx="3573776" cy="3383280"/>
            <wp:effectExtent l="0" t="0" r="7624" b="7620"/>
            <wp:docPr id="26" name="Imagen 15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rcRect/>
                    <a:stretch>
                      <a:fillRect/>
                    </a:stretch>
                  </pic:blipFill>
                  <pic:spPr>
                    <a:xfrm>
                      <a:off x="0" y="0"/>
                      <a:ext cx="3573776" cy="3383280"/>
                    </a:xfrm>
                    <a:prstGeom prst="rect">
                      <a:avLst/>
                    </a:prstGeom>
                    <a:noFill/>
                    <a:ln>
                      <a:noFill/>
                      <a:prstDash/>
                    </a:ln>
                  </pic:spPr>
                </pic:pic>
              </a:graphicData>
            </a:graphic>
          </wp:inline>
        </w:drawing>
      </w:r>
    </w:p>
    <w:tbl>
      <w:tblPr>
        <w:tblW w:w="8504" w:type="dxa"/>
        <w:tblInd w:w="-3" w:type="dxa"/>
        <w:tblCellMar>
          <w:left w:w="10" w:type="dxa"/>
          <w:right w:w="10" w:type="dxa"/>
        </w:tblCellMar>
        <w:tblLook w:val="0000" w:firstRow="0" w:lastRow="0" w:firstColumn="0" w:lastColumn="0" w:noHBand="0" w:noVBand="0"/>
      </w:tblPr>
      <w:tblGrid>
        <w:gridCol w:w="361"/>
        <w:gridCol w:w="3849"/>
        <w:gridCol w:w="4294"/>
      </w:tblGrid>
      <w:tr w:rsidR="009B4233">
        <w:tblPrEx>
          <w:tblCellMar>
            <w:top w:w="0" w:type="dxa"/>
            <w:bottom w:w="0" w:type="dxa"/>
          </w:tblCellMar>
        </w:tblPrEx>
        <w:trPr>
          <w:trHeight w:val="253"/>
        </w:trPr>
        <w:tc>
          <w:tcPr>
            <w:tcW w:w="361" w:type="dxa"/>
            <w:shd w:val="clear" w:color="auto" w:fill="E0E0E0"/>
            <w:tcMar>
              <w:top w:w="7" w:type="dxa"/>
              <w:left w:w="2" w:type="dxa"/>
              <w:bottom w:w="0" w:type="dxa"/>
              <w:right w:w="1" w:type="dxa"/>
            </w:tcMar>
          </w:tcPr>
          <w:p w:rsidR="009B4233" w:rsidRDefault="006B08B9">
            <w:pPr>
              <w:spacing w:line="249" w:lineRule="auto"/>
              <w:ind w:left="1"/>
            </w:pPr>
            <w:r>
              <w:rPr>
                <w:rFonts w:ascii="Arial" w:hAnsi="Arial" w:cs="Arial"/>
                <w:sz w:val="22"/>
                <w:szCs w:val="22"/>
              </w:rPr>
              <w:t xml:space="preserve">                                       </w:t>
            </w:r>
            <w:r>
              <w:rPr>
                <w:rFonts w:ascii="Arial" w:eastAsia="Arial" w:hAnsi="Arial" w:cs="Arial"/>
                <w:b/>
                <w:sz w:val="22"/>
                <w:szCs w:val="22"/>
              </w:rPr>
              <w:t>5.</w:t>
            </w:r>
          </w:p>
        </w:tc>
        <w:tc>
          <w:tcPr>
            <w:tcW w:w="3849" w:type="dxa"/>
            <w:shd w:val="clear" w:color="auto" w:fill="E6E6E6"/>
            <w:tcMar>
              <w:top w:w="7" w:type="dxa"/>
              <w:left w:w="2" w:type="dxa"/>
              <w:bottom w:w="0" w:type="dxa"/>
              <w:right w:w="1" w:type="dxa"/>
            </w:tcMar>
          </w:tcPr>
          <w:p w:rsidR="009B4233" w:rsidRDefault="006B08B9">
            <w:pPr>
              <w:spacing w:line="249" w:lineRule="auto"/>
            </w:pPr>
            <w:r>
              <w:rPr>
                <w:rFonts w:ascii="Arial" w:eastAsia="Arial" w:hAnsi="Arial" w:cs="Arial"/>
                <w:b/>
                <w:sz w:val="22"/>
                <w:szCs w:val="22"/>
              </w:rPr>
              <w:t>INVENTARIO MUNICIPAL DE BIENES</w:t>
            </w:r>
          </w:p>
        </w:tc>
        <w:tc>
          <w:tcPr>
            <w:tcW w:w="4294" w:type="dxa"/>
            <w:shd w:val="clear" w:color="auto" w:fill="E0E0E0"/>
            <w:tcMar>
              <w:top w:w="7" w:type="dxa"/>
              <w:left w:w="2" w:type="dxa"/>
              <w:bottom w:w="0" w:type="dxa"/>
              <w:right w:w="1" w:type="dxa"/>
            </w:tcMar>
          </w:tcPr>
          <w:p w:rsidR="009B4233" w:rsidRDefault="006B08B9">
            <w:pPr>
              <w:spacing w:line="249" w:lineRule="auto"/>
              <w:ind w:left="1"/>
            </w:pPr>
            <w:r>
              <w:rPr>
                <w:rFonts w:ascii="Arial" w:eastAsia="Arial" w:hAnsi="Arial" w:cs="Arial"/>
                <w:b/>
                <w:sz w:val="22"/>
                <w:szCs w:val="22"/>
              </w:rPr>
              <w:t>. -</w:t>
            </w:r>
          </w:p>
        </w:tc>
      </w:tr>
    </w:tbl>
    <w:p w:rsidR="00000000" w:rsidRDefault="006B08B9">
      <w:pPr>
        <w:rPr>
          <w:rFonts w:cs="Mangal"/>
          <w:szCs w:val="21"/>
        </w:rPr>
        <w:sectPr w:rsidR="00000000">
          <w:headerReference w:type="default" r:id="rId27"/>
          <w:footerReference w:type="default" r:id="rId28"/>
          <w:pgSz w:w="11906" w:h="16838"/>
          <w:pgMar w:top="2005" w:right="1701" w:bottom="1429" w:left="1704" w:header="709" w:footer="580" w:gutter="0"/>
          <w:cols w:space="720"/>
        </w:sectPr>
      </w:pPr>
    </w:p>
    <w:p w:rsidR="009B4233" w:rsidRDefault="009B4233">
      <w:pPr>
        <w:spacing w:line="249" w:lineRule="auto"/>
        <w:ind w:left="-1704" w:right="10261"/>
        <w:rPr>
          <w:rFonts w:ascii="Arial" w:hAnsi="Arial" w:cs="Arial"/>
          <w:sz w:val="22"/>
          <w:szCs w:val="22"/>
        </w:rPr>
      </w:pPr>
    </w:p>
    <w:p w:rsidR="009B4233" w:rsidRDefault="006B08B9">
      <w:pPr>
        <w:spacing w:line="249" w:lineRule="auto"/>
      </w:pPr>
      <w:r>
        <w:rPr>
          <w:rFonts w:ascii="Arial" w:hAnsi="Arial" w:cs="Arial"/>
          <w:noProof/>
          <w:sz w:val="22"/>
          <w:szCs w:val="22"/>
          <w:lang w:eastAsia="es-ES" w:bidi="ar-SA"/>
        </w:rPr>
        <mc:AlternateContent>
          <mc:Choice Requires="wpg">
            <w:drawing>
              <wp:anchor distT="0" distB="0" distL="114300" distR="114300" simplePos="0" relativeHeight="251660800" behindDoc="0" locked="0" layoutInCell="1" allowOverlap="1">
                <wp:simplePos x="0" y="0"/>
                <wp:positionH relativeFrom="page">
                  <wp:posOffset>1097280</wp:posOffset>
                </wp:positionH>
                <wp:positionV relativeFrom="page">
                  <wp:posOffset>1874519</wp:posOffset>
                </wp:positionV>
                <wp:extent cx="6117934" cy="6690363"/>
                <wp:effectExtent l="0" t="0" r="0" b="0"/>
                <wp:wrapTopAndBottom/>
                <wp:docPr id="27" name="Grupo 4676"/>
                <wp:cNvGraphicFramePr/>
                <a:graphic xmlns:a="http://schemas.openxmlformats.org/drawingml/2006/main">
                  <a:graphicData uri="http://schemas.microsoft.com/office/word/2010/wordprocessingGroup">
                    <wpg:wgp>
                      <wpg:cNvGrpSpPr/>
                      <wpg:grpSpPr>
                        <a:xfrm>
                          <a:off x="0" y="0"/>
                          <a:ext cx="4968236" cy="6690363"/>
                          <a:chOff x="0" y="0"/>
                          <a:chExt cx="4968236" cy="6690363"/>
                        </a:xfrm>
                      </wpg:grpSpPr>
                      <pic:pic xmlns:pic="http://schemas.openxmlformats.org/drawingml/2006/picture">
                        <pic:nvPicPr>
                          <pic:cNvPr id="28" name="Picture 505">
                            <a:extLst>
                              <a:ext uri="{FF2B5EF4-FFF2-40B4-BE49-F238E27FC236}">
                                <a16:creationId xmlns:a16="http://schemas.microsoft.com/office/drawing/2014/main" id="{00000000-0000-0000-0000-000000000000}"/>
                              </a:ext>
                            </a:extLst>
                          </pic:cNvPr>
                          <pic:cNvPicPr>
                            <a:picLocks noChangeAspect="1"/>
                          </pic:cNvPicPr>
                        </pic:nvPicPr>
                        <pic:blipFill>
                          <a:blip r:embed="rId29"/>
                          <a:srcRect/>
                          <a:stretch>
                            <a:fillRect/>
                          </a:stretch>
                        </pic:blipFill>
                        <pic:spPr>
                          <a:xfrm>
                            <a:off x="0" y="0"/>
                            <a:ext cx="4968236" cy="6690363"/>
                          </a:xfrm>
                          <a:prstGeom prst="rect">
                            <a:avLst/>
                          </a:prstGeom>
                          <a:noFill/>
                          <a:ln>
                            <a:noFill/>
                            <a:prstDash/>
                          </a:ln>
                        </pic:spPr>
                      </pic:pic>
                      <wps:wsp>
                        <wps:cNvPr id="29" name="Rectangle 508"/>
                        <wps:cNvSpPr/>
                        <wps:spPr>
                          <a:xfrm rot="16200004">
                            <a:off x="3794709" y="5272409"/>
                            <a:ext cx="1627915" cy="78162"/>
                          </a:xfrm>
                          <a:prstGeom prst="rect">
                            <a:avLst/>
                          </a:prstGeom>
                          <a:noFill/>
                          <a:ln cap="flat">
                            <a:noFill/>
                            <a:prstDash val="solid"/>
                          </a:ln>
                        </wps:spPr>
                        <wps:txbx>
                          <w:txbxContent>
                            <w:p w:rsidR="009B4233" w:rsidRDefault="006B08B9">
                              <w:pPr>
                                <w:spacing w:after="160" w:line="249" w:lineRule="auto"/>
                              </w:pPr>
                              <w:r>
                                <w:rPr>
                                  <w:rFonts w:eastAsia="Arial" w:cs="Arial"/>
                                  <w:sz w:val="12"/>
                                </w:rPr>
                                <w:t xml:space="preserve">Cód. Validación: AR5EGFZZRTHPF2NRHGHNA4QHK </w:t>
                              </w:r>
                            </w:p>
                          </w:txbxContent>
                        </wps:txbx>
                        <wps:bodyPr vert="horz" wrap="square" lIns="0" tIns="0" rIns="0" bIns="0" anchor="t" anchorCtr="0" compatLnSpc="0">
                          <a:noAutofit/>
                        </wps:bodyPr>
                      </wps:wsp>
                      <wps:wsp>
                        <wps:cNvPr id="30" name="Rectangle 509"/>
                        <wps:cNvSpPr/>
                        <wps:spPr>
                          <a:xfrm rot="16200004">
                            <a:off x="3935997" y="5361119"/>
                            <a:ext cx="1450549" cy="78162"/>
                          </a:xfrm>
                          <a:prstGeom prst="rect">
                            <a:avLst/>
                          </a:prstGeom>
                          <a:noFill/>
                          <a:ln cap="flat">
                            <a:noFill/>
                            <a:prstDash val="solid"/>
                          </a:ln>
                        </wps:spPr>
                        <wps:txbx>
                          <w:txbxContent>
                            <w:p w:rsidR="009B4233" w:rsidRDefault="006B08B9">
                              <w:pPr>
                                <w:spacing w:after="160" w:line="249" w:lineRule="auto"/>
                              </w:pPr>
                              <w:r>
                                <w:rPr>
                                  <w:rFonts w:eastAsia="Arial" w:cs="Arial"/>
                                  <w:sz w:val="12"/>
                                </w:rPr>
                                <w:t xml:space="preserve">Verificación: </w:t>
                              </w:r>
                              <w:r>
                                <w:rPr>
                                  <w:rFonts w:eastAsia="Arial" w:cs="Arial"/>
                                  <w:sz w:val="12"/>
                                </w:rPr>
                                <w:t xml:space="preserve">https://candelaria.sedelectronica.es/ </w:t>
                              </w:r>
                            </w:p>
                          </w:txbxContent>
                        </wps:txbx>
                        <wps:bodyPr vert="horz" wrap="square" lIns="0" tIns="0" rIns="0" bIns="0" anchor="t" anchorCtr="0" compatLnSpc="0">
                          <a:noAutofit/>
                        </wps:bodyPr>
                      </wps:wsp>
                      <wps:wsp>
                        <wps:cNvPr id="31" name="Rectangle 510"/>
                        <wps:cNvSpPr/>
                        <wps:spPr>
                          <a:xfrm rot="16200004">
                            <a:off x="3309821" y="4682301"/>
                            <a:ext cx="2808113" cy="78162"/>
                          </a:xfrm>
                          <a:prstGeom prst="rect">
                            <a:avLst/>
                          </a:prstGeom>
                          <a:noFill/>
                          <a:ln cap="flat">
                            <a:noFill/>
                            <a:prstDash val="solid"/>
                          </a:ln>
                        </wps:spPr>
                        <wps:txbx>
                          <w:txbxContent>
                            <w:p w:rsidR="009B4233" w:rsidRDefault="006B08B9">
                              <w:pPr>
                                <w:spacing w:after="160" w:line="249" w:lineRule="auto"/>
                              </w:pPr>
                              <w:r>
                                <w:rPr>
                                  <w:rFonts w:eastAsia="Arial" w:cs="Arial"/>
                                  <w:sz w:val="12"/>
                                </w:rPr>
                                <w:t xml:space="preserve">Documento firmado electrónicamente desde la plataforma esPublico Gestiona | Página 8 de 10 </w:t>
                              </w:r>
                            </w:p>
                          </w:txbxContent>
                        </wps:txbx>
                        <wps:bodyPr vert="horz" wrap="square" lIns="0" tIns="0" rIns="0" bIns="0" anchor="t" anchorCtr="0" compatLnSpc="0">
                          <a:noAutofit/>
                        </wps:bodyPr>
                      </wps:wsp>
                    </wpg:wgp>
                  </a:graphicData>
                </a:graphic>
              </wp:anchor>
            </w:drawing>
          </mc:Choice>
          <mc:Fallback>
            <w:pict>
              <v:group id="Grupo 4676" o:spid="_x0000_s1026" style="position:absolute;margin-left:86.4pt;margin-top:147.6pt;width:481.75pt;height:526.8pt;z-index:251660800;mso-position-horizontal-relative:page;mso-position-vertical-relative:page" coordsize="49682,669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IVBOaW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M460AFFG4dM0EgdTQAUUZHrRkdc0AFFAOel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&#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GG3hLbzHyTn/P5UgtbcHcIhmpKKAGfZ4AMeXR9ng27RGMU+igBvkRYx5ftS&#10;G3hPBj680+igCP7Lbg7hEKBa26jCxAemO1SUUARmztyP9UKDaW7DDRKe9SUUARi2gHSPH0oNtAeD&#10;EKkooAaIY1OQl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05" o:spid="_x0000_s1027" type="#_x0000_t75" style="position:absolute;width:49682;height:669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">
                  <v:imagedata r:id="rId30" o:title=""/>
                  <v:path arrowok="t"/>
                </v:shape>
                <v:rect id="Rectangle 508" o:spid="_x0000_s1028" style="position:absolute;left:37946;top:52724;width:16279;height:782;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" filled="f" stroked="f">
                  <v:textbox inset="0,0,0,0">
                    <w:txbxContent>
                      <w:p w:rsidR="009B4233" w:rsidRDefault="006B08B9">
                        <w:pPr>
                          <w:spacing w:after="160" w:line="249" w:lineRule="auto"/>
                        </w:pPr>
                        <w:r>
                          <w:rPr>
                            <w:rFonts w:eastAsia="Arial" w:cs="Arial"/>
                            <w:sz w:val="12"/>
                          </w:rPr>
                          <w:t xml:space="preserve">Cód. Validación: AR5EGFZZRTHPF2NRHGHNA4QHK </w:t>
                        </w:r>
                      </w:p>
                    </w:txbxContent>
                  </v:textbox>
                </v:rect>
                <v:rect id="Rectangle 509" o:spid="_x0000_s1029" style="position:absolute;left:39359;top:53611;width:14505;height:782;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" filled="f" stroked="f">
                  <v:textbox inset="0,0,0,0">
                    <w:txbxContent>
                      <w:p w:rsidR="009B4233" w:rsidRDefault="006B08B9">
                        <w:pPr>
                          <w:spacing w:after="160" w:line="249" w:lineRule="auto"/>
                        </w:pPr>
                        <w:r>
                          <w:rPr>
                            <w:rFonts w:eastAsia="Arial" w:cs="Arial"/>
                            <w:sz w:val="12"/>
                          </w:rPr>
                          <w:t xml:space="preserve">Verificación: </w:t>
                        </w:r>
                        <w:r>
                          <w:rPr>
                            <w:rFonts w:eastAsia="Arial" w:cs="Arial"/>
                            <w:sz w:val="12"/>
                          </w:rPr>
                          <w:t xml:space="preserve">https://candelaria.sedelectronica.es/ </w:t>
                        </w:r>
                      </w:p>
                    </w:txbxContent>
                  </v:textbox>
                </v:rect>
                <v:rect id="Rectangle 510" o:spid="_x0000_s1030" style="position:absolute;left:33097;top:46823;width:28081;height:782;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" filled="f" stroked="f">
                  <v:textbox inset="0,0,0,0">
                    <w:txbxContent>
                      <w:p w:rsidR="009B4233" w:rsidRDefault="006B08B9">
                        <w:pPr>
                          <w:spacing w:after="160" w:line="249" w:lineRule="auto"/>
                        </w:pPr>
                        <w:r>
                          <w:rPr>
                            <w:rFonts w:eastAsia="Arial" w:cs="Arial"/>
                            <w:sz w:val="12"/>
                          </w:rPr>
                          <w:t xml:space="preserve">Documento firmado electrónicamente desde la plataforma esPublico Gestiona | Página 8 de 10 </w:t>
                        </w:r>
                      </w:p>
                    </w:txbxContent>
                  </v:textbox>
                </v:rect>
                <w10:wrap type="topAndBottom" anchorx="page" anchory="page"/>
              </v:group>
            </w:pict>
          </mc:Fallback>
        </mc:AlternateContent>
      </w:r>
    </w:p>
    <w:p w:rsidR="009B4233" w:rsidRDefault="009B4233">
      <w:pPr>
        <w:spacing w:line="249" w:lineRule="auto"/>
        <w:ind w:left="-1704" w:right="10261"/>
        <w:rPr>
          <w:rFonts w:ascii="Arial" w:hAnsi="Arial" w:cs="Arial"/>
          <w:sz w:val="22"/>
          <w:szCs w:val="22"/>
        </w:rPr>
      </w:pPr>
    </w:p>
    <w:p w:rsidR="009B4233" w:rsidRDefault="009B4233">
      <w:pPr>
        <w:spacing w:line="249" w:lineRule="auto"/>
        <w:ind w:left="-1704" w:right="10261"/>
        <w:rPr>
          <w:rFonts w:ascii="Arial" w:hAnsi="Arial" w:cs="Arial"/>
          <w:sz w:val="22"/>
          <w:szCs w:val="22"/>
        </w:rPr>
      </w:pPr>
    </w:p>
    <w:p w:rsidR="009B4233" w:rsidRDefault="009B4233">
      <w:pPr>
        <w:spacing w:line="249" w:lineRule="auto"/>
        <w:ind w:left="-1704" w:right="10261"/>
        <w:rPr>
          <w:rFonts w:ascii="Arial" w:hAnsi="Arial" w:cs="Arial"/>
          <w:sz w:val="22"/>
          <w:szCs w:val="22"/>
        </w:rPr>
      </w:pPr>
    </w:p>
    <w:p w:rsidR="009B4233" w:rsidRDefault="009B4233">
      <w:pPr>
        <w:spacing w:line="249" w:lineRule="auto"/>
        <w:ind w:left="-1704" w:right="10261"/>
        <w:rPr>
          <w:rFonts w:ascii="Arial" w:hAnsi="Arial" w:cs="Arial"/>
          <w:sz w:val="22"/>
          <w:szCs w:val="22"/>
        </w:rPr>
      </w:pPr>
    </w:p>
    <w:p w:rsidR="009B4233" w:rsidRDefault="009B4233">
      <w:pPr>
        <w:spacing w:line="249" w:lineRule="auto"/>
        <w:ind w:left="-1704" w:right="10261"/>
        <w:rPr>
          <w:rFonts w:ascii="Arial" w:hAnsi="Arial" w:cs="Arial"/>
          <w:sz w:val="22"/>
          <w:szCs w:val="22"/>
        </w:rPr>
      </w:pPr>
    </w:p>
    <w:p w:rsidR="009B4233" w:rsidRDefault="009B4233">
      <w:pPr>
        <w:spacing w:line="249" w:lineRule="auto"/>
        <w:ind w:left="-1704" w:right="10261"/>
        <w:rPr>
          <w:rFonts w:ascii="Arial" w:hAnsi="Arial" w:cs="Arial"/>
          <w:sz w:val="22"/>
          <w:szCs w:val="22"/>
        </w:rPr>
      </w:pPr>
    </w:p>
    <w:p w:rsidR="009B4233" w:rsidRDefault="009B4233">
      <w:pPr>
        <w:spacing w:line="249" w:lineRule="auto"/>
        <w:ind w:left="-1704" w:right="10261"/>
        <w:rPr>
          <w:rFonts w:ascii="Arial" w:hAnsi="Arial" w:cs="Arial"/>
          <w:sz w:val="22"/>
          <w:szCs w:val="22"/>
        </w:rPr>
      </w:pPr>
    </w:p>
    <w:p w:rsidR="009B4233" w:rsidRDefault="009B4233">
      <w:pPr>
        <w:spacing w:line="249" w:lineRule="auto"/>
        <w:ind w:left="-1704" w:right="10261"/>
        <w:rPr>
          <w:rFonts w:ascii="Arial" w:hAnsi="Arial" w:cs="Arial"/>
          <w:sz w:val="22"/>
          <w:szCs w:val="22"/>
        </w:rPr>
      </w:pPr>
    </w:p>
    <w:p w:rsidR="009B4233" w:rsidRDefault="009B4233">
      <w:pPr>
        <w:spacing w:line="249" w:lineRule="auto"/>
        <w:ind w:left="-1704" w:right="10261"/>
        <w:rPr>
          <w:rFonts w:ascii="Arial" w:hAnsi="Arial" w:cs="Arial"/>
          <w:sz w:val="22"/>
          <w:szCs w:val="22"/>
        </w:rPr>
      </w:pPr>
    </w:p>
    <w:p w:rsidR="009B4233" w:rsidRDefault="009B4233">
      <w:pPr>
        <w:spacing w:line="249" w:lineRule="auto"/>
        <w:ind w:left="-1704" w:right="10261"/>
        <w:rPr>
          <w:rFonts w:ascii="Arial" w:hAnsi="Arial" w:cs="Arial"/>
          <w:sz w:val="22"/>
          <w:szCs w:val="22"/>
        </w:rPr>
      </w:pPr>
    </w:p>
    <w:p w:rsidR="009B4233" w:rsidRDefault="006B08B9">
      <w:pPr>
        <w:spacing w:line="249" w:lineRule="auto"/>
      </w:pPr>
      <w:r>
        <w:rPr>
          <w:rFonts w:ascii="Arial" w:hAnsi="Arial" w:cs="Arial"/>
          <w:noProof/>
          <w:sz w:val="22"/>
          <w:szCs w:val="22"/>
          <w:lang w:eastAsia="es-ES" w:bidi="ar-SA"/>
        </w:rPr>
        <mc:AlternateContent>
          <mc:Choice Requires="wpg">
            <w:drawing>
              <wp:inline distT="0" distB="0" distL="0" distR="0">
                <wp:extent cx="5012685" cy="6598282"/>
                <wp:effectExtent l="0" t="0" r="0" b="0"/>
                <wp:docPr id="32" name="Grupo 6060"/>
                <wp:cNvGraphicFramePr/>
                <a:graphic xmlns:a="http://schemas.openxmlformats.org/drawingml/2006/main">
                  <a:graphicData uri="http://schemas.microsoft.com/office/word/2010/wordprocessingGroup">
                    <wpg:wgp>
                      <wpg:cNvGrpSpPr/>
                      <wpg:grpSpPr>
                        <a:xfrm>
                          <a:off x="0" y="0"/>
                          <a:ext cx="5012685" cy="6598282"/>
                          <a:chOff x="0" y="0"/>
                          <a:chExt cx="5012685" cy="6598282"/>
                        </a:xfrm>
                      </wpg:grpSpPr>
                      <pic:pic xmlns:pic="http://schemas.openxmlformats.org/drawingml/2006/picture">
                        <pic:nvPicPr>
                          <pic:cNvPr id="33" name="Picture 516">
                            <a:extLst>
                              <a:ext uri="{FF2B5EF4-FFF2-40B4-BE49-F238E27FC236}">
                                <a16:creationId xmlns:a16="http://schemas.microsoft.com/office/drawing/2014/main" id="{00000000-0000-0000-0000-000000000000}"/>
                              </a:ext>
                            </a:extLst>
                          </pic:cNvPr>
                          <pic:cNvPicPr>
                            <a:picLocks noChangeAspect="1"/>
                          </pic:cNvPicPr>
                        </pic:nvPicPr>
                        <pic:blipFill>
                          <a:blip r:embed="rId31"/>
                          <a:stretch>
                            <a:fillRect/>
                          </a:stretch>
                        </pic:blipFill>
                        <pic:spPr>
                          <a:xfrm>
                            <a:off x="0" y="0"/>
                            <a:ext cx="610874" cy="697230"/>
                          </a:xfrm>
                          <a:prstGeom prst="rect">
                            <a:avLst/>
                          </a:prstGeom>
                          <a:noFill/>
                          <a:ln>
                            <a:noFill/>
                            <a:prstDash/>
                          </a:ln>
                        </pic:spPr>
                      </pic:pic>
                      <wps:wsp>
                        <wps:cNvPr id="34" name="Rectangle 517"/>
                        <wps:cNvSpPr/>
                        <wps:spPr>
                          <a:xfrm>
                            <a:off x="613406" y="572670"/>
                            <a:ext cx="51462" cy="207577"/>
                          </a:xfrm>
                          <a:prstGeom prst="rect">
                            <a:avLst/>
                          </a:prstGeom>
                          <a:noFill/>
                          <a:ln cap="flat">
                            <a:noFill/>
                            <a:prstDash val="solid"/>
                          </a:ln>
                        </wps:spPr>
                        <wps:txbx>
                          <w:txbxContent>
                            <w:p w:rsidR="009B4233" w:rsidRDefault="006B08B9">
                              <w:pPr>
                                <w:spacing w:after="160" w:line="249" w:lineRule="auto"/>
                              </w:pPr>
                              <w:r>
                                <w:t xml:space="preserve"> </w:t>
                              </w:r>
                            </w:p>
                          </w:txbxContent>
                        </wps:txbx>
                        <wps:bodyPr vert="horz" wrap="square" lIns="0" tIns="0" rIns="0" bIns="0" anchor="t" anchorCtr="0" compatLnSpc="0">
                          <a:noAutofit/>
                        </wps:bodyPr>
                      </wps:wsp>
                      <pic:pic xmlns:pic="http://schemas.openxmlformats.org/drawingml/2006/picture">
                        <pic:nvPicPr>
                          <pic:cNvPr id="35" name="Picture 519">
                            <a:extLst>
                              <a:ext uri="{FF2B5EF4-FFF2-40B4-BE49-F238E27FC236}">
                                <a16:creationId xmlns:a16="http://schemas.microsoft.com/office/drawing/2014/main" id="{00000000-0000-0000-0000-000000000000}"/>
                              </a:ext>
                            </a:extLst>
                          </pic:cNvPr>
                          <pic:cNvPicPr>
                            <a:picLocks noChangeAspect="1"/>
                          </pic:cNvPicPr>
                        </pic:nvPicPr>
                        <pic:blipFill>
                          <a:blip r:embed="rId32"/>
                          <a:stretch>
                            <a:fillRect/>
                          </a:stretch>
                        </pic:blipFill>
                        <pic:spPr>
                          <a:xfrm>
                            <a:off x="360045" y="818516"/>
                            <a:ext cx="4652640" cy="5779766"/>
                          </a:xfrm>
                          <a:prstGeom prst="rect">
                            <a:avLst/>
                          </a:prstGeom>
                          <a:noFill/>
                          <a:ln>
                            <a:noFill/>
                            <a:prstDash/>
                          </a:ln>
                        </pic:spPr>
                      </pic:pic>
                    </wpg:wgp>
                  </a:graphicData>
                </a:graphic>
              </wp:inline>
            </w:drawing>
          </mc:Choice>
          <mc:Fallback>
            <w:pict>
              <v:group id="Grupo 6060" o:spid="_x0000_s1031" style="width:394.7pt;height:519.55pt;mso-position-horizontal-relative:char;mso-position-vertical-relative:line" coordsize="50126,65982" o:gfxdata="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">
                <v:shape id="Picture 516" o:spid="_x0000_s1032" type="#_x0000_t75" style="position:absolute;width:6108;height:69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">
                  <v:imagedata r:id="rId33" o:title=""/>
                  <v:path arrowok="t"/>
                </v:shape>
                <v:rect id="Rectangle 517" o:spid="_x0000_s1033" style="position:absolute;left:6134;top:5726;width:514;height:20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" filled="f" stroked="f">
                  <v:textbox inset="0,0,0,0">
                    <w:txbxContent>
                      <w:p w:rsidR="009B4233" w:rsidRDefault="006B08B9">
                        <w:pPr>
                          <w:spacing w:after="160" w:line="249" w:lineRule="auto"/>
                        </w:pPr>
                        <w:r>
                          <w:t xml:space="preserve"> </w:t>
                        </w:r>
                      </w:p>
                    </w:txbxContent>
                  </v:textbox>
                </v:rect>
                <v:shape id="Picture 519" o:spid="_x0000_s1034" type="#_x0000_t75" style="position:absolute;left:3600;top:8185;width:46526;height:57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">
                  <v:imagedata r:id="rId34" o:title=""/>
                  <v:path arrowok="t"/>
                </v:shape>
                <w10:anchorlock/>
              </v:group>
            </w:pict>
          </mc:Fallback>
        </mc:AlternateContent>
      </w:r>
    </w:p>
    <w:p w:rsidR="009B4233" w:rsidRDefault="009B4233">
      <w:pPr>
        <w:spacing w:line="249" w:lineRule="auto"/>
        <w:ind w:left="-1704" w:right="10261"/>
        <w:rPr>
          <w:rFonts w:ascii="Arial" w:hAnsi="Arial" w:cs="Arial"/>
          <w:sz w:val="22"/>
          <w:szCs w:val="22"/>
        </w:rPr>
      </w:pPr>
    </w:p>
    <w:p w:rsidR="009B4233" w:rsidRDefault="009B4233">
      <w:pPr>
        <w:spacing w:line="249" w:lineRule="auto"/>
        <w:ind w:left="-1704" w:right="10261"/>
        <w:rPr>
          <w:rFonts w:ascii="Arial" w:hAnsi="Arial" w:cs="Arial"/>
          <w:sz w:val="22"/>
          <w:szCs w:val="22"/>
        </w:rPr>
      </w:pPr>
    </w:p>
    <w:p w:rsidR="009B4233" w:rsidRDefault="009B4233">
      <w:pPr>
        <w:spacing w:line="249" w:lineRule="auto"/>
        <w:ind w:left="-1704" w:right="10261"/>
        <w:rPr>
          <w:rFonts w:ascii="Arial" w:hAnsi="Arial" w:cs="Arial"/>
          <w:sz w:val="22"/>
          <w:szCs w:val="22"/>
        </w:rPr>
      </w:pPr>
    </w:p>
    <w:p w:rsidR="009B4233" w:rsidRDefault="009B4233">
      <w:pPr>
        <w:spacing w:line="249" w:lineRule="auto"/>
        <w:ind w:left="-1704" w:right="10261"/>
        <w:rPr>
          <w:rFonts w:ascii="Arial" w:hAnsi="Arial" w:cs="Arial"/>
          <w:sz w:val="22"/>
          <w:szCs w:val="22"/>
        </w:rPr>
      </w:pPr>
    </w:p>
    <w:p w:rsidR="009B4233" w:rsidRDefault="009B4233">
      <w:pPr>
        <w:spacing w:line="249" w:lineRule="auto"/>
        <w:ind w:left="-1704" w:right="10261"/>
        <w:rPr>
          <w:rFonts w:ascii="Arial" w:hAnsi="Arial" w:cs="Arial"/>
          <w:sz w:val="22"/>
          <w:szCs w:val="22"/>
        </w:rPr>
      </w:pPr>
    </w:p>
    <w:p w:rsidR="009B4233" w:rsidRDefault="009B4233">
      <w:pPr>
        <w:spacing w:line="249" w:lineRule="auto"/>
        <w:ind w:left="-1704" w:right="10261"/>
        <w:rPr>
          <w:rFonts w:ascii="Arial" w:hAnsi="Arial" w:cs="Arial"/>
          <w:sz w:val="22"/>
          <w:szCs w:val="22"/>
        </w:rPr>
      </w:pPr>
    </w:p>
    <w:p w:rsidR="009B4233" w:rsidRDefault="009B4233">
      <w:pPr>
        <w:spacing w:line="249" w:lineRule="auto"/>
        <w:ind w:left="-1704" w:right="10261"/>
        <w:rPr>
          <w:rFonts w:ascii="Arial" w:hAnsi="Arial" w:cs="Arial"/>
          <w:sz w:val="22"/>
          <w:szCs w:val="22"/>
        </w:rPr>
      </w:pPr>
    </w:p>
    <w:p w:rsidR="009B4233" w:rsidRDefault="009B4233">
      <w:pPr>
        <w:spacing w:line="249" w:lineRule="auto"/>
        <w:ind w:left="-1704" w:right="10261"/>
        <w:rPr>
          <w:rFonts w:ascii="Arial" w:hAnsi="Arial" w:cs="Arial"/>
          <w:sz w:val="22"/>
          <w:szCs w:val="22"/>
        </w:rPr>
      </w:pPr>
    </w:p>
    <w:p w:rsidR="009B4233" w:rsidRDefault="009B4233">
      <w:pPr>
        <w:spacing w:line="249" w:lineRule="auto"/>
        <w:ind w:left="-1704" w:right="10261"/>
        <w:rPr>
          <w:rFonts w:ascii="Arial" w:hAnsi="Arial" w:cs="Arial"/>
          <w:sz w:val="22"/>
          <w:szCs w:val="22"/>
        </w:rPr>
      </w:pPr>
    </w:p>
    <w:p w:rsidR="009B4233" w:rsidRDefault="009B4233">
      <w:pPr>
        <w:spacing w:line="249" w:lineRule="auto"/>
        <w:rPr>
          <w:rFonts w:ascii="Arial" w:hAnsi="Arial" w:cs="Arial"/>
          <w:sz w:val="22"/>
          <w:szCs w:val="22"/>
        </w:rPr>
      </w:pPr>
    </w:p>
    <w:p w:rsidR="009B4233" w:rsidRDefault="009B4233">
      <w:pPr>
        <w:spacing w:after="355" w:line="249" w:lineRule="auto"/>
        <w:ind w:left="-2"/>
        <w:rPr>
          <w:rFonts w:ascii="Arial" w:hAnsi="Arial" w:cs="Arial"/>
          <w:sz w:val="22"/>
          <w:szCs w:val="22"/>
        </w:rPr>
      </w:pPr>
    </w:p>
    <w:tbl>
      <w:tblPr>
        <w:tblW w:w="8504" w:type="dxa"/>
        <w:tblInd w:w="-3" w:type="dxa"/>
        <w:tblCellMar>
          <w:left w:w="10" w:type="dxa"/>
          <w:right w:w="10" w:type="dxa"/>
        </w:tblCellMar>
        <w:tblLook w:val="0000" w:firstRow="0" w:lastRow="0" w:firstColumn="0" w:lastColumn="0" w:noHBand="0" w:noVBand="0"/>
      </w:tblPr>
      <w:tblGrid>
        <w:gridCol w:w="8504"/>
      </w:tblGrid>
      <w:tr w:rsidR="009B4233">
        <w:tblPrEx>
          <w:tblCellMar>
            <w:top w:w="0" w:type="dxa"/>
            <w:bottom w:w="0" w:type="dxa"/>
          </w:tblCellMar>
        </w:tblPrEx>
        <w:trPr>
          <w:trHeight w:val="252"/>
        </w:trPr>
        <w:tc>
          <w:tcPr>
            <w:tcW w:w="8504" w:type="dxa"/>
            <w:shd w:val="clear" w:color="auto" w:fill="E0E0E0"/>
            <w:tcMar>
              <w:top w:w="8" w:type="dxa"/>
              <w:left w:w="3" w:type="dxa"/>
              <w:bottom w:w="0" w:type="dxa"/>
              <w:right w:w="115" w:type="dxa"/>
            </w:tcMar>
          </w:tcPr>
          <w:p w:rsidR="009B4233" w:rsidRDefault="006B08B9">
            <w:pPr>
              <w:spacing w:line="249" w:lineRule="auto"/>
            </w:pPr>
            <w:r>
              <w:rPr>
                <w:rFonts w:ascii="Arial" w:eastAsia="Arial" w:hAnsi="Arial" w:cs="Arial"/>
                <w:b/>
                <w:sz w:val="22"/>
                <w:szCs w:val="22"/>
              </w:rPr>
              <w:t xml:space="preserve">6. </w:t>
            </w:r>
            <w:r>
              <w:rPr>
                <w:rFonts w:ascii="Arial" w:eastAsia="Arial" w:hAnsi="Arial" w:cs="Arial"/>
                <w:b/>
                <w:sz w:val="22"/>
                <w:szCs w:val="22"/>
                <w:shd w:val="clear" w:color="auto" w:fill="E6E6E6"/>
              </w:rPr>
              <w:t>CONCLUSIÓN</w:t>
            </w:r>
            <w:r>
              <w:rPr>
                <w:rFonts w:ascii="Arial" w:eastAsia="Arial" w:hAnsi="Arial" w:cs="Arial"/>
                <w:b/>
                <w:sz w:val="22"/>
                <w:szCs w:val="22"/>
              </w:rPr>
              <w:t>. -</w:t>
            </w:r>
          </w:p>
        </w:tc>
      </w:tr>
    </w:tbl>
    <w:p w:rsidR="009B4233" w:rsidRDefault="006B08B9">
      <w:pPr>
        <w:widowControl/>
        <w:numPr>
          <w:ilvl w:val="0"/>
          <w:numId w:val="65"/>
        </w:numPr>
        <w:suppressAutoHyphens w:val="0"/>
        <w:spacing w:after="256" w:line="264" w:lineRule="auto"/>
        <w:ind w:right="52" w:hanging="284"/>
        <w:jc w:val="both"/>
        <w:textAlignment w:val="auto"/>
      </w:pPr>
      <w:r>
        <w:rPr>
          <w:rFonts w:ascii="Arial" w:hAnsi="Arial" w:cs="Arial"/>
          <w:sz w:val="22"/>
          <w:szCs w:val="22"/>
        </w:rPr>
        <w:t xml:space="preserve">A la vista de las modificaciones propuestas, descritas con anterioridad, no </w:t>
      </w:r>
      <w:r>
        <w:rPr>
          <w:rFonts w:ascii="Arial" w:hAnsi="Arial" w:cs="Arial"/>
          <w:sz w:val="22"/>
          <w:szCs w:val="22"/>
        </w:rPr>
        <w:t xml:space="preserve">afectan a la ordenación prevista en el Plan General de Ordenación para el ámbito y por tanto se informa la </w:t>
      </w:r>
      <w:r>
        <w:rPr>
          <w:rFonts w:ascii="Arial" w:eastAsia="Arial" w:hAnsi="Arial" w:cs="Arial"/>
          <w:b/>
          <w:sz w:val="22"/>
          <w:szCs w:val="22"/>
        </w:rPr>
        <w:t xml:space="preserve">CONFORMIDAD del Modificado nº1 del Proyecto Remodelación de la Plaza de la Patrona de Canarias, canalización de cauce e implantación de conducciones </w:t>
      </w:r>
      <w:r>
        <w:rPr>
          <w:rFonts w:ascii="Arial" w:eastAsia="Arial" w:hAnsi="Arial" w:cs="Arial"/>
          <w:b/>
          <w:sz w:val="22"/>
          <w:szCs w:val="22"/>
        </w:rPr>
        <w:t>hidráulicas (sectores 1, 2 y 3)</w:t>
      </w:r>
    </w:p>
    <w:p w:rsidR="009B4233" w:rsidRDefault="006B08B9">
      <w:pPr>
        <w:spacing w:after="349"/>
        <w:ind w:left="294" w:right="52"/>
        <w:jc w:val="both"/>
        <w:rPr>
          <w:rFonts w:ascii="Arial" w:hAnsi="Arial" w:cs="Arial"/>
          <w:sz w:val="22"/>
          <w:szCs w:val="22"/>
        </w:rPr>
      </w:pPr>
      <w:r>
        <w:rPr>
          <w:rFonts w:ascii="Arial" w:hAnsi="Arial" w:cs="Arial"/>
          <w:sz w:val="22"/>
          <w:szCs w:val="22"/>
        </w:rPr>
        <w:t xml:space="preserve">En el presente informe se comprueba la compatibilidad urbanística del proyecto presentado con el Plan General de Ordenación y por tanto quedará condicionado a cuantos informes sectoriales le sea de aplicación, en especial a </w:t>
      </w:r>
      <w:r>
        <w:rPr>
          <w:rFonts w:ascii="Arial" w:hAnsi="Arial" w:cs="Arial"/>
          <w:sz w:val="22"/>
          <w:szCs w:val="22"/>
        </w:rPr>
        <w:t>los emitidos por la Comisión Insular de Patrimonio Histórico del Excmo. Cabildo Insular de Tenerife, Consejo Insular de aguas y Demarcación de Costas.</w:t>
      </w:r>
    </w:p>
    <w:p w:rsidR="009B4233" w:rsidRDefault="009B4233">
      <w:pPr>
        <w:spacing w:line="249" w:lineRule="auto"/>
        <w:ind w:left="-2"/>
        <w:jc w:val="both"/>
        <w:rPr>
          <w:rFonts w:ascii="Arial" w:hAnsi="Arial" w:cs="Arial"/>
          <w:sz w:val="22"/>
          <w:szCs w:val="22"/>
        </w:rPr>
      </w:pPr>
    </w:p>
    <w:p w:rsidR="009B4233" w:rsidRDefault="006B08B9">
      <w:pPr>
        <w:widowControl/>
        <w:numPr>
          <w:ilvl w:val="0"/>
          <w:numId w:val="65"/>
        </w:numPr>
        <w:suppressAutoHyphens w:val="0"/>
        <w:spacing w:after="303" w:line="264" w:lineRule="auto"/>
        <w:ind w:right="52" w:hanging="284"/>
        <w:jc w:val="both"/>
        <w:textAlignment w:val="auto"/>
      </w:pPr>
      <w:r>
        <w:rPr>
          <w:rFonts w:ascii="Arial" w:hAnsi="Arial" w:cs="Arial"/>
          <w:sz w:val="22"/>
          <w:szCs w:val="22"/>
        </w:rPr>
        <w:t xml:space="preserve">Por otra parte, para la correcta ejecución del modificado nº1 del proyecto, resulta necesario la </w:t>
      </w:r>
      <w:r>
        <w:rPr>
          <w:rFonts w:ascii="Arial" w:eastAsia="Arial" w:hAnsi="Arial" w:cs="Arial"/>
          <w:b/>
          <w:sz w:val="22"/>
          <w:szCs w:val="22"/>
        </w:rPr>
        <w:t xml:space="preserve">PUESTA </w:t>
      </w:r>
      <w:r>
        <w:rPr>
          <w:rFonts w:ascii="Arial" w:eastAsia="Arial" w:hAnsi="Arial" w:cs="Arial"/>
          <w:b/>
          <w:sz w:val="22"/>
          <w:szCs w:val="22"/>
        </w:rPr>
        <w:t>A DISPOSICION</w:t>
      </w:r>
      <w:r>
        <w:rPr>
          <w:rFonts w:ascii="Arial" w:hAnsi="Arial" w:cs="Arial"/>
          <w:sz w:val="22"/>
          <w:szCs w:val="22"/>
        </w:rPr>
        <w:t xml:space="preserve"> de los siguientes suelos municipales identificados en el Inventario Municipal de Bienes Inmuebles, según ficha descrita en el presente informe como </w:t>
      </w:r>
      <w:r>
        <w:rPr>
          <w:rFonts w:ascii="Arial" w:eastAsia="Arial" w:hAnsi="Arial" w:cs="Arial"/>
          <w:b/>
          <w:sz w:val="22"/>
          <w:szCs w:val="22"/>
        </w:rPr>
        <w:t>CALLE LA MAGDALENA:</w:t>
      </w:r>
    </w:p>
    <w:tbl>
      <w:tblPr>
        <w:tblW w:w="8232" w:type="dxa"/>
        <w:tblInd w:w="276" w:type="dxa"/>
        <w:tblCellMar>
          <w:left w:w="10" w:type="dxa"/>
          <w:right w:w="10" w:type="dxa"/>
        </w:tblCellMar>
        <w:tblLook w:val="0000" w:firstRow="0" w:lastRow="0" w:firstColumn="0" w:lastColumn="0" w:noHBand="0" w:noVBand="0"/>
      </w:tblPr>
      <w:tblGrid>
        <w:gridCol w:w="3956"/>
        <w:gridCol w:w="4276"/>
      </w:tblGrid>
      <w:tr w:rsidR="009B4233">
        <w:tblPrEx>
          <w:tblCellMar>
            <w:top w:w="0" w:type="dxa"/>
            <w:bottom w:w="0" w:type="dxa"/>
          </w:tblCellMar>
        </w:tblPrEx>
        <w:trPr>
          <w:trHeight w:val="382"/>
        </w:trPr>
        <w:tc>
          <w:tcPr>
            <w:tcW w:w="3956" w:type="dxa"/>
            <w:tcBorders>
              <w:top w:val="single" w:sz="4" w:space="0" w:color="000000"/>
              <w:left w:val="single" w:sz="4" w:space="0" w:color="000000"/>
              <w:bottom w:val="single" w:sz="4" w:space="0" w:color="000000"/>
              <w:right w:val="single" w:sz="4" w:space="0" w:color="000000"/>
            </w:tcBorders>
            <w:shd w:val="clear" w:color="auto" w:fill="auto"/>
            <w:tcMar>
              <w:top w:w="68" w:type="dxa"/>
              <w:left w:w="115" w:type="dxa"/>
              <w:bottom w:w="0" w:type="dxa"/>
              <w:right w:w="115" w:type="dxa"/>
            </w:tcMar>
          </w:tcPr>
          <w:p w:rsidR="009B4233" w:rsidRDefault="006B08B9">
            <w:pPr>
              <w:spacing w:line="249" w:lineRule="auto"/>
              <w:jc w:val="center"/>
            </w:pPr>
            <w:r>
              <w:rPr>
                <w:rFonts w:ascii="Arial" w:eastAsia="Arial" w:hAnsi="Arial" w:cs="Arial"/>
                <w:b/>
                <w:sz w:val="22"/>
                <w:szCs w:val="22"/>
              </w:rPr>
              <w:t>Nº INVENTARIO MUNICIPAL</w:t>
            </w:r>
          </w:p>
        </w:tc>
        <w:tc>
          <w:tcPr>
            <w:tcW w:w="4276" w:type="dxa"/>
            <w:tcBorders>
              <w:top w:val="single" w:sz="4" w:space="0" w:color="000000"/>
              <w:left w:val="single" w:sz="4" w:space="0" w:color="000000"/>
              <w:bottom w:val="single" w:sz="4" w:space="0" w:color="000000"/>
              <w:right w:val="single" w:sz="4" w:space="0" w:color="000000"/>
            </w:tcBorders>
            <w:shd w:val="clear" w:color="auto" w:fill="auto"/>
            <w:tcMar>
              <w:top w:w="68" w:type="dxa"/>
              <w:left w:w="115" w:type="dxa"/>
              <w:bottom w:w="0" w:type="dxa"/>
              <w:right w:w="115" w:type="dxa"/>
            </w:tcMar>
          </w:tcPr>
          <w:p w:rsidR="009B4233" w:rsidRDefault="006B08B9">
            <w:pPr>
              <w:spacing w:line="249" w:lineRule="auto"/>
              <w:ind w:left="6"/>
              <w:jc w:val="center"/>
            </w:pPr>
            <w:r>
              <w:rPr>
                <w:rFonts w:ascii="Arial" w:eastAsia="Arial" w:hAnsi="Arial" w:cs="Arial"/>
                <w:b/>
                <w:sz w:val="22"/>
                <w:szCs w:val="22"/>
              </w:rPr>
              <w:t>DENOMINACION</w:t>
            </w:r>
          </w:p>
        </w:tc>
      </w:tr>
      <w:tr w:rsidR="009B4233">
        <w:tblPrEx>
          <w:tblCellMar>
            <w:top w:w="0" w:type="dxa"/>
            <w:bottom w:w="0" w:type="dxa"/>
          </w:tblCellMar>
        </w:tblPrEx>
        <w:trPr>
          <w:trHeight w:val="396"/>
        </w:trPr>
        <w:tc>
          <w:tcPr>
            <w:tcW w:w="3956" w:type="dxa"/>
            <w:tcBorders>
              <w:top w:val="single" w:sz="4" w:space="0" w:color="000000"/>
              <w:left w:val="single" w:sz="4" w:space="0" w:color="000000"/>
              <w:bottom w:val="single" w:sz="4" w:space="0" w:color="000000"/>
              <w:right w:val="single" w:sz="4" w:space="0" w:color="000000"/>
            </w:tcBorders>
            <w:shd w:val="clear" w:color="auto" w:fill="auto"/>
            <w:tcMar>
              <w:top w:w="68" w:type="dxa"/>
              <w:left w:w="115" w:type="dxa"/>
              <w:bottom w:w="0" w:type="dxa"/>
              <w:right w:w="115" w:type="dxa"/>
            </w:tcMar>
          </w:tcPr>
          <w:p w:rsidR="009B4233" w:rsidRDefault="006B08B9">
            <w:pPr>
              <w:spacing w:line="249" w:lineRule="auto"/>
              <w:ind w:left="6"/>
              <w:jc w:val="center"/>
              <w:rPr>
                <w:rFonts w:ascii="Arial" w:hAnsi="Arial" w:cs="Arial"/>
                <w:sz w:val="22"/>
                <w:szCs w:val="22"/>
              </w:rPr>
            </w:pPr>
            <w:r>
              <w:rPr>
                <w:rFonts w:ascii="Arial" w:hAnsi="Arial" w:cs="Arial"/>
                <w:sz w:val="22"/>
                <w:szCs w:val="22"/>
              </w:rPr>
              <w:t>14/37</w:t>
            </w:r>
          </w:p>
        </w:tc>
        <w:tc>
          <w:tcPr>
            <w:tcW w:w="4276" w:type="dxa"/>
            <w:tcBorders>
              <w:top w:val="single" w:sz="4" w:space="0" w:color="000000"/>
              <w:left w:val="single" w:sz="4" w:space="0" w:color="000000"/>
              <w:bottom w:val="single" w:sz="4" w:space="0" w:color="000000"/>
              <w:right w:val="single" w:sz="4" w:space="0" w:color="000000"/>
            </w:tcBorders>
            <w:shd w:val="clear" w:color="auto" w:fill="auto"/>
            <w:tcMar>
              <w:top w:w="68" w:type="dxa"/>
              <w:left w:w="115" w:type="dxa"/>
              <w:bottom w:w="0" w:type="dxa"/>
              <w:right w:w="115" w:type="dxa"/>
            </w:tcMar>
          </w:tcPr>
          <w:p w:rsidR="009B4233" w:rsidRDefault="006B08B9">
            <w:pPr>
              <w:spacing w:line="249" w:lineRule="auto"/>
              <w:ind w:left="4"/>
              <w:jc w:val="center"/>
              <w:rPr>
                <w:rFonts w:ascii="Arial" w:hAnsi="Arial" w:cs="Arial"/>
                <w:sz w:val="22"/>
                <w:szCs w:val="22"/>
              </w:rPr>
            </w:pPr>
            <w:r>
              <w:rPr>
                <w:rFonts w:ascii="Arial" w:hAnsi="Arial" w:cs="Arial"/>
                <w:sz w:val="22"/>
                <w:szCs w:val="22"/>
              </w:rPr>
              <w:t>CALLE LA MAGDALENA</w:t>
            </w:r>
          </w:p>
        </w:tc>
      </w:tr>
    </w:tbl>
    <w:p w:rsidR="009B4233" w:rsidRDefault="009B4233">
      <w:pPr>
        <w:jc w:val="both"/>
        <w:rPr>
          <w:rFonts w:ascii="Arial" w:hAnsi="Arial" w:cs="Arial"/>
          <w:b/>
          <w:sz w:val="22"/>
          <w:szCs w:val="22"/>
        </w:rPr>
      </w:pPr>
    </w:p>
    <w:p w:rsidR="009B4233" w:rsidRDefault="006B08B9">
      <w:pPr>
        <w:jc w:val="both"/>
        <w:rPr>
          <w:rFonts w:ascii="Arial" w:hAnsi="Arial" w:cs="Arial"/>
          <w:b/>
          <w:sz w:val="22"/>
          <w:szCs w:val="22"/>
        </w:rPr>
      </w:pPr>
      <w:r>
        <w:rPr>
          <w:rFonts w:ascii="Arial" w:hAnsi="Arial" w:cs="Arial"/>
          <w:b/>
          <w:sz w:val="22"/>
          <w:szCs w:val="22"/>
        </w:rPr>
        <w:t>“</w:t>
      </w: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6B08B9">
      <w:pPr>
        <w:pStyle w:val="Textoindependiente"/>
        <w:jc w:val="both"/>
        <w:rPr>
          <w:rFonts w:cs="Arial"/>
          <w:b/>
          <w:bCs/>
          <w:szCs w:val="22"/>
        </w:rPr>
      </w:pPr>
      <w:r>
        <w:rPr>
          <w:rFonts w:cs="Arial"/>
          <w:b/>
          <w:bCs/>
          <w:szCs w:val="22"/>
        </w:rPr>
        <w:t xml:space="preserve">     </w:t>
      </w:r>
    </w:p>
    <w:p w:rsidR="009B4233" w:rsidRDefault="009B4233">
      <w:pPr>
        <w:pStyle w:val="Textoindependiente"/>
        <w:jc w:val="both"/>
        <w:rPr>
          <w:rFonts w:cs="Arial"/>
          <w:b/>
          <w:bCs/>
          <w:szCs w:val="22"/>
        </w:rPr>
      </w:pPr>
    </w:p>
    <w:p w:rsidR="009B4233" w:rsidRDefault="009B4233">
      <w:pPr>
        <w:pStyle w:val="Textoindependiente"/>
        <w:jc w:val="both"/>
        <w:rPr>
          <w:rFonts w:cs="Arial"/>
          <w:b/>
          <w:bCs/>
          <w:szCs w:val="22"/>
        </w:rPr>
      </w:pPr>
    </w:p>
    <w:p w:rsidR="009B4233" w:rsidRDefault="009B4233">
      <w:pPr>
        <w:pStyle w:val="Textoindependiente"/>
        <w:jc w:val="both"/>
        <w:rPr>
          <w:rFonts w:cs="Arial"/>
          <w:b/>
          <w:bCs/>
          <w:szCs w:val="22"/>
        </w:rPr>
      </w:pPr>
    </w:p>
    <w:p w:rsidR="009B4233" w:rsidRDefault="009B4233">
      <w:pPr>
        <w:pStyle w:val="Textoindependiente"/>
        <w:jc w:val="both"/>
        <w:rPr>
          <w:rFonts w:cs="Arial"/>
          <w:b/>
          <w:bCs/>
          <w:szCs w:val="22"/>
        </w:rPr>
      </w:pPr>
    </w:p>
    <w:p w:rsidR="009B4233" w:rsidRDefault="009B4233">
      <w:pPr>
        <w:pStyle w:val="Textoindependiente"/>
        <w:jc w:val="both"/>
        <w:rPr>
          <w:rFonts w:cs="Arial"/>
          <w:b/>
          <w:bCs/>
          <w:szCs w:val="22"/>
        </w:rPr>
      </w:pPr>
    </w:p>
    <w:p w:rsidR="009B4233" w:rsidRDefault="009B4233">
      <w:pPr>
        <w:pStyle w:val="Textoindependiente"/>
        <w:jc w:val="both"/>
        <w:rPr>
          <w:rFonts w:cs="Arial"/>
          <w:b/>
          <w:bCs/>
          <w:szCs w:val="22"/>
        </w:rPr>
      </w:pPr>
    </w:p>
    <w:p w:rsidR="009B4233" w:rsidRDefault="009B4233">
      <w:pPr>
        <w:pStyle w:val="Textoindependiente"/>
        <w:jc w:val="both"/>
        <w:rPr>
          <w:rFonts w:cs="Arial"/>
          <w:b/>
          <w:bCs/>
          <w:szCs w:val="22"/>
        </w:rPr>
      </w:pPr>
    </w:p>
    <w:p w:rsidR="009B4233" w:rsidRDefault="009B4233">
      <w:pPr>
        <w:pStyle w:val="Textoindependiente"/>
        <w:jc w:val="both"/>
        <w:rPr>
          <w:rFonts w:cs="Arial"/>
          <w:b/>
          <w:bCs/>
          <w:szCs w:val="22"/>
        </w:rPr>
      </w:pPr>
    </w:p>
    <w:p w:rsidR="009B4233" w:rsidRDefault="009B4233">
      <w:pPr>
        <w:pStyle w:val="Textoindependiente"/>
        <w:jc w:val="both"/>
        <w:rPr>
          <w:rFonts w:cs="Arial"/>
          <w:b/>
          <w:bCs/>
          <w:szCs w:val="22"/>
        </w:rPr>
      </w:pPr>
    </w:p>
    <w:p w:rsidR="009B4233" w:rsidRDefault="009B4233">
      <w:pPr>
        <w:pStyle w:val="Textoindependiente"/>
        <w:jc w:val="both"/>
        <w:rPr>
          <w:rFonts w:cs="Arial"/>
          <w:b/>
          <w:bCs/>
          <w:szCs w:val="22"/>
        </w:rPr>
      </w:pPr>
    </w:p>
    <w:p w:rsidR="009B4233" w:rsidRDefault="009B4233">
      <w:pPr>
        <w:pStyle w:val="Textoindependiente"/>
        <w:jc w:val="both"/>
        <w:rPr>
          <w:rFonts w:cs="Arial"/>
          <w:b/>
          <w:bCs/>
          <w:szCs w:val="22"/>
        </w:rPr>
      </w:pPr>
    </w:p>
    <w:p w:rsidR="009B4233" w:rsidRDefault="009B4233">
      <w:pPr>
        <w:pStyle w:val="Textoindependiente"/>
        <w:jc w:val="both"/>
        <w:rPr>
          <w:rFonts w:cs="Arial"/>
          <w:b/>
          <w:bCs/>
          <w:szCs w:val="22"/>
        </w:rPr>
      </w:pPr>
    </w:p>
    <w:p w:rsidR="009B4233" w:rsidRDefault="009B4233">
      <w:pPr>
        <w:pStyle w:val="Textoindependiente"/>
        <w:jc w:val="both"/>
        <w:rPr>
          <w:rFonts w:cs="Arial"/>
          <w:b/>
          <w:bCs/>
          <w:szCs w:val="22"/>
        </w:rPr>
      </w:pPr>
    </w:p>
    <w:p w:rsidR="009B4233" w:rsidRDefault="009B4233">
      <w:pPr>
        <w:pStyle w:val="Textoindependiente"/>
        <w:jc w:val="both"/>
        <w:rPr>
          <w:rFonts w:cs="Arial"/>
          <w:b/>
          <w:bCs/>
          <w:szCs w:val="22"/>
        </w:rPr>
      </w:pPr>
    </w:p>
    <w:p w:rsidR="009B4233" w:rsidRDefault="006B08B9">
      <w:pPr>
        <w:pStyle w:val="Textoindependiente"/>
        <w:jc w:val="both"/>
      </w:pPr>
      <w:r>
        <w:rPr>
          <w:rFonts w:cs="Arial"/>
          <w:b/>
          <w:bCs/>
          <w:szCs w:val="22"/>
        </w:rPr>
        <w:t xml:space="preserve">Consta en el expediente Informe Jurídico emitido por </w:t>
      </w:r>
      <w:r>
        <w:rPr>
          <w:rFonts w:cs="Arial"/>
          <w:b/>
          <w:szCs w:val="22"/>
        </w:rPr>
        <w:t>Doña Olga Fernández Méndez-Bencomo, Jurista, de 17 de septiembre de 2025,</w:t>
      </w:r>
      <w:r>
        <w:rPr>
          <w:rFonts w:cs="Arial"/>
          <w:b/>
          <w:bCs/>
          <w:szCs w:val="22"/>
        </w:rPr>
        <w:t xml:space="preserve"> </w:t>
      </w:r>
      <w:r>
        <w:rPr>
          <w:rFonts w:cs="Arial"/>
          <w:b/>
          <w:szCs w:val="22"/>
        </w:rPr>
        <w:t xml:space="preserve">y conformado favorablemente por Don Octavio Manuel Fernández Hernández, Secretario General, del 17 de septiembre </w:t>
      </w:r>
      <w:r>
        <w:rPr>
          <w:rFonts w:cs="Arial"/>
          <w:b/>
          <w:szCs w:val="22"/>
        </w:rPr>
        <w:t>de 2025,</w:t>
      </w:r>
      <w:r>
        <w:rPr>
          <w:rFonts w:cs="Arial"/>
          <w:b/>
          <w:bCs/>
          <w:szCs w:val="22"/>
        </w:rPr>
        <w:t xml:space="preserve"> del siguiente tenor literal:</w:t>
      </w:r>
    </w:p>
    <w:p w:rsidR="009B4233" w:rsidRDefault="009B4233">
      <w:pPr>
        <w:pStyle w:val="Textoindependiente"/>
        <w:jc w:val="both"/>
        <w:rPr>
          <w:rFonts w:cs="Arial"/>
          <w:b/>
          <w:bCs/>
          <w:szCs w:val="22"/>
        </w:rPr>
      </w:pPr>
    </w:p>
    <w:p w:rsidR="009B4233" w:rsidRDefault="006B08B9">
      <w:pPr>
        <w:pStyle w:val="Ttulo1"/>
        <w:ind w:left="714" w:right="709"/>
        <w:rPr>
          <w:rFonts w:ascii="Arial" w:hAnsi="Arial" w:cs="Arial"/>
          <w:sz w:val="22"/>
          <w:szCs w:val="22"/>
        </w:rPr>
      </w:pPr>
      <w:r>
        <w:rPr>
          <w:rFonts w:ascii="Arial" w:hAnsi="Arial" w:cs="Arial"/>
          <w:sz w:val="22"/>
          <w:szCs w:val="22"/>
        </w:rPr>
        <w:t>“INFORME JURIDICO</w:t>
      </w:r>
    </w:p>
    <w:p w:rsidR="009B4233" w:rsidRDefault="006B08B9">
      <w:pPr>
        <w:spacing w:after="455"/>
        <w:ind w:right="1"/>
        <w:jc w:val="both"/>
        <w:rPr>
          <w:rFonts w:ascii="Arial" w:hAnsi="Arial" w:cs="Arial"/>
          <w:sz w:val="22"/>
          <w:szCs w:val="22"/>
        </w:rPr>
      </w:pPr>
      <w:r>
        <w:rPr>
          <w:rFonts w:ascii="Arial" w:hAnsi="Arial" w:cs="Arial"/>
          <w:sz w:val="22"/>
          <w:szCs w:val="22"/>
        </w:rPr>
        <w:t>La Técnico de la Administración General Olga Fernández Méndez Bencomo, en el expediente anteriormente reseñado, emite el siguiente informe, conformado por el Secretario General Octavio Manuel Fernánd</w:t>
      </w:r>
      <w:r>
        <w:rPr>
          <w:rFonts w:ascii="Arial" w:hAnsi="Arial" w:cs="Arial"/>
          <w:sz w:val="22"/>
          <w:szCs w:val="22"/>
        </w:rPr>
        <w:t xml:space="preserve">ez Hernández: </w:t>
      </w:r>
    </w:p>
    <w:p w:rsidR="009B4233" w:rsidRDefault="006B08B9">
      <w:pPr>
        <w:pStyle w:val="Ttulo1"/>
        <w:spacing w:after="450"/>
        <w:ind w:left="714" w:right="143"/>
        <w:rPr>
          <w:rFonts w:ascii="Arial" w:hAnsi="Arial" w:cs="Arial"/>
          <w:sz w:val="22"/>
          <w:szCs w:val="22"/>
        </w:rPr>
      </w:pPr>
      <w:r>
        <w:rPr>
          <w:rFonts w:ascii="Arial" w:hAnsi="Arial" w:cs="Arial"/>
          <w:sz w:val="22"/>
          <w:szCs w:val="22"/>
        </w:rPr>
        <w:t>ANTECEDENTES DE HECHO</w:t>
      </w:r>
    </w:p>
    <w:p w:rsidR="009B4233" w:rsidRDefault="006B08B9">
      <w:pPr>
        <w:spacing w:after="81"/>
        <w:ind w:left="269" w:right="1" w:firstLine="282"/>
        <w:jc w:val="both"/>
        <w:rPr>
          <w:rFonts w:ascii="Arial" w:hAnsi="Arial" w:cs="Arial"/>
          <w:sz w:val="22"/>
          <w:szCs w:val="22"/>
        </w:rPr>
      </w:pPr>
      <w:r>
        <w:rPr>
          <w:rFonts w:ascii="Arial" w:hAnsi="Arial" w:cs="Arial"/>
          <w:sz w:val="22"/>
          <w:szCs w:val="22"/>
        </w:rPr>
        <w:t>Visto el expediente 7020/2021 relativo al Proyecto de Remodelación de la Plaza de la Patrona y el informe técnico de fecha 16 de septiembre de 2025, emitido por la Arquitecta Municipal del siguiente tenor literal:</w:t>
      </w:r>
    </w:p>
    <w:p w:rsidR="009B4233" w:rsidRDefault="006B08B9">
      <w:pPr>
        <w:pStyle w:val="Ttulo1"/>
        <w:spacing w:after="308"/>
        <w:ind w:left="714" w:right="707"/>
        <w:rPr>
          <w:rFonts w:ascii="Arial" w:hAnsi="Arial" w:cs="Arial"/>
          <w:sz w:val="22"/>
          <w:szCs w:val="22"/>
        </w:rPr>
      </w:pPr>
      <w:r>
        <w:rPr>
          <w:rFonts w:ascii="Arial" w:hAnsi="Arial" w:cs="Arial"/>
          <w:sz w:val="22"/>
          <w:szCs w:val="22"/>
        </w:rPr>
        <w:t>“…INF</w:t>
      </w:r>
      <w:r>
        <w:rPr>
          <w:rFonts w:ascii="Arial" w:hAnsi="Arial" w:cs="Arial"/>
          <w:sz w:val="22"/>
          <w:szCs w:val="22"/>
        </w:rPr>
        <w:t>ORME</w:t>
      </w:r>
    </w:p>
    <w:p w:rsidR="009B4233" w:rsidRDefault="006B08B9">
      <w:pPr>
        <w:spacing w:after="68"/>
        <w:ind w:left="269" w:right="1"/>
        <w:jc w:val="both"/>
      </w:pPr>
      <w:r>
        <w:rPr>
          <w:rFonts w:ascii="Arial" w:hAnsi="Arial" w:cs="Arial"/>
          <w:sz w:val="22"/>
          <w:szCs w:val="22"/>
        </w:rPr>
        <w:t>A la vista de los Oficios presentados por el Cabildo Insular de Tenerife, con fechas 21 de agosto de 2025 y nº de registro de entrada 2025-E-RC-7850, en relación con la puesta a disposición de los terrenos adyacentes a la Plaza de Los Artesanos y el e</w:t>
      </w:r>
      <w:r>
        <w:rPr>
          <w:rFonts w:ascii="Arial" w:hAnsi="Arial" w:cs="Arial"/>
          <w:sz w:val="22"/>
          <w:szCs w:val="22"/>
        </w:rPr>
        <w:t xml:space="preserve">dificio Oceánica, así como la conformidad del </w:t>
      </w:r>
      <w:r>
        <w:rPr>
          <w:rFonts w:ascii="Arial" w:eastAsia="Calibri" w:hAnsi="Arial" w:cs="Arial"/>
          <w:b/>
          <w:sz w:val="22"/>
          <w:szCs w:val="22"/>
        </w:rPr>
        <w:t>Proyecto de Remodelación de la Plaza de la Patrona</w:t>
      </w:r>
      <w:r>
        <w:rPr>
          <w:rFonts w:ascii="Arial" w:hAnsi="Arial" w:cs="Arial"/>
          <w:sz w:val="22"/>
          <w:szCs w:val="22"/>
        </w:rPr>
        <w:t xml:space="preserve"> </w:t>
      </w:r>
      <w:r>
        <w:rPr>
          <w:rFonts w:ascii="Arial" w:eastAsia="Calibri" w:hAnsi="Arial" w:cs="Arial"/>
          <w:b/>
          <w:sz w:val="22"/>
          <w:szCs w:val="22"/>
        </w:rPr>
        <w:t xml:space="preserve"> y el Modificado nº 1 del Proyecto Remodelación de la Plaza de la Patrona de Canarias, canalización de cauce e implantación de conducciones hidráulicas </w:t>
      </w:r>
      <w:r>
        <w:rPr>
          <w:rFonts w:ascii="Arial" w:eastAsia="Calibri" w:hAnsi="Arial" w:cs="Arial"/>
          <w:b/>
          <w:sz w:val="22"/>
          <w:szCs w:val="22"/>
        </w:rPr>
        <w:t xml:space="preserve">(sectores 1, 2 y 3), </w:t>
      </w:r>
      <w:r>
        <w:rPr>
          <w:rFonts w:ascii="Arial" w:hAnsi="Arial" w:cs="Arial"/>
          <w:sz w:val="22"/>
          <w:szCs w:val="22"/>
        </w:rPr>
        <w:t xml:space="preserve">Nayra Guzmán Hernández, arquitecta emite el presente informe: </w:t>
      </w:r>
    </w:p>
    <w:tbl>
      <w:tblPr>
        <w:tblW w:w="8788" w:type="dxa"/>
        <w:tblInd w:w="281" w:type="dxa"/>
        <w:tblCellMar>
          <w:left w:w="10" w:type="dxa"/>
          <w:right w:w="10" w:type="dxa"/>
        </w:tblCellMar>
        <w:tblLook w:val="0000" w:firstRow="0" w:lastRow="0" w:firstColumn="0" w:lastColumn="0" w:noHBand="0" w:noVBand="0"/>
      </w:tblPr>
      <w:tblGrid>
        <w:gridCol w:w="853"/>
        <w:gridCol w:w="7935"/>
      </w:tblGrid>
      <w:tr w:rsidR="009B4233">
        <w:tblPrEx>
          <w:tblCellMar>
            <w:top w:w="0" w:type="dxa"/>
            <w:bottom w:w="0" w:type="dxa"/>
          </w:tblCellMar>
        </w:tblPrEx>
        <w:trPr>
          <w:trHeight w:val="252"/>
        </w:trPr>
        <w:tc>
          <w:tcPr>
            <w:tcW w:w="853" w:type="dxa"/>
            <w:shd w:val="clear" w:color="auto" w:fill="E0E0E0"/>
            <w:tcMar>
              <w:top w:w="8" w:type="dxa"/>
              <w:left w:w="0" w:type="dxa"/>
              <w:bottom w:w="0" w:type="dxa"/>
              <w:right w:w="115" w:type="dxa"/>
            </w:tcMar>
          </w:tcPr>
          <w:p w:rsidR="009B4233" w:rsidRDefault="006B08B9">
            <w:pPr>
              <w:spacing w:line="249" w:lineRule="auto"/>
              <w:ind w:left="299"/>
              <w:jc w:val="center"/>
            </w:pPr>
            <w:r>
              <w:rPr>
                <w:rFonts w:ascii="Arial" w:eastAsia="Calibri" w:hAnsi="Arial" w:cs="Arial"/>
                <w:b/>
                <w:sz w:val="22"/>
                <w:szCs w:val="22"/>
              </w:rPr>
              <w:t>1.</w:t>
            </w:r>
          </w:p>
        </w:tc>
        <w:tc>
          <w:tcPr>
            <w:tcW w:w="7935" w:type="dxa"/>
            <w:shd w:val="clear" w:color="auto" w:fill="E0E0E0"/>
            <w:tcMar>
              <w:top w:w="8" w:type="dxa"/>
              <w:left w:w="0" w:type="dxa"/>
              <w:bottom w:w="0" w:type="dxa"/>
              <w:right w:w="115" w:type="dxa"/>
            </w:tcMar>
          </w:tcPr>
          <w:p w:rsidR="009B4233" w:rsidRDefault="006B08B9">
            <w:pPr>
              <w:spacing w:line="249" w:lineRule="auto"/>
            </w:pPr>
            <w:r>
              <w:rPr>
                <w:rFonts w:ascii="Arial" w:eastAsia="Calibri" w:hAnsi="Arial" w:cs="Arial"/>
                <w:b/>
                <w:sz w:val="22"/>
                <w:szCs w:val="22"/>
                <w:shd w:val="clear" w:color="auto" w:fill="E6E6E6"/>
              </w:rPr>
              <w:t>ANTECEDENTES</w:t>
            </w:r>
            <w:r>
              <w:rPr>
                <w:rFonts w:ascii="Arial" w:eastAsia="Calibri" w:hAnsi="Arial" w:cs="Arial"/>
                <w:b/>
                <w:sz w:val="22"/>
                <w:szCs w:val="22"/>
              </w:rPr>
              <w:t>. -</w:t>
            </w:r>
          </w:p>
        </w:tc>
      </w:tr>
    </w:tbl>
    <w:p w:rsidR="009B4233" w:rsidRDefault="006B08B9">
      <w:pPr>
        <w:widowControl/>
        <w:numPr>
          <w:ilvl w:val="0"/>
          <w:numId w:val="66"/>
        </w:numPr>
        <w:suppressAutoHyphens w:val="0"/>
        <w:spacing w:after="4" w:line="264" w:lineRule="auto"/>
        <w:ind w:right="1" w:firstLine="414"/>
        <w:jc w:val="both"/>
        <w:textAlignment w:val="auto"/>
        <w:rPr>
          <w:rFonts w:ascii="Arial" w:hAnsi="Arial" w:cs="Arial"/>
          <w:sz w:val="22"/>
          <w:szCs w:val="22"/>
        </w:rPr>
      </w:pPr>
      <w:r>
        <w:rPr>
          <w:rFonts w:ascii="Arial" w:hAnsi="Arial" w:cs="Arial"/>
          <w:sz w:val="22"/>
          <w:szCs w:val="22"/>
        </w:rPr>
        <w:t xml:space="preserve">Con fecha 14 de mayo del 2009, se resuelve adjudicar, como resultado del Concurso de Ideas, la Remodelación de la Plaza de la Patrona y su Entorno, </w:t>
      </w:r>
      <w:r>
        <w:rPr>
          <w:rFonts w:ascii="Arial" w:hAnsi="Arial" w:cs="Arial"/>
          <w:sz w:val="22"/>
          <w:szCs w:val="22"/>
        </w:rPr>
        <w:t xml:space="preserve">Término </w:t>
      </w:r>
    </w:p>
    <w:p w:rsidR="009B4233" w:rsidRDefault="006B08B9">
      <w:pPr>
        <w:ind w:left="269" w:right="1"/>
        <w:jc w:val="both"/>
      </w:pPr>
      <w:r>
        <w:rPr>
          <w:rFonts w:ascii="Arial" w:hAnsi="Arial" w:cs="Arial"/>
          <w:sz w:val="22"/>
          <w:szCs w:val="22"/>
        </w:rPr>
        <w:t xml:space="preserve">Municipal de Candelaria al Equipo Redactor </w:t>
      </w:r>
      <w:r>
        <w:rPr>
          <w:rFonts w:ascii="Arial" w:eastAsia="Calibri" w:hAnsi="Arial" w:cs="Arial"/>
          <w:b/>
          <w:sz w:val="22"/>
          <w:szCs w:val="22"/>
        </w:rPr>
        <w:t xml:space="preserve">RUIZ-LARREA &amp; ASOCIADOS S.L Y </w:t>
      </w:r>
    </w:p>
    <w:p w:rsidR="009B4233" w:rsidRDefault="006B08B9">
      <w:pPr>
        <w:spacing w:after="1" w:line="249" w:lineRule="auto"/>
        <w:ind w:left="294" w:hanging="10"/>
        <w:jc w:val="both"/>
      </w:pPr>
      <w:r>
        <w:rPr>
          <w:rFonts w:ascii="Arial" w:eastAsia="Calibri" w:hAnsi="Arial" w:cs="Arial"/>
          <w:b/>
          <w:sz w:val="22"/>
          <w:szCs w:val="22"/>
        </w:rPr>
        <w:t xml:space="preserve">ESTUDIO </w:t>
      </w:r>
    </w:p>
    <w:p w:rsidR="009B4233" w:rsidRDefault="006B08B9">
      <w:pPr>
        <w:widowControl/>
        <w:numPr>
          <w:ilvl w:val="0"/>
          <w:numId w:val="66"/>
        </w:numPr>
        <w:suppressAutoHyphens w:val="0"/>
        <w:spacing w:after="4" w:line="264" w:lineRule="auto"/>
        <w:ind w:right="1" w:firstLine="414"/>
        <w:jc w:val="both"/>
        <w:textAlignment w:val="auto"/>
      </w:pPr>
      <w:r>
        <w:rPr>
          <w:rFonts w:ascii="Arial" w:eastAsia="Calibri" w:hAnsi="Arial" w:cs="Arial"/>
          <w:b/>
          <w:sz w:val="22"/>
          <w:szCs w:val="22"/>
        </w:rPr>
        <w:t xml:space="preserve">ARQUITECTURA EUSTAQUIO MARTÍNEZ SLPU “RLA &amp; EM UTE” </w:t>
      </w:r>
      <w:r>
        <w:rPr>
          <w:rFonts w:ascii="Arial" w:eastAsia="Courier New" w:hAnsi="Arial" w:cs="Arial"/>
          <w:sz w:val="22"/>
          <w:szCs w:val="22"/>
        </w:rPr>
        <w:t xml:space="preserve">o </w:t>
      </w:r>
      <w:r>
        <w:rPr>
          <w:rFonts w:ascii="Arial" w:hAnsi="Arial" w:cs="Arial"/>
          <w:sz w:val="22"/>
          <w:szCs w:val="22"/>
        </w:rPr>
        <w:t>Con fecha 9 de noviembre de 2010, se aprueba por el Excmo. Cabildo Insular de Tenerife (Área de Turismo y Plan</w:t>
      </w:r>
      <w:r>
        <w:rPr>
          <w:rFonts w:ascii="Arial" w:hAnsi="Arial" w:cs="Arial"/>
          <w:sz w:val="22"/>
          <w:szCs w:val="22"/>
        </w:rPr>
        <w:t xml:space="preserve">ificación), el Plan Director para la redacción del proyecto de la </w:t>
      </w:r>
    </w:p>
    <w:p w:rsidR="009B4233" w:rsidRDefault="006B08B9">
      <w:pPr>
        <w:ind w:left="269" w:right="1"/>
        <w:jc w:val="both"/>
        <w:rPr>
          <w:rFonts w:ascii="Arial" w:hAnsi="Arial" w:cs="Arial"/>
          <w:sz w:val="22"/>
          <w:szCs w:val="22"/>
        </w:rPr>
      </w:pPr>
      <w:r>
        <w:rPr>
          <w:rFonts w:ascii="Arial" w:hAnsi="Arial" w:cs="Arial"/>
          <w:sz w:val="22"/>
          <w:szCs w:val="22"/>
        </w:rPr>
        <w:t>Remodelación de la Plaza de la Patrona y su Entorno, Término Municipal de Candelaria</w:t>
      </w:r>
    </w:p>
    <w:p w:rsidR="009B4233" w:rsidRDefault="006B08B9">
      <w:pPr>
        <w:widowControl/>
        <w:numPr>
          <w:ilvl w:val="0"/>
          <w:numId w:val="66"/>
        </w:numPr>
        <w:suppressAutoHyphens w:val="0"/>
        <w:spacing w:after="4" w:line="264" w:lineRule="auto"/>
        <w:ind w:right="1" w:firstLine="414"/>
        <w:jc w:val="both"/>
        <w:textAlignment w:val="auto"/>
      </w:pPr>
      <w:r>
        <w:rPr>
          <w:rFonts w:ascii="Arial" w:hAnsi="Arial" w:cs="Arial"/>
          <w:sz w:val="22"/>
          <w:szCs w:val="22"/>
        </w:rPr>
        <w:t>Con fecha 11 de febrero de 2011, se presentan por parte del Ayuntamiento de Candelaria, sugerencias al D</w:t>
      </w:r>
      <w:r>
        <w:rPr>
          <w:rFonts w:ascii="Arial" w:hAnsi="Arial" w:cs="Arial"/>
          <w:sz w:val="22"/>
          <w:szCs w:val="22"/>
        </w:rPr>
        <w:t xml:space="preserve">ocumento del Plan Director </w:t>
      </w:r>
      <w:r>
        <w:rPr>
          <w:rFonts w:ascii="Arial" w:eastAsia="Courier New" w:hAnsi="Arial" w:cs="Arial"/>
          <w:sz w:val="22"/>
          <w:szCs w:val="22"/>
        </w:rPr>
        <w:t xml:space="preserve">o </w:t>
      </w:r>
      <w:r>
        <w:rPr>
          <w:rFonts w:ascii="Arial" w:hAnsi="Arial" w:cs="Arial"/>
          <w:sz w:val="22"/>
          <w:szCs w:val="22"/>
        </w:rPr>
        <w:t xml:space="preserve">Con fecha 26 de enero de 2016 se presenta informe por parte de la Comisión Insular de Patrimonio Histórico del </w:t>
      </w:r>
    </w:p>
    <w:p w:rsidR="009B4233" w:rsidRDefault="006B08B9">
      <w:pPr>
        <w:ind w:left="269" w:right="1"/>
        <w:jc w:val="both"/>
        <w:rPr>
          <w:rFonts w:ascii="Arial" w:hAnsi="Arial" w:cs="Arial"/>
          <w:sz w:val="22"/>
          <w:szCs w:val="22"/>
        </w:rPr>
      </w:pPr>
      <w:r>
        <w:rPr>
          <w:rFonts w:ascii="Arial" w:hAnsi="Arial" w:cs="Arial"/>
          <w:sz w:val="22"/>
          <w:szCs w:val="22"/>
        </w:rPr>
        <w:t>Excmo. Cabildo Insular de Tenerife</w:t>
      </w:r>
    </w:p>
    <w:p w:rsidR="009B4233" w:rsidRDefault="006B08B9">
      <w:pPr>
        <w:widowControl/>
        <w:numPr>
          <w:ilvl w:val="0"/>
          <w:numId w:val="66"/>
        </w:numPr>
        <w:suppressAutoHyphens w:val="0"/>
        <w:spacing w:after="4" w:line="264" w:lineRule="auto"/>
        <w:ind w:right="1" w:firstLine="414"/>
        <w:jc w:val="both"/>
        <w:textAlignment w:val="auto"/>
        <w:rPr>
          <w:rFonts w:ascii="Arial" w:hAnsi="Arial" w:cs="Arial"/>
          <w:sz w:val="22"/>
          <w:szCs w:val="22"/>
        </w:rPr>
      </w:pPr>
      <w:r>
        <w:rPr>
          <w:rFonts w:ascii="Arial" w:hAnsi="Arial" w:cs="Arial"/>
          <w:sz w:val="22"/>
          <w:szCs w:val="22"/>
        </w:rPr>
        <w:t>Con fecha 14 de febrero de 2019, se presenta Proyecto de Remodelación de la Plaz</w:t>
      </w:r>
      <w:r>
        <w:rPr>
          <w:rFonts w:ascii="Arial" w:hAnsi="Arial" w:cs="Arial"/>
          <w:sz w:val="22"/>
          <w:szCs w:val="22"/>
        </w:rPr>
        <w:t>a de la Basílica.</w:t>
      </w:r>
    </w:p>
    <w:p w:rsidR="009B4233" w:rsidRDefault="006B08B9">
      <w:pPr>
        <w:widowControl/>
        <w:numPr>
          <w:ilvl w:val="0"/>
          <w:numId w:val="66"/>
        </w:numPr>
        <w:suppressAutoHyphens w:val="0"/>
        <w:spacing w:after="4" w:line="264" w:lineRule="auto"/>
        <w:ind w:right="1" w:firstLine="414"/>
        <w:jc w:val="both"/>
        <w:textAlignment w:val="auto"/>
        <w:rPr>
          <w:rFonts w:ascii="Arial" w:hAnsi="Arial" w:cs="Arial"/>
          <w:sz w:val="22"/>
          <w:szCs w:val="22"/>
        </w:rPr>
      </w:pPr>
      <w:r>
        <w:rPr>
          <w:rFonts w:ascii="Arial" w:hAnsi="Arial" w:cs="Arial"/>
          <w:sz w:val="22"/>
          <w:szCs w:val="22"/>
        </w:rPr>
        <w:t>Con fecha 14 de marzo de 2019 y nº de registro de salida se remite al Cabildo, informe sobre la compatibilidad urbanística del Proyecto, con las siguientes conclusiones:</w:t>
      </w:r>
    </w:p>
    <w:p w:rsidR="009B4233" w:rsidRDefault="006B08B9">
      <w:pPr>
        <w:widowControl/>
        <w:numPr>
          <w:ilvl w:val="0"/>
          <w:numId w:val="66"/>
        </w:numPr>
        <w:suppressAutoHyphens w:val="0"/>
        <w:spacing w:line="251" w:lineRule="auto"/>
        <w:ind w:right="1" w:firstLine="414"/>
        <w:jc w:val="both"/>
        <w:textAlignment w:val="auto"/>
      </w:pPr>
      <w:r>
        <w:rPr>
          <w:rFonts w:ascii="Arial" w:eastAsia="Calibri" w:hAnsi="Arial" w:cs="Arial"/>
          <w:i/>
          <w:sz w:val="22"/>
          <w:szCs w:val="22"/>
        </w:rPr>
        <w:t>“…Los tres sectores, se encuentran dentro del Suelo Urbano Consolida</w:t>
      </w:r>
      <w:r>
        <w:rPr>
          <w:rFonts w:ascii="Arial" w:eastAsia="Calibri" w:hAnsi="Arial" w:cs="Arial"/>
          <w:i/>
          <w:sz w:val="22"/>
          <w:szCs w:val="22"/>
        </w:rPr>
        <w:t>do de Interés Cultural, en el Casco de Candelaria, incluido en el Bien de Interés Cultural, en la categoría de Monumento, del Santuario de la Virgen de Candelaria y del Convento. El entorno abarca el antiguo Ayuntamiento, La Plaza, y los Riscos de la Basíl</w:t>
      </w:r>
      <w:r>
        <w:rPr>
          <w:rFonts w:ascii="Arial" w:eastAsia="Calibri" w:hAnsi="Arial" w:cs="Arial"/>
          <w:i/>
          <w:sz w:val="22"/>
          <w:szCs w:val="22"/>
        </w:rPr>
        <w:t>ica hasta la Cueva de San Blas.</w:t>
      </w:r>
    </w:p>
    <w:p w:rsidR="009B4233" w:rsidRDefault="006B08B9">
      <w:pPr>
        <w:widowControl/>
        <w:numPr>
          <w:ilvl w:val="0"/>
          <w:numId w:val="66"/>
        </w:numPr>
        <w:suppressAutoHyphens w:val="0"/>
        <w:spacing w:line="251" w:lineRule="auto"/>
        <w:ind w:right="1" w:firstLine="414"/>
        <w:jc w:val="both"/>
        <w:textAlignment w:val="auto"/>
      </w:pPr>
      <w:r>
        <w:rPr>
          <w:rFonts w:ascii="Arial" w:eastAsia="Calibri" w:hAnsi="Arial" w:cs="Arial"/>
          <w:i/>
          <w:sz w:val="22"/>
          <w:szCs w:val="22"/>
        </w:rPr>
        <w:t xml:space="preserve">Las obras permitidas en líneas generales son las de son de conservación, restauración y consolidación y por tanto las obras descritas dentro del Proyecto de Remodelación de la Plaza de la Basílica, incluidas dentro de los </w:t>
      </w:r>
      <w:r>
        <w:rPr>
          <w:rFonts w:ascii="Arial" w:eastAsia="Calibri" w:hAnsi="Arial" w:cs="Arial"/>
          <w:i/>
          <w:sz w:val="22"/>
          <w:szCs w:val="22"/>
        </w:rPr>
        <w:t xml:space="preserve">tres primeros sectores se consideran COMPATIBLES con el Plan General de Ordenación. </w:t>
      </w:r>
    </w:p>
    <w:p w:rsidR="009B4233" w:rsidRDefault="006B08B9">
      <w:pPr>
        <w:widowControl/>
        <w:numPr>
          <w:ilvl w:val="0"/>
          <w:numId w:val="66"/>
        </w:numPr>
        <w:suppressAutoHyphens w:val="0"/>
        <w:spacing w:line="251" w:lineRule="auto"/>
        <w:ind w:right="1" w:firstLine="414"/>
        <w:jc w:val="both"/>
        <w:textAlignment w:val="auto"/>
      </w:pPr>
      <w:r>
        <w:rPr>
          <w:rFonts w:ascii="Arial" w:eastAsia="Calibri" w:hAnsi="Arial" w:cs="Arial"/>
          <w:i/>
          <w:sz w:val="22"/>
          <w:szCs w:val="22"/>
        </w:rPr>
        <w:t>En el presente informe se comprueba la compatibilidad urbanística del proyecto presentado con el Plan General de Ordenación y por tanto quedará condicionado a cuantos info</w:t>
      </w:r>
      <w:r>
        <w:rPr>
          <w:rFonts w:ascii="Arial" w:eastAsia="Calibri" w:hAnsi="Arial" w:cs="Arial"/>
          <w:i/>
          <w:sz w:val="22"/>
          <w:szCs w:val="22"/>
        </w:rPr>
        <w:t xml:space="preserve">rmes sectoriales le sea de aplicación, en especial a los emitidos por la Comisión Insular de Patrimonio Histórico del Excmo. Cabildo Insular de Tenerife, Consejo </w:t>
      </w:r>
    </w:p>
    <w:p w:rsidR="009B4233" w:rsidRDefault="006B08B9">
      <w:pPr>
        <w:spacing w:line="251" w:lineRule="auto"/>
        <w:ind w:left="269"/>
        <w:jc w:val="both"/>
      </w:pPr>
      <w:r>
        <w:rPr>
          <w:rFonts w:ascii="Arial" w:eastAsia="Calibri" w:hAnsi="Arial" w:cs="Arial"/>
          <w:i/>
          <w:sz w:val="22"/>
          <w:szCs w:val="22"/>
        </w:rPr>
        <w:t>Insular de aguas y Demarcación de Costas ,..”</w:t>
      </w:r>
    </w:p>
    <w:p w:rsidR="009B4233" w:rsidRDefault="006B08B9">
      <w:pPr>
        <w:widowControl/>
        <w:numPr>
          <w:ilvl w:val="0"/>
          <w:numId w:val="66"/>
        </w:numPr>
        <w:suppressAutoHyphens w:val="0"/>
        <w:spacing w:after="4" w:line="264" w:lineRule="auto"/>
        <w:ind w:right="1" w:firstLine="414"/>
        <w:jc w:val="both"/>
        <w:textAlignment w:val="auto"/>
        <w:rPr>
          <w:rFonts w:ascii="Arial" w:hAnsi="Arial" w:cs="Arial"/>
          <w:sz w:val="22"/>
          <w:szCs w:val="22"/>
        </w:rPr>
      </w:pPr>
      <w:r>
        <w:rPr>
          <w:rFonts w:ascii="Arial" w:hAnsi="Arial" w:cs="Arial"/>
          <w:sz w:val="22"/>
          <w:szCs w:val="22"/>
        </w:rPr>
        <w:t>Con fecha 28 de septiembre de 2020 y nº de regi</w:t>
      </w:r>
      <w:r>
        <w:rPr>
          <w:rFonts w:ascii="Arial" w:hAnsi="Arial" w:cs="Arial"/>
          <w:sz w:val="22"/>
          <w:szCs w:val="22"/>
        </w:rPr>
        <w:t>stro de entrada 2020-E-RC10531 se presenta por parte del Cabildo el Proyecto actualizado recogiendo las consideraciones realizadas por los diferentes organismos y entidades públicas.</w:t>
      </w:r>
    </w:p>
    <w:p w:rsidR="009B4233" w:rsidRDefault="006B08B9">
      <w:pPr>
        <w:widowControl/>
        <w:numPr>
          <w:ilvl w:val="0"/>
          <w:numId w:val="66"/>
        </w:numPr>
        <w:suppressAutoHyphens w:val="0"/>
        <w:spacing w:after="4" w:line="264" w:lineRule="auto"/>
        <w:ind w:right="1" w:firstLine="414"/>
        <w:jc w:val="both"/>
        <w:textAlignment w:val="auto"/>
        <w:rPr>
          <w:rFonts w:ascii="Arial" w:hAnsi="Arial" w:cs="Arial"/>
          <w:sz w:val="22"/>
          <w:szCs w:val="22"/>
        </w:rPr>
      </w:pPr>
      <w:r>
        <w:rPr>
          <w:rFonts w:ascii="Arial" w:hAnsi="Arial" w:cs="Arial"/>
          <w:sz w:val="22"/>
          <w:szCs w:val="22"/>
        </w:rPr>
        <w:t>Con fecha 25 de febrero de 2021 se solicita por parte del Ayuntamiento au</w:t>
      </w:r>
      <w:r>
        <w:rPr>
          <w:rFonts w:ascii="Arial" w:hAnsi="Arial" w:cs="Arial"/>
          <w:sz w:val="22"/>
          <w:szCs w:val="22"/>
        </w:rPr>
        <w:t>torización de del Servicio Provincial de Costas de las Obras contenidas en el Proyecto.</w:t>
      </w:r>
    </w:p>
    <w:p w:rsidR="009B4233" w:rsidRDefault="006B08B9">
      <w:pPr>
        <w:widowControl/>
        <w:numPr>
          <w:ilvl w:val="0"/>
          <w:numId w:val="66"/>
        </w:numPr>
        <w:suppressAutoHyphens w:val="0"/>
        <w:spacing w:after="4" w:line="264" w:lineRule="auto"/>
        <w:ind w:right="1" w:firstLine="414"/>
        <w:jc w:val="both"/>
        <w:textAlignment w:val="auto"/>
        <w:rPr>
          <w:rFonts w:ascii="Arial" w:hAnsi="Arial" w:cs="Arial"/>
          <w:sz w:val="22"/>
          <w:szCs w:val="22"/>
        </w:rPr>
      </w:pPr>
      <w:r>
        <w:rPr>
          <w:rFonts w:ascii="Arial" w:hAnsi="Arial" w:cs="Arial"/>
          <w:sz w:val="22"/>
          <w:szCs w:val="22"/>
        </w:rPr>
        <w:t xml:space="preserve">Con fecha 10 de mayo de 2023 y nº de registro de salida 2023-S-RC-1900, se remite al Cabildo de Tenerife el certificado de propuesta del Pleno para la puesta a </w:t>
      </w:r>
    </w:p>
    <w:p w:rsidR="009B4233" w:rsidRDefault="006B08B9">
      <w:pPr>
        <w:ind w:left="269" w:right="1"/>
        <w:jc w:val="both"/>
      </w:pPr>
      <w:r>
        <w:rPr>
          <w:rFonts w:ascii="Arial" w:hAnsi="Arial" w:cs="Arial"/>
          <w:sz w:val="22"/>
          <w:szCs w:val="22"/>
        </w:rPr>
        <w:t>disposi</w:t>
      </w:r>
      <w:r>
        <w:rPr>
          <w:rFonts w:ascii="Arial" w:hAnsi="Arial" w:cs="Arial"/>
          <w:sz w:val="22"/>
          <w:szCs w:val="22"/>
        </w:rPr>
        <w:t xml:space="preserve">ción de bienes para el Proyecto de Remodelación de la Plaza de la Patrona de Canarias y su entorno, canalización de cauce e implantación de obras hidráulicas. </w:t>
      </w:r>
      <w:r>
        <w:rPr>
          <w:rFonts w:ascii="Arial" w:eastAsia="Calibri" w:hAnsi="Arial" w:cs="Arial"/>
          <w:sz w:val="22"/>
          <w:szCs w:val="22"/>
        </w:rPr>
        <w:t xml:space="preserve"> </w:t>
      </w:r>
      <w:r>
        <w:rPr>
          <w:rFonts w:ascii="Arial" w:hAnsi="Arial" w:cs="Arial"/>
          <w:sz w:val="22"/>
          <w:szCs w:val="22"/>
        </w:rPr>
        <w:t>Con fecha de 9 de octubre de 2024, el Consejo de Gobierno Insular, adjudicó el contrato de obra</w:t>
      </w:r>
      <w:r>
        <w:rPr>
          <w:rFonts w:ascii="Arial" w:hAnsi="Arial" w:cs="Arial"/>
          <w:sz w:val="22"/>
          <w:szCs w:val="22"/>
        </w:rPr>
        <w:t>s para la ejecución del proyecto “Remodelación de la Plaza de la Patrona y su entorno, canalización de cauce e implantación de conducciones hidráulica”, y las separatas que lo integran, en el término municipal de Candelaria, a la empresa CONSTRUCCIONES SÁN</w:t>
      </w:r>
      <w:r>
        <w:rPr>
          <w:rFonts w:ascii="Arial" w:hAnsi="Arial" w:cs="Arial"/>
          <w:sz w:val="22"/>
          <w:szCs w:val="22"/>
        </w:rPr>
        <w:t>CHEZ DOMÍNGUEZ-SANDO, S.A.U., con NIF-A29029428, por un importe de dieciséis millones doscientos veintinueve mil ciento cuarenta y nueve euros con cuarenta y siete céntimos (16.229.149,47 €), con el 7% de IGIC incluido, y un plazo de ejecución de treinta y</w:t>
      </w:r>
      <w:r>
        <w:rPr>
          <w:rFonts w:ascii="Arial" w:hAnsi="Arial" w:cs="Arial"/>
          <w:sz w:val="22"/>
          <w:szCs w:val="22"/>
        </w:rPr>
        <w:t xml:space="preserve"> seis (36) meses contados a partir del día siguiente a la fecha de suscripción del acta de comprobación del replanteo.</w:t>
      </w:r>
    </w:p>
    <w:p w:rsidR="009B4233" w:rsidRDefault="006B08B9">
      <w:pPr>
        <w:widowControl/>
        <w:numPr>
          <w:ilvl w:val="0"/>
          <w:numId w:val="66"/>
        </w:numPr>
        <w:suppressAutoHyphens w:val="0"/>
        <w:spacing w:after="7" w:line="249" w:lineRule="auto"/>
        <w:ind w:right="1" w:firstLine="414"/>
        <w:jc w:val="both"/>
        <w:textAlignment w:val="auto"/>
        <w:rPr>
          <w:rFonts w:ascii="Arial" w:hAnsi="Arial" w:cs="Arial"/>
          <w:sz w:val="22"/>
          <w:szCs w:val="22"/>
        </w:rPr>
      </w:pPr>
      <w:r>
        <w:rPr>
          <w:rFonts w:ascii="Arial" w:hAnsi="Arial" w:cs="Arial"/>
          <w:sz w:val="22"/>
          <w:szCs w:val="22"/>
        </w:rPr>
        <w:t>Con fecha 27 de diciembre de 2024 se firma el Acta de Replanteo de las Obras</w:t>
      </w:r>
    </w:p>
    <w:p w:rsidR="009B4233" w:rsidRDefault="006B08B9">
      <w:pPr>
        <w:widowControl/>
        <w:numPr>
          <w:ilvl w:val="0"/>
          <w:numId w:val="66"/>
        </w:numPr>
        <w:suppressAutoHyphens w:val="0"/>
        <w:spacing w:after="4" w:line="264" w:lineRule="auto"/>
        <w:ind w:right="1" w:firstLine="414"/>
        <w:jc w:val="both"/>
        <w:textAlignment w:val="auto"/>
        <w:rPr>
          <w:rFonts w:ascii="Arial" w:hAnsi="Arial" w:cs="Arial"/>
          <w:sz w:val="22"/>
          <w:szCs w:val="22"/>
        </w:rPr>
      </w:pPr>
      <w:r>
        <w:rPr>
          <w:rFonts w:ascii="Arial" w:hAnsi="Arial" w:cs="Arial"/>
          <w:sz w:val="22"/>
          <w:szCs w:val="22"/>
        </w:rPr>
        <w:t xml:space="preserve">Con fecha 12 de junio de 2025 se autoriza por parte del </w:t>
      </w:r>
      <w:r>
        <w:rPr>
          <w:rFonts w:ascii="Arial" w:hAnsi="Arial" w:cs="Arial"/>
          <w:sz w:val="22"/>
          <w:szCs w:val="22"/>
        </w:rPr>
        <w:t xml:space="preserve">Consejo Insular de Aguas a favor del Ayuntamiento, la propuesta de modificación de un tramo del encauzamiento del Barranco de La Arena, presentada por el Cabildo Insular de Tenerife </w:t>
      </w:r>
    </w:p>
    <w:p w:rsidR="009B4233" w:rsidRDefault="006B08B9">
      <w:pPr>
        <w:widowControl/>
        <w:numPr>
          <w:ilvl w:val="0"/>
          <w:numId w:val="66"/>
        </w:numPr>
        <w:suppressAutoHyphens w:val="0"/>
        <w:spacing w:after="94" w:line="264" w:lineRule="auto"/>
        <w:ind w:right="1" w:firstLine="414"/>
        <w:jc w:val="both"/>
        <w:textAlignment w:val="auto"/>
        <w:rPr>
          <w:rFonts w:ascii="Arial" w:hAnsi="Arial" w:cs="Arial"/>
          <w:sz w:val="22"/>
          <w:szCs w:val="22"/>
        </w:rPr>
      </w:pPr>
      <w:r>
        <w:rPr>
          <w:rFonts w:ascii="Arial" w:hAnsi="Arial" w:cs="Arial"/>
          <w:sz w:val="22"/>
          <w:szCs w:val="22"/>
        </w:rPr>
        <w:t>Con fecha 21 de agosto de 2025 y número de registro de entrada 2025-E-RC7</w:t>
      </w:r>
      <w:r>
        <w:rPr>
          <w:rFonts w:ascii="Arial" w:hAnsi="Arial" w:cs="Arial"/>
          <w:sz w:val="22"/>
          <w:szCs w:val="22"/>
        </w:rPr>
        <w:t>850, se remite por parte del Cabildo de Tenerife el Modificado nº 1 del Proyecto Remodelación de la Plaza de la Patrona de Canarias, canalización de cauce e implantación de conducciones hidráulicas (sectores 1, 2 y 3), solicitando la puesta a disposición d</w:t>
      </w:r>
      <w:r>
        <w:rPr>
          <w:rFonts w:ascii="Arial" w:hAnsi="Arial" w:cs="Arial"/>
          <w:sz w:val="22"/>
          <w:szCs w:val="22"/>
        </w:rPr>
        <w:t>e los terrenos adyacentes a la Plaza de Los Artesanos y el edificio Oceánica.</w:t>
      </w:r>
    </w:p>
    <w:p w:rsidR="009B4233" w:rsidRDefault="006B08B9">
      <w:pPr>
        <w:pStyle w:val="Ttulo2"/>
        <w:tabs>
          <w:tab w:val="center" w:pos="3419"/>
        </w:tabs>
        <w:jc w:val="both"/>
        <w:rPr>
          <w:rFonts w:ascii="Arial" w:hAnsi="Arial" w:cs="Arial"/>
          <w:sz w:val="22"/>
          <w:szCs w:val="22"/>
        </w:rPr>
      </w:pPr>
      <w:r>
        <w:rPr>
          <w:rFonts w:ascii="Arial" w:hAnsi="Arial" w:cs="Arial"/>
          <w:sz w:val="22"/>
          <w:szCs w:val="22"/>
        </w:rPr>
        <w:t>2.</w:t>
      </w:r>
      <w:r>
        <w:rPr>
          <w:rFonts w:ascii="Arial" w:hAnsi="Arial" w:cs="Arial"/>
          <w:sz w:val="22"/>
          <w:szCs w:val="22"/>
        </w:rPr>
        <w:tab/>
        <w:t>ÁMBITO DE EJECUCIÓN DEL PROYECTO. -</w:t>
      </w:r>
    </w:p>
    <w:p w:rsidR="009B4233" w:rsidRDefault="006B08B9">
      <w:pPr>
        <w:spacing w:after="282"/>
        <w:ind w:left="269" w:right="1"/>
        <w:jc w:val="both"/>
        <w:rPr>
          <w:rFonts w:ascii="Arial" w:hAnsi="Arial" w:cs="Arial"/>
          <w:sz w:val="22"/>
          <w:szCs w:val="22"/>
        </w:rPr>
      </w:pPr>
      <w:r>
        <w:rPr>
          <w:rFonts w:ascii="Arial" w:hAnsi="Arial" w:cs="Arial"/>
          <w:sz w:val="22"/>
          <w:szCs w:val="22"/>
        </w:rPr>
        <w:t>En el modificado nº 1 del proyecto presentado, se distinguen tres ámbitos diferenciados, que se dividen en sectores comprendidos entre el P</w:t>
      </w:r>
      <w:r>
        <w:rPr>
          <w:rFonts w:ascii="Arial" w:hAnsi="Arial" w:cs="Arial"/>
          <w:sz w:val="22"/>
          <w:szCs w:val="22"/>
        </w:rPr>
        <w:t>aseo de San Blas y el final de la calle Antón Guanche:</w:t>
      </w:r>
    </w:p>
    <w:p w:rsidR="009B4233" w:rsidRDefault="006B08B9">
      <w:pPr>
        <w:ind w:left="708" w:right="1"/>
        <w:jc w:val="both"/>
      </w:pPr>
      <w:r>
        <w:rPr>
          <w:rFonts w:ascii="Arial" w:eastAsia="Calibri" w:hAnsi="Arial" w:cs="Arial"/>
          <w:b/>
          <w:sz w:val="22"/>
          <w:szCs w:val="22"/>
        </w:rPr>
        <w:t>SECTOR 1:</w:t>
      </w:r>
      <w:r>
        <w:rPr>
          <w:rFonts w:ascii="Arial" w:hAnsi="Arial" w:cs="Arial"/>
          <w:sz w:val="22"/>
          <w:szCs w:val="22"/>
        </w:rPr>
        <w:t xml:space="preserve"> Paseo Marítimo</w:t>
      </w:r>
    </w:p>
    <w:p w:rsidR="009B4233" w:rsidRDefault="006B08B9">
      <w:pPr>
        <w:ind w:left="708" w:right="1"/>
        <w:jc w:val="both"/>
      </w:pPr>
      <w:r>
        <w:rPr>
          <w:rFonts w:ascii="Arial" w:eastAsia="Calibri" w:hAnsi="Arial" w:cs="Arial"/>
          <w:b/>
          <w:sz w:val="22"/>
          <w:szCs w:val="22"/>
        </w:rPr>
        <w:t>SECTOR 2:</w:t>
      </w:r>
      <w:r>
        <w:rPr>
          <w:rFonts w:ascii="Arial" w:hAnsi="Arial" w:cs="Arial"/>
          <w:sz w:val="22"/>
          <w:szCs w:val="22"/>
        </w:rPr>
        <w:t xml:space="preserve"> Plaza de la Patrona</w:t>
      </w:r>
    </w:p>
    <w:p w:rsidR="009B4233" w:rsidRDefault="009B4233">
      <w:pPr>
        <w:spacing w:line="249" w:lineRule="auto"/>
        <w:ind w:left="281" w:right="-872"/>
        <w:rPr>
          <w:rFonts w:ascii="Arial" w:hAnsi="Arial" w:cs="Arial"/>
          <w:sz w:val="22"/>
          <w:szCs w:val="22"/>
        </w:rPr>
      </w:pPr>
    </w:p>
    <w:p w:rsidR="009B4233" w:rsidRDefault="006B08B9">
      <w:pPr>
        <w:ind w:left="269" w:right="1"/>
        <w:rPr>
          <w:rFonts w:ascii="Arial" w:hAnsi="Arial" w:cs="Arial"/>
          <w:sz w:val="22"/>
          <w:szCs w:val="22"/>
        </w:rPr>
      </w:pPr>
      <w:r>
        <w:rPr>
          <w:rFonts w:ascii="Arial" w:hAnsi="Arial" w:cs="Arial"/>
          <w:sz w:val="22"/>
          <w:szCs w:val="22"/>
        </w:rPr>
        <w:t xml:space="preserve">Es por ello que, habiendo consultado con el Ayuntamiento de Candelaria al respecto, es necesario realizar una serie de actuaciones, ajuste y </w:t>
      </w:r>
      <w:r>
        <w:rPr>
          <w:rFonts w:ascii="Arial" w:hAnsi="Arial" w:cs="Arial"/>
          <w:sz w:val="22"/>
          <w:szCs w:val="22"/>
        </w:rPr>
        <w:t>reformas sobre la solución planteada del proyecto de la plaza de los Artesanos, a fin de adecuar el proyecto en este ámbito las cotas para el correcto funcionamiento tanto del espacio público de la Plaza, resolviendo al tiempo la operatividad de los acceso</w:t>
      </w:r>
      <w:r>
        <w:rPr>
          <w:rFonts w:ascii="Arial" w:hAnsi="Arial" w:cs="Arial"/>
          <w:sz w:val="22"/>
          <w:szCs w:val="22"/>
        </w:rPr>
        <w:t>s de los propietarios de las viviendas y garajes al edificio denominado Oceánica.</w:t>
      </w:r>
    </w:p>
    <w:p w:rsidR="009B4233" w:rsidRDefault="006B08B9">
      <w:pPr>
        <w:ind w:left="269" w:right="1"/>
        <w:rPr>
          <w:rFonts w:ascii="Arial" w:hAnsi="Arial" w:cs="Arial"/>
          <w:sz w:val="22"/>
          <w:szCs w:val="22"/>
        </w:rPr>
      </w:pPr>
      <w:r>
        <w:rPr>
          <w:rFonts w:ascii="Arial" w:hAnsi="Arial" w:cs="Arial"/>
          <w:sz w:val="22"/>
          <w:szCs w:val="22"/>
        </w:rPr>
        <w:t>En cualquier caso, hemos de recalcar que la nueva solución, no afecta ni merma las condiciones funcionales, de calidad y espaciales del espacio público, sino que se adaptan l</w:t>
      </w:r>
      <w:r>
        <w:rPr>
          <w:rFonts w:ascii="Arial" w:hAnsi="Arial" w:cs="Arial"/>
          <w:sz w:val="22"/>
          <w:szCs w:val="22"/>
        </w:rPr>
        <w:t>os conceptos derivados del proyecto aprobado.</w:t>
      </w:r>
    </w:p>
    <w:p w:rsidR="009B4233" w:rsidRDefault="006B08B9">
      <w:pPr>
        <w:spacing w:after="208"/>
        <w:ind w:left="269" w:right="1"/>
      </w:pPr>
      <w:r>
        <w:rPr>
          <w:rFonts w:ascii="Arial" w:hAnsi="Arial" w:cs="Arial"/>
          <w:sz w:val="22"/>
          <w:szCs w:val="22"/>
        </w:rPr>
        <w:t xml:space="preserve">La reordenación de la Plaza de Los Artesanos, para dar cabida al acceso del </w:t>
      </w:r>
      <w:r>
        <w:rPr>
          <w:rFonts w:ascii="Arial" w:hAnsi="Arial" w:cs="Arial"/>
          <w:noProof/>
          <w:sz w:val="22"/>
          <w:szCs w:val="22"/>
          <w:lang w:eastAsia="es-ES" w:bidi="ar-SA"/>
        </w:rPr>
        <mc:AlternateContent>
          <mc:Choice Requires="wpg">
            <w:drawing>
              <wp:inline distT="0" distB="0" distL="0" distR="0">
                <wp:extent cx="6628426" cy="6220955"/>
                <wp:effectExtent l="0" t="0" r="0" b="141745"/>
                <wp:docPr id="36" name="Grupo 9771"/>
                <wp:cNvGraphicFramePr/>
                <a:graphic xmlns:a="http://schemas.openxmlformats.org/drawingml/2006/main">
                  <a:graphicData uri="http://schemas.microsoft.com/office/word/2010/wordprocessingGroup">
                    <wpg:wgp>
                      <wpg:cNvGrpSpPr/>
                      <wpg:grpSpPr>
                        <a:xfrm>
                          <a:off x="0" y="0"/>
                          <a:ext cx="5606935" cy="6349364"/>
                          <a:chOff x="0" y="0"/>
                          <a:chExt cx="5606935" cy="6349364"/>
                        </a:xfrm>
                      </wpg:grpSpPr>
                      <wps:wsp>
                        <wps:cNvPr id="37" name="Shape 10585"/>
                        <wps:cNvSpPr/>
                        <wps:spPr>
                          <a:xfrm>
                            <a:off x="0" y="4643131"/>
                            <a:ext cx="4220093" cy="150967"/>
                          </a:xfrm>
                          <a:custGeom>
                            <a:avLst/>
                            <a:gdLst>
                              <a:gd name="f0" fmla="val 10800000"/>
                              <a:gd name="f1" fmla="val 5400000"/>
                              <a:gd name="f2" fmla="val 180"/>
                              <a:gd name="f3" fmla="val w"/>
                              <a:gd name="f4" fmla="val h"/>
                              <a:gd name="f5" fmla="val 0"/>
                              <a:gd name="f6" fmla="val 5580381"/>
                              <a:gd name="f7" fmla="val 161290"/>
                              <a:gd name="f8" fmla="+- 0 0 -90"/>
                              <a:gd name="f9" fmla="*/ f3 1 5580381"/>
                              <a:gd name="f10" fmla="*/ f4 1 161290"/>
                              <a:gd name="f11" fmla="+- f7 0 f5"/>
                              <a:gd name="f12" fmla="+- f6 0 f5"/>
                              <a:gd name="f13" fmla="*/ f8 f0 1"/>
                              <a:gd name="f14" fmla="*/ f12 1 5580381"/>
                              <a:gd name="f15" fmla="*/ f11 1 161290"/>
                              <a:gd name="f16" fmla="*/ 0 f12 1"/>
                              <a:gd name="f17" fmla="*/ 0 f11 1"/>
                              <a:gd name="f18" fmla="*/ 5580381 f12 1"/>
                              <a:gd name="f19" fmla="*/ 161290 f11 1"/>
                              <a:gd name="f20" fmla="*/ f13 1 f2"/>
                              <a:gd name="f21" fmla="*/ f16 1 5580381"/>
                              <a:gd name="f22" fmla="*/ f17 1 161290"/>
                              <a:gd name="f23" fmla="*/ f18 1 5580381"/>
                              <a:gd name="f24" fmla="*/ f19 1 161290"/>
                              <a:gd name="f25" fmla="+- f20 0 f1"/>
                              <a:gd name="f26" fmla="*/ f21 1 f14"/>
                              <a:gd name="f27" fmla="*/ f22 1 f15"/>
                              <a:gd name="f28" fmla="*/ f23 1 f14"/>
                              <a:gd name="f29" fmla="*/ f24 1 f15"/>
                              <a:gd name="f30" fmla="*/ f26 f9 1"/>
                              <a:gd name="f31" fmla="*/ f28 f9 1"/>
                              <a:gd name="f32" fmla="*/ f29 f10 1"/>
                              <a:gd name="f33" fmla="*/ f27 f10 1"/>
                            </a:gdLst>
                            <a:ahLst/>
                            <a:cxnLst>
                              <a:cxn ang="3cd4">
                                <a:pos x="hc" y="t"/>
                              </a:cxn>
                              <a:cxn ang="0">
                                <a:pos x="r" y="vc"/>
                              </a:cxn>
                              <a:cxn ang="cd4">
                                <a:pos x="hc" y="b"/>
                              </a:cxn>
                              <a:cxn ang="cd2">
                                <a:pos x="l" y="vc"/>
                              </a:cxn>
                              <a:cxn ang="f25">
                                <a:pos x="f30" y="f33"/>
                              </a:cxn>
                              <a:cxn ang="f25">
                                <a:pos x="f31" y="f33"/>
                              </a:cxn>
                              <a:cxn ang="f25">
                                <a:pos x="f31" y="f32"/>
                              </a:cxn>
                              <a:cxn ang="f25">
                                <a:pos x="f30" y="f32"/>
                              </a:cxn>
                              <a:cxn ang="f25">
                                <a:pos x="f30" y="f33"/>
                              </a:cxn>
                            </a:cxnLst>
                            <a:rect l="f30" t="f33" r="f31" b="f32"/>
                            <a:pathLst>
                              <a:path w="5580381" h="161290">
                                <a:moveTo>
                                  <a:pt x="f5" y="f5"/>
                                </a:moveTo>
                                <a:lnTo>
                                  <a:pt x="f6" y="f5"/>
                                </a:lnTo>
                                <a:lnTo>
                                  <a:pt x="f6" y="f7"/>
                                </a:lnTo>
                                <a:lnTo>
                                  <a:pt x="f5" y="f7"/>
                                </a:lnTo>
                                <a:lnTo>
                                  <a:pt x="f5" y="f5"/>
                                </a:lnTo>
                              </a:path>
                            </a:pathLst>
                          </a:custGeom>
                          <a:noFill/>
                          <a:ln cap="flat">
                            <a:noFill/>
                            <a:prstDash val="solid"/>
                          </a:ln>
                        </wps:spPr>
                        <wps:bodyPr lIns="0" tIns="0" rIns="0" bIns="0"/>
                      </wps:wsp>
                      <wps:wsp>
                        <wps:cNvPr id="38" name="Rectangle 227"/>
                        <wps:cNvSpPr/>
                        <wps:spPr>
                          <a:xfrm>
                            <a:off x="205054" y="0"/>
                            <a:ext cx="749195" cy="194282"/>
                          </a:xfrm>
                          <a:prstGeom prst="rect">
                            <a:avLst/>
                          </a:prstGeom>
                          <a:noFill/>
                          <a:ln cap="flat">
                            <a:noFill/>
                            <a:prstDash val="solid"/>
                          </a:ln>
                        </wps:spPr>
                        <wps:txbx>
                          <w:txbxContent>
                            <w:p w:rsidR="009B4233" w:rsidRDefault="006B08B9">
                              <w:pPr>
                                <w:spacing w:after="160" w:line="249" w:lineRule="auto"/>
                              </w:pPr>
                              <w:r>
                                <w:rPr>
                                  <w:rFonts w:ascii="Calibri" w:eastAsia="Calibri" w:hAnsi="Calibri" w:cs="Calibri"/>
                                  <w:b/>
                                  <w:w w:val="128"/>
                                </w:rPr>
                                <w:t>SECTOR</w:t>
                              </w:r>
                              <w:r>
                                <w:rPr>
                                  <w:rFonts w:ascii="Calibri" w:eastAsia="Calibri" w:hAnsi="Calibri" w:cs="Calibri"/>
                                  <w:b/>
                                  <w:spacing w:val="13"/>
                                  <w:w w:val="128"/>
                                </w:rPr>
                                <w:t xml:space="preserve"> </w:t>
                              </w:r>
                              <w:r>
                                <w:rPr>
                                  <w:rFonts w:ascii="Calibri" w:eastAsia="Calibri" w:hAnsi="Calibri" w:cs="Calibri"/>
                                  <w:b/>
                                  <w:w w:val="128"/>
                                </w:rPr>
                                <w:t>3:</w:t>
                              </w:r>
                            </w:p>
                          </w:txbxContent>
                        </wps:txbx>
                        <wps:bodyPr vert="horz" wrap="square" lIns="0" tIns="0" rIns="0" bIns="0" anchor="t" anchorCtr="0" compatLnSpc="0">
                          <a:noAutofit/>
                        </wps:bodyPr>
                      </wps:wsp>
                      <wps:wsp>
                        <wps:cNvPr id="39" name="Rectangle 228"/>
                        <wps:cNvSpPr/>
                        <wps:spPr>
                          <a:xfrm>
                            <a:off x="768818" y="0"/>
                            <a:ext cx="1475210" cy="194282"/>
                          </a:xfrm>
                          <a:prstGeom prst="rect">
                            <a:avLst/>
                          </a:prstGeom>
                          <a:noFill/>
                          <a:ln cap="flat">
                            <a:noFill/>
                            <a:prstDash val="solid"/>
                          </a:ln>
                        </wps:spPr>
                        <wps:txbx>
                          <w:txbxContent>
                            <w:p w:rsidR="009B4233" w:rsidRDefault="006B08B9">
                              <w:pPr>
                                <w:spacing w:after="160" w:line="249" w:lineRule="auto"/>
                              </w:pPr>
                              <w:r>
                                <w:rPr>
                                  <w:spacing w:val="10"/>
                                  <w:w w:val="113"/>
                                </w:rPr>
                                <w:t xml:space="preserve"> </w:t>
                              </w:r>
                              <w:r>
                                <w:rPr>
                                  <w:w w:val="113"/>
                                </w:rPr>
                                <w:t>Plaza</w:t>
                              </w:r>
                              <w:r>
                                <w:rPr>
                                  <w:spacing w:val="14"/>
                                  <w:w w:val="113"/>
                                </w:rPr>
                                <w:t xml:space="preserve"> </w:t>
                              </w:r>
                              <w:r>
                                <w:rPr>
                                  <w:w w:val="113"/>
                                </w:rPr>
                                <w:t>de</w:t>
                              </w:r>
                              <w:r>
                                <w:rPr>
                                  <w:spacing w:val="12"/>
                                  <w:w w:val="113"/>
                                </w:rPr>
                                <w:t xml:space="preserve"> </w:t>
                              </w:r>
                              <w:r>
                                <w:rPr>
                                  <w:w w:val="113"/>
                                </w:rPr>
                                <w:t>los</w:t>
                              </w:r>
                              <w:r>
                                <w:rPr>
                                  <w:spacing w:val="12"/>
                                  <w:w w:val="113"/>
                                </w:rPr>
                                <w:t xml:space="preserve"> </w:t>
                              </w:r>
                              <w:r>
                                <w:rPr>
                                  <w:w w:val="113"/>
                                </w:rPr>
                                <w:t>Artesanos</w:t>
                              </w:r>
                            </w:p>
                          </w:txbxContent>
                        </wps:txbx>
                        <wps:bodyPr vert="horz" wrap="square" lIns="0" tIns="0" rIns="0" bIns="0" anchor="t" anchorCtr="0" compatLnSpc="0">
                          <a:noAutofit/>
                        </wps:bodyPr>
                      </wps:wsp>
                      <pic:pic xmlns:pic="http://schemas.openxmlformats.org/drawingml/2006/picture">
                        <pic:nvPicPr>
                          <pic:cNvPr id="40" name="Picture 230">
                            <a:extLst>
                              <a:ext uri="{FF2B5EF4-FFF2-40B4-BE49-F238E27FC236}">
                                <a16:creationId xmlns:a16="http://schemas.microsoft.com/office/drawing/2014/main" id="{00000000-0000-0000-0000-000000000000}"/>
                              </a:ext>
                            </a:extLst>
                          </pic:cNvPr>
                          <pic:cNvPicPr>
                            <a:picLocks noChangeAspect="1"/>
                          </pic:cNvPicPr>
                        </pic:nvPicPr>
                        <pic:blipFill>
                          <a:blip r:embed="rId35"/>
                          <a:srcRect/>
                          <a:stretch>
                            <a:fillRect/>
                          </a:stretch>
                        </pic:blipFill>
                        <pic:spPr>
                          <a:xfrm>
                            <a:off x="204569" y="368000"/>
                            <a:ext cx="4218172" cy="3701591"/>
                          </a:xfrm>
                          <a:prstGeom prst="rect">
                            <a:avLst/>
                          </a:prstGeom>
                          <a:noFill/>
                          <a:ln>
                            <a:noFill/>
                            <a:prstDash/>
                          </a:ln>
                        </pic:spPr>
                      </pic:pic>
                      <wps:wsp>
                        <wps:cNvPr id="41" name="Rectangle 231"/>
                        <wps:cNvSpPr/>
                        <wps:spPr>
                          <a:xfrm>
                            <a:off x="363519" y="4110621"/>
                            <a:ext cx="4918329" cy="158959"/>
                          </a:xfrm>
                          <a:prstGeom prst="rect">
                            <a:avLst/>
                          </a:prstGeom>
                          <a:noFill/>
                          <a:ln cap="flat">
                            <a:noFill/>
                            <a:prstDash val="solid"/>
                          </a:ln>
                        </wps:spPr>
                        <wps:txbx>
                          <w:txbxContent>
                            <w:p w:rsidR="009B4233" w:rsidRDefault="006B08B9">
                              <w:pPr>
                                <w:spacing w:after="160" w:line="249" w:lineRule="auto"/>
                              </w:pPr>
                              <w:r>
                                <w:rPr>
                                  <w:rFonts w:ascii="Calibri" w:eastAsia="Calibri" w:hAnsi="Calibri" w:cs="Calibri"/>
                                  <w:i/>
                                  <w:w w:val="110"/>
                                  <w:sz w:val="18"/>
                                </w:rPr>
                                <w:t>Plano</w:t>
                              </w:r>
                              <w:r>
                                <w:rPr>
                                  <w:rFonts w:ascii="Calibri" w:eastAsia="Calibri" w:hAnsi="Calibri" w:cs="Calibri"/>
                                  <w:i/>
                                  <w:spacing w:val="11"/>
                                  <w:w w:val="110"/>
                                  <w:sz w:val="18"/>
                                </w:rPr>
                                <w:t xml:space="preserve"> </w:t>
                              </w:r>
                              <w:r>
                                <w:rPr>
                                  <w:rFonts w:ascii="Calibri" w:eastAsia="Calibri" w:hAnsi="Calibri" w:cs="Calibri"/>
                                  <w:i/>
                                  <w:w w:val="110"/>
                                  <w:sz w:val="18"/>
                                </w:rPr>
                                <w:t>del</w:t>
                              </w:r>
                              <w:r>
                                <w:rPr>
                                  <w:rFonts w:ascii="Calibri" w:eastAsia="Calibri" w:hAnsi="Calibri" w:cs="Calibri"/>
                                  <w:i/>
                                  <w:spacing w:val="9"/>
                                  <w:w w:val="110"/>
                                  <w:sz w:val="18"/>
                                </w:rPr>
                                <w:t xml:space="preserve"> </w:t>
                              </w:r>
                              <w:r>
                                <w:rPr>
                                  <w:rFonts w:ascii="Calibri" w:eastAsia="Calibri" w:hAnsi="Calibri" w:cs="Calibri"/>
                                  <w:i/>
                                  <w:w w:val="110"/>
                                  <w:sz w:val="18"/>
                                </w:rPr>
                                <w:t>Modificado</w:t>
                              </w:r>
                              <w:r>
                                <w:rPr>
                                  <w:rFonts w:ascii="Calibri" w:eastAsia="Calibri" w:hAnsi="Calibri" w:cs="Calibri"/>
                                  <w:i/>
                                  <w:spacing w:val="9"/>
                                  <w:w w:val="110"/>
                                  <w:sz w:val="18"/>
                                </w:rPr>
                                <w:t xml:space="preserve"> </w:t>
                              </w:r>
                              <w:r>
                                <w:rPr>
                                  <w:rFonts w:ascii="Calibri" w:eastAsia="Calibri" w:hAnsi="Calibri" w:cs="Calibri"/>
                                  <w:i/>
                                  <w:w w:val="110"/>
                                  <w:sz w:val="18"/>
                                </w:rPr>
                                <w:t>nº</w:t>
                              </w:r>
                              <w:r>
                                <w:rPr>
                                  <w:rFonts w:ascii="Calibri" w:eastAsia="Calibri" w:hAnsi="Calibri" w:cs="Calibri"/>
                                  <w:i/>
                                  <w:spacing w:val="9"/>
                                  <w:w w:val="110"/>
                                  <w:sz w:val="18"/>
                                </w:rPr>
                                <w:t xml:space="preserve"> </w:t>
                              </w:r>
                              <w:r>
                                <w:rPr>
                                  <w:rFonts w:ascii="Calibri" w:eastAsia="Calibri" w:hAnsi="Calibri" w:cs="Calibri"/>
                                  <w:i/>
                                  <w:w w:val="110"/>
                                  <w:sz w:val="18"/>
                                </w:rPr>
                                <w:t>1</w:t>
                              </w:r>
                              <w:r>
                                <w:rPr>
                                  <w:rFonts w:ascii="Calibri" w:eastAsia="Calibri" w:hAnsi="Calibri" w:cs="Calibri"/>
                                  <w:i/>
                                  <w:spacing w:val="9"/>
                                  <w:w w:val="110"/>
                                  <w:sz w:val="18"/>
                                </w:rPr>
                                <w:t xml:space="preserve"> </w:t>
                              </w:r>
                              <w:r>
                                <w:rPr>
                                  <w:rFonts w:ascii="Calibri" w:eastAsia="Calibri" w:hAnsi="Calibri" w:cs="Calibri"/>
                                  <w:i/>
                                  <w:w w:val="110"/>
                                  <w:sz w:val="18"/>
                                </w:rPr>
                                <w:t>del</w:t>
                              </w:r>
                              <w:r>
                                <w:rPr>
                                  <w:rFonts w:ascii="Calibri" w:eastAsia="Calibri" w:hAnsi="Calibri" w:cs="Calibri"/>
                                  <w:i/>
                                  <w:spacing w:val="9"/>
                                  <w:w w:val="110"/>
                                  <w:sz w:val="18"/>
                                </w:rPr>
                                <w:t xml:space="preserve"> </w:t>
                              </w:r>
                              <w:r>
                                <w:rPr>
                                  <w:rFonts w:ascii="Calibri" w:eastAsia="Calibri" w:hAnsi="Calibri" w:cs="Calibri"/>
                                  <w:i/>
                                  <w:w w:val="110"/>
                                  <w:sz w:val="18"/>
                                </w:rPr>
                                <w:t>Proyecto</w:t>
                              </w:r>
                              <w:r>
                                <w:rPr>
                                  <w:rFonts w:ascii="Calibri" w:eastAsia="Calibri" w:hAnsi="Calibri" w:cs="Calibri"/>
                                  <w:i/>
                                  <w:spacing w:val="11"/>
                                  <w:w w:val="110"/>
                                  <w:sz w:val="18"/>
                                </w:rPr>
                                <w:t xml:space="preserve"> </w:t>
                              </w:r>
                              <w:r>
                                <w:rPr>
                                  <w:rFonts w:ascii="Calibri" w:eastAsia="Calibri" w:hAnsi="Calibri" w:cs="Calibri"/>
                                  <w:i/>
                                  <w:w w:val="110"/>
                                  <w:sz w:val="18"/>
                                </w:rPr>
                                <w:t>de</w:t>
                              </w:r>
                              <w:r>
                                <w:rPr>
                                  <w:rFonts w:ascii="Calibri" w:eastAsia="Calibri" w:hAnsi="Calibri" w:cs="Calibri"/>
                                  <w:i/>
                                  <w:spacing w:val="9"/>
                                  <w:w w:val="110"/>
                                  <w:sz w:val="18"/>
                                </w:rPr>
                                <w:t xml:space="preserve"> </w:t>
                              </w:r>
                              <w:r>
                                <w:rPr>
                                  <w:rFonts w:ascii="Calibri" w:eastAsia="Calibri" w:hAnsi="Calibri" w:cs="Calibri"/>
                                  <w:i/>
                                  <w:w w:val="110"/>
                                  <w:sz w:val="18"/>
                                </w:rPr>
                                <w:t>Remodelación</w:t>
                              </w:r>
                              <w:r>
                                <w:rPr>
                                  <w:rFonts w:ascii="Calibri" w:eastAsia="Calibri" w:hAnsi="Calibri" w:cs="Calibri"/>
                                  <w:i/>
                                  <w:spacing w:val="9"/>
                                  <w:w w:val="110"/>
                                  <w:sz w:val="18"/>
                                </w:rPr>
                                <w:t xml:space="preserve"> </w:t>
                              </w:r>
                              <w:r>
                                <w:rPr>
                                  <w:rFonts w:ascii="Calibri" w:eastAsia="Calibri" w:hAnsi="Calibri" w:cs="Calibri"/>
                                  <w:i/>
                                  <w:w w:val="110"/>
                                  <w:sz w:val="18"/>
                                </w:rPr>
                                <w:t>de</w:t>
                              </w:r>
                              <w:r>
                                <w:rPr>
                                  <w:rFonts w:ascii="Calibri" w:eastAsia="Calibri" w:hAnsi="Calibri" w:cs="Calibri"/>
                                  <w:i/>
                                  <w:spacing w:val="9"/>
                                  <w:w w:val="110"/>
                                  <w:sz w:val="18"/>
                                </w:rPr>
                                <w:t xml:space="preserve"> </w:t>
                              </w:r>
                              <w:r>
                                <w:rPr>
                                  <w:rFonts w:ascii="Calibri" w:eastAsia="Calibri" w:hAnsi="Calibri" w:cs="Calibri"/>
                                  <w:i/>
                                  <w:w w:val="110"/>
                                  <w:sz w:val="18"/>
                                </w:rPr>
                                <w:t>la</w:t>
                              </w:r>
                              <w:r>
                                <w:rPr>
                                  <w:rFonts w:ascii="Calibri" w:eastAsia="Calibri" w:hAnsi="Calibri" w:cs="Calibri"/>
                                  <w:i/>
                                  <w:spacing w:val="11"/>
                                  <w:w w:val="110"/>
                                  <w:sz w:val="18"/>
                                </w:rPr>
                                <w:t xml:space="preserve"> </w:t>
                              </w:r>
                              <w:r>
                                <w:rPr>
                                  <w:rFonts w:ascii="Calibri" w:eastAsia="Calibri" w:hAnsi="Calibri" w:cs="Calibri"/>
                                  <w:i/>
                                  <w:w w:val="110"/>
                                  <w:sz w:val="18"/>
                                </w:rPr>
                                <w:t>Plaza</w:t>
                              </w:r>
                              <w:r>
                                <w:rPr>
                                  <w:rFonts w:ascii="Calibri" w:eastAsia="Calibri" w:hAnsi="Calibri" w:cs="Calibri"/>
                                  <w:i/>
                                  <w:spacing w:val="9"/>
                                  <w:w w:val="110"/>
                                  <w:sz w:val="18"/>
                                </w:rPr>
                                <w:t xml:space="preserve"> </w:t>
                              </w:r>
                              <w:r>
                                <w:rPr>
                                  <w:rFonts w:ascii="Calibri" w:eastAsia="Calibri" w:hAnsi="Calibri" w:cs="Calibri"/>
                                  <w:i/>
                                  <w:w w:val="110"/>
                                  <w:sz w:val="18"/>
                                </w:rPr>
                                <w:t>de</w:t>
                              </w:r>
                              <w:r>
                                <w:rPr>
                                  <w:rFonts w:ascii="Calibri" w:eastAsia="Calibri" w:hAnsi="Calibri" w:cs="Calibri"/>
                                  <w:i/>
                                  <w:spacing w:val="9"/>
                                  <w:w w:val="110"/>
                                  <w:sz w:val="18"/>
                                </w:rPr>
                                <w:t xml:space="preserve"> </w:t>
                              </w:r>
                              <w:r>
                                <w:rPr>
                                  <w:rFonts w:ascii="Calibri" w:eastAsia="Calibri" w:hAnsi="Calibri" w:cs="Calibri"/>
                                  <w:i/>
                                  <w:w w:val="110"/>
                                  <w:sz w:val="18"/>
                                </w:rPr>
                                <w:t>La</w:t>
                              </w:r>
                              <w:r>
                                <w:rPr>
                                  <w:rFonts w:ascii="Calibri" w:eastAsia="Calibri" w:hAnsi="Calibri" w:cs="Calibri"/>
                                  <w:i/>
                                  <w:spacing w:val="9"/>
                                  <w:w w:val="110"/>
                                  <w:sz w:val="18"/>
                                </w:rPr>
                                <w:t xml:space="preserve"> </w:t>
                              </w:r>
                              <w:r>
                                <w:rPr>
                                  <w:rFonts w:ascii="Calibri" w:eastAsia="Calibri" w:hAnsi="Calibri" w:cs="Calibri"/>
                                  <w:i/>
                                  <w:w w:val="110"/>
                                  <w:sz w:val="18"/>
                                </w:rPr>
                                <w:t>Patrona</w:t>
                              </w:r>
                              <w:r>
                                <w:rPr>
                                  <w:rFonts w:ascii="Calibri" w:eastAsia="Calibri" w:hAnsi="Calibri" w:cs="Calibri"/>
                                  <w:i/>
                                  <w:spacing w:val="9"/>
                                  <w:w w:val="110"/>
                                  <w:sz w:val="18"/>
                                </w:rPr>
                                <w:t xml:space="preserve"> </w:t>
                              </w:r>
                              <w:r>
                                <w:rPr>
                                  <w:rFonts w:ascii="Calibri" w:eastAsia="Calibri" w:hAnsi="Calibri" w:cs="Calibri"/>
                                  <w:i/>
                                  <w:w w:val="110"/>
                                  <w:sz w:val="18"/>
                                </w:rPr>
                                <w:t>y</w:t>
                              </w:r>
                              <w:r>
                                <w:rPr>
                                  <w:rFonts w:ascii="Calibri" w:eastAsia="Calibri" w:hAnsi="Calibri" w:cs="Calibri"/>
                                  <w:i/>
                                  <w:spacing w:val="9"/>
                                  <w:w w:val="110"/>
                                  <w:sz w:val="18"/>
                                </w:rPr>
                                <w:t xml:space="preserve"> </w:t>
                              </w:r>
                              <w:r>
                                <w:rPr>
                                  <w:rFonts w:ascii="Calibri" w:eastAsia="Calibri" w:hAnsi="Calibri" w:cs="Calibri"/>
                                  <w:i/>
                                  <w:w w:val="110"/>
                                  <w:sz w:val="18"/>
                                </w:rPr>
                                <w:t>su</w:t>
                              </w:r>
                              <w:r>
                                <w:rPr>
                                  <w:rFonts w:ascii="Calibri" w:eastAsia="Calibri" w:hAnsi="Calibri" w:cs="Calibri"/>
                                  <w:i/>
                                  <w:spacing w:val="9"/>
                                  <w:w w:val="110"/>
                                  <w:sz w:val="18"/>
                                </w:rPr>
                                <w:t xml:space="preserve"> </w:t>
                              </w:r>
                              <w:r>
                                <w:rPr>
                                  <w:rFonts w:ascii="Calibri" w:eastAsia="Calibri" w:hAnsi="Calibri" w:cs="Calibri"/>
                                  <w:i/>
                                  <w:w w:val="110"/>
                                  <w:sz w:val="18"/>
                                </w:rPr>
                                <w:t>entorno</w:t>
                              </w:r>
                            </w:p>
                          </w:txbxContent>
                        </wps:txbx>
                        <wps:bodyPr vert="horz" wrap="square" lIns="0" tIns="0" rIns="0" bIns="0" anchor="t" anchorCtr="0" compatLnSpc="0">
                          <a:noAutofit/>
                        </wps:bodyPr>
                      </wps:wsp>
                      <wps:wsp>
                        <wps:cNvPr id="42" name="Rectangle 232"/>
                        <wps:cNvSpPr/>
                        <wps:spPr>
                          <a:xfrm>
                            <a:off x="205054" y="4266215"/>
                            <a:ext cx="38916" cy="194282"/>
                          </a:xfrm>
                          <a:prstGeom prst="rect">
                            <a:avLst/>
                          </a:prstGeom>
                          <a:noFill/>
                          <a:ln cap="flat">
                            <a:noFill/>
                            <a:prstDash val="solid"/>
                          </a:ln>
                        </wps:spPr>
                        <wps:txbx>
                          <w:txbxContent>
                            <w:p w:rsidR="009B4233" w:rsidRDefault="006B08B9">
                              <w:pPr>
                                <w:spacing w:after="160" w:line="249" w:lineRule="auto"/>
                              </w:pPr>
                              <w:r>
                                <w:t xml:space="preserve"> </w:t>
                              </w:r>
                            </w:p>
                          </w:txbxContent>
                        </wps:txbx>
                        <wps:bodyPr vert="horz" wrap="square" lIns="0" tIns="0" rIns="0" bIns="0" anchor="t" anchorCtr="0" compatLnSpc="0">
                          <a:noAutofit/>
                        </wps:bodyPr>
                      </wps:wsp>
                      <wps:wsp>
                        <wps:cNvPr id="43" name="Rectangle 233"/>
                        <wps:cNvSpPr/>
                        <wps:spPr>
                          <a:xfrm>
                            <a:off x="205054" y="4647785"/>
                            <a:ext cx="116906" cy="194282"/>
                          </a:xfrm>
                          <a:prstGeom prst="rect">
                            <a:avLst/>
                          </a:prstGeom>
                          <a:noFill/>
                          <a:ln cap="flat">
                            <a:noFill/>
                            <a:prstDash val="solid"/>
                          </a:ln>
                        </wps:spPr>
                        <wps:txbx>
                          <w:txbxContent>
                            <w:p w:rsidR="009B4233" w:rsidRDefault="006B08B9">
                              <w:pPr>
                                <w:spacing w:after="160" w:line="249" w:lineRule="auto"/>
                              </w:pPr>
                              <w:r>
                                <w:rPr>
                                  <w:rFonts w:ascii="Calibri" w:eastAsia="Calibri" w:hAnsi="Calibri" w:cs="Calibri"/>
                                  <w:b/>
                                  <w:w w:val="110"/>
                                </w:rPr>
                                <w:t>3.</w:t>
                              </w:r>
                            </w:p>
                          </w:txbxContent>
                        </wps:txbx>
                        <wps:bodyPr vert="horz" wrap="square" lIns="0" tIns="0" rIns="0" bIns="0" anchor="t" anchorCtr="0" compatLnSpc="0">
                          <a:noAutofit/>
                        </wps:bodyPr>
                      </wps:wsp>
                      <wps:wsp>
                        <wps:cNvPr id="44" name="Rectangle 235"/>
                        <wps:cNvSpPr/>
                        <wps:spPr>
                          <a:xfrm>
                            <a:off x="409623" y="4647785"/>
                            <a:ext cx="1838995" cy="194282"/>
                          </a:xfrm>
                          <a:prstGeom prst="rect">
                            <a:avLst/>
                          </a:prstGeom>
                          <a:noFill/>
                          <a:ln cap="flat">
                            <a:noFill/>
                            <a:prstDash val="solid"/>
                          </a:ln>
                        </wps:spPr>
                        <wps:txbx>
                          <w:txbxContent>
                            <w:p w:rsidR="009B4233" w:rsidRDefault="006B08B9">
                              <w:pPr>
                                <w:spacing w:after="160" w:line="249" w:lineRule="auto"/>
                              </w:pPr>
                              <w:r>
                                <w:rPr>
                                  <w:rFonts w:ascii="Calibri" w:eastAsia="Calibri" w:hAnsi="Calibri" w:cs="Calibri"/>
                                  <w:b/>
                                  <w:w w:val="124"/>
                                  <w:shd w:val="clear" w:color="auto" w:fill="E6E6E6"/>
                                </w:rPr>
                                <w:t>OBJETO</w:t>
                              </w:r>
                              <w:r>
                                <w:rPr>
                                  <w:rFonts w:ascii="Calibri" w:eastAsia="Calibri" w:hAnsi="Calibri" w:cs="Calibri"/>
                                  <w:b/>
                                  <w:spacing w:val="13"/>
                                  <w:w w:val="124"/>
                                  <w:shd w:val="clear" w:color="auto" w:fill="E6E6E6"/>
                                </w:rPr>
                                <w:t xml:space="preserve"> </w:t>
                              </w:r>
                              <w:r>
                                <w:rPr>
                                  <w:rFonts w:ascii="Calibri" w:eastAsia="Calibri" w:hAnsi="Calibri" w:cs="Calibri"/>
                                  <w:b/>
                                  <w:w w:val="124"/>
                                  <w:shd w:val="clear" w:color="auto" w:fill="E6E6E6"/>
                                </w:rPr>
                                <w:t>DEL</w:t>
                              </w:r>
                              <w:r>
                                <w:rPr>
                                  <w:rFonts w:ascii="Calibri" w:eastAsia="Calibri" w:hAnsi="Calibri" w:cs="Calibri"/>
                                  <w:b/>
                                  <w:spacing w:val="12"/>
                                  <w:w w:val="124"/>
                                  <w:shd w:val="clear" w:color="auto" w:fill="E6E6E6"/>
                                </w:rPr>
                                <w:t xml:space="preserve"> </w:t>
                              </w:r>
                              <w:r>
                                <w:rPr>
                                  <w:rFonts w:ascii="Calibri" w:eastAsia="Calibri" w:hAnsi="Calibri" w:cs="Calibri"/>
                                  <w:b/>
                                  <w:w w:val="124"/>
                                  <w:shd w:val="clear" w:color="auto" w:fill="E6E6E6"/>
                                </w:rPr>
                                <w:t>MODIFICADO</w:t>
                              </w:r>
                            </w:p>
                          </w:txbxContent>
                        </wps:txbx>
                        <wps:bodyPr vert="horz" wrap="square" lIns="0" tIns="0" rIns="0" bIns="0" anchor="t" anchorCtr="0" compatLnSpc="0">
                          <a:noAutofit/>
                        </wps:bodyPr>
                      </wps:wsp>
                      <wps:wsp>
                        <wps:cNvPr id="45" name="Rectangle 236"/>
                        <wps:cNvSpPr/>
                        <wps:spPr>
                          <a:xfrm>
                            <a:off x="1794546" y="4647785"/>
                            <a:ext cx="124632" cy="194282"/>
                          </a:xfrm>
                          <a:prstGeom prst="rect">
                            <a:avLst/>
                          </a:prstGeom>
                          <a:noFill/>
                          <a:ln cap="flat">
                            <a:noFill/>
                            <a:prstDash val="solid"/>
                          </a:ln>
                        </wps:spPr>
                        <wps:txbx>
                          <w:txbxContent>
                            <w:p w:rsidR="009B4233" w:rsidRDefault="006B08B9">
                              <w:pPr>
                                <w:spacing w:after="160" w:line="249" w:lineRule="auto"/>
                              </w:pPr>
                              <w:r>
                                <w:rPr>
                                  <w:rFonts w:ascii="Calibri" w:eastAsia="Calibri" w:hAnsi="Calibri" w:cs="Calibri"/>
                                  <w:b/>
                                  <w:w w:val="110"/>
                                </w:rPr>
                                <w:t>.</w:t>
                              </w:r>
                              <w:r>
                                <w:rPr>
                                  <w:rFonts w:ascii="Calibri" w:eastAsia="Calibri" w:hAnsi="Calibri" w:cs="Calibri"/>
                                  <w:b/>
                                  <w:spacing w:val="11"/>
                                  <w:w w:val="110"/>
                                </w:rPr>
                                <w:t xml:space="preserve"> </w:t>
                              </w:r>
                              <w:r>
                                <w:rPr>
                                  <w:rFonts w:ascii="Calibri" w:eastAsia="Calibri" w:hAnsi="Calibri" w:cs="Calibri"/>
                                  <w:b/>
                                  <w:w w:val="110"/>
                                </w:rPr>
                                <w:t>-</w:t>
                              </w:r>
                            </w:p>
                          </w:txbxContent>
                        </wps:txbx>
                        <wps:bodyPr vert="horz" wrap="square" lIns="0" tIns="0" rIns="0" bIns="0" anchor="t" anchorCtr="0" compatLnSpc="0">
                          <a:noAutofit/>
                        </wps:bodyPr>
                      </wps:wsp>
                      <wps:wsp>
                        <wps:cNvPr id="46" name="Rectangle 237"/>
                        <wps:cNvSpPr/>
                        <wps:spPr>
                          <a:xfrm>
                            <a:off x="205054" y="5091296"/>
                            <a:ext cx="2985918" cy="158959"/>
                          </a:xfrm>
                          <a:prstGeom prst="rect">
                            <a:avLst/>
                          </a:prstGeom>
                          <a:noFill/>
                          <a:ln cap="flat">
                            <a:noFill/>
                            <a:prstDash val="solid"/>
                          </a:ln>
                        </wps:spPr>
                        <wps:txbx>
                          <w:txbxContent>
                            <w:p w:rsidR="009B4233" w:rsidRDefault="006B08B9">
                              <w:pPr>
                                <w:spacing w:after="160" w:line="249" w:lineRule="auto"/>
                              </w:pPr>
                              <w:r>
                                <w:rPr>
                                  <w:rFonts w:ascii="Calibri" w:eastAsia="Calibri" w:hAnsi="Calibri" w:cs="Calibri"/>
                                  <w:b/>
                                  <w:w w:val="127"/>
                                  <w:sz w:val="18"/>
                                </w:rPr>
                                <w:t>A.-</w:t>
                              </w:r>
                              <w:r>
                                <w:rPr>
                                  <w:rFonts w:ascii="Calibri" w:eastAsia="Calibri" w:hAnsi="Calibri" w:cs="Calibri"/>
                                  <w:b/>
                                  <w:spacing w:val="9"/>
                                  <w:w w:val="127"/>
                                  <w:sz w:val="18"/>
                                </w:rPr>
                                <w:t xml:space="preserve"> </w:t>
                              </w:r>
                              <w:r>
                                <w:rPr>
                                  <w:rFonts w:ascii="Calibri" w:eastAsia="Calibri" w:hAnsi="Calibri" w:cs="Calibri"/>
                                  <w:b/>
                                  <w:w w:val="127"/>
                                  <w:sz w:val="18"/>
                                </w:rPr>
                                <w:t>EDIFICIO</w:t>
                              </w:r>
                              <w:r>
                                <w:rPr>
                                  <w:rFonts w:ascii="Calibri" w:eastAsia="Calibri" w:hAnsi="Calibri" w:cs="Calibri"/>
                                  <w:b/>
                                  <w:spacing w:val="9"/>
                                  <w:w w:val="127"/>
                                  <w:sz w:val="18"/>
                                </w:rPr>
                                <w:t xml:space="preserve"> </w:t>
                              </w:r>
                              <w:r>
                                <w:rPr>
                                  <w:rFonts w:ascii="Calibri" w:eastAsia="Calibri" w:hAnsi="Calibri" w:cs="Calibri"/>
                                  <w:b/>
                                  <w:w w:val="127"/>
                                  <w:sz w:val="18"/>
                                </w:rPr>
                                <w:t>OCEÁNICA.</w:t>
                              </w:r>
                              <w:r>
                                <w:rPr>
                                  <w:rFonts w:ascii="Calibri" w:eastAsia="Calibri" w:hAnsi="Calibri" w:cs="Calibri"/>
                                  <w:b/>
                                  <w:spacing w:val="9"/>
                                  <w:w w:val="127"/>
                                  <w:sz w:val="18"/>
                                </w:rPr>
                                <w:t xml:space="preserve"> </w:t>
                              </w:r>
                              <w:r>
                                <w:rPr>
                                  <w:rFonts w:ascii="Calibri" w:eastAsia="Calibri" w:hAnsi="Calibri" w:cs="Calibri"/>
                                  <w:b/>
                                  <w:w w:val="127"/>
                                  <w:sz w:val="18"/>
                                </w:rPr>
                                <w:t>PLAZA</w:t>
                              </w:r>
                              <w:r>
                                <w:rPr>
                                  <w:rFonts w:ascii="Calibri" w:eastAsia="Calibri" w:hAnsi="Calibri" w:cs="Calibri"/>
                                  <w:b/>
                                  <w:spacing w:val="9"/>
                                  <w:w w:val="127"/>
                                  <w:sz w:val="18"/>
                                </w:rPr>
                                <w:t xml:space="preserve"> </w:t>
                              </w:r>
                              <w:r>
                                <w:rPr>
                                  <w:rFonts w:ascii="Calibri" w:eastAsia="Calibri" w:hAnsi="Calibri" w:cs="Calibri"/>
                                  <w:b/>
                                  <w:w w:val="127"/>
                                  <w:sz w:val="18"/>
                                </w:rPr>
                                <w:t>DE</w:t>
                              </w:r>
                              <w:r>
                                <w:rPr>
                                  <w:rFonts w:ascii="Calibri" w:eastAsia="Calibri" w:hAnsi="Calibri" w:cs="Calibri"/>
                                  <w:b/>
                                  <w:spacing w:val="9"/>
                                  <w:w w:val="127"/>
                                  <w:sz w:val="18"/>
                                </w:rPr>
                                <w:t xml:space="preserve"> </w:t>
                              </w:r>
                              <w:r>
                                <w:rPr>
                                  <w:rFonts w:ascii="Calibri" w:eastAsia="Calibri" w:hAnsi="Calibri" w:cs="Calibri"/>
                                  <w:b/>
                                  <w:w w:val="127"/>
                                  <w:sz w:val="18"/>
                                </w:rPr>
                                <w:t>LOS</w:t>
                              </w:r>
                              <w:r>
                                <w:rPr>
                                  <w:rFonts w:ascii="Calibri" w:eastAsia="Calibri" w:hAnsi="Calibri" w:cs="Calibri"/>
                                  <w:b/>
                                  <w:spacing w:val="9"/>
                                  <w:w w:val="127"/>
                                  <w:sz w:val="18"/>
                                </w:rPr>
                                <w:t xml:space="preserve"> </w:t>
                              </w:r>
                              <w:r>
                                <w:rPr>
                                  <w:rFonts w:ascii="Calibri" w:eastAsia="Calibri" w:hAnsi="Calibri" w:cs="Calibri"/>
                                  <w:b/>
                                  <w:w w:val="127"/>
                                  <w:sz w:val="18"/>
                                </w:rPr>
                                <w:t>ARTESANOS</w:t>
                              </w:r>
                            </w:p>
                          </w:txbxContent>
                        </wps:txbx>
                        <wps:bodyPr vert="horz" wrap="square" lIns="0" tIns="0" rIns="0" bIns="0" anchor="t" anchorCtr="0" compatLnSpc="0">
                          <a:noAutofit/>
                        </wps:bodyPr>
                      </wps:wsp>
                      <wps:wsp>
                        <wps:cNvPr id="47" name="Rectangle 238"/>
                        <wps:cNvSpPr/>
                        <wps:spPr>
                          <a:xfrm>
                            <a:off x="205054" y="5337224"/>
                            <a:ext cx="5336557" cy="194282"/>
                          </a:xfrm>
                          <a:prstGeom prst="rect">
                            <a:avLst/>
                          </a:prstGeom>
                          <a:noFill/>
                          <a:ln cap="flat">
                            <a:noFill/>
                            <a:prstDash val="solid"/>
                          </a:ln>
                        </wps:spPr>
                        <wps:txbx>
                          <w:txbxContent>
                            <w:p w:rsidR="009B4233" w:rsidRDefault="006B08B9">
                              <w:pPr>
                                <w:spacing w:after="160" w:line="249" w:lineRule="auto"/>
                              </w:pPr>
                              <w:r>
                                <w:rPr>
                                  <w:w w:val="109"/>
                                </w:rPr>
                                <w:t>Como</w:t>
                              </w:r>
                              <w:r>
                                <w:rPr>
                                  <w:spacing w:val="29"/>
                                  <w:w w:val="109"/>
                                </w:rPr>
                                <w:t xml:space="preserve"> </w:t>
                              </w:r>
                              <w:r>
                                <w:rPr>
                                  <w:w w:val="109"/>
                                </w:rPr>
                                <w:t>consecuencia</w:t>
                              </w:r>
                              <w:r>
                                <w:rPr>
                                  <w:spacing w:val="31"/>
                                  <w:w w:val="109"/>
                                </w:rPr>
                                <w:t xml:space="preserve"> </w:t>
                              </w:r>
                              <w:r>
                                <w:rPr>
                                  <w:w w:val="109"/>
                                </w:rPr>
                                <w:t>de</w:t>
                              </w:r>
                              <w:r>
                                <w:rPr>
                                  <w:spacing w:val="29"/>
                                  <w:w w:val="109"/>
                                </w:rPr>
                                <w:t xml:space="preserve"> </w:t>
                              </w:r>
                              <w:r>
                                <w:rPr>
                                  <w:w w:val="109"/>
                                </w:rPr>
                                <w:t>la</w:t>
                              </w:r>
                              <w:r>
                                <w:rPr>
                                  <w:spacing w:val="31"/>
                                  <w:w w:val="109"/>
                                </w:rPr>
                                <w:t xml:space="preserve"> </w:t>
                              </w:r>
                              <w:r>
                                <w:rPr>
                                  <w:w w:val="109"/>
                                </w:rPr>
                                <w:t>construcción</w:t>
                              </w:r>
                              <w:r>
                                <w:rPr>
                                  <w:spacing w:val="31"/>
                                  <w:w w:val="109"/>
                                </w:rPr>
                                <w:t xml:space="preserve"> </w:t>
                              </w:r>
                              <w:r>
                                <w:rPr>
                                  <w:w w:val="109"/>
                                </w:rPr>
                                <w:t>de</w:t>
                              </w:r>
                              <w:r>
                                <w:rPr>
                                  <w:spacing w:val="29"/>
                                  <w:w w:val="109"/>
                                </w:rPr>
                                <w:t xml:space="preserve"> </w:t>
                              </w:r>
                              <w:r>
                                <w:rPr>
                                  <w:w w:val="109"/>
                                </w:rPr>
                                <w:t>un</w:t>
                              </w:r>
                              <w:r>
                                <w:rPr>
                                  <w:spacing w:val="27"/>
                                  <w:w w:val="109"/>
                                </w:rPr>
                                <w:t xml:space="preserve"> </w:t>
                              </w:r>
                              <w:r>
                                <w:rPr>
                                  <w:w w:val="109"/>
                                </w:rPr>
                                <w:t>nuevo</w:t>
                              </w:r>
                              <w:r>
                                <w:rPr>
                                  <w:spacing w:val="31"/>
                                  <w:w w:val="109"/>
                                </w:rPr>
                                <w:t xml:space="preserve"> </w:t>
                              </w:r>
                              <w:r>
                                <w:rPr>
                                  <w:w w:val="109"/>
                                </w:rPr>
                                <w:t>edificio</w:t>
                              </w:r>
                              <w:r>
                                <w:rPr>
                                  <w:spacing w:val="31"/>
                                  <w:w w:val="109"/>
                                </w:rPr>
                                <w:t xml:space="preserve"> </w:t>
                              </w:r>
                              <w:r>
                                <w:rPr>
                                  <w:w w:val="109"/>
                                </w:rPr>
                                <w:t>en</w:t>
                              </w:r>
                              <w:r>
                                <w:rPr>
                                  <w:spacing w:val="29"/>
                                  <w:w w:val="109"/>
                                </w:rPr>
                                <w:t xml:space="preserve"> </w:t>
                              </w:r>
                              <w:r>
                                <w:rPr>
                                  <w:w w:val="109"/>
                                </w:rPr>
                                <w:t>una</w:t>
                              </w:r>
                              <w:r>
                                <w:rPr>
                                  <w:spacing w:val="29"/>
                                  <w:w w:val="109"/>
                                </w:rPr>
                                <w:t xml:space="preserve"> </w:t>
                              </w:r>
                              <w:r>
                                <w:rPr>
                                  <w:w w:val="109"/>
                                </w:rPr>
                                <w:t>antigua</w:t>
                              </w:r>
                              <w:r>
                                <w:rPr>
                                  <w:spacing w:val="29"/>
                                  <w:w w:val="109"/>
                                </w:rPr>
                                <w:t xml:space="preserve"> </w:t>
                              </w:r>
                              <w:r>
                                <w:rPr>
                                  <w:w w:val="109"/>
                                </w:rPr>
                                <w:t>parcela</w:t>
                              </w:r>
                            </w:p>
                          </w:txbxContent>
                        </wps:txbx>
                        <wps:bodyPr vert="horz" wrap="square" lIns="0" tIns="0" rIns="0" bIns="0" anchor="t" anchorCtr="0" compatLnSpc="0">
                          <a:noAutofit/>
                        </wps:bodyPr>
                      </wps:wsp>
                      <wps:wsp>
                        <wps:cNvPr id="48" name="Rectangle 239"/>
                        <wps:cNvSpPr/>
                        <wps:spPr>
                          <a:xfrm>
                            <a:off x="4221528" y="5337224"/>
                            <a:ext cx="38916" cy="194282"/>
                          </a:xfrm>
                          <a:prstGeom prst="rect">
                            <a:avLst/>
                          </a:prstGeom>
                          <a:noFill/>
                          <a:ln cap="flat">
                            <a:noFill/>
                            <a:prstDash val="solid"/>
                          </a:ln>
                        </wps:spPr>
                        <wps:txbx>
                          <w:txbxContent>
                            <w:p w:rsidR="009B4233" w:rsidRDefault="006B08B9">
                              <w:pPr>
                                <w:spacing w:after="160" w:line="249" w:lineRule="auto"/>
                              </w:pPr>
                              <w:r>
                                <w:t xml:space="preserve"> </w:t>
                              </w:r>
                            </w:p>
                          </w:txbxContent>
                        </wps:txbx>
                        <wps:bodyPr vert="horz" wrap="square" lIns="0" tIns="0" rIns="0" bIns="0" anchor="t" anchorCtr="0" compatLnSpc="0">
                          <a:noAutofit/>
                        </wps:bodyPr>
                      </wps:wsp>
                      <wps:wsp>
                        <wps:cNvPr id="49" name="Rectangle 240"/>
                        <wps:cNvSpPr/>
                        <wps:spPr>
                          <a:xfrm>
                            <a:off x="1444" y="5509589"/>
                            <a:ext cx="5605491" cy="194282"/>
                          </a:xfrm>
                          <a:prstGeom prst="rect">
                            <a:avLst/>
                          </a:prstGeom>
                          <a:noFill/>
                          <a:ln cap="flat">
                            <a:noFill/>
                            <a:prstDash val="solid"/>
                          </a:ln>
                        </wps:spPr>
                        <wps:txbx>
                          <w:txbxContent>
                            <w:p w:rsidR="009B4233" w:rsidRDefault="006B08B9">
                              <w:pPr>
                                <w:spacing w:after="160" w:line="249" w:lineRule="auto"/>
                              </w:pPr>
                              <w:r>
                                <w:rPr>
                                  <w:w w:val="110"/>
                                </w:rPr>
                                <w:t>situada</w:t>
                              </w:r>
                              <w:r>
                                <w:rPr>
                                  <w:spacing w:val="106"/>
                                  <w:w w:val="110"/>
                                </w:rPr>
                                <w:t xml:space="preserve"> </w:t>
                              </w:r>
                              <w:r>
                                <w:rPr>
                                  <w:w w:val="110"/>
                                </w:rPr>
                                <w:t>al</w:t>
                              </w:r>
                              <w:r>
                                <w:rPr>
                                  <w:spacing w:val="103"/>
                                  <w:w w:val="110"/>
                                </w:rPr>
                                <w:t xml:space="preserve"> </w:t>
                              </w:r>
                              <w:r>
                                <w:rPr>
                                  <w:w w:val="110"/>
                                </w:rPr>
                                <w:t>final</w:t>
                              </w:r>
                              <w:r>
                                <w:rPr>
                                  <w:spacing w:val="105"/>
                                  <w:w w:val="110"/>
                                </w:rPr>
                                <w:t xml:space="preserve"> </w:t>
                              </w:r>
                              <w:r>
                                <w:rPr>
                                  <w:w w:val="110"/>
                                </w:rPr>
                                <w:t>de</w:t>
                              </w:r>
                              <w:r>
                                <w:rPr>
                                  <w:spacing w:val="104"/>
                                  <w:w w:val="110"/>
                                </w:rPr>
                                <w:t xml:space="preserve"> </w:t>
                              </w:r>
                              <w:r>
                                <w:rPr>
                                  <w:w w:val="110"/>
                                </w:rPr>
                                <w:t>la</w:t>
                              </w:r>
                              <w:r>
                                <w:rPr>
                                  <w:spacing w:val="106"/>
                                  <w:w w:val="110"/>
                                </w:rPr>
                                <w:t xml:space="preserve"> </w:t>
                              </w:r>
                              <w:r>
                                <w:rPr>
                                  <w:w w:val="110"/>
                                </w:rPr>
                                <w:t>plaza</w:t>
                              </w:r>
                              <w:r>
                                <w:rPr>
                                  <w:spacing w:val="106"/>
                                  <w:w w:val="110"/>
                                </w:rPr>
                                <w:t xml:space="preserve"> </w:t>
                              </w:r>
                              <w:r>
                                <w:rPr>
                                  <w:w w:val="110"/>
                                </w:rPr>
                                <w:t>de</w:t>
                              </w:r>
                              <w:r>
                                <w:rPr>
                                  <w:spacing w:val="106"/>
                                  <w:w w:val="110"/>
                                </w:rPr>
                                <w:t xml:space="preserve"> </w:t>
                              </w:r>
                              <w:r>
                                <w:rPr>
                                  <w:w w:val="110"/>
                                </w:rPr>
                                <w:t>los</w:t>
                              </w:r>
                              <w:r>
                                <w:rPr>
                                  <w:spacing w:val="104"/>
                                  <w:w w:val="110"/>
                                </w:rPr>
                                <w:t xml:space="preserve"> </w:t>
                              </w:r>
                              <w:r>
                                <w:rPr>
                                  <w:w w:val="110"/>
                                </w:rPr>
                                <w:t>artesanos,</w:t>
                              </w:r>
                              <w:r>
                                <w:rPr>
                                  <w:spacing w:val="105"/>
                                  <w:w w:val="110"/>
                                </w:rPr>
                                <w:t xml:space="preserve"> </w:t>
                              </w:r>
                              <w:r>
                                <w:rPr>
                                  <w:w w:val="110"/>
                                </w:rPr>
                                <w:t>con</w:t>
                              </w:r>
                              <w:r>
                                <w:rPr>
                                  <w:spacing w:val="104"/>
                                  <w:w w:val="110"/>
                                </w:rPr>
                                <w:t xml:space="preserve"> </w:t>
                              </w:r>
                              <w:r>
                                <w:rPr>
                                  <w:w w:val="110"/>
                                </w:rPr>
                                <w:t>fachada</w:t>
                              </w:r>
                              <w:r>
                                <w:rPr>
                                  <w:spacing w:val="106"/>
                                  <w:w w:val="110"/>
                                </w:rPr>
                                <w:t xml:space="preserve"> </w:t>
                              </w:r>
                              <w:r>
                                <w:rPr>
                                  <w:w w:val="110"/>
                                </w:rPr>
                                <w:t>a</w:t>
                              </w:r>
                              <w:r>
                                <w:rPr>
                                  <w:spacing w:val="104"/>
                                  <w:w w:val="110"/>
                                </w:rPr>
                                <w:t xml:space="preserve"> </w:t>
                              </w:r>
                              <w:r>
                                <w:rPr>
                                  <w:w w:val="110"/>
                                </w:rPr>
                                <w:t>la</w:t>
                              </w:r>
                              <w:r>
                                <w:rPr>
                                  <w:spacing w:val="106"/>
                                  <w:w w:val="110"/>
                                </w:rPr>
                                <w:t xml:space="preserve"> </w:t>
                              </w:r>
                              <w:r>
                                <w:rPr>
                                  <w:w w:val="110"/>
                                </w:rPr>
                                <w:t>futura</w:t>
                              </w:r>
                              <w:r>
                                <w:rPr>
                                  <w:spacing w:val="104"/>
                                  <w:w w:val="110"/>
                                </w:rPr>
                                <w:t xml:space="preserve"> </w:t>
                              </w:r>
                              <w:r>
                                <w:rPr>
                                  <w:w w:val="110"/>
                                </w:rPr>
                                <w:t>plaza,</w:t>
                              </w:r>
                              <w:r>
                                <w:rPr>
                                  <w:spacing w:val="107"/>
                                  <w:w w:val="110"/>
                                </w:rPr>
                                <w:t xml:space="preserve"> </w:t>
                              </w:r>
                              <w:r>
                                <w:rPr>
                                  <w:w w:val="110"/>
                                </w:rPr>
                                <w:t>y</w:t>
                              </w:r>
                            </w:p>
                          </w:txbxContent>
                        </wps:txbx>
                        <wps:bodyPr vert="horz" wrap="square" lIns="0" tIns="0" rIns="0" bIns="0" anchor="t" anchorCtr="0" compatLnSpc="0">
                          <a:noAutofit/>
                        </wps:bodyPr>
                      </wps:wsp>
                      <wps:wsp>
                        <wps:cNvPr id="50" name="Rectangle 241"/>
                        <wps:cNvSpPr/>
                        <wps:spPr>
                          <a:xfrm>
                            <a:off x="4221528" y="5509589"/>
                            <a:ext cx="38916" cy="194282"/>
                          </a:xfrm>
                          <a:prstGeom prst="rect">
                            <a:avLst/>
                          </a:prstGeom>
                          <a:noFill/>
                          <a:ln cap="flat">
                            <a:noFill/>
                            <a:prstDash val="solid"/>
                          </a:ln>
                        </wps:spPr>
                        <wps:txbx>
                          <w:txbxContent>
                            <w:p w:rsidR="009B4233" w:rsidRDefault="006B08B9">
                              <w:pPr>
                                <w:spacing w:after="160" w:line="249" w:lineRule="auto"/>
                              </w:pPr>
                              <w:r>
                                <w:t xml:space="preserve"> </w:t>
                              </w:r>
                            </w:p>
                          </w:txbxContent>
                        </wps:txbx>
                        <wps:bodyPr vert="horz" wrap="square" lIns="0" tIns="0" rIns="0" bIns="0" anchor="t" anchorCtr="0" compatLnSpc="0">
                          <a:noAutofit/>
                        </wps:bodyPr>
                      </wps:wsp>
                      <wps:wsp>
                        <wps:cNvPr id="51" name="Rectangle 242"/>
                        <wps:cNvSpPr/>
                        <wps:spPr>
                          <a:xfrm>
                            <a:off x="1444" y="5681944"/>
                            <a:ext cx="5602967" cy="194282"/>
                          </a:xfrm>
                          <a:prstGeom prst="rect">
                            <a:avLst/>
                          </a:prstGeom>
                          <a:noFill/>
                          <a:ln cap="flat">
                            <a:noFill/>
                            <a:prstDash val="solid"/>
                          </a:ln>
                        </wps:spPr>
                        <wps:txbx>
                          <w:txbxContent>
                            <w:p w:rsidR="009B4233" w:rsidRDefault="006B08B9">
                              <w:pPr>
                                <w:spacing w:after="160" w:line="249" w:lineRule="auto"/>
                              </w:pPr>
                              <w:r>
                                <w:rPr>
                                  <w:w w:val="109"/>
                                </w:rPr>
                                <w:t>encontrándose</w:t>
                              </w:r>
                              <w:r>
                                <w:rPr>
                                  <w:spacing w:val="83"/>
                                  <w:w w:val="109"/>
                                </w:rPr>
                                <w:t xml:space="preserve"> </w:t>
                              </w:r>
                              <w:r>
                                <w:rPr>
                                  <w:w w:val="109"/>
                                </w:rPr>
                                <w:t>la</w:t>
                              </w:r>
                              <w:r>
                                <w:rPr>
                                  <w:spacing w:val="81"/>
                                  <w:w w:val="109"/>
                                </w:rPr>
                                <w:t xml:space="preserve"> </w:t>
                              </w:r>
                              <w:r>
                                <w:rPr>
                                  <w:w w:val="109"/>
                                </w:rPr>
                                <w:t>construcción</w:t>
                              </w:r>
                              <w:r>
                                <w:rPr>
                                  <w:spacing w:val="83"/>
                                  <w:w w:val="109"/>
                                </w:rPr>
                                <w:t xml:space="preserve"> </w:t>
                              </w:r>
                              <w:r>
                                <w:rPr>
                                  <w:w w:val="109"/>
                                </w:rPr>
                                <w:t>privada</w:t>
                              </w:r>
                              <w:r>
                                <w:rPr>
                                  <w:spacing w:val="83"/>
                                  <w:w w:val="109"/>
                                </w:rPr>
                                <w:t xml:space="preserve"> </w:t>
                              </w:r>
                              <w:r>
                                <w:rPr>
                                  <w:w w:val="109"/>
                                </w:rPr>
                                <w:t>de</w:t>
                              </w:r>
                              <w:r>
                                <w:rPr>
                                  <w:spacing w:val="81"/>
                                  <w:w w:val="109"/>
                                </w:rPr>
                                <w:t xml:space="preserve"> </w:t>
                              </w:r>
                              <w:r>
                                <w:rPr>
                                  <w:w w:val="109"/>
                                </w:rPr>
                                <w:t>viviendas</w:t>
                              </w:r>
                              <w:r>
                                <w:rPr>
                                  <w:spacing w:val="86"/>
                                  <w:w w:val="109"/>
                                </w:rPr>
                                <w:t xml:space="preserve"> </w:t>
                              </w:r>
                              <w:r>
                                <w:rPr>
                                  <w:w w:val="109"/>
                                </w:rPr>
                                <w:t>en</w:t>
                              </w:r>
                              <w:r>
                                <w:rPr>
                                  <w:spacing w:val="81"/>
                                  <w:w w:val="109"/>
                                </w:rPr>
                                <w:t xml:space="preserve"> </w:t>
                              </w:r>
                              <w:r>
                                <w:rPr>
                                  <w:w w:val="109"/>
                                </w:rPr>
                                <w:t>fase</w:t>
                              </w:r>
                              <w:r>
                                <w:rPr>
                                  <w:spacing w:val="81"/>
                                  <w:w w:val="109"/>
                                </w:rPr>
                                <w:t xml:space="preserve"> </w:t>
                              </w:r>
                              <w:r>
                                <w:rPr>
                                  <w:w w:val="109"/>
                                </w:rPr>
                                <w:t>de</w:t>
                              </w:r>
                              <w:r>
                                <w:rPr>
                                  <w:spacing w:val="83"/>
                                  <w:w w:val="109"/>
                                </w:rPr>
                                <w:t xml:space="preserve"> </w:t>
                              </w:r>
                              <w:r>
                                <w:rPr>
                                  <w:w w:val="109"/>
                                </w:rPr>
                                <w:t>terminación,</w:t>
                              </w:r>
                              <w:r>
                                <w:rPr>
                                  <w:spacing w:val="85"/>
                                  <w:w w:val="109"/>
                                </w:rPr>
                                <w:t xml:space="preserve"> </w:t>
                              </w:r>
                              <w:r>
                                <w:rPr>
                                  <w:w w:val="109"/>
                                </w:rPr>
                                <w:t>se</w:t>
                              </w:r>
                              <w:r>
                                <w:rPr>
                                  <w:spacing w:val="81"/>
                                  <w:w w:val="109"/>
                                </w:rPr>
                                <w:t xml:space="preserve"> </w:t>
                              </w:r>
                              <w:r>
                                <w:rPr>
                                  <w:w w:val="109"/>
                                </w:rPr>
                                <w:t>ha</w:t>
                              </w:r>
                            </w:p>
                          </w:txbxContent>
                        </wps:txbx>
                        <wps:bodyPr vert="horz" wrap="square" lIns="0" tIns="0" rIns="0" bIns="0" anchor="t" anchorCtr="0" compatLnSpc="0">
                          <a:noAutofit/>
                        </wps:bodyPr>
                      </wps:wsp>
                      <wps:wsp>
                        <wps:cNvPr id="52" name="Rectangle 243"/>
                        <wps:cNvSpPr/>
                        <wps:spPr>
                          <a:xfrm>
                            <a:off x="4221528" y="5681944"/>
                            <a:ext cx="38916" cy="194282"/>
                          </a:xfrm>
                          <a:prstGeom prst="rect">
                            <a:avLst/>
                          </a:prstGeom>
                          <a:noFill/>
                          <a:ln cap="flat">
                            <a:noFill/>
                            <a:prstDash val="solid"/>
                          </a:ln>
                        </wps:spPr>
                        <wps:txbx>
                          <w:txbxContent>
                            <w:p w:rsidR="009B4233" w:rsidRDefault="006B08B9">
                              <w:pPr>
                                <w:spacing w:after="160" w:line="249" w:lineRule="auto"/>
                              </w:pPr>
                              <w:r>
                                <w:t xml:space="preserve"> </w:t>
                              </w:r>
                            </w:p>
                          </w:txbxContent>
                        </wps:txbx>
                        <wps:bodyPr vert="horz" wrap="square" lIns="0" tIns="0" rIns="0" bIns="0" anchor="t" anchorCtr="0" compatLnSpc="0">
                          <a:noAutofit/>
                        </wps:bodyPr>
                      </wps:wsp>
                      <wps:wsp>
                        <wps:cNvPr id="53" name="Rectangle 244"/>
                        <wps:cNvSpPr/>
                        <wps:spPr>
                          <a:xfrm>
                            <a:off x="1444" y="5854308"/>
                            <a:ext cx="5602117" cy="194282"/>
                          </a:xfrm>
                          <a:prstGeom prst="rect">
                            <a:avLst/>
                          </a:prstGeom>
                          <a:noFill/>
                          <a:ln cap="flat">
                            <a:noFill/>
                            <a:prstDash val="solid"/>
                          </a:ln>
                        </wps:spPr>
                        <wps:txbx>
                          <w:txbxContent>
                            <w:p w:rsidR="009B4233" w:rsidRDefault="006B08B9">
                              <w:pPr>
                                <w:spacing w:after="160" w:line="249" w:lineRule="auto"/>
                              </w:pPr>
                              <w:r>
                                <w:rPr>
                                  <w:w w:val="110"/>
                                </w:rPr>
                                <w:t>constatado</w:t>
                              </w:r>
                              <w:r>
                                <w:rPr>
                                  <w:spacing w:val="22"/>
                                  <w:w w:val="110"/>
                                </w:rPr>
                                <w:t xml:space="preserve"> </w:t>
                              </w:r>
                              <w:r>
                                <w:rPr>
                                  <w:w w:val="110"/>
                                </w:rPr>
                                <w:t>la</w:t>
                              </w:r>
                              <w:r>
                                <w:rPr>
                                  <w:spacing w:val="22"/>
                                  <w:w w:val="110"/>
                                </w:rPr>
                                <w:t xml:space="preserve"> </w:t>
                              </w:r>
                              <w:r>
                                <w:rPr>
                                  <w:w w:val="110"/>
                                </w:rPr>
                                <w:t>existencia</w:t>
                              </w:r>
                              <w:r>
                                <w:rPr>
                                  <w:spacing w:val="22"/>
                                  <w:w w:val="110"/>
                                </w:rPr>
                                <w:t xml:space="preserve"> </w:t>
                              </w:r>
                              <w:r>
                                <w:rPr>
                                  <w:w w:val="110"/>
                                </w:rPr>
                                <w:t>de</w:t>
                              </w:r>
                              <w:r>
                                <w:rPr>
                                  <w:spacing w:val="20"/>
                                  <w:w w:val="110"/>
                                </w:rPr>
                                <w:t xml:space="preserve"> </w:t>
                              </w:r>
                              <w:r>
                                <w:rPr>
                                  <w:w w:val="110"/>
                                </w:rPr>
                                <w:t>problemas</w:t>
                              </w:r>
                              <w:r>
                                <w:rPr>
                                  <w:spacing w:val="22"/>
                                  <w:w w:val="110"/>
                                </w:rPr>
                                <w:t xml:space="preserve"> </w:t>
                              </w:r>
                              <w:r>
                                <w:rPr>
                                  <w:w w:val="110"/>
                                </w:rPr>
                                <w:t>de</w:t>
                              </w:r>
                              <w:r>
                                <w:rPr>
                                  <w:spacing w:val="20"/>
                                  <w:w w:val="110"/>
                                </w:rPr>
                                <w:t xml:space="preserve"> </w:t>
                              </w:r>
                              <w:r>
                                <w:rPr>
                                  <w:w w:val="110"/>
                                </w:rPr>
                                <w:t>rasantes</w:t>
                              </w:r>
                              <w:r>
                                <w:rPr>
                                  <w:spacing w:val="20"/>
                                  <w:w w:val="110"/>
                                </w:rPr>
                                <w:t xml:space="preserve"> </w:t>
                              </w:r>
                              <w:r>
                                <w:rPr>
                                  <w:w w:val="110"/>
                                </w:rPr>
                                <w:t>en</w:t>
                              </w:r>
                              <w:r>
                                <w:rPr>
                                  <w:spacing w:val="22"/>
                                  <w:w w:val="110"/>
                                </w:rPr>
                                <w:t xml:space="preserve"> </w:t>
                              </w:r>
                              <w:r>
                                <w:rPr>
                                  <w:w w:val="110"/>
                                </w:rPr>
                                <w:t>relación</w:t>
                              </w:r>
                              <w:r>
                                <w:rPr>
                                  <w:spacing w:val="22"/>
                                  <w:w w:val="110"/>
                                </w:rPr>
                                <w:t xml:space="preserve"> </w:t>
                              </w:r>
                              <w:r>
                                <w:rPr>
                                  <w:w w:val="110"/>
                                </w:rPr>
                                <w:t>a</w:t>
                              </w:r>
                              <w:r>
                                <w:rPr>
                                  <w:spacing w:val="20"/>
                                  <w:w w:val="110"/>
                                </w:rPr>
                                <w:t xml:space="preserve"> </w:t>
                              </w:r>
                              <w:r>
                                <w:rPr>
                                  <w:w w:val="110"/>
                                </w:rPr>
                                <w:t>las</w:t>
                              </w:r>
                              <w:r>
                                <w:rPr>
                                  <w:spacing w:val="22"/>
                                  <w:w w:val="110"/>
                                </w:rPr>
                                <w:t xml:space="preserve"> </w:t>
                              </w:r>
                              <w:r>
                                <w:rPr>
                                  <w:w w:val="110"/>
                                </w:rPr>
                                <w:t>entradas</w:t>
                              </w:r>
                              <w:r>
                                <w:rPr>
                                  <w:spacing w:val="20"/>
                                  <w:w w:val="110"/>
                                </w:rPr>
                                <w:t xml:space="preserve"> </w:t>
                              </w:r>
                              <w:r>
                                <w:rPr>
                                  <w:w w:val="110"/>
                                </w:rPr>
                                <w:t>peatonales</w:t>
                              </w:r>
                            </w:p>
                          </w:txbxContent>
                        </wps:txbx>
                        <wps:bodyPr vert="horz" wrap="square" lIns="0" tIns="0" rIns="0" bIns="0" anchor="t" anchorCtr="0" compatLnSpc="0">
                          <a:noAutofit/>
                        </wps:bodyPr>
                      </wps:wsp>
                      <wps:wsp>
                        <wps:cNvPr id="54" name="Rectangle 245"/>
                        <wps:cNvSpPr/>
                        <wps:spPr>
                          <a:xfrm>
                            <a:off x="4221528" y="5854308"/>
                            <a:ext cx="38916" cy="194282"/>
                          </a:xfrm>
                          <a:prstGeom prst="rect">
                            <a:avLst/>
                          </a:prstGeom>
                          <a:noFill/>
                          <a:ln cap="flat">
                            <a:noFill/>
                            <a:prstDash val="solid"/>
                          </a:ln>
                        </wps:spPr>
                        <wps:txbx>
                          <w:txbxContent>
                            <w:p w:rsidR="009B4233" w:rsidRDefault="006B08B9">
                              <w:pPr>
                                <w:spacing w:after="160" w:line="249" w:lineRule="auto"/>
                              </w:pPr>
                              <w:r>
                                <w:t xml:space="preserve"> </w:t>
                              </w:r>
                            </w:p>
                          </w:txbxContent>
                        </wps:txbx>
                        <wps:bodyPr vert="horz" wrap="square" lIns="0" tIns="0" rIns="0" bIns="0" anchor="t" anchorCtr="0" compatLnSpc="0">
                          <a:noAutofit/>
                        </wps:bodyPr>
                      </wps:wsp>
                      <wps:wsp>
                        <wps:cNvPr id="55" name="Rectangle 246"/>
                        <wps:cNvSpPr/>
                        <wps:spPr>
                          <a:xfrm>
                            <a:off x="1444" y="6026673"/>
                            <a:ext cx="1521296" cy="194282"/>
                          </a:xfrm>
                          <a:prstGeom prst="rect">
                            <a:avLst/>
                          </a:prstGeom>
                          <a:noFill/>
                          <a:ln cap="flat">
                            <a:noFill/>
                            <a:prstDash val="solid"/>
                          </a:ln>
                        </wps:spPr>
                        <wps:txbx>
                          <w:txbxContent>
                            <w:p w:rsidR="009B4233" w:rsidRDefault="006B08B9">
                              <w:pPr>
                                <w:spacing w:after="160" w:line="249" w:lineRule="auto"/>
                              </w:pPr>
                              <w:r>
                                <w:rPr>
                                  <w:w w:val="110"/>
                                </w:rPr>
                                <w:t>y</w:t>
                              </w:r>
                              <w:r>
                                <w:rPr>
                                  <w:spacing w:val="10"/>
                                  <w:w w:val="110"/>
                                </w:rPr>
                                <w:t xml:space="preserve"> </w:t>
                              </w:r>
                              <w:r>
                                <w:rPr>
                                  <w:w w:val="110"/>
                                </w:rPr>
                                <w:t>de</w:t>
                              </w:r>
                              <w:r>
                                <w:rPr>
                                  <w:spacing w:val="12"/>
                                  <w:w w:val="110"/>
                                </w:rPr>
                                <w:t xml:space="preserve"> </w:t>
                              </w:r>
                              <w:r>
                                <w:rPr>
                                  <w:w w:val="110"/>
                                </w:rPr>
                                <w:t>vehículos</w:t>
                              </w:r>
                              <w:r>
                                <w:rPr>
                                  <w:spacing w:val="14"/>
                                  <w:w w:val="110"/>
                                </w:rPr>
                                <w:t xml:space="preserve"> </w:t>
                              </w:r>
                              <w:r>
                                <w:rPr>
                                  <w:w w:val="110"/>
                                </w:rPr>
                                <w:t>al</w:t>
                              </w:r>
                              <w:r>
                                <w:rPr>
                                  <w:spacing w:val="11"/>
                                  <w:w w:val="110"/>
                                </w:rPr>
                                <w:t xml:space="preserve"> </w:t>
                              </w:r>
                              <w:r>
                                <w:rPr>
                                  <w:w w:val="110"/>
                                </w:rPr>
                                <w:t>edificio</w:t>
                              </w:r>
                            </w:p>
                          </w:txbxContent>
                        </wps:txbx>
                        <wps:bodyPr vert="horz" wrap="square" lIns="0" tIns="0" rIns="0" bIns="0" anchor="t" anchorCtr="0" compatLnSpc="0">
                          <a:noAutofit/>
                        </wps:bodyPr>
                      </wps:wsp>
                      <wps:wsp>
                        <wps:cNvPr id="56" name="Rectangle 251"/>
                        <wps:cNvSpPr/>
                        <wps:spPr>
                          <a:xfrm rot="16200004">
                            <a:off x="3395679" y="5198473"/>
                            <a:ext cx="2216158" cy="85624"/>
                          </a:xfrm>
                          <a:prstGeom prst="rect">
                            <a:avLst/>
                          </a:prstGeom>
                          <a:noFill/>
                          <a:ln cap="flat">
                            <a:noFill/>
                            <a:prstDash val="solid"/>
                          </a:ln>
                        </wps:spPr>
                        <wps:txbx>
                          <w:txbxContent>
                            <w:p w:rsidR="009B4233" w:rsidRDefault="006B08B9">
                              <w:pPr>
                                <w:spacing w:after="160" w:line="249" w:lineRule="auto"/>
                              </w:pPr>
                              <w:r>
                                <w:rPr>
                                  <w:rFonts w:eastAsia="Arial" w:cs="Arial"/>
                                  <w:sz w:val="12"/>
                                </w:rPr>
                                <w:t xml:space="preserve">Cód. Validación: </w:t>
                              </w:r>
                              <w:r>
                                <w:rPr>
                                  <w:rFonts w:eastAsia="Arial" w:cs="Arial"/>
                                  <w:sz w:val="12"/>
                                </w:rPr>
                                <w:t xml:space="preserve">4ZPTN2C2FPMR6Z99JQ64SYK73 </w:t>
                              </w:r>
                            </w:p>
                          </w:txbxContent>
                        </wps:txbx>
                        <wps:bodyPr vert="horz" wrap="square" lIns="0" tIns="0" rIns="0" bIns="0" anchor="t" anchorCtr="0" compatLnSpc="0">
                          <a:noAutofit/>
                        </wps:bodyPr>
                      </wps:wsp>
                      <wps:wsp>
                        <wps:cNvPr id="57" name="Rectangle 252"/>
                        <wps:cNvSpPr/>
                        <wps:spPr>
                          <a:xfrm rot="16200004">
                            <a:off x="3523402" y="5268571"/>
                            <a:ext cx="2075962" cy="85624"/>
                          </a:xfrm>
                          <a:prstGeom prst="rect">
                            <a:avLst/>
                          </a:prstGeom>
                          <a:noFill/>
                          <a:ln cap="flat">
                            <a:noFill/>
                            <a:prstDash val="solid"/>
                          </a:ln>
                        </wps:spPr>
                        <wps:txbx>
                          <w:txbxContent>
                            <w:p w:rsidR="009B4233" w:rsidRDefault="006B08B9">
                              <w:pPr>
                                <w:spacing w:after="160" w:line="249" w:lineRule="auto"/>
                              </w:pPr>
                              <w:r>
                                <w:rPr>
                                  <w:rFonts w:eastAsia="Arial" w:cs="Arial"/>
                                  <w:sz w:val="12"/>
                                </w:rPr>
                                <w:t xml:space="preserve">Verificación: https://candelaria.sedelectronica.es/ </w:t>
                              </w:r>
                            </w:p>
                          </w:txbxContent>
                        </wps:txbx>
                        <wps:bodyPr vert="horz" wrap="square" lIns="0" tIns="0" rIns="0" bIns="0" anchor="t" anchorCtr="0" compatLnSpc="0">
                          <a:noAutofit/>
                        </wps:bodyPr>
                      </wps:wsp>
                      <wps:wsp>
                        <wps:cNvPr id="58" name="Rectangle 253"/>
                        <wps:cNvSpPr/>
                        <wps:spPr>
                          <a:xfrm rot="16200004">
                            <a:off x="2609593" y="4297127"/>
                            <a:ext cx="4018833" cy="85624"/>
                          </a:xfrm>
                          <a:prstGeom prst="rect">
                            <a:avLst/>
                          </a:prstGeom>
                          <a:noFill/>
                          <a:ln cap="flat">
                            <a:noFill/>
                            <a:prstDash val="solid"/>
                          </a:ln>
                        </wps:spPr>
                        <wps:txbx>
                          <w:txbxContent>
                            <w:p w:rsidR="009B4233" w:rsidRDefault="006B08B9">
                              <w:pPr>
                                <w:spacing w:after="160" w:line="249" w:lineRule="auto"/>
                              </w:pPr>
                              <w:r>
                                <w:rPr>
                                  <w:rFonts w:eastAsia="Arial" w:cs="Arial"/>
                                  <w:sz w:val="12"/>
                                </w:rPr>
                                <w:t xml:space="preserve">Documento firmado electrónicamente desde la plataforma esPublico Gestiona | Página 3 de 12 </w:t>
                              </w:r>
                            </w:p>
                          </w:txbxContent>
                        </wps:txbx>
                        <wps:bodyPr vert="horz" wrap="square" lIns="0" tIns="0" rIns="0" bIns="0" anchor="t" anchorCtr="0" compatLnSpc="0">
                          <a:noAutofit/>
                        </wps:bodyPr>
                      </wps:wsp>
                    </wpg:wgp>
                  </a:graphicData>
                </a:graphic>
              </wp:inline>
            </w:drawing>
          </mc:Choice>
          <mc:Fallback>
            <w:pict>
              <v:group id="Grupo 9771" o:spid="_x0000_s1035" style="width:521.9pt;height:489.85pt;mso-position-horizontal-relative:char;mso-position-vertical-relative:line" coordsize="56069,634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">
                <v:shape id="Shape 10585" o:spid="_x0000_s1036" style="position:absolute;top:46431;width:42200;height:1509;visibility:visible;mso-wrap-style:square;v-text-anchor:top" coordsize="5580381,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" path="m,l5580381,r,161290l,161290,,e" filled="f" stroked="f">
                  <v:path arrowok="t" o:connecttype="custom" o:connectlocs="2110047,0;4220093,75484;2110047,150967;0,75484;0,0;4220093,0;4220093,150967;0,150967;0,0" o:connectangles="270,0,90,180,0,0,0,0,0" textboxrect="0,0,5580381,161290"/>
                </v:shape>
                <v:rect id="Rectangle 227" o:spid="_x0000_s1037" style="position:absolute;left:2050;width:7492;height:19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" filled="f" stroked="f">
                  <v:textbox inset="0,0,0,0">
                    <w:txbxContent>
                      <w:p w:rsidR="009B4233" w:rsidRDefault="006B08B9">
                        <w:pPr>
                          <w:spacing w:after="160" w:line="249" w:lineRule="auto"/>
                        </w:pPr>
                        <w:r>
                          <w:rPr>
                            <w:rFonts w:ascii="Calibri" w:eastAsia="Calibri" w:hAnsi="Calibri" w:cs="Calibri"/>
                            <w:b/>
                            <w:w w:val="128"/>
                          </w:rPr>
                          <w:t>SECTOR</w:t>
                        </w:r>
                        <w:r>
                          <w:rPr>
                            <w:rFonts w:ascii="Calibri" w:eastAsia="Calibri" w:hAnsi="Calibri" w:cs="Calibri"/>
                            <w:b/>
                            <w:spacing w:val="13"/>
                            <w:w w:val="128"/>
                          </w:rPr>
                          <w:t xml:space="preserve"> </w:t>
                        </w:r>
                        <w:r>
                          <w:rPr>
                            <w:rFonts w:ascii="Calibri" w:eastAsia="Calibri" w:hAnsi="Calibri" w:cs="Calibri"/>
                            <w:b/>
                            <w:w w:val="128"/>
                          </w:rPr>
                          <w:t>3:</w:t>
                        </w:r>
                      </w:p>
                    </w:txbxContent>
                  </v:textbox>
                </v:rect>
                <v:rect id="Rectangle 228" o:spid="_x0000_s1038" style="position:absolute;left:7688;width:14752;height:19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" filled="f" stroked="f">
                  <v:textbox inset="0,0,0,0">
                    <w:txbxContent>
                      <w:p w:rsidR="009B4233" w:rsidRDefault="006B08B9">
                        <w:pPr>
                          <w:spacing w:after="160" w:line="249" w:lineRule="auto"/>
                        </w:pPr>
                        <w:r>
                          <w:rPr>
                            <w:spacing w:val="10"/>
                            <w:w w:val="113"/>
                          </w:rPr>
                          <w:t xml:space="preserve"> </w:t>
                        </w:r>
                        <w:r>
                          <w:rPr>
                            <w:w w:val="113"/>
                          </w:rPr>
                          <w:t>Plaza</w:t>
                        </w:r>
                        <w:r>
                          <w:rPr>
                            <w:spacing w:val="14"/>
                            <w:w w:val="113"/>
                          </w:rPr>
                          <w:t xml:space="preserve"> </w:t>
                        </w:r>
                        <w:r>
                          <w:rPr>
                            <w:w w:val="113"/>
                          </w:rPr>
                          <w:t>de</w:t>
                        </w:r>
                        <w:r>
                          <w:rPr>
                            <w:spacing w:val="12"/>
                            <w:w w:val="113"/>
                          </w:rPr>
                          <w:t xml:space="preserve"> </w:t>
                        </w:r>
                        <w:r>
                          <w:rPr>
                            <w:w w:val="113"/>
                          </w:rPr>
                          <w:t>los</w:t>
                        </w:r>
                        <w:r>
                          <w:rPr>
                            <w:spacing w:val="12"/>
                            <w:w w:val="113"/>
                          </w:rPr>
                          <w:t xml:space="preserve"> </w:t>
                        </w:r>
                        <w:r>
                          <w:rPr>
                            <w:w w:val="113"/>
                          </w:rPr>
                          <w:t>Artesanos</w:t>
                        </w:r>
                      </w:p>
                    </w:txbxContent>
                  </v:textbox>
                </v:rect>
                <v:shape id="Picture 230" o:spid="_x0000_s1039" type="#_x0000_t75" style="position:absolute;left:2045;top:3680;width:42182;height:370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">
                  <v:imagedata r:id="rId36" o:title=""/>
                  <v:path arrowok="t"/>
                </v:shape>
                <v:rect id="Rectangle 231" o:spid="_x0000_s1040" style="position:absolute;left:3635;top:41106;width:49183;height:15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" filled="f" stroked="f">
                  <v:textbox inset="0,0,0,0">
                    <w:txbxContent>
                      <w:p w:rsidR="009B4233" w:rsidRDefault="006B08B9">
                        <w:pPr>
                          <w:spacing w:after="160" w:line="249" w:lineRule="auto"/>
                        </w:pPr>
                        <w:r>
                          <w:rPr>
                            <w:rFonts w:ascii="Calibri" w:eastAsia="Calibri" w:hAnsi="Calibri" w:cs="Calibri"/>
                            <w:i/>
                            <w:w w:val="110"/>
                            <w:sz w:val="18"/>
                          </w:rPr>
                          <w:t>Plano</w:t>
                        </w:r>
                        <w:r>
                          <w:rPr>
                            <w:rFonts w:ascii="Calibri" w:eastAsia="Calibri" w:hAnsi="Calibri" w:cs="Calibri"/>
                            <w:i/>
                            <w:spacing w:val="11"/>
                            <w:w w:val="110"/>
                            <w:sz w:val="18"/>
                          </w:rPr>
                          <w:t xml:space="preserve"> </w:t>
                        </w:r>
                        <w:r>
                          <w:rPr>
                            <w:rFonts w:ascii="Calibri" w:eastAsia="Calibri" w:hAnsi="Calibri" w:cs="Calibri"/>
                            <w:i/>
                            <w:w w:val="110"/>
                            <w:sz w:val="18"/>
                          </w:rPr>
                          <w:t>del</w:t>
                        </w:r>
                        <w:r>
                          <w:rPr>
                            <w:rFonts w:ascii="Calibri" w:eastAsia="Calibri" w:hAnsi="Calibri" w:cs="Calibri"/>
                            <w:i/>
                            <w:spacing w:val="9"/>
                            <w:w w:val="110"/>
                            <w:sz w:val="18"/>
                          </w:rPr>
                          <w:t xml:space="preserve"> </w:t>
                        </w:r>
                        <w:r>
                          <w:rPr>
                            <w:rFonts w:ascii="Calibri" w:eastAsia="Calibri" w:hAnsi="Calibri" w:cs="Calibri"/>
                            <w:i/>
                            <w:w w:val="110"/>
                            <w:sz w:val="18"/>
                          </w:rPr>
                          <w:t>Modificado</w:t>
                        </w:r>
                        <w:r>
                          <w:rPr>
                            <w:rFonts w:ascii="Calibri" w:eastAsia="Calibri" w:hAnsi="Calibri" w:cs="Calibri"/>
                            <w:i/>
                            <w:spacing w:val="9"/>
                            <w:w w:val="110"/>
                            <w:sz w:val="18"/>
                          </w:rPr>
                          <w:t xml:space="preserve"> </w:t>
                        </w:r>
                        <w:r>
                          <w:rPr>
                            <w:rFonts w:ascii="Calibri" w:eastAsia="Calibri" w:hAnsi="Calibri" w:cs="Calibri"/>
                            <w:i/>
                            <w:w w:val="110"/>
                            <w:sz w:val="18"/>
                          </w:rPr>
                          <w:t>nº</w:t>
                        </w:r>
                        <w:r>
                          <w:rPr>
                            <w:rFonts w:ascii="Calibri" w:eastAsia="Calibri" w:hAnsi="Calibri" w:cs="Calibri"/>
                            <w:i/>
                            <w:spacing w:val="9"/>
                            <w:w w:val="110"/>
                            <w:sz w:val="18"/>
                          </w:rPr>
                          <w:t xml:space="preserve"> </w:t>
                        </w:r>
                        <w:r>
                          <w:rPr>
                            <w:rFonts w:ascii="Calibri" w:eastAsia="Calibri" w:hAnsi="Calibri" w:cs="Calibri"/>
                            <w:i/>
                            <w:w w:val="110"/>
                            <w:sz w:val="18"/>
                          </w:rPr>
                          <w:t>1</w:t>
                        </w:r>
                        <w:r>
                          <w:rPr>
                            <w:rFonts w:ascii="Calibri" w:eastAsia="Calibri" w:hAnsi="Calibri" w:cs="Calibri"/>
                            <w:i/>
                            <w:spacing w:val="9"/>
                            <w:w w:val="110"/>
                            <w:sz w:val="18"/>
                          </w:rPr>
                          <w:t xml:space="preserve"> </w:t>
                        </w:r>
                        <w:r>
                          <w:rPr>
                            <w:rFonts w:ascii="Calibri" w:eastAsia="Calibri" w:hAnsi="Calibri" w:cs="Calibri"/>
                            <w:i/>
                            <w:w w:val="110"/>
                            <w:sz w:val="18"/>
                          </w:rPr>
                          <w:t>del</w:t>
                        </w:r>
                        <w:r>
                          <w:rPr>
                            <w:rFonts w:ascii="Calibri" w:eastAsia="Calibri" w:hAnsi="Calibri" w:cs="Calibri"/>
                            <w:i/>
                            <w:spacing w:val="9"/>
                            <w:w w:val="110"/>
                            <w:sz w:val="18"/>
                          </w:rPr>
                          <w:t xml:space="preserve"> </w:t>
                        </w:r>
                        <w:r>
                          <w:rPr>
                            <w:rFonts w:ascii="Calibri" w:eastAsia="Calibri" w:hAnsi="Calibri" w:cs="Calibri"/>
                            <w:i/>
                            <w:w w:val="110"/>
                            <w:sz w:val="18"/>
                          </w:rPr>
                          <w:t>Proyecto</w:t>
                        </w:r>
                        <w:r>
                          <w:rPr>
                            <w:rFonts w:ascii="Calibri" w:eastAsia="Calibri" w:hAnsi="Calibri" w:cs="Calibri"/>
                            <w:i/>
                            <w:spacing w:val="11"/>
                            <w:w w:val="110"/>
                            <w:sz w:val="18"/>
                          </w:rPr>
                          <w:t xml:space="preserve"> </w:t>
                        </w:r>
                        <w:r>
                          <w:rPr>
                            <w:rFonts w:ascii="Calibri" w:eastAsia="Calibri" w:hAnsi="Calibri" w:cs="Calibri"/>
                            <w:i/>
                            <w:w w:val="110"/>
                            <w:sz w:val="18"/>
                          </w:rPr>
                          <w:t>de</w:t>
                        </w:r>
                        <w:r>
                          <w:rPr>
                            <w:rFonts w:ascii="Calibri" w:eastAsia="Calibri" w:hAnsi="Calibri" w:cs="Calibri"/>
                            <w:i/>
                            <w:spacing w:val="9"/>
                            <w:w w:val="110"/>
                            <w:sz w:val="18"/>
                          </w:rPr>
                          <w:t xml:space="preserve"> </w:t>
                        </w:r>
                        <w:r>
                          <w:rPr>
                            <w:rFonts w:ascii="Calibri" w:eastAsia="Calibri" w:hAnsi="Calibri" w:cs="Calibri"/>
                            <w:i/>
                            <w:w w:val="110"/>
                            <w:sz w:val="18"/>
                          </w:rPr>
                          <w:t>Remodelación</w:t>
                        </w:r>
                        <w:r>
                          <w:rPr>
                            <w:rFonts w:ascii="Calibri" w:eastAsia="Calibri" w:hAnsi="Calibri" w:cs="Calibri"/>
                            <w:i/>
                            <w:spacing w:val="9"/>
                            <w:w w:val="110"/>
                            <w:sz w:val="18"/>
                          </w:rPr>
                          <w:t xml:space="preserve"> </w:t>
                        </w:r>
                        <w:r>
                          <w:rPr>
                            <w:rFonts w:ascii="Calibri" w:eastAsia="Calibri" w:hAnsi="Calibri" w:cs="Calibri"/>
                            <w:i/>
                            <w:w w:val="110"/>
                            <w:sz w:val="18"/>
                          </w:rPr>
                          <w:t>de</w:t>
                        </w:r>
                        <w:r>
                          <w:rPr>
                            <w:rFonts w:ascii="Calibri" w:eastAsia="Calibri" w:hAnsi="Calibri" w:cs="Calibri"/>
                            <w:i/>
                            <w:spacing w:val="9"/>
                            <w:w w:val="110"/>
                            <w:sz w:val="18"/>
                          </w:rPr>
                          <w:t xml:space="preserve"> </w:t>
                        </w:r>
                        <w:r>
                          <w:rPr>
                            <w:rFonts w:ascii="Calibri" w:eastAsia="Calibri" w:hAnsi="Calibri" w:cs="Calibri"/>
                            <w:i/>
                            <w:w w:val="110"/>
                            <w:sz w:val="18"/>
                          </w:rPr>
                          <w:t>la</w:t>
                        </w:r>
                        <w:r>
                          <w:rPr>
                            <w:rFonts w:ascii="Calibri" w:eastAsia="Calibri" w:hAnsi="Calibri" w:cs="Calibri"/>
                            <w:i/>
                            <w:spacing w:val="11"/>
                            <w:w w:val="110"/>
                            <w:sz w:val="18"/>
                          </w:rPr>
                          <w:t xml:space="preserve"> </w:t>
                        </w:r>
                        <w:r>
                          <w:rPr>
                            <w:rFonts w:ascii="Calibri" w:eastAsia="Calibri" w:hAnsi="Calibri" w:cs="Calibri"/>
                            <w:i/>
                            <w:w w:val="110"/>
                            <w:sz w:val="18"/>
                          </w:rPr>
                          <w:t>Plaza</w:t>
                        </w:r>
                        <w:r>
                          <w:rPr>
                            <w:rFonts w:ascii="Calibri" w:eastAsia="Calibri" w:hAnsi="Calibri" w:cs="Calibri"/>
                            <w:i/>
                            <w:spacing w:val="9"/>
                            <w:w w:val="110"/>
                            <w:sz w:val="18"/>
                          </w:rPr>
                          <w:t xml:space="preserve"> </w:t>
                        </w:r>
                        <w:r>
                          <w:rPr>
                            <w:rFonts w:ascii="Calibri" w:eastAsia="Calibri" w:hAnsi="Calibri" w:cs="Calibri"/>
                            <w:i/>
                            <w:w w:val="110"/>
                            <w:sz w:val="18"/>
                          </w:rPr>
                          <w:t>de</w:t>
                        </w:r>
                        <w:r>
                          <w:rPr>
                            <w:rFonts w:ascii="Calibri" w:eastAsia="Calibri" w:hAnsi="Calibri" w:cs="Calibri"/>
                            <w:i/>
                            <w:spacing w:val="9"/>
                            <w:w w:val="110"/>
                            <w:sz w:val="18"/>
                          </w:rPr>
                          <w:t xml:space="preserve"> </w:t>
                        </w:r>
                        <w:r>
                          <w:rPr>
                            <w:rFonts w:ascii="Calibri" w:eastAsia="Calibri" w:hAnsi="Calibri" w:cs="Calibri"/>
                            <w:i/>
                            <w:w w:val="110"/>
                            <w:sz w:val="18"/>
                          </w:rPr>
                          <w:t>La</w:t>
                        </w:r>
                        <w:r>
                          <w:rPr>
                            <w:rFonts w:ascii="Calibri" w:eastAsia="Calibri" w:hAnsi="Calibri" w:cs="Calibri"/>
                            <w:i/>
                            <w:spacing w:val="9"/>
                            <w:w w:val="110"/>
                            <w:sz w:val="18"/>
                          </w:rPr>
                          <w:t xml:space="preserve"> </w:t>
                        </w:r>
                        <w:r>
                          <w:rPr>
                            <w:rFonts w:ascii="Calibri" w:eastAsia="Calibri" w:hAnsi="Calibri" w:cs="Calibri"/>
                            <w:i/>
                            <w:w w:val="110"/>
                            <w:sz w:val="18"/>
                          </w:rPr>
                          <w:t>Patrona</w:t>
                        </w:r>
                        <w:r>
                          <w:rPr>
                            <w:rFonts w:ascii="Calibri" w:eastAsia="Calibri" w:hAnsi="Calibri" w:cs="Calibri"/>
                            <w:i/>
                            <w:spacing w:val="9"/>
                            <w:w w:val="110"/>
                            <w:sz w:val="18"/>
                          </w:rPr>
                          <w:t xml:space="preserve"> </w:t>
                        </w:r>
                        <w:r>
                          <w:rPr>
                            <w:rFonts w:ascii="Calibri" w:eastAsia="Calibri" w:hAnsi="Calibri" w:cs="Calibri"/>
                            <w:i/>
                            <w:w w:val="110"/>
                            <w:sz w:val="18"/>
                          </w:rPr>
                          <w:t>y</w:t>
                        </w:r>
                        <w:r>
                          <w:rPr>
                            <w:rFonts w:ascii="Calibri" w:eastAsia="Calibri" w:hAnsi="Calibri" w:cs="Calibri"/>
                            <w:i/>
                            <w:spacing w:val="9"/>
                            <w:w w:val="110"/>
                            <w:sz w:val="18"/>
                          </w:rPr>
                          <w:t xml:space="preserve"> </w:t>
                        </w:r>
                        <w:r>
                          <w:rPr>
                            <w:rFonts w:ascii="Calibri" w:eastAsia="Calibri" w:hAnsi="Calibri" w:cs="Calibri"/>
                            <w:i/>
                            <w:w w:val="110"/>
                            <w:sz w:val="18"/>
                          </w:rPr>
                          <w:t>su</w:t>
                        </w:r>
                        <w:r>
                          <w:rPr>
                            <w:rFonts w:ascii="Calibri" w:eastAsia="Calibri" w:hAnsi="Calibri" w:cs="Calibri"/>
                            <w:i/>
                            <w:spacing w:val="9"/>
                            <w:w w:val="110"/>
                            <w:sz w:val="18"/>
                          </w:rPr>
                          <w:t xml:space="preserve"> </w:t>
                        </w:r>
                        <w:r>
                          <w:rPr>
                            <w:rFonts w:ascii="Calibri" w:eastAsia="Calibri" w:hAnsi="Calibri" w:cs="Calibri"/>
                            <w:i/>
                            <w:w w:val="110"/>
                            <w:sz w:val="18"/>
                          </w:rPr>
                          <w:t>entorno</w:t>
                        </w:r>
                      </w:p>
                    </w:txbxContent>
                  </v:textbox>
                </v:rect>
                <v:rect id="Rectangle 232" o:spid="_x0000_s1041" style="position:absolute;left:2050;top:42662;width:389;height:19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" filled="f" stroked="f">
                  <v:textbox inset="0,0,0,0">
                    <w:txbxContent>
                      <w:p w:rsidR="009B4233" w:rsidRDefault="006B08B9">
                        <w:pPr>
                          <w:spacing w:after="160" w:line="249" w:lineRule="auto"/>
                        </w:pPr>
                        <w:r>
                          <w:t xml:space="preserve"> </w:t>
                        </w:r>
                      </w:p>
                    </w:txbxContent>
                  </v:textbox>
                </v:rect>
                <v:rect id="Rectangle 233" o:spid="_x0000_s1042" style="position:absolute;left:2050;top:46477;width:1169;height:1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" filled="f" stroked="f">
                  <v:textbox inset="0,0,0,0">
                    <w:txbxContent>
                      <w:p w:rsidR="009B4233" w:rsidRDefault="006B08B9">
                        <w:pPr>
                          <w:spacing w:after="160" w:line="249" w:lineRule="auto"/>
                        </w:pPr>
                        <w:r>
                          <w:rPr>
                            <w:rFonts w:ascii="Calibri" w:eastAsia="Calibri" w:hAnsi="Calibri" w:cs="Calibri"/>
                            <w:b/>
                            <w:w w:val="110"/>
                          </w:rPr>
                          <w:t>3.</w:t>
                        </w:r>
                      </w:p>
                    </w:txbxContent>
                  </v:textbox>
                </v:rect>
                <v:rect id="Rectangle 235" o:spid="_x0000_s1043" style="position:absolute;left:4096;top:46477;width:18390;height:1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" filled="f" stroked="f">
                  <v:textbox inset="0,0,0,0">
                    <w:txbxContent>
                      <w:p w:rsidR="009B4233" w:rsidRDefault="006B08B9">
                        <w:pPr>
                          <w:spacing w:after="160" w:line="249" w:lineRule="auto"/>
                        </w:pPr>
                        <w:r>
                          <w:rPr>
                            <w:rFonts w:ascii="Calibri" w:eastAsia="Calibri" w:hAnsi="Calibri" w:cs="Calibri"/>
                            <w:b/>
                            <w:w w:val="124"/>
                            <w:shd w:val="clear" w:color="auto" w:fill="E6E6E6"/>
                          </w:rPr>
                          <w:t>OBJETO</w:t>
                        </w:r>
                        <w:r>
                          <w:rPr>
                            <w:rFonts w:ascii="Calibri" w:eastAsia="Calibri" w:hAnsi="Calibri" w:cs="Calibri"/>
                            <w:b/>
                            <w:spacing w:val="13"/>
                            <w:w w:val="124"/>
                            <w:shd w:val="clear" w:color="auto" w:fill="E6E6E6"/>
                          </w:rPr>
                          <w:t xml:space="preserve"> </w:t>
                        </w:r>
                        <w:r>
                          <w:rPr>
                            <w:rFonts w:ascii="Calibri" w:eastAsia="Calibri" w:hAnsi="Calibri" w:cs="Calibri"/>
                            <w:b/>
                            <w:w w:val="124"/>
                            <w:shd w:val="clear" w:color="auto" w:fill="E6E6E6"/>
                          </w:rPr>
                          <w:t>DEL</w:t>
                        </w:r>
                        <w:r>
                          <w:rPr>
                            <w:rFonts w:ascii="Calibri" w:eastAsia="Calibri" w:hAnsi="Calibri" w:cs="Calibri"/>
                            <w:b/>
                            <w:spacing w:val="12"/>
                            <w:w w:val="124"/>
                            <w:shd w:val="clear" w:color="auto" w:fill="E6E6E6"/>
                          </w:rPr>
                          <w:t xml:space="preserve"> </w:t>
                        </w:r>
                        <w:r>
                          <w:rPr>
                            <w:rFonts w:ascii="Calibri" w:eastAsia="Calibri" w:hAnsi="Calibri" w:cs="Calibri"/>
                            <w:b/>
                            <w:w w:val="124"/>
                            <w:shd w:val="clear" w:color="auto" w:fill="E6E6E6"/>
                          </w:rPr>
                          <w:t>MODIFICADO</w:t>
                        </w:r>
                      </w:p>
                    </w:txbxContent>
                  </v:textbox>
                </v:rect>
                <v:rect id="Rectangle 236" o:spid="_x0000_s1044" style="position:absolute;left:17945;top:46477;width:1246;height:1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" filled="f" stroked="f">
                  <v:textbox inset="0,0,0,0">
                    <w:txbxContent>
                      <w:p w:rsidR="009B4233" w:rsidRDefault="006B08B9">
                        <w:pPr>
                          <w:spacing w:after="160" w:line="249" w:lineRule="auto"/>
                        </w:pPr>
                        <w:r>
                          <w:rPr>
                            <w:rFonts w:ascii="Calibri" w:eastAsia="Calibri" w:hAnsi="Calibri" w:cs="Calibri"/>
                            <w:b/>
                            <w:w w:val="110"/>
                          </w:rPr>
                          <w:t>.</w:t>
                        </w:r>
                        <w:r>
                          <w:rPr>
                            <w:rFonts w:ascii="Calibri" w:eastAsia="Calibri" w:hAnsi="Calibri" w:cs="Calibri"/>
                            <w:b/>
                            <w:spacing w:val="11"/>
                            <w:w w:val="110"/>
                          </w:rPr>
                          <w:t xml:space="preserve"> </w:t>
                        </w:r>
                        <w:r>
                          <w:rPr>
                            <w:rFonts w:ascii="Calibri" w:eastAsia="Calibri" w:hAnsi="Calibri" w:cs="Calibri"/>
                            <w:b/>
                            <w:w w:val="110"/>
                          </w:rPr>
                          <w:t>-</w:t>
                        </w:r>
                      </w:p>
                    </w:txbxContent>
                  </v:textbox>
                </v:rect>
                <v:rect id="Rectangle 237" o:spid="_x0000_s1045" style="position:absolute;left:2050;top:50912;width:29859;height:15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" filled="f" stroked="f">
                  <v:textbox inset="0,0,0,0">
                    <w:txbxContent>
                      <w:p w:rsidR="009B4233" w:rsidRDefault="006B08B9">
                        <w:pPr>
                          <w:spacing w:after="160" w:line="249" w:lineRule="auto"/>
                        </w:pPr>
                        <w:r>
                          <w:rPr>
                            <w:rFonts w:ascii="Calibri" w:eastAsia="Calibri" w:hAnsi="Calibri" w:cs="Calibri"/>
                            <w:b/>
                            <w:w w:val="127"/>
                            <w:sz w:val="18"/>
                          </w:rPr>
                          <w:t>A.-</w:t>
                        </w:r>
                        <w:r>
                          <w:rPr>
                            <w:rFonts w:ascii="Calibri" w:eastAsia="Calibri" w:hAnsi="Calibri" w:cs="Calibri"/>
                            <w:b/>
                            <w:spacing w:val="9"/>
                            <w:w w:val="127"/>
                            <w:sz w:val="18"/>
                          </w:rPr>
                          <w:t xml:space="preserve"> </w:t>
                        </w:r>
                        <w:r>
                          <w:rPr>
                            <w:rFonts w:ascii="Calibri" w:eastAsia="Calibri" w:hAnsi="Calibri" w:cs="Calibri"/>
                            <w:b/>
                            <w:w w:val="127"/>
                            <w:sz w:val="18"/>
                          </w:rPr>
                          <w:t>EDIFICIO</w:t>
                        </w:r>
                        <w:r>
                          <w:rPr>
                            <w:rFonts w:ascii="Calibri" w:eastAsia="Calibri" w:hAnsi="Calibri" w:cs="Calibri"/>
                            <w:b/>
                            <w:spacing w:val="9"/>
                            <w:w w:val="127"/>
                            <w:sz w:val="18"/>
                          </w:rPr>
                          <w:t xml:space="preserve"> </w:t>
                        </w:r>
                        <w:r>
                          <w:rPr>
                            <w:rFonts w:ascii="Calibri" w:eastAsia="Calibri" w:hAnsi="Calibri" w:cs="Calibri"/>
                            <w:b/>
                            <w:w w:val="127"/>
                            <w:sz w:val="18"/>
                          </w:rPr>
                          <w:t>OCEÁNICA.</w:t>
                        </w:r>
                        <w:r>
                          <w:rPr>
                            <w:rFonts w:ascii="Calibri" w:eastAsia="Calibri" w:hAnsi="Calibri" w:cs="Calibri"/>
                            <w:b/>
                            <w:spacing w:val="9"/>
                            <w:w w:val="127"/>
                            <w:sz w:val="18"/>
                          </w:rPr>
                          <w:t xml:space="preserve"> </w:t>
                        </w:r>
                        <w:r>
                          <w:rPr>
                            <w:rFonts w:ascii="Calibri" w:eastAsia="Calibri" w:hAnsi="Calibri" w:cs="Calibri"/>
                            <w:b/>
                            <w:w w:val="127"/>
                            <w:sz w:val="18"/>
                          </w:rPr>
                          <w:t>PLAZA</w:t>
                        </w:r>
                        <w:r>
                          <w:rPr>
                            <w:rFonts w:ascii="Calibri" w:eastAsia="Calibri" w:hAnsi="Calibri" w:cs="Calibri"/>
                            <w:b/>
                            <w:spacing w:val="9"/>
                            <w:w w:val="127"/>
                            <w:sz w:val="18"/>
                          </w:rPr>
                          <w:t xml:space="preserve"> </w:t>
                        </w:r>
                        <w:r>
                          <w:rPr>
                            <w:rFonts w:ascii="Calibri" w:eastAsia="Calibri" w:hAnsi="Calibri" w:cs="Calibri"/>
                            <w:b/>
                            <w:w w:val="127"/>
                            <w:sz w:val="18"/>
                          </w:rPr>
                          <w:t>DE</w:t>
                        </w:r>
                        <w:r>
                          <w:rPr>
                            <w:rFonts w:ascii="Calibri" w:eastAsia="Calibri" w:hAnsi="Calibri" w:cs="Calibri"/>
                            <w:b/>
                            <w:spacing w:val="9"/>
                            <w:w w:val="127"/>
                            <w:sz w:val="18"/>
                          </w:rPr>
                          <w:t xml:space="preserve"> </w:t>
                        </w:r>
                        <w:r>
                          <w:rPr>
                            <w:rFonts w:ascii="Calibri" w:eastAsia="Calibri" w:hAnsi="Calibri" w:cs="Calibri"/>
                            <w:b/>
                            <w:w w:val="127"/>
                            <w:sz w:val="18"/>
                          </w:rPr>
                          <w:t>LOS</w:t>
                        </w:r>
                        <w:r>
                          <w:rPr>
                            <w:rFonts w:ascii="Calibri" w:eastAsia="Calibri" w:hAnsi="Calibri" w:cs="Calibri"/>
                            <w:b/>
                            <w:spacing w:val="9"/>
                            <w:w w:val="127"/>
                            <w:sz w:val="18"/>
                          </w:rPr>
                          <w:t xml:space="preserve"> </w:t>
                        </w:r>
                        <w:r>
                          <w:rPr>
                            <w:rFonts w:ascii="Calibri" w:eastAsia="Calibri" w:hAnsi="Calibri" w:cs="Calibri"/>
                            <w:b/>
                            <w:w w:val="127"/>
                            <w:sz w:val="18"/>
                          </w:rPr>
                          <w:t>ARTESANOS</w:t>
                        </w:r>
                      </w:p>
                    </w:txbxContent>
                  </v:textbox>
                </v:rect>
                <v:rect id="Rectangle 238" o:spid="_x0000_s1046" style="position:absolute;left:2050;top:53372;width:53366;height:1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" filled="f" stroked="f">
                  <v:textbox inset="0,0,0,0">
                    <w:txbxContent>
                      <w:p w:rsidR="009B4233" w:rsidRDefault="006B08B9">
                        <w:pPr>
                          <w:spacing w:after="160" w:line="249" w:lineRule="auto"/>
                        </w:pPr>
                        <w:r>
                          <w:rPr>
                            <w:w w:val="109"/>
                          </w:rPr>
                          <w:t>Como</w:t>
                        </w:r>
                        <w:r>
                          <w:rPr>
                            <w:spacing w:val="29"/>
                            <w:w w:val="109"/>
                          </w:rPr>
                          <w:t xml:space="preserve"> </w:t>
                        </w:r>
                        <w:r>
                          <w:rPr>
                            <w:w w:val="109"/>
                          </w:rPr>
                          <w:t>consecuencia</w:t>
                        </w:r>
                        <w:r>
                          <w:rPr>
                            <w:spacing w:val="31"/>
                            <w:w w:val="109"/>
                          </w:rPr>
                          <w:t xml:space="preserve"> </w:t>
                        </w:r>
                        <w:r>
                          <w:rPr>
                            <w:w w:val="109"/>
                          </w:rPr>
                          <w:t>de</w:t>
                        </w:r>
                        <w:r>
                          <w:rPr>
                            <w:spacing w:val="29"/>
                            <w:w w:val="109"/>
                          </w:rPr>
                          <w:t xml:space="preserve"> </w:t>
                        </w:r>
                        <w:r>
                          <w:rPr>
                            <w:w w:val="109"/>
                          </w:rPr>
                          <w:t>la</w:t>
                        </w:r>
                        <w:r>
                          <w:rPr>
                            <w:spacing w:val="31"/>
                            <w:w w:val="109"/>
                          </w:rPr>
                          <w:t xml:space="preserve"> </w:t>
                        </w:r>
                        <w:r>
                          <w:rPr>
                            <w:w w:val="109"/>
                          </w:rPr>
                          <w:t>construcción</w:t>
                        </w:r>
                        <w:r>
                          <w:rPr>
                            <w:spacing w:val="31"/>
                            <w:w w:val="109"/>
                          </w:rPr>
                          <w:t xml:space="preserve"> </w:t>
                        </w:r>
                        <w:r>
                          <w:rPr>
                            <w:w w:val="109"/>
                          </w:rPr>
                          <w:t>de</w:t>
                        </w:r>
                        <w:r>
                          <w:rPr>
                            <w:spacing w:val="29"/>
                            <w:w w:val="109"/>
                          </w:rPr>
                          <w:t xml:space="preserve"> </w:t>
                        </w:r>
                        <w:r>
                          <w:rPr>
                            <w:w w:val="109"/>
                          </w:rPr>
                          <w:t>un</w:t>
                        </w:r>
                        <w:r>
                          <w:rPr>
                            <w:spacing w:val="27"/>
                            <w:w w:val="109"/>
                          </w:rPr>
                          <w:t xml:space="preserve"> </w:t>
                        </w:r>
                        <w:r>
                          <w:rPr>
                            <w:w w:val="109"/>
                          </w:rPr>
                          <w:t>nuevo</w:t>
                        </w:r>
                        <w:r>
                          <w:rPr>
                            <w:spacing w:val="31"/>
                            <w:w w:val="109"/>
                          </w:rPr>
                          <w:t xml:space="preserve"> </w:t>
                        </w:r>
                        <w:r>
                          <w:rPr>
                            <w:w w:val="109"/>
                          </w:rPr>
                          <w:t>edificio</w:t>
                        </w:r>
                        <w:r>
                          <w:rPr>
                            <w:spacing w:val="31"/>
                            <w:w w:val="109"/>
                          </w:rPr>
                          <w:t xml:space="preserve"> </w:t>
                        </w:r>
                        <w:r>
                          <w:rPr>
                            <w:w w:val="109"/>
                          </w:rPr>
                          <w:t>en</w:t>
                        </w:r>
                        <w:r>
                          <w:rPr>
                            <w:spacing w:val="29"/>
                            <w:w w:val="109"/>
                          </w:rPr>
                          <w:t xml:space="preserve"> </w:t>
                        </w:r>
                        <w:r>
                          <w:rPr>
                            <w:w w:val="109"/>
                          </w:rPr>
                          <w:t>una</w:t>
                        </w:r>
                        <w:r>
                          <w:rPr>
                            <w:spacing w:val="29"/>
                            <w:w w:val="109"/>
                          </w:rPr>
                          <w:t xml:space="preserve"> </w:t>
                        </w:r>
                        <w:r>
                          <w:rPr>
                            <w:w w:val="109"/>
                          </w:rPr>
                          <w:t>antigua</w:t>
                        </w:r>
                        <w:r>
                          <w:rPr>
                            <w:spacing w:val="29"/>
                            <w:w w:val="109"/>
                          </w:rPr>
                          <w:t xml:space="preserve"> </w:t>
                        </w:r>
                        <w:r>
                          <w:rPr>
                            <w:w w:val="109"/>
                          </w:rPr>
                          <w:t>parcela</w:t>
                        </w:r>
                      </w:p>
                    </w:txbxContent>
                  </v:textbox>
                </v:rect>
                <v:rect id="Rectangle 239" o:spid="_x0000_s1047" style="position:absolute;left:42215;top:53372;width:389;height:1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" filled="f" stroked="f">
                  <v:textbox inset="0,0,0,0">
                    <w:txbxContent>
                      <w:p w:rsidR="009B4233" w:rsidRDefault="006B08B9">
                        <w:pPr>
                          <w:spacing w:after="160" w:line="249" w:lineRule="auto"/>
                        </w:pPr>
                        <w:r>
                          <w:t xml:space="preserve"> </w:t>
                        </w:r>
                      </w:p>
                    </w:txbxContent>
                  </v:textbox>
                </v:rect>
                <v:rect id="Rectangle 240" o:spid="_x0000_s1048" style="position:absolute;left:14;top:55095;width:56055;height:1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" filled="f" stroked="f">
                  <v:textbox inset="0,0,0,0">
                    <w:txbxContent>
                      <w:p w:rsidR="009B4233" w:rsidRDefault="006B08B9">
                        <w:pPr>
                          <w:spacing w:after="160" w:line="249" w:lineRule="auto"/>
                        </w:pPr>
                        <w:r>
                          <w:rPr>
                            <w:w w:val="110"/>
                          </w:rPr>
                          <w:t>situada</w:t>
                        </w:r>
                        <w:r>
                          <w:rPr>
                            <w:spacing w:val="106"/>
                            <w:w w:val="110"/>
                          </w:rPr>
                          <w:t xml:space="preserve"> </w:t>
                        </w:r>
                        <w:r>
                          <w:rPr>
                            <w:w w:val="110"/>
                          </w:rPr>
                          <w:t>al</w:t>
                        </w:r>
                        <w:r>
                          <w:rPr>
                            <w:spacing w:val="103"/>
                            <w:w w:val="110"/>
                          </w:rPr>
                          <w:t xml:space="preserve"> </w:t>
                        </w:r>
                        <w:r>
                          <w:rPr>
                            <w:w w:val="110"/>
                          </w:rPr>
                          <w:t>final</w:t>
                        </w:r>
                        <w:r>
                          <w:rPr>
                            <w:spacing w:val="105"/>
                            <w:w w:val="110"/>
                          </w:rPr>
                          <w:t xml:space="preserve"> </w:t>
                        </w:r>
                        <w:r>
                          <w:rPr>
                            <w:w w:val="110"/>
                          </w:rPr>
                          <w:t>de</w:t>
                        </w:r>
                        <w:r>
                          <w:rPr>
                            <w:spacing w:val="104"/>
                            <w:w w:val="110"/>
                          </w:rPr>
                          <w:t xml:space="preserve"> </w:t>
                        </w:r>
                        <w:r>
                          <w:rPr>
                            <w:w w:val="110"/>
                          </w:rPr>
                          <w:t>la</w:t>
                        </w:r>
                        <w:r>
                          <w:rPr>
                            <w:spacing w:val="106"/>
                            <w:w w:val="110"/>
                          </w:rPr>
                          <w:t xml:space="preserve"> </w:t>
                        </w:r>
                        <w:r>
                          <w:rPr>
                            <w:w w:val="110"/>
                          </w:rPr>
                          <w:t>plaza</w:t>
                        </w:r>
                        <w:r>
                          <w:rPr>
                            <w:spacing w:val="106"/>
                            <w:w w:val="110"/>
                          </w:rPr>
                          <w:t xml:space="preserve"> </w:t>
                        </w:r>
                        <w:r>
                          <w:rPr>
                            <w:w w:val="110"/>
                          </w:rPr>
                          <w:t>de</w:t>
                        </w:r>
                        <w:r>
                          <w:rPr>
                            <w:spacing w:val="106"/>
                            <w:w w:val="110"/>
                          </w:rPr>
                          <w:t xml:space="preserve"> </w:t>
                        </w:r>
                        <w:r>
                          <w:rPr>
                            <w:w w:val="110"/>
                          </w:rPr>
                          <w:t>los</w:t>
                        </w:r>
                        <w:r>
                          <w:rPr>
                            <w:spacing w:val="104"/>
                            <w:w w:val="110"/>
                          </w:rPr>
                          <w:t xml:space="preserve"> </w:t>
                        </w:r>
                        <w:r>
                          <w:rPr>
                            <w:w w:val="110"/>
                          </w:rPr>
                          <w:t>artesanos,</w:t>
                        </w:r>
                        <w:r>
                          <w:rPr>
                            <w:spacing w:val="105"/>
                            <w:w w:val="110"/>
                          </w:rPr>
                          <w:t xml:space="preserve"> </w:t>
                        </w:r>
                        <w:r>
                          <w:rPr>
                            <w:w w:val="110"/>
                          </w:rPr>
                          <w:t>con</w:t>
                        </w:r>
                        <w:r>
                          <w:rPr>
                            <w:spacing w:val="104"/>
                            <w:w w:val="110"/>
                          </w:rPr>
                          <w:t xml:space="preserve"> </w:t>
                        </w:r>
                        <w:r>
                          <w:rPr>
                            <w:w w:val="110"/>
                          </w:rPr>
                          <w:t>fachada</w:t>
                        </w:r>
                        <w:r>
                          <w:rPr>
                            <w:spacing w:val="106"/>
                            <w:w w:val="110"/>
                          </w:rPr>
                          <w:t xml:space="preserve"> </w:t>
                        </w:r>
                        <w:r>
                          <w:rPr>
                            <w:w w:val="110"/>
                          </w:rPr>
                          <w:t>a</w:t>
                        </w:r>
                        <w:r>
                          <w:rPr>
                            <w:spacing w:val="104"/>
                            <w:w w:val="110"/>
                          </w:rPr>
                          <w:t xml:space="preserve"> </w:t>
                        </w:r>
                        <w:r>
                          <w:rPr>
                            <w:w w:val="110"/>
                          </w:rPr>
                          <w:t>la</w:t>
                        </w:r>
                        <w:r>
                          <w:rPr>
                            <w:spacing w:val="106"/>
                            <w:w w:val="110"/>
                          </w:rPr>
                          <w:t xml:space="preserve"> </w:t>
                        </w:r>
                        <w:r>
                          <w:rPr>
                            <w:w w:val="110"/>
                          </w:rPr>
                          <w:t>futura</w:t>
                        </w:r>
                        <w:r>
                          <w:rPr>
                            <w:spacing w:val="104"/>
                            <w:w w:val="110"/>
                          </w:rPr>
                          <w:t xml:space="preserve"> </w:t>
                        </w:r>
                        <w:r>
                          <w:rPr>
                            <w:w w:val="110"/>
                          </w:rPr>
                          <w:t>plaza,</w:t>
                        </w:r>
                        <w:r>
                          <w:rPr>
                            <w:spacing w:val="107"/>
                            <w:w w:val="110"/>
                          </w:rPr>
                          <w:t xml:space="preserve"> </w:t>
                        </w:r>
                        <w:r>
                          <w:rPr>
                            <w:w w:val="110"/>
                          </w:rPr>
                          <w:t>y</w:t>
                        </w:r>
                      </w:p>
                    </w:txbxContent>
                  </v:textbox>
                </v:rect>
                <v:rect id="Rectangle 241" o:spid="_x0000_s1049" style="position:absolute;left:42215;top:55095;width:389;height:1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" filled="f" stroked="f">
                  <v:textbox inset="0,0,0,0">
                    <w:txbxContent>
                      <w:p w:rsidR="009B4233" w:rsidRDefault="006B08B9">
                        <w:pPr>
                          <w:spacing w:after="160" w:line="249" w:lineRule="auto"/>
                        </w:pPr>
                        <w:r>
                          <w:t xml:space="preserve"> </w:t>
                        </w:r>
                      </w:p>
                    </w:txbxContent>
                  </v:textbox>
                </v:rect>
                <v:rect id="Rectangle 242" o:spid="_x0000_s1050" style="position:absolute;left:14;top:56819;width:56030;height:1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" filled="f" stroked="f">
                  <v:textbox inset="0,0,0,0">
                    <w:txbxContent>
                      <w:p w:rsidR="009B4233" w:rsidRDefault="006B08B9">
                        <w:pPr>
                          <w:spacing w:after="160" w:line="249" w:lineRule="auto"/>
                        </w:pPr>
                        <w:r>
                          <w:rPr>
                            <w:w w:val="109"/>
                          </w:rPr>
                          <w:t>encontrándose</w:t>
                        </w:r>
                        <w:r>
                          <w:rPr>
                            <w:spacing w:val="83"/>
                            <w:w w:val="109"/>
                          </w:rPr>
                          <w:t xml:space="preserve"> </w:t>
                        </w:r>
                        <w:r>
                          <w:rPr>
                            <w:w w:val="109"/>
                          </w:rPr>
                          <w:t>la</w:t>
                        </w:r>
                        <w:r>
                          <w:rPr>
                            <w:spacing w:val="81"/>
                            <w:w w:val="109"/>
                          </w:rPr>
                          <w:t xml:space="preserve"> </w:t>
                        </w:r>
                        <w:r>
                          <w:rPr>
                            <w:w w:val="109"/>
                          </w:rPr>
                          <w:t>construcción</w:t>
                        </w:r>
                        <w:r>
                          <w:rPr>
                            <w:spacing w:val="83"/>
                            <w:w w:val="109"/>
                          </w:rPr>
                          <w:t xml:space="preserve"> </w:t>
                        </w:r>
                        <w:r>
                          <w:rPr>
                            <w:w w:val="109"/>
                          </w:rPr>
                          <w:t>privada</w:t>
                        </w:r>
                        <w:r>
                          <w:rPr>
                            <w:spacing w:val="83"/>
                            <w:w w:val="109"/>
                          </w:rPr>
                          <w:t xml:space="preserve"> </w:t>
                        </w:r>
                        <w:r>
                          <w:rPr>
                            <w:w w:val="109"/>
                          </w:rPr>
                          <w:t>de</w:t>
                        </w:r>
                        <w:r>
                          <w:rPr>
                            <w:spacing w:val="81"/>
                            <w:w w:val="109"/>
                          </w:rPr>
                          <w:t xml:space="preserve"> </w:t>
                        </w:r>
                        <w:r>
                          <w:rPr>
                            <w:w w:val="109"/>
                          </w:rPr>
                          <w:t>viviendas</w:t>
                        </w:r>
                        <w:r>
                          <w:rPr>
                            <w:spacing w:val="86"/>
                            <w:w w:val="109"/>
                          </w:rPr>
                          <w:t xml:space="preserve"> </w:t>
                        </w:r>
                        <w:r>
                          <w:rPr>
                            <w:w w:val="109"/>
                          </w:rPr>
                          <w:t>en</w:t>
                        </w:r>
                        <w:r>
                          <w:rPr>
                            <w:spacing w:val="81"/>
                            <w:w w:val="109"/>
                          </w:rPr>
                          <w:t xml:space="preserve"> </w:t>
                        </w:r>
                        <w:r>
                          <w:rPr>
                            <w:w w:val="109"/>
                          </w:rPr>
                          <w:t>fase</w:t>
                        </w:r>
                        <w:r>
                          <w:rPr>
                            <w:spacing w:val="81"/>
                            <w:w w:val="109"/>
                          </w:rPr>
                          <w:t xml:space="preserve"> </w:t>
                        </w:r>
                        <w:r>
                          <w:rPr>
                            <w:w w:val="109"/>
                          </w:rPr>
                          <w:t>de</w:t>
                        </w:r>
                        <w:r>
                          <w:rPr>
                            <w:spacing w:val="83"/>
                            <w:w w:val="109"/>
                          </w:rPr>
                          <w:t xml:space="preserve"> </w:t>
                        </w:r>
                        <w:r>
                          <w:rPr>
                            <w:w w:val="109"/>
                          </w:rPr>
                          <w:t>terminación,</w:t>
                        </w:r>
                        <w:r>
                          <w:rPr>
                            <w:spacing w:val="85"/>
                            <w:w w:val="109"/>
                          </w:rPr>
                          <w:t xml:space="preserve"> </w:t>
                        </w:r>
                        <w:r>
                          <w:rPr>
                            <w:w w:val="109"/>
                          </w:rPr>
                          <w:t>se</w:t>
                        </w:r>
                        <w:r>
                          <w:rPr>
                            <w:spacing w:val="81"/>
                            <w:w w:val="109"/>
                          </w:rPr>
                          <w:t xml:space="preserve"> </w:t>
                        </w:r>
                        <w:r>
                          <w:rPr>
                            <w:w w:val="109"/>
                          </w:rPr>
                          <w:t>ha</w:t>
                        </w:r>
                      </w:p>
                    </w:txbxContent>
                  </v:textbox>
                </v:rect>
                <v:rect id="Rectangle 243" o:spid="_x0000_s1051" style="position:absolute;left:42215;top:56819;width:389;height:1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" filled="f" stroked="f">
                  <v:textbox inset="0,0,0,0">
                    <w:txbxContent>
                      <w:p w:rsidR="009B4233" w:rsidRDefault="006B08B9">
                        <w:pPr>
                          <w:spacing w:after="160" w:line="249" w:lineRule="auto"/>
                        </w:pPr>
                        <w:r>
                          <w:t xml:space="preserve"> </w:t>
                        </w:r>
                      </w:p>
                    </w:txbxContent>
                  </v:textbox>
                </v:rect>
                <v:rect id="Rectangle 244" o:spid="_x0000_s1052" style="position:absolute;left:14;top:58543;width:56021;height:19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" filled="f" stroked="f">
                  <v:textbox inset="0,0,0,0">
                    <w:txbxContent>
                      <w:p w:rsidR="009B4233" w:rsidRDefault="006B08B9">
                        <w:pPr>
                          <w:spacing w:after="160" w:line="249" w:lineRule="auto"/>
                        </w:pPr>
                        <w:r>
                          <w:rPr>
                            <w:w w:val="110"/>
                          </w:rPr>
                          <w:t>constatado</w:t>
                        </w:r>
                        <w:r>
                          <w:rPr>
                            <w:spacing w:val="22"/>
                            <w:w w:val="110"/>
                          </w:rPr>
                          <w:t xml:space="preserve"> </w:t>
                        </w:r>
                        <w:r>
                          <w:rPr>
                            <w:w w:val="110"/>
                          </w:rPr>
                          <w:t>la</w:t>
                        </w:r>
                        <w:r>
                          <w:rPr>
                            <w:spacing w:val="22"/>
                            <w:w w:val="110"/>
                          </w:rPr>
                          <w:t xml:space="preserve"> </w:t>
                        </w:r>
                        <w:r>
                          <w:rPr>
                            <w:w w:val="110"/>
                          </w:rPr>
                          <w:t>existencia</w:t>
                        </w:r>
                        <w:r>
                          <w:rPr>
                            <w:spacing w:val="22"/>
                            <w:w w:val="110"/>
                          </w:rPr>
                          <w:t xml:space="preserve"> </w:t>
                        </w:r>
                        <w:r>
                          <w:rPr>
                            <w:w w:val="110"/>
                          </w:rPr>
                          <w:t>de</w:t>
                        </w:r>
                        <w:r>
                          <w:rPr>
                            <w:spacing w:val="20"/>
                            <w:w w:val="110"/>
                          </w:rPr>
                          <w:t xml:space="preserve"> </w:t>
                        </w:r>
                        <w:r>
                          <w:rPr>
                            <w:w w:val="110"/>
                          </w:rPr>
                          <w:t>problemas</w:t>
                        </w:r>
                        <w:r>
                          <w:rPr>
                            <w:spacing w:val="22"/>
                            <w:w w:val="110"/>
                          </w:rPr>
                          <w:t xml:space="preserve"> </w:t>
                        </w:r>
                        <w:r>
                          <w:rPr>
                            <w:w w:val="110"/>
                          </w:rPr>
                          <w:t>de</w:t>
                        </w:r>
                        <w:r>
                          <w:rPr>
                            <w:spacing w:val="20"/>
                            <w:w w:val="110"/>
                          </w:rPr>
                          <w:t xml:space="preserve"> </w:t>
                        </w:r>
                        <w:r>
                          <w:rPr>
                            <w:w w:val="110"/>
                          </w:rPr>
                          <w:t>rasantes</w:t>
                        </w:r>
                        <w:r>
                          <w:rPr>
                            <w:spacing w:val="20"/>
                            <w:w w:val="110"/>
                          </w:rPr>
                          <w:t xml:space="preserve"> </w:t>
                        </w:r>
                        <w:r>
                          <w:rPr>
                            <w:w w:val="110"/>
                          </w:rPr>
                          <w:t>en</w:t>
                        </w:r>
                        <w:r>
                          <w:rPr>
                            <w:spacing w:val="22"/>
                            <w:w w:val="110"/>
                          </w:rPr>
                          <w:t xml:space="preserve"> </w:t>
                        </w:r>
                        <w:r>
                          <w:rPr>
                            <w:w w:val="110"/>
                          </w:rPr>
                          <w:t>relación</w:t>
                        </w:r>
                        <w:r>
                          <w:rPr>
                            <w:spacing w:val="22"/>
                            <w:w w:val="110"/>
                          </w:rPr>
                          <w:t xml:space="preserve"> </w:t>
                        </w:r>
                        <w:r>
                          <w:rPr>
                            <w:w w:val="110"/>
                          </w:rPr>
                          <w:t>a</w:t>
                        </w:r>
                        <w:r>
                          <w:rPr>
                            <w:spacing w:val="20"/>
                            <w:w w:val="110"/>
                          </w:rPr>
                          <w:t xml:space="preserve"> </w:t>
                        </w:r>
                        <w:r>
                          <w:rPr>
                            <w:w w:val="110"/>
                          </w:rPr>
                          <w:t>las</w:t>
                        </w:r>
                        <w:r>
                          <w:rPr>
                            <w:spacing w:val="22"/>
                            <w:w w:val="110"/>
                          </w:rPr>
                          <w:t xml:space="preserve"> </w:t>
                        </w:r>
                        <w:r>
                          <w:rPr>
                            <w:w w:val="110"/>
                          </w:rPr>
                          <w:t>entradas</w:t>
                        </w:r>
                        <w:r>
                          <w:rPr>
                            <w:spacing w:val="20"/>
                            <w:w w:val="110"/>
                          </w:rPr>
                          <w:t xml:space="preserve"> </w:t>
                        </w:r>
                        <w:r>
                          <w:rPr>
                            <w:w w:val="110"/>
                          </w:rPr>
                          <w:t>peatonales</w:t>
                        </w:r>
                      </w:p>
                    </w:txbxContent>
                  </v:textbox>
                </v:rect>
                <v:rect id="Rectangle 245" o:spid="_x0000_s1053" style="position:absolute;left:42215;top:58543;width:389;height:19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" filled="f" stroked="f">
                  <v:textbox inset="0,0,0,0">
                    <w:txbxContent>
                      <w:p w:rsidR="009B4233" w:rsidRDefault="006B08B9">
                        <w:pPr>
                          <w:spacing w:after="160" w:line="249" w:lineRule="auto"/>
                        </w:pPr>
                        <w:r>
                          <w:t xml:space="preserve"> </w:t>
                        </w:r>
                      </w:p>
                    </w:txbxContent>
                  </v:textbox>
                </v:rect>
                <v:rect id="Rectangle 246" o:spid="_x0000_s1054" style="position:absolute;left:14;top:60266;width:15213;height:1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" filled="f" stroked="f">
                  <v:textbox inset="0,0,0,0">
                    <w:txbxContent>
                      <w:p w:rsidR="009B4233" w:rsidRDefault="006B08B9">
                        <w:pPr>
                          <w:spacing w:after="160" w:line="249" w:lineRule="auto"/>
                        </w:pPr>
                        <w:r>
                          <w:rPr>
                            <w:w w:val="110"/>
                          </w:rPr>
                          <w:t>y</w:t>
                        </w:r>
                        <w:r>
                          <w:rPr>
                            <w:spacing w:val="10"/>
                            <w:w w:val="110"/>
                          </w:rPr>
                          <w:t xml:space="preserve"> </w:t>
                        </w:r>
                        <w:r>
                          <w:rPr>
                            <w:w w:val="110"/>
                          </w:rPr>
                          <w:t>de</w:t>
                        </w:r>
                        <w:r>
                          <w:rPr>
                            <w:spacing w:val="12"/>
                            <w:w w:val="110"/>
                          </w:rPr>
                          <w:t xml:space="preserve"> </w:t>
                        </w:r>
                        <w:r>
                          <w:rPr>
                            <w:w w:val="110"/>
                          </w:rPr>
                          <w:t>vehículos</w:t>
                        </w:r>
                        <w:r>
                          <w:rPr>
                            <w:spacing w:val="14"/>
                            <w:w w:val="110"/>
                          </w:rPr>
                          <w:t xml:space="preserve"> </w:t>
                        </w:r>
                        <w:r>
                          <w:rPr>
                            <w:w w:val="110"/>
                          </w:rPr>
                          <w:t>al</w:t>
                        </w:r>
                        <w:r>
                          <w:rPr>
                            <w:spacing w:val="11"/>
                            <w:w w:val="110"/>
                          </w:rPr>
                          <w:t xml:space="preserve"> </w:t>
                        </w:r>
                        <w:r>
                          <w:rPr>
                            <w:w w:val="110"/>
                          </w:rPr>
                          <w:t>edificio</w:t>
                        </w:r>
                      </w:p>
                    </w:txbxContent>
                  </v:textbox>
                </v:rect>
                <v:rect id="Rectangle 251" o:spid="_x0000_s1055" style="position:absolute;left:33956;top:51985;width:22161;height:856;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" filled="f" stroked="f">
                  <v:textbox inset="0,0,0,0">
                    <w:txbxContent>
                      <w:p w:rsidR="009B4233" w:rsidRDefault="006B08B9">
                        <w:pPr>
                          <w:spacing w:after="160" w:line="249" w:lineRule="auto"/>
                        </w:pPr>
                        <w:r>
                          <w:rPr>
                            <w:rFonts w:eastAsia="Arial" w:cs="Arial"/>
                            <w:sz w:val="12"/>
                          </w:rPr>
                          <w:t xml:space="preserve">Cód. Validación: </w:t>
                        </w:r>
                        <w:r>
                          <w:rPr>
                            <w:rFonts w:eastAsia="Arial" w:cs="Arial"/>
                            <w:sz w:val="12"/>
                          </w:rPr>
                          <w:t xml:space="preserve">4ZPTN2C2FPMR6Z99JQ64SYK73 </w:t>
                        </w:r>
                      </w:p>
                    </w:txbxContent>
                  </v:textbox>
                </v:rect>
                <v:rect id="Rectangle 252" o:spid="_x0000_s1056" style="position:absolute;left:35233;top:52686;width:20759;height:856;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" filled="f" stroked="f">
                  <v:textbox inset="0,0,0,0">
                    <w:txbxContent>
                      <w:p w:rsidR="009B4233" w:rsidRDefault="006B08B9">
                        <w:pPr>
                          <w:spacing w:after="160" w:line="249" w:lineRule="auto"/>
                        </w:pPr>
                        <w:r>
                          <w:rPr>
                            <w:rFonts w:eastAsia="Arial" w:cs="Arial"/>
                            <w:sz w:val="12"/>
                          </w:rPr>
                          <w:t xml:space="preserve">Verificación: https://candelaria.sedelectronica.es/ </w:t>
                        </w:r>
                      </w:p>
                    </w:txbxContent>
                  </v:textbox>
                </v:rect>
                <v:rect id="Rectangle 253" o:spid="_x0000_s1057" style="position:absolute;left:26096;top:42970;width:40188;height:857;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" filled="f" stroked="f">
                  <v:textbox inset="0,0,0,0">
                    <w:txbxContent>
                      <w:p w:rsidR="009B4233" w:rsidRDefault="006B08B9">
                        <w:pPr>
                          <w:spacing w:after="160" w:line="249" w:lineRule="auto"/>
                        </w:pPr>
                        <w:r>
                          <w:rPr>
                            <w:rFonts w:eastAsia="Arial" w:cs="Arial"/>
                            <w:sz w:val="12"/>
                          </w:rPr>
                          <w:t xml:space="preserve">Documento firmado electrónicamente desde la plataforma esPublico Gestiona | Página 3 de 12 </w:t>
                        </w:r>
                      </w:p>
                    </w:txbxContent>
                  </v:textbox>
                </v:rect>
                <w10:anchorlock/>
              </v:group>
            </w:pict>
          </mc:Fallback>
        </mc:AlternateContent>
      </w:r>
      <w:r>
        <w:rPr>
          <w:rFonts w:ascii="Arial" w:hAnsi="Arial" w:cs="Arial"/>
          <w:sz w:val="22"/>
          <w:szCs w:val="22"/>
        </w:rPr>
        <w:t xml:space="preserve">Edificio Oceánica, ha llevado la aparición de un peatonal y un tramo de vial de </w:t>
      </w:r>
      <w:r>
        <w:rPr>
          <w:rFonts w:ascii="Arial" w:hAnsi="Arial" w:cs="Arial"/>
          <w:sz w:val="22"/>
          <w:szCs w:val="22"/>
        </w:rPr>
        <w:t>acceso al garaje del mismo. Ha sido necesario definir un nuevo alumbrado.</w:t>
      </w:r>
    </w:p>
    <w:p w:rsidR="009B4233" w:rsidRDefault="006B08B9">
      <w:pPr>
        <w:spacing w:after="215" w:line="249" w:lineRule="auto"/>
        <w:ind w:firstLine="424"/>
      </w:pPr>
      <w:r>
        <w:rPr>
          <w:rFonts w:ascii="Arial" w:eastAsia="Calibri" w:hAnsi="Arial" w:cs="Arial"/>
          <w:b/>
          <w:sz w:val="22"/>
          <w:szCs w:val="22"/>
        </w:rPr>
        <w:t>B.- ELIMINACIÓN DE LA RAMPA DE MADERA PREVISTA PARA DAR ACCESIBILIDAD ENTRE LA PLAYA Y LA PLAZA</w:t>
      </w:r>
    </w:p>
    <w:p w:rsidR="009B4233" w:rsidRDefault="006B08B9">
      <w:pPr>
        <w:ind w:left="269" w:right="1"/>
        <w:jc w:val="both"/>
        <w:rPr>
          <w:rFonts w:ascii="Arial" w:hAnsi="Arial" w:cs="Arial"/>
          <w:sz w:val="22"/>
          <w:szCs w:val="22"/>
        </w:rPr>
      </w:pPr>
      <w:r>
        <w:rPr>
          <w:rFonts w:ascii="Arial" w:hAnsi="Arial" w:cs="Arial"/>
          <w:sz w:val="22"/>
          <w:szCs w:val="22"/>
        </w:rPr>
        <w:t xml:space="preserve">Atendiendo a las indicaciones del organismo responsable del mantenimiento de la fibra </w:t>
      </w:r>
      <w:r>
        <w:rPr>
          <w:rFonts w:ascii="Arial" w:hAnsi="Arial" w:cs="Arial"/>
          <w:sz w:val="22"/>
          <w:szCs w:val="22"/>
        </w:rPr>
        <w:t>óptica, fibra de comunicación entre islas y península, que discurre enterrada bajo la plaza y se introduce en el mar a través de una gran arqueta enterrada bajo el nivel de la plaza situada en la esquina norte de la plaza, zona donde el proyecto tiene prev</w:t>
      </w:r>
      <w:r>
        <w:rPr>
          <w:rFonts w:ascii="Arial" w:hAnsi="Arial" w:cs="Arial"/>
          <w:sz w:val="22"/>
          <w:szCs w:val="22"/>
        </w:rPr>
        <w:t>ista la ubicación de una rampa de madera que soluciona la accesibilidad entre el nivel de la plaza y la playa, se nos informa del riesgo, que durante la ejecución de los trabajos de cimentación de dicha rampa, se pueda producir algún tipo de daño a la fibr</w:t>
      </w:r>
      <w:r>
        <w:rPr>
          <w:rFonts w:ascii="Arial" w:hAnsi="Arial" w:cs="Arial"/>
          <w:sz w:val="22"/>
          <w:szCs w:val="22"/>
        </w:rPr>
        <w:t>a, pudiendo producir la desconexión de la misma.</w:t>
      </w:r>
    </w:p>
    <w:p w:rsidR="009B4233" w:rsidRDefault="006B08B9">
      <w:pPr>
        <w:spacing w:after="208"/>
        <w:ind w:left="269" w:right="1"/>
        <w:jc w:val="both"/>
        <w:rPr>
          <w:rFonts w:ascii="Arial" w:hAnsi="Arial" w:cs="Arial"/>
          <w:sz w:val="22"/>
          <w:szCs w:val="22"/>
        </w:rPr>
      </w:pPr>
      <w:r>
        <w:rPr>
          <w:rFonts w:ascii="Arial" w:hAnsi="Arial" w:cs="Arial"/>
          <w:sz w:val="22"/>
          <w:szCs w:val="22"/>
        </w:rPr>
        <w:t>A la vista de las indicaciones de riesgo de la ejecución de obras en la zona de la playa donde se encuentra la salida de la citada fibra y que coincide con la situación de la rampa accesible proyectada, se s</w:t>
      </w:r>
      <w:r>
        <w:rPr>
          <w:rFonts w:ascii="Arial" w:hAnsi="Arial" w:cs="Arial"/>
          <w:sz w:val="22"/>
          <w:szCs w:val="22"/>
        </w:rPr>
        <w:t xml:space="preserve">olicita realizar una modificación sobre la solución de la accesibilidad entre la plaza y la playa mediante la adaptación, según la normativa de aplicación, de una de las rampas laterales al botaolas central, lo que permitirá eliminar el acceso de madera y </w:t>
      </w:r>
      <w:r>
        <w:rPr>
          <w:rFonts w:ascii="Arial" w:hAnsi="Arial" w:cs="Arial"/>
          <w:sz w:val="22"/>
          <w:szCs w:val="22"/>
        </w:rPr>
        <w:t>evitar, por tanto, cualquier tipo de obra próxima a la zona de salida de la fibra al mar, evitando así los posibles daños que se pudieran causar a la misma.</w:t>
      </w:r>
    </w:p>
    <w:p w:rsidR="009B4233" w:rsidRDefault="006B08B9">
      <w:pPr>
        <w:spacing w:after="215" w:line="249" w:lineRule="auto"/>
        <w:ind w:left="703" w:hanging="10"/>
      </w:pPr>
      <w:r>
        <w:rPr>
          <w:rFonts w:ascii="Arial" w:eastAsia="Calibri" w:hAnsi="Arial" w:cs="Arial"/>
          <w:b/>
          <w:sz w:val="22"/>
          <w:szCs w:val="22"/>
        </w:rPr>
        <w:t>C.- ADECUACIÓN DE PIEZAS DE BASALTO DEL PAVIMENTO DE URBANIZACIÓN</w:t>
      </w:r>
    </w:p>
    <w:p w:rsidR="009B4233" w:rsidRDefault="006B08B9">
      <w:pPr>
        <w:spacing w:after="714"/>
        <w:ind w:left="269" w:right="1"/>
        <w:jc w:val="both"/>
        <w:rPr>
          <w:rFonts w:ascii="Arial" w:hAnsi="Arial" w:cs="Arial"/>
          <w:sz w:val="22"/>
          <w:szCs w:val="22"/>
        </w:rPr>
      </w:pPr>
      <w:r>
        <w:rPr>
          <w:rFonts w:ascii="Arial" w:hAnsi="Arial" w:cs="Arial"/>
          <w:sz w:val="22"/>
          <w:szCs w:val="22"/>
        </w:rPr>
        <w:t xml:space="preserve">La solución general del proyecto </w:t>
      </w:r>
      <w:r>
        <w:rPr>
          <w:rFonts w:ascii="Arial" w:hAnsi="Arial" w:cs="Arial"/>
          <w:sz w:val="22"/>
          <w:szCs w:val="22"/>
        </w:rPr>
        <w:t>contempla la ejecución del pavimento mediante piezas de basalto de diferentes dimensiones y tratamientos superficiales específicos. Sin embargo, tras la revisión conjunta con la contrata de las partidas incluidas en el proyecto aprobado, se ha constatado l</w:t>
      </w:r>
      <w:r>
        <w:rPr>
          <w:rFonts w:ascii="Arial" w:hAnsi="Arial" w:cs="Arial"/>
          <w:sz w:val="22"/>
          <w:szCs w:val="22"/>
        </w:rPr>
        <w:t>a necesidad técnica de modificar los espesores originalmente proyectados. Esta modificación resulta imprescindible para garantizar la adecuada respuesta del pavimento frente a los usos reales de cada zona del ámbito de actuación, optimizando así el comport</w:t>
      </w:r>
      <w:r>
        <w:rPr>
          <w:rFonts w:ascii="Arial" w:hAnsi="Arial" w:cs="Arial"/>
          <w:sz w:val="22"/>
          <w:szCs w:val="22"/>
        </w:rPr>
        <w:t>amiento estructural y funcional del basalto como material de acabado. La adaptación propuesta no solo responde a criterios de racionalidad constructiva, sino que constituye una medida técnica indispensable para asegurar la durabilidad y seguridad del pavim</w:t>
      </w:r>
      <w:r>
        <w:rPr>
          <w:rFonts w:ascii="Arial" w:hAnsi="Arial" w:cs="Arial"/>
          <w:sz w:val="22"/>
          <w:szCs w:val="22"/>
        </w:rPr>
        <w:t>ento previsto.</w:t>
      </w:r>
    </w:p>
    <w:p w:rsidR="009B4233" w:rsidRDefault="006B08B9">
      <w:pPr>
        <w:spacing w:after="277" w:line="249" w:lineRule="auto"/>
        <w:ind w:left="495" w:right="130" w:hanging="10"/>
        <w:jc w:val="center"/>
      </w:pPr>
      <w:r>
        <w:rPr>
          <w:rFonts w:ascii="Arial" w:eastAsia="Calibri" w:hAnsi="Arial" w:cs="Arial"/>
          <w:b/>
          <w:sz w:val="22"/>
          <w:szCs w:val="22"/>
        </w:rPr>
        <w:t>D.- INCORPORACIÓN DE PARTIDAS DE DESVÍOS PROVISIONALES DE LAS INSTALACIONES</w:t>
      </w:r>
    </w:p>
    <w:p w:rsidR="009B4233" w:rsidRDefault="006B08B9">
      <w:pPr>
        <w:ind w:left="269" w:right="1"/>
        <w:jc w:val="both"/>
        <w:rPr>
          <w:rFonts w:ascii="Arial" w:hAnsi="Arial" w:cs="Arial"/>
          <w:sz w:val="22"/>
          <w:szCs w:val="22"/>
        </w:rPr>
      </w:pPr>
      <w:r>
        <w:rPr>
          <w:rFonts w:ascii="Arial" w:hAnsi="Arial" w:cs="Arial"/>
          <w:sz w:val="22"/>
          <w:szCs w:val="22"/>
        </w:rPr>
        <w:t xml:space="preserve">Una vez comenzados los trabajos de reconocimiento in situ mediante la apertura de zanjas y otros métodos de detección, se han identificado en distintas zonas, </w:t>
      </w:r>
      <w:r>
        <w:rPr>
          <w:rFonts w:ascii="Arial" w:hAnsi="Arial" w:cs="Arial"/>
          <w:sz w:val="22"/>
          <w:szCs w:val="22"/>
        </w:rPr>
        <w:t>elementos de obra civil no inventariados por las distintas compañías suministradoras y la administración local involucrada, razón por la que la redacción del proyecto de ingeniería no las contempló como servicios afectados.</w:t>
      </w:r>
    </w:p>
    <w:p w:rsidR="009B4233" w:rsidRDefault="006B08B9">
      <w:pPr>
        <w:ind w:left="269" w:right="1"/>
        <w:jc w:val="both"/>
        <w:rPr>
          <w:rFonts w:ascii="Arial" w:hAnsi="Arial" w:cs="Arial"/>
          <w:sz w:val="22"/>
          <w:szCs w:val="22"/>
        </w:rPr>
      </w:pPr>
      <w:r>
        <w:rPr>
          <w:rFonts w:ascii="Arial" w:hAnsi="Arial" w:cs="Arial"/>
          <w:sz w:val="22"/>
          <w:szCs w:val="22"/>
        </w:rPr>
        <w:t>De entre los servicios afectados</w:t>
      </w:r>
      <w:r>
        <w:rPr>
          <w:rFonts w:ascii="Arial" w:hAnsi="Arial" w:cs="Arial"/>
          <w:sz w:val="22"/>
          <w:szCs w:val="22"/>
        </w:rPr>
        <w:t xml:space="preserve"> más significativos se pueden señalar: arquetas y cámaras enterradas de distribución de telefonía de dimensiones no convencionales (2x3 mts de planta y una altura media de 2,5 mts); redes existentes, detectadas en la apertura de zanjas, en un estado de det</w:t>
      </w:r>
      <w:r>
        <w:rPr>
          <w:rFonts w:ascii="Arial" w:hAnsi="Arial" w:cs="Arial"/>
          <w:sz w:val="22"/>
          <w:szCs w:val="22"/>
        </w:rPr>
        <w:t>erioro considerable que imposibilita la realización directa de las obras para la futura red en esos puntos; trazados de redes de pluviales, telefonía-, saneamiento y otras. definitiva, entendiendo necesario incorporar una serie de partidas alzadas a justif</w:t>
      </w:r>
      <w:r>
        <w:rPr>
          <w:rFonts w:ascii="Arial" w:hAnsi="Arial" w:cs="Arial"/>
          <w:sz w:val="22"/>
          <w:szCs w:val="22"/>
        </w:rPr>
        <w:t>icar por la dirección facultativa.</w:t>
      </w:r>
    </w:p>
    <w:p w:rsidR="009B4233" w:rsidRDefault="006B08B9">
      <w:pPr>
        <w:ind w:left="269" w:right="1"/>
        <w:jc w:val="both"/>
        <w:rPr>
          <w:rFonts w:ascii="Arial" w:hAnsi="Arial" w:cs="Arial"/>
          <w:sz w:val="22"/>
          <w:szCs w:val="22"/>
        </w:rPr>
      </w:pPr>
      <w:r>
        <w:rPr>
          <w:rFonts w:ascii="Arial" w:hAnsi="Arial" w:cs="Arial"/>
          <w:sz w:val="22"/>
          <w:szCs w:val="22"/>
        </w:rPr>
        <w:t>También se ha variado el ajardinado de la plaza, por lo que ha sido necesario variar la ubicación de los postes previsto para su alumbrado general, aproximándolos más al eje de la plaza, y variar la dotación en proyectore</w:t>
      </w:r>
      <w:r>
        <w:rPr>
          <w:rFonts w:ascii="Arial" w:hAnsi="Arial" w:cs="Arial"/>
          <w:sz w:val="22"/>
          <w:szCs w:val="22"/>
        </w:rPr>
        <w:t>s de los mismos, para ajustarse mejor a esta nueva disposición.</w:t>
      </w:r>
    </w:p>
    <w:p w:rsidR="009B4233" w:rsidRDefault="006B08B9">
      <w:pPr>
        <w:ind w:left="269" w:right="1"/>
        <w:jc w:val="both"/>
        <w:rPr>
          <w:rFonts w:ascii="Arial" w:hAnsi="Arial" w:cs="Arial"/>
          <w:sz w:val="22"/>
          <w:szCs w:val="22"/>
        </w:rPr>
      </w:pPr>
      <w:r>
        <w:rPr>
          <w:rFonts w:ascii="Arial" w:hAnsi="Arial" w:cs="Arial"/>
          <w:sz w:val="22"/>
          <w:szCs w:val="22"/>
        </w:rPr>
        <w:t>La variación en el ajardinado ha hecho necesaria la instalación en proyectores UPLIGHT adicionales, tanto del tipo previsto en proyecto, como de un nuevo tipo previstos para especies de portes</w:t>
      </w:r>
      <w:r>
        <w:rPr>
          <w:rFonts w:ascii="Arial" w:hAnsi="Arial" w:cs="Arial"/>
          <w:sz w:val="22"/>
          <w:szCs w:val="22"/>
        </w:rPr>
        <w:t xml:space="preserve"> bajos.</w:t>
      </w:r>
    </w:p>
    <w:p w:rsidR="009B4233" w:rsidRDefault="006B08B9">
      <w:pPr>
        <w:spacing w:after="208"/>
        <w:ind w:left="269" w:right="1"/>
        <w:jc w:val="both"/>
        <w:rPr>
          <w:rFonts w:ascii="Arial" w:hAnsi="Arial" w:cs="Arial"/>
          <w:sz w:val="22"/>
          <w:szCs w:val="22"/>
        </w:rPr>
      </w:pPr>
      <w:r>
        <w:rPr>
          <w:rFonts w:ascii="Arial" w:hAnsi="Arial" w:cs="Arial"/>
          <w:sz w:val="22"/>
          <w:szCs w:val="22"/>
        </w:rPr>
        <w:t>Todo ello conlleva la ampliación de cableado prevista en proyecto, para los elementos nuevos o adicionales, así como las canalizaciones y arquetas para su instalación subterránea. Las modificaciones previstas pueden observarse en planos adjuntos.</w:t>
      </w:r>
    </w:p>
    <w:p w:rsidR="009B4233" w:rsidRDefault="006B08B9">
      <w:pPr>
        <w:spacing w:after="215" w:line="249" w:lineRule="auto"/>
        <w:ind w:left="703" w:hanging="10"/>
      </w:pPr>
      <w:r>
        <w:rPr>
          <w:rFonts w:ascii="Arial" w:eastAsia="Calibri" w:hAnsi="Arial" w:cs="Arial"/>
          <w:b/>
          <w:sz w:val="22"/>
          <w:szCs w:val="22"/>
        </w:rPr>
        <w:t>D</w:t>
      </w:r>
      <w:r>
        <w:rPr>
          <w:rFonts w:ascii="Arial" w:eastAsia="Calibri" w:hAnsi="Arial" w:cs="Arial"/>
          <w:b/>
          <w:sz w:val="22"/>
          <w:szCs w:val="22"/>
        </w:rPr>
        <w:t>ESVÍOS PROVISIONALES ESPECIFICOS:</w:t>
      </w:r>
    </w:p>
    <w:p w:rsidR="009B4233" w:rsidRDefault="006B08B9">
      <w:pPr>
        <w:ind w:left="269" w:right="1"/>
        <w:jc w:val="both"/>
      </w:pPr>
      <w:r>
        <w:rPr>
          <w:rFonts w:ascii="Arial" w:hAnsi="Arial" w:cs="Arial"/>
          <w:sz w:val="22"/>
          <w:szCs w:val="22"/>
        </w:rPr>
        <w:t xml:space="preserve">La canalización de </w:t>
      </w:r>
      <w:r>
        <w:rPr>
          <w:rFonts w:ascii="Arial" w:eastAsia="Calibri" w:hAnsi="Arial" w:cs="Arial"/>
          <w:b/>
          <w:sz w:val="22"/>
          <w:szCs w:val="22"/>
        </w:rPr>
        <w:t xml:space="preserve">TELEFÓNICA </w:t>
      </w:r>
      <w:r>
        <w:rPr>
          <w:rFonts w:ascii="Arial" w:hAnsi="Arial" w:cs="Arial"/>
          <w:sz w:val="22"/>
          <w:szCs w:val="22"/>
        </w:rPr>
        <w:t xml:space="preserve">que asciende por Antón Guanche figuraba en la información facilitada paralela al eje de la vía, sin embargo, realizadas las primeras catas se ha encontrado que en algunos tramos se encuentran </w:t>
      </w:r>
      <w:r>
        <w:rPr>
          <w:rFonts w:ascii="Arial" w:hAnsi="Arial" w:cs="Arial"/>
          <w:sz w:val="22"/>
          <w:szCs w:val="22"/>
        </w:rPr>
        <w:t>en diagonal, por lo que se hace necesario realizar un desvío provisional de la red de fibra óptica en servicio, para rectificar el trazado de su canalización y dar cabida al resto de canalizaciones previstas.</w:t>
      </w:r>
    </w:p>
    <w:p w:rsidR="009B4233" w:rsidRDefault="006B08B9">
      <w:pPr>
        <w:ind w:left="269" w:right="1"/>
        <w:jc w:val="both"/>
        <w:rPr>
          <w:rFonts w:ascii="Arial" w:hAnsi="Arial" w:cs="Arial"/>
          <w:sz w:val="22"/>
          <w:szCs w:val="22"/>
        </w:rPr>
      </w:pPr>
      <w:r>
        <w:rPr>
          <w:rFonts w:ascii="Arial" w:hAnsi="Arial" w:cs="Arial"/>
          <w:sz w:val="22"/>
          <w:szCs w:val="22"/>
        </w:rPr>
        <w:t>Este desvío se realizará por dicha compañía, co</w:t>
      </w:r>
      <w:r>
        <w:rPr>
          <w:rFonts w:ascii="Arial" w:hAnsi="Arial" w:cs="Arial"/>
          <w:sz w:val="22"/>
          <w:szCs w:val="22"/>
        </w:rPr>
        <w:t xml:space="preserve">n la colaboración de la contrata que aportan mano de obra de apoyo, medios y ayudas de albañilería. El trazado ha sido estudiado por TELEFÓNICA, y será aéreo, sobre postes, liberando también la zona próxima al azud y su recorrido en la Plaza de La Patrona </w:t>
      </w:r>
      <w:r>
        <w:rPr>
          <w:rFonts w:ascii="Arial" w:hAnsi="Arial" w:cs="Arial"/>
          <w:sz w:val="22"/>
          <w:szCs w:val="22"/>
        </w:rPr>
        <w:t>que se alinea con Antón Guanche, con lo que facilita la ejecución de las canalizaciones previstas en ambos tramos. En planos adjunto puede observarse el trazado propuesto.</w:t>
      </w:r>
    </w:p>
    <w:p w:rsidR="009B4233" w:rsidRDefault="006B08B9">
      <w:pPr>
        <w:ind w:left="269" w:right="1"/>
        <w:jc w:val="both"/>
      </w:pPr>
      <w:r>
        <w:rPr>
          <w:rFonts w:ascii="Arial" w:hAnsi="Arial" w:cs="Arial"/>
          <w:sz w:val="22"/>
          <w:szCs w:val="22"/>
        </w:rPr>
        <w:t xml:space="preserve">La posición que finalmente se ha decidido para el MARCO DE PLUVIALES que discurrirá </w:t>
      </w:r>
      <w:r>
        <w:rPr>
          <w:rFonts w:ascii="Arial" w:hAnsi="Arial" w:cs="Arial"/>
          <w:sz w:val="22"/>
          <w:szCs w:val="22"/>
        </w:rPr>
        <w:t xml:space="preserve">por la Plaza de los Artesanos y desciende a La Plaza de la Patrona, así como la planificación de la obra han hecho necesario prever desvíos provisionales de obra, tanto para la </w:t>
      </w:r>
      <w:r>
        <w:rPr>
          <w:rFonts w:ascii="Arial" w:eastAsia="Calibri" w:hAnsi="Arial" w:cs="Arial"/>
          <w:b/>
          <w:sz w:val="22"/>
          <w:szCs w:val="22"/>
        </w:rPr>
        <w:t xml:space="preserve">RED DE RESIDUALES </w:t>
      </w:r>
      <w:r>
        <w:rPr>
          <w:rFonts w:ascii="Arial" w:hAnsi="Arial" w:cs="Arial"/>
          <w:sz w:val="22"/>
          <w:szCs w:val="22"/>
        </w:rPr>
        <w:t xml:space="preserve">como para la </w:t>
      </w:r>
      <w:r>
        <w:rPr>
          <w:rFonts w:ascii="Arial" w:eastAsia="Calibri" w:hAnsi="Arial" w:cs="Arial"/>
          <w:b/>
          <w:sz w:val="22"/>
          <w:szCs w:val="22"/>
        </w:rPr>
        <w:t>RED</w:t>
      </w:r>
      <w:r>
        <w:rPr>
          <w:rFonts w:ascii="Arial" w:hAnsi="Arial" w:cs="Arial"/>
          <w:sz w:val="22"/>
          <w:szCs w:val="22"/>
        </w:rPr>
        <w:t xml:space="preserve"> </w:t>
      </w:r>
      <w:r>
        <w:rPr>
          <w:rFonts w:ascii="Arial" w:eastAsia="Calibri" w:hAnsi="Arial" w:cs="Arial"/>
          <w:b/>
          <w:sz w:val="22"/>
          <w:szCs w:val="22"/>
        </w:rPr>
        <w:t>DE ABASTECIMIENTO</w:t>
      </w:r>
      <w:r>
        <w:rPr>
          <w:rFonts w:ascii="Arial" w:hAnsi="Arial" w:cs="Arial"/>
          <w:sz w:val="22"/>
          <w:szCs w:val="22"/>
        </w:rPr>
        <w:t>, con el fin de mantener en</w:t>
      </w:r>
      <w:r>
        <w:rPr>
          <w:rFonts w:ascii="Arial" w:hAnsi="Arial" w:cs="Arial"/>
          <w:sz w:val="22"/>
          <w:szCs w:val="22"/>
        </w:rPr>
        <w:t xml:space="preserve"> servicio las acometidas domiciliarias en la zona de la Plaza de Los Artesanos, a realizar de forma previa a las redes definitivas. En planos adjuntos puede observarse que ambas instalaciones tienen tramos que se cruzan con el recorrido del marco, y se han</w:t>
      </w:r>
      <w:r>
        <w:rPr>
          <w:rFonts w:ascii="Arial" w:hAnsi="Arial" w:cs="Arial"/>
          <w:sz w:val="22"/>
          <w:szCs w:val="22"/>
        </w:rPr>
        <w:t xml:space="preserve"> definido nuevos recorridos, que permitan eliminar esos cruces, y el actual punto de bajada en la zona de La Cueva. De esa manera se podrá realizar el marco y la bajada de residuales definitiva previstas en proyecto sin interferencias.</w:t>
      </w:r>
    </w:p>
    <w:p w:rsidR="009B4233" w:rsidRDefault="009B4233">
      <w:pPr>
        <w:ind w:left="269" w:right="1"/>
        <w:jc w:val="both"/>
        <w:rPr>
          <w:rFonts w:ascii="Arial" w:hAnsi="Arial" w:cs="Arial"/>
          <w:sz w:val="22"/>
          <w:szCs w:val="22"/>
        </w:rPr>
      </w:pPr>
    </w:p>
    <w:p w:rsidR="009B4233" w:rsidRDefault="006B08B9">
      <w:pPr>
        <w:spacing w:after="277" w:line="249" w:lineRule="auto"/>
        <w:ind w:left="495" w:hanging="10"/>
        <w:jc w:val="center"/>
      </w:pPr>
      <w:r>
        <w:rPr>
          <w:rFonts w:ascii="Arial" w:eastAsia="Calibri" w:hAnsi="Arial" w:cs="Arial"/>
          <w:b/>
          <w:sz w:val="22"/>
          <w:szCs w:val="22"/>
        </w:rPr>
        <w:t xml:space="preserve">E.- ADECUACIÓN DEL </w:t>
      </w:r>
      <w:r>
        <w:rPr>
          <w:rFonts w:ascii="Arial" w:eastAsia="Calibri" w:hAnsi="Arial" w:cs="Arial"/>
          <w:b/>
          <w:sz w:val="22"/>
          <w:szCs w:val="22"/>
        </w:rPr>
        <w:t>ACCESO PEATONAL EN LA ZONA DEL AZUD PREVISTO CON EL CIATF</w:t>
      </w:r>
    </w:p>
    <w:p w:rsidR="009B4233" w:rsidRDefault="006B08B9">
      <w:pPr>
        <w:ind w:left="269" w:right="1"/>
        <w:jc w:val="both"/>
        <w:rPr>
          <w:rFonts w:ascii="Arial" w:hAnsi="Arial" w:cs="Arial"/>
          <w:sz w:val="22"/>
          <w:szCs w:val="22"/>
        </w:rPr>
      </w:pPr>
      <w:r>
        <w:rPr>
          <w:rFonts w:ascii="Arial" w:hAnsi="Arial" w:cs="Arial"/>
          <w:sz w:val="22"/>
          <w:szCs w:val="22"/>
        </w:rPr>
        <w:t>Durante los trabajos previos que se han venido realizando para la ejecución del azud, previsto en el proyecto del encauzamiento del barranco de Tapia, los servicios municipales del Ayuntamiento de C</w:t>
      </w:r>
      <w:r>
        <w:rPr>
          <w:rFonts w:ascii="Arial" w:hAnsi="Arial" w:cs="Arial"/>
          <w:sz w:val="22"/>
          <w:szCs w:val="22"/>
        </w:rPr>
        <w:t xml:space="preserve">andelaria, han solicitado dar solución a la continuidad peatonal en esta zona y que el proyecto de arquitectura tenía previsto terminar en este lado de la calle Antón Guanche en el encuentro del frente edificado con el barranco de Tapia, tal y como existe </w:t>
      </w:r>
      <w:r>
        <w:rPr>
          <w:rFonts w:ascii="Arial" w:hAnsi="Arial" w:cs="Arial"/>
          <w:sz w:val="22"/>
          <w:szCs w:val="22"/>
        </w:rPr>
        <w:t>en la actualidad.</w:t>
      </w:r>
    </w:p>
    <w:p w:rsidR="009B4233" w:rsidRDefault="006B08B9">
      <w:pPr>
        <w:spacing w:after="128"/>
        <w:ind w:left="269" w:right="1"/>
        <w:jc w:val="both"/>
        <w:rPr>
          <w:rFonts w:ascii="Arial" w:hAnsi="Arial" w:cs="Arial"/>
          <w:sz w:val="22"/>
          <w:szCs w:val="22"/>
        </w:rPr>
      </w:pPr>
      <w:r>
        <w:rPr>
          <w:rFonts w:ascii="Arial" w:hAnsi="Arial" w:cs="Arial"/>
          <w:sz w:val="22"/>
          <w:szCs w:val="22"/>
        </w:rPr>
        <w:t>Es por ello que se solicita realizar una serie modificaciones de esta zona al ser necesaria una serie de ajustes en relación a la urbanización, de mutuo acuerdo entre la DF de arquitectura y la DF de la obra hidráulica, teniendo como obje</w:t>
      </w:r>
      <w:r>
        <w:rPr>
          <w:rFonts w:ascii="Arial" w:hAnsi="Arial" w:cs="Arial"/>
          <w:sz w:val="22"/>
          <w:szCs w:val="22"/>
        </w:rPr>
        <w:t>tivo principal el de obtener, habilitar y diseñar un espacio peatonal de continuidad, no prevista en el lado del azud, mediante la incorporación de una franja peatonal que permita la continuidad de la acera.</w:t>
      </w:r>
    </w:p>
    <w:tbl>
      <w:tblPr>
        <w:tblW w:w="8788" w:type="dxa"/>
        <w:tblInd w:w="281" w:type="dxa"/>
        <w:tblCellMar>
          <w:left w:w="10" w:type="dxa"/>
          <w:right w:w="10" w:type="dxa"/>
        </w:tblCellMar>
        <w:tblLook w:val="0000" w:firstRow="0" w:lastRow="0" w:firstColumn="0" w:lastColumn="0" w:noHBand="0" w:noVBand="0"/>
      </w:tblPr>
      <w:tblGrid>
        <w:gridCol w:w="853"/>
        <w:gridCol w:w="7935"/>
      </w:tblGrid>
      <w:tr w:rsidR="009B4233">
        <w:tblPrEx>
          <w:tblCellMar>
            <w:top w:w="0" w:type="dxa"/>
            <w:bottom w:w="0" w:type="dxa"/>
          </w:tblCellMar>
        </w:tblPrEx>
        <w:trPr>
          <w:trHeight w:val="252"/>
        </w:trPr>
        <w:tc>
          <w:tcPr>
            <w:tcW w:w="853" w:type="dxa"/>
            <w:shd w:val="clear" w:color="auto" w:fill="E0E0E0"/>
            <w:tcMar>
              <w:top w:w="8" w:type="dxa"/>
              <w:left w:w="0" w:type="dxa"/>
              <w:bottom w:w="0" w:type="dxa"/>
              <w:right w:w="115" w:type="dxa"/>
            </w:tcMar>
          </w:tcPr>
          <w:p w:rsidR="009B4233" w:rsidRDefault="006B08B9">
            <w:pPr>
              <w:spacing w:line="249" w:lineRule="auto"/>
              <w:ind w:left="299"/>
              <w:jc w:val="center"/>
            </w:pPr>
            <w:r>
              <w:rPr>
                <w:rFonts w:ascii="Arial" w:eastAsia="Calibri" w:hAnsi="Arial" w:cs="Arial"/>
                <w:b/>
                <w:sz w:val="22"/>
                <w:szCs w:val="22"/>
              </w:rPr>
              <w:t>4.</w:t>
            </w:r>
          </w:p>
        </w:tc>
        <w:tc>
          <w:tcPr>
            <w:tcW w:w="7935" w:type="dxa"/>
            <w:shd w:val="clear" w:color="auto" w:fill="E0E0E0"/>
            <w:tcMar>
              <w:top w:w="8" w:type="dxa"/>
              <w:left w:w="0" w:type="dxa"/>
              <w:bottom w:w="0" w:type="dxa"/>
              <w:right w:w="115" w:type="dxa"/>
            </w:tcMar>
          </w:tcPr>
          <w:p w:rsidR="009B4233" w:rsidRDefault="006B08B9">
            <w:pPr>
              <w:spacing w:line="249" w:lineRule="auto"/>
            </w:pPr>
            <w:r>
              <w:rPr>
                <w:rFonts w:ascii="Arial" w:eastAsia="Calibri" w:hAnsi="Arial" w:cs="Arial"/>
                <w:b/>
                <w:sz w:val="22"/>
                <w:szCs w:val="22"/>
                <w:shd w:val="clear" w:color="auto" w:fill="E6E6E6"/>
              </w:rPr>
              <w:t>REGIMEN URBANÍSTICO DE APLICACIÓN</w:t>
            </w:r>
            <w:r>
              <w:rPr>
                <w:rFonts w:ascii="Arial" w:eastAsia="Calibri" w:hAnsi="Arial" w:cs="Arial"/>
                <w:b/>
                <w:sz w:val="22"/>
                <w:szCs w:val="22"/>
              </w:rPr>
              <w:t>-</w:t>
            </w:r>
          </w:p>
        </w:tc>
      </w:tr>
    </w:tbl>
    <w:p w:rsidR="009B4233" w:rsidRDefault="009B4233">
      <w:pPr>
        <w:spacing w:after="282"/>
        <w:ind w:left="269" w:right="1"/>
        <w:rPr>
          <w:rFonts w:ascii="Arial" w:hAnsi="Arial" w:cs="Arial"/>
          <w:sz w:val="22"/>
          <w:szCs w:val="22"/>
        </w:rPr>
      </w:pPr>
    </w:p>
    <w:p w:rsidR="009B4233" w:rsidRDefault="006B08B9">
      <w:pPr>
        <w:spacing w:after="282"/>
        <w:ind w:left="269" w:right="1"/>
        <w:jc w:val="both"/>
        <w:rPr>
          <w:rFonts w:ascii="Arial" w:hAnsi="Arial" w:cs="Arial"/>
          <w:sz w:val="22"/>
          <w:szCs w:val="22"/>
        </w:rPr>
      </w:pPr>
      <w:r>
        <w:rPr>
          <w:rFonts w:ascii="Arial" w:hAnsi="Arial" w:cs="Arial"/>
          <w:sz w:val="22"/>
          <w:szCs w:val="22"/>
        </w:rPr>
        <w:t xml:space="preserve">De </w:t>
      </w:r>
      <w:r>
        <w:rPr>
          <w:rFonts w:ascii="Arial" w:hAnsi="Arial" w:cs="Arial"/>
          <w:sz w:val="22"/>
          <w:szCs w:val="22"/>
        </w:rPr>
        <w:t>acuerdo con el PLAN GENERAL DE ORDENACIÓN, planeamiento municipal en vigor, con publicaciones en B.O.C. de fecha 10 de mayo de 2007 y B.O.P. de fecha 17 de mayo de 2007 y Modificaciones Puntuales, aprobadas definitivamente por acuerdo del Ayuntamiento Plen</w:t>
      </w:r>
      <w:r>
        <w:rPr>
          <w:rFonts w:ascii="Arial" w:hAnsi="Arial" w:cs="Arial"/>
          <w:sz w:val="22"/>
          <w:szCs w:val="22"/>
        </w:rPr>
        <w:t>o, en sesiones ordinarias de fecha 26 de marzo de 2009 y 29 de diciembre de 2011 y publicada en el BOP de Santa Cruz de Tenerife de fecha 17 de junio de 2009 y 3 de febrero de 2012</w:t>
      </w:r>
    </w:p>
    <w:p w:rsidR="009B4233" w:rsidRDefault="006B08B9">
      <w:pPr>
        <w:ind w:left="269" w:right="1"/>
        <w:rPr>
          <w:rFonts w:ascii="Arial" w:hAnsi="Arial" w:cs="Arial"/>
          <w:sz w:val="22"/>
          <w:szCs w:val="22"/>
        </w:rPr>
      </w:pPr>
      <w:r>
        <w:rPr>
          <w:rFonts w:ascii="Arial" w:hAnsi="Arial" w:cs="Arial"/>
          <w:sz w:val="22"/>
          <w:szCs w:val="22"/>
        </w:rPr>
        <w:t>Con carácter general cabe destacar que los tres sectores se localizan dentr</w:t>
      </w:r>
      <w:r>
        <w:rPr>
          <w:rFonts w:ascii="Arial" w:hAnsi="Arial" w:cs="Arial"/>
          <w:sz w:val="22"/>
          <w:szCs w:val="22"/>
        </w:rPr>
        <w:t>o de un Suelo Urbano Consolidado de Interés Cultural, incluido en el Casco de Candelaria, conjunto de interés con Protección Ambiental y dentro del Bien de Interés Cultural, en la categoría de Monumento, del Santuario de la Virgen de Candelaria y del Conve</w:t>
      </w:r>
      <w:r>
        <w:rPr>
          <w:rFonts w:ascii="Arial" w:hAnsi="Arial" w:cs="Arial"/>
          <w:sz w:val="22"/>
          <w:szCs w:val="22"/>
        </w:rPr>
        <w:t>nto.</w:t>
      </w:r>
    </w:p>
    <w:p w:rsidR="009B4233" w:rsidRDefault="006B08B9">
      <w:pPr>
        <w:spacing w:after="4800"/>
        <w:ind w:left="269" w:right="1"/>
        <w:rPr>
          <w:rFonts w:ascii="Arial" w:hAnsi="Arial" w:cs="Arial"/>
          <w:sz w:val="22"/>
          <w:szCs w:val="22"/>
        </w:rPr>
      </w:pPr>
      <w:r>
        <w:rPr>
          <w:rFonts w:ascii="Arial" w:hAnsi="Arial" w:cs="Arial"/>
          <w:sz w:val="22"/>
          <w:szCs w:val="22"/>
        </w:rPr>
        <w:t>El entorno abarca el antiguo Ayuntamiento, La Plaza, y los Riscos de la Basílica hasta la Cueva de San Blas.</w:t>
      </w:r>
    </w:p>
    <w:p w:rsidR="009B4233" w:rsidRDefault="006B08B9">
      <w:pPr>
        <w:pStyle w:val="Ttulo1"/>
        <w:ind w:left="714" w:right="1"/>
        <w:rPr>
          <w:rFonts w:ascii="Arial" w:hAnsi="Arial" w:cs="Arial"/>
          <w:sz w:val="22"/>
          <w:szCs w:val="22"/>
        </w:rPr>
      </w:pPr>
      <w:r>
        <w:rPr>
          <w:rFonts w:ascii="Arial" w:hAnsi="Arial" w:cs="Arial"/>
          <w:sz w:val="22"/>
          <w:szCs w:val="22"/>
        </w:rPr>
        <w:t>ORDENACIÓN DETALLADA PLAN GENERAL</w:t>
      </w:r>
    </w:p>
    <w:p w:rsidR="009B4233" w:rsidRDefault="006B08B9">
      <w:pPr>
        <w:spacing w:after="263" w:line="249" w:lineRule="auto"/>
        <w:ind w:left="2047"/>
      </w:pPr>
      <w:r>
        <w:rPr>
          <w:rFonts w:ascii="Arial" w:hAnsi="Arial" w:cs="Arial"/>
          <w:noProof/>
          <w:sz w:val="22"/>
          <w:szCs w:val="22"/>
          <w:lang w:eastAsia="es-ES" w:bidi="ar-SA"/>
        </w:rPr>
        <w:drawing>
          <wp:inline distT="0" distB="0" distL="0" distR="0">
            <wp:extent cx="3604263" cy="3147063"/>
            <wp:effectExtent l="0" t="0" r="0" b="0"/>
            <wp:docPr id="59" name="Imagen 15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rcRect/>
                    <a:stretch>
                      <a:fillRect/>
                    </a:stretch>
                  </pic:blipFill>
                  <pic:spPr>
                    <a:xfrm>
                      <a:off x="0" y="0"/>
                      <a:ext cx="3604263" cy="3147063"/>
                    </a:xfrm>
                    <a:prstGeom prst="rect">
                      <a:avLst/>
                    </a:prstGeom>
                    <a:noFill/>
                    <a:ln>
                      <a:noFill/>
                      <a:prstDash/>
                    </a:ln>
                  </pic:spPr>
                </pic:pic>
              </a:graphicData>
            </a:graphic>
          </wp:inline>
        </w:drawing>
      </w:r>
    </w:p>
    <w:p w:rsidR="009B4233" w:rsidRDefault="006B08B9">
      <w:pPr>
        <w:pStyle w:val="Ttulo1"/>
        <w:ind w:left="714"/>
        <w:rPr>
          <w:rFonts w:ascii="Arial" w:hAnsi="Arial" w:cs="Arial"/>
          <w:sz w:val="22"/>
          <w:szCs w:val="22"/>
        </w:rPr>
      </w:pPr>
      <w:r>
        <w:rPr>
          <w:rFonts w:ascii="Arial" w:hAnsi="Arial" w:cs="Arial"/>
          <w:sz w:val="22"/>
          <w:szCs w:val="22"/>
        </w:rPr>
        <w:t>ORDENACIÓN ESTRUCTURAL</w:t>
      </w:r>
    </w:p>
    <w:p w:rsidR="009B4233" w:rsidRDefault="006B08B9">
      <w:pPr>
        <w:spacing w:after="9" w:line="249" w:lineRule="auto"/>
        <w:ind w:left="2074"/>
      </w:pPr>
      <w:r>
        <w:rPr>
          <w:rFonts w:ascii="Arial" w:hAnsi="Arial" w:cs="Arial"/>
          <w:noProof/>
          <w:sz w:val="22"/>
          <w:szCs w:val="22"/>
          <w:lang w:eastAsia="es-ES" w:bidi="ar-SA"/>
        </w:rPr>
        <w:drawing>
          <wp:inline distT="0" distB="0" distL="0" distR="0">
            <wp:extent cx="3573776" cy="3383280"/>
            <wp:effectExtent l="0" t="0" r="7624" b="7620"/>
            <wp:docPr id="60" name="Imagen 14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rcRect/>
                    <a:stretch>
                      <a:fillRect/>
                    </a:stretch>
                  </pic:blipFill>
                  <pic:spPr>
                    <a:xfrm>
                      <a:off x="0" y="0"/>
                      <a:ext cx="3573776" cy="3383280"/>
                    </a:xfrm>
                    <a:prstGeom prst="rect">
                      <a:avLst/>
                    </a:prstGeom>
                    <a:noFill/>
                    <a:ln>
                      <a:noFill/>
                      <a:prstDash/>
                    </a:ln>
                  </pic:spPr>
                </pic:pic>
              </a:graphicData>
            </a:graphic>
          </wp:inline>
        </w:drawing>
      </w:r>
    </w:p>
    <w:p w:rsidR="009B4233" w:rsidRDefault="006B08B9">
      <w:pPr>
        <w:spacing w:after="63" w:line="249" w:lineRule="auto"/>
        <w:ind w:left="708"/>
        <w:rPr>
          <w:rFonts w:ascii="Arial" w:hAnsi="Arial" w:cs="Arial"/>
          <w:sz w:val="22"/>
          <w:szCs w:val="22"/>
        </w:rPr>
      </w:pPr>
      <w:r>
        <w:rPr>
          <w:rFonts w:ascii="Arial" w:hAnsi="Arial" w:cs="Arial"/>
          <w:sz w:val="22"/>
          <w:szCs w:val="22"/>
        </w:rPr>
        <w:t xml:space="preserve">                                       </w:t>
      </w:r>
    </w:p>
    <w:tbl>
      <w:tblPr>
        <w:tblW w:w="8788" w:type="dxa"/>
        <w:tblInd w:w="281" w:type="dxa"/>
        <w:tblCellMar>
          <w:left w:w="10" w:type="dxa"/>
          <w:right w:w="10" w:type="dxa"/>
        </w:tblCellMar>
        <w:tblLook w:val="0000" w:firstRow="0" w:lastRow="0" w:firstColumn="0" w:lastColumn="0" w:noHBand="0" w:noVBand="0"/>
      </w:tblPr>
      <w:tblGrid>
        <w:gridCol w:w="851"/>
        <w:gridCol w:w="3885"/>
        <w:gridCol w:w="4052"/>
      </w:tblGrid>
      <w:tr w:rsidR="009B4233">
        <w:tblPrEx>
          <w:tblCellMar>
            <w:top w:w="0" w:type="dxa"/>
            <w:bottom w:w="0" w:type="dxa"/>
          </w:tblCellMar>
        </w:tblPrEx>
        <w:trPr>
          <w:trHeight w:val="253"/>
        </w:trPr>
        <w:tc>
          <w:tcPr>
            <w:tcW w:w="851" w:type="dxa"/>
            <w:shd w:val="clear" w:color="auto" w:fill="E0E0E0"/>
            <w:tcMar>
              <w:top w:w="7" w:type="dxa"/>
              <w:left w:w="2" w:type="dxa"/>
              <w:bottom w:w="0" w:type="dxa"/>
              <w:right w:w="1" w:type="dxa"/>
            </w:tcMar>
          </w:tcPr>
          <w:p w:rsidR="009B4233" w:rsidRDefault="006B08B9">
            <w:pPr>
              <w:spacing w:line="249" w:lineRule="auto"/>
              <w:ind w:left="185"/>
              <w:jc w:val="center"/>
            </w:pPr>
            <w:r>
              <w:rPr>
                <w:rFonts w:ascii="Arial" w:eastAsia="Calibri" w:hAnsi="Arial" w:cs="Arial"/>
                <w:b/>
                <w:sz w:val="22"/>
                <w:szCs w:val="22"/>
              </w:rPr>
              <w:t>5.</w:t>
            </w:r>
          </w:p>
        </w:tc>
        <w:tc>
          <w:tcPr>
            <w:tcW w:w="3885" w:type="dxa"/>
            <w:shd w:val="clear" w:color="auto" w:fill="E6E6E6"/>
            <w:tcMar>
              <w:top w:w="7" w:type="dxa"/>
              <w:left w:w="2" w:type="dxa"/>
              <w:bottom w:w="0" w:type="dxa"/>
              <w:right w:w="1" w:type="dxa"/>
            </w:tcMar>
          </w:tcPr>
          <w:p w:rsidR="009B4233" w:rsidRDefault="006B08B9">
            <w:pPr>
              <w:spacing w:line="249" w:lineRule="auto"/>
            </w:pPr>
            <w:r>
              <w:rPr>
                <w:rFonts w:ascii="Arial" w:eastAsia="Calibri" w:hAnsi="Arial" w:cs="Arial"/>
                <w:b/>
                <w:sz w:val="22"/>
                <w:szCs w:val="22"/>
              </w:rPr>
              <w:t>INVENTARIO MUNICIPAL DE BIENES</w:t>
            </w:r>
          </w:p>
        </w:tc>
        <w:tc>
          <w:tcPr>
            <w:tcW w:w="4052" w:type="dxa"/>
            <w:shd w:val="clear" w:color="auto" w:fill="E0E0E0"/>
            <w:tcMar>
              <w:top w:w="7" w:type="dxa"/>
              <w:left w:w="2" w:type="dxa"/>
              <w:bottom w:w="0" w:type="dxa"/>
              <w:right w:w="1" w:type="dxa"/>
            </w:tcMar>
          </w:tcPr>
          <w:p w:rsidR="009B4233" w:rsidRDefault="006B08B9">
            <w:pPr>
              <w:spacing w:line="249" w:lineRule="auto"/>
              <w:ind w:left="1"/>
            </w:pPr>
            <w:r>
              <w:rPr>
                <w:rFonts w:ascii="Arial" w:eastAsia="Calibri" w:hAnsi="Arial" w:cs="Arial"/>
                <w:b/>
                <w:sz w:val="22"/>
                <w:szCs w:val="22"/>
              </w:rPr>
              <w:t>. -</w:t>
            </w:r>
          </w:p>
        </w:tc>
      </w:tr>
    </w:tbl>
    <w:p w:rsidR="009B4233" w:rsidRDefault="006B08B9">
      <w:pPr>
        <w:spacing w:line="249" w:lineRule="auto"/>
        <w:ind w:left="10" w:right="-2" w:hanging="10"/>
        <w:jc w:val="both"/>
        <w:rPr>
          <w:rFonts w:ascii="Arial" w:hAnsi="Arial" w:cs="Arial"/>
          <w:sz w:val="22"/>
          <w:szCs w:val="22"/>
        </w:rPr>
      </w:pPr>
      <w:r>
        <w:rPr>
          <w:rFonts w:ascii="Arial" w:hAnsi="Arial" w:cs="Arial"/>
          <w:sz w:val="22"/>
          <w:szCs w:val="22"/>
        </w:rPr>
        <w:t xml:space="preserve">    En relación al ámbito establecido en el modificado nº 1 del Proyecto de </w:t>
      </w:r>
    </w:p>
    <w:p w:rsidR="009B4233" w:rsidRDefault="006B08B9">
      <w:pPr>
        <w:ind w:left="269" w:right="1"/>
        <w:jc w:val="both"/>
        <w:rPr>
          <w:rFonts w:ascii="Arial" w:hAnsi="Arial" w:cs="Arial"/>
          <w:sz w:val="22"/>
          <w:szCs w:val="22"/>
        </w:rPr>
      </w:pPr>
      <w:r>
        <w:rPr>
          <w:rFonts w:ascii="Arial" w:hAnsi="Arial" w:cs="Arial"/>
          <w:sz w:val="22"/>
          <w:szCs w:val="22"/>
        </w:rPr>
        <w:t xml:space="preserve">Remodelación de la Plaza de La Patrona y su entorno, se añade a las fichas de Paseo de </w:t>
      </w:r>
    </w:p>
    <w:p w:rsidR="009B4233" w:rsidRDefault="006B08B9">
      <w:pPr>
        <w:ind w:left="269" w:right="1"/>
        <w:jc w:val="both"/>
      </w:pPr>
      <w:r>
        <w:rPr>
          <w:rFonts w:ascii="Arial" w:hAnsi="Arial" w:cs="Arial"/>
          <w:sz w:val="22"/>
          <w:szCs w:val="22"/>
        </w:rPr>
        <w:t>San Blas (nº de inventario 140023), Plaza de La Patrona (nº de inventario 110246 y 130114),</w:t>
      </w:r>
      <w:r>
        <w:rPr>
          <w:rFonts w:ascii="Arial" w:hAnsi="Arial" w:cs="Arial"/>
          <w:sz w:val="22"/>
          <w:szCs w:val="22"/>
        </w:rPr>
        <w:t xml:space="preserve"> Calle Los Príncipes (nº de inventario 140019), Calle Antón Guanche (nº de inventario 140024), Parking Antón Guanche (nº de inventario 120028 y 110253) y Solar y Vivienda en Calle Antón Guanche, nº 19 (nº de inventario 110254 y 130116), la ficha de </w:t>
      </w:r>
      <w:r>
        <w:rPr>
          <w:rFonts w:ascii="Arial" w:eastAsia="Calibri" w:hAnsi="Arial" w:cs="Arial"/>
          <w:b/>
          <w:sz w:val="22"/>
          <w:szCs w:val="22"/>
        </w:rPr>
        <w:t>Calle L</w:t>
      </w:r>
      <w:r>
        <w:rPr>
          <w:rFonts w:ascii="Arial" w:eastAsia="Calibri" w:hAnsi="Arial" w:cs="Arial"/>
          <w:b/>
          <w:sz w:val="22"/>
          <w:szCs w:val="22"/>
        </w:rPr>
        <w:t xml:space="preserve">a Magdalena (nº de inventario 14/37 y signatura 10203/2022)¸ </w:t>
      </w:r>
      <w:r>
        <w:rPr>
          <w:rFonts w:ascii="Arial" w:hAnsi="Arial" w:cs="Arial"/>
          <w:sz w:val="22"/>
          <w:szCs w:val="22"/>
        </w:rPr>
        <w:t>poniendo a disposición dicho inmueble para la ejecución del proyecto mencionado anteriormente.</w:t>
      </w:r>
    </w:p>
    <w:p w:rsidR="009B4233" w:rsidRDefault="006B08B9">
      <w:pPr>
        <w:spacing w:line="249" w:lineRule="auto"/>
        <w:ind w:left="1107"/>
        <w:jc w:val="both"/>
      </w:pPr>
      <w:r>
        <w:rPr>
          <w:rFonts w:ascii="Arial" w:hAnsi="Arial" w:cs="Arial"/>
          <w:noProof/>
          <w:sz w:val="22"/>
          <w:szCs w:val="22"/>
          <w:lang w:eastAsia="es-ES" w:bidi="ar-SA"/>
        </w:rPr>
        <w:drawing>
          <wp:inline distT="0" distB="0" distL="0" distR="0">
            <wp:extent cx="4800600" cy="4983480"/>
            <wp:effectExtent l="0" t="0" r="0" b="7620"/>
            <wp:docPr id="61" name="Imagen 14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rcRect/>
                    <a:stretch>
                      <a:fillRect/>
                    </a:stretch>
                  </pic:blipFill>
                  <pic:spPr>
                    <a:xfrm>
                      <a:off x="0" y="0"/>
                      <a:ext cx="4800600" cy="4983480"/>
                    </a:xfrm>
                    <a:prstGeom prst="rect">
                      <a:avLst/>
                    </a:prstGeom>
                    <a:noFill/>
                    <a:ln>
                      <a:noFill/>
                      <a:prstDash/>
                    </a:ln>
                  </pic:spPr>
                </pic:pic>
              </a:graphicData>
            </a:graphic>
          </wp:inline>
        </w:drawing>
      </w:r>
    </w:p>
    <w:p w:rsidR="009B4233" w:rsidRDefault="006B08B9">
      <w:pPr>
        <w:spacing w:after="354" w:line="249" w:lineRule="auto"/>
        <w:ind w:left="1225"/>
      </w:pPr>
      <w:r>
        <w:rPr>
          <w:rFonts w:ascii="Arial" w:hAnsi="Arial" w:cs="Arial"/>
          <w:noProof/>
          <w:sz w:val="22"/>
          <w:szCs w:val="22"/>
          <w:lang w:eastAsia="es-ES" w:bidi="ar-SA"/>
        </w:rPr>
        <w:drawing>
          <wp:inline distT="0" distB="0" distL="0" distR="0">
            <wp:extent cx="4655823" cy="5783579"/>
            <wp:effectExtent l="0" t="0" r="0" b="7621"/>
            <wp:docPr id="62" name="Imagen 14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rcRect/>
                    <a:stretch>
                      <a:fillRect/>
                    </a:stretch>
                  </pic:blipFill>
                  <pic:spPr>
                    <a:xfrm>
                      <a:off x="0" y="0"/>
                      <a:ext cx="4655823" cy="5783579"/>
                    </a:xfrm>
                    <a:prstGeom prst="rect">
                      <a:avLst/>
                    </a:prstGeom>
                    <a:noFill/>
                    <a:ln>
                      <a:noFill/>
                      <a:prstDash/>
                    </a:ln>
                  </pic:spPr>
                </pic:pic>
              </a:graphicData>
            </a:graphic>
          </wp:inline>
        </w:drawing>
      </w:r>
    </w:p>
    <w:tbl>
      <w:tblPr>
        <w:tblW w:w="8788" w:type="dxa"/>
        <w:tblInd w:w="281" w:type="dxa"/>
        <w:tblCellMar>
          <w:left w:w="10" w:type="dxa"/>
          <w:right w:w="10" w:type="dxa"/>
        </w:tblCellMar>
        <w:tblLook w:val="0000" w:firstRow="0" w:lastRow="0" w:firstColumn="0" w:lastColumn="0" w:noHBand="0" w:noVBand="0"/>
      </w:tblPr>
      <w:tblGrid>
        <w:gridCol w:w="8788"/>
      </w:tblGrid>
      <w:tr w:rsidR="009B4233">
        <w:tblPrEx>
          <w:tblCellMar>
            <w:top w:w="0" w:type="dxa"/>
            <w:bottom w:w="0" w:type="dxa"/>
          </w:tblCellMar>
        </w:tblPrEx>
        <w:trPr>
          <w:trHeight w:val="254"/>
        </w:trPr>
        <w:tc>
          <w:tcPr>
            <w:tcW w:w="8788" w:type="dxa"/>
            <w:shd w:val="clear" w:color="auto" w:fill="E0E0E0"/>
            <w:tcMar>
              <w:top w:w="8" w:type="dxa"/>
              <w:left w:w="427" w:type="dxa"/>
              <w:bottom w:w="0" w:type="dxa"/>
              <w:right w:w="115" w:type="dxa"/>
            </w:tcMar>
          </w:tcPr>
          <w:p w:rsidR="009B4233" w:rsidRDefault="006B08B9">
            <w:pPr>
              <w:tabs>
                <w:tab w:val="center" w:pos="1263"/>
              </w:tabs>
              <w:spacing w:line="249" w:lineRule="auto"/>
            </w:pPr>
            <w:r>
              <w:rPr>
                <w:rFonts w:ascii="Arial" w:eastAsia="Calibri" w:hAnsi="Arial" w:cs="Arial"/>
                <w:b/>
                <w:sz w:val="22"/>
                <w:szCs w:val="22"/>
              </w:rPr>
              <w:t>6.</w:t>
            </w:r>
            <w:r>
              <w:rPr>
                <w:rFonts w:ascii="Arial" w:eastAsia="Calibri" w:hAnsi="Arial" w:cs="Arial"/>
                <w:b/>
                <w:sz w:val="22"/>
                <w:szCs w:val="22"/>
              </w:rPr>
              <w:tab/>
            </w:r>
            <w:r>
              <w:rPr>
                <w:rFonts w:ascii="Arial" w:eastAsia="Calibri" w:hAnsi="Arial" w:cs="Arial"/>
                <w:b/>
                <w:sz w:val="22"/>
                <w:szCs w:val="22"/>
                <w:shd w:val="clear" w:color="auto" w:fill="E6E6E6"/>
              </w:rPr>
              <w:t>CONCLUSIÓN</w:t>
            </w:r>
            <w:r>
              <w:rPr>
                <w:rFonts w:ascii="Arial" w:eastAsia="Calibri" w:hAnsi="Arial" w:cs="Arial"/>
                <w:b/>
                <w:sz w:val="22"/>
                <w:szCs w:val="22"/>
              </w:rPr>
              <w:t>. -</w:t>
            </w:r>
          </w:p>
        </w:tc>
      </w:tr>
    </w:tbl>
    <w:p w:rsidR="009B4233" w:rsidRDefault="006B08B9">
      <w:pPr>
        <w:widowControl/>
        <w:numPr>
          <w:ilvl w:val="0"/>
          <w:numId w:val="67"/>
        </w:numPr>
        <w:suppressAutoHyphens w:val="0"/>
        <w:spacing w:after="246" w:line="264" w:lineRule="auto"/>
        <w:ind w:right="1" w:firstLine="414"/>
        <w:jc w:val="both"/>
        <w:textAlignment w:val="auto"/>
      </w:pPr>
      <w:r>
        <w:rPr>
          <w:rFonts w:ascii="Arial" w:hAnsi="Arial" w:cs="Arial"/>
          <w:sz w:val="22"/>
          <w:szCs w:val="22"/>
        </w:rPr>
        <w:t>A la vista de las modificaciones propuestas, descritas con anterioridad, no af</w:t>
      </w:r>
      <w:r>
        <w:rPr>
          <w:rFonts w:ascii="Arial" w:hAnsi="Arial" w:cs="Arial"/>
          <w:sz w:val="22"/>
          <w:szCs w:val="22"/>
        </w:rPr>
        <w:t xml:space="preserve">ectan a la ordenación prevista en el Plan General de Ordenación para el ámbito y por tanto se informa la </w:t>
      </w:r>
      <w:r>
        <w:rPr>
          <w:rFonts w:ascii="Arial" w:eastAsia="Calibri" w:hAnsi="Arial" w:cs="Arial"/>
          <w:b/>
          <w:sz w:val="22"/>
          <w:szCs w:val="22"/>
        </w:rPr>
        <w:t>CONFORMIDAD del Modificado nº1 del Proyecto Remodelación de la Plaza de la Patrona de Canarias, canalización de cauce e implantación de conducciones hi</w:t>
      </w:r>
      <w:r>
        <w:rPr>
          <w:rFonts w:ascii="Arial" w:eastAsia="Calibri" w:hAnsi="Arial" w:cs="Arial"/>
          <w:b/>
          <w:sz w:val="22"/>
          <w:szCs w:val="22"/>
        </w:rPr>
        <w:t>dráulicas (sectores 1, 2 y 3)</w:t>
      </w:r>
    </w:p>
    <w:p w:rsidR="009B4233" w:rsidRDefault="006B08B9">
      <w:pPr>
        <w:ind w:left="269" w:right="1"/>
        <w:jc w:val="both"/>
        <w:rPr>
          <w:rFonts w:ascii="Arial" w:hAnsi="Arial" w:cs="Arial"/>
          <w:sz w:val="22"/>
          <w:szCs w:val="22"/>
        </w:rPr>
      </w:pPr>
      <w:r>
        <w:rPr>
          <w:rFonts w:ascii="Arial" w:hAnsi="Arial" w:cs="Arial"/>
          <w:sz w:val="22"/>
          <w:szCs w:val="22"/>
        </w:rPr>
        <w:t>En el presente informe se comprueba la compatibilidad urbanística del proyecto presentado con el Plan General de Ordenación y por tanto quedará condicionado a cuantos informes sectoriales le sea de aplicación, en especial a lo</w:t>
      </w:r>
      <w:r>
        <w:rPr>
          <w:rFonts w:ascii="Arial" w:hAnsi="Arial" w:cs="Arial"/>
          <w:sz w:val="22"/>
          <w:szCs w:val="22"/>
        </w:rPr>
        <w:t>s emitidos por la Comisión Insular de Patrimonio Histórico del Excmo. Cabildo Insular de Tenerife, Consejo Insular de aguas y Demarcación de Costas.</w:t>
      </w:r>
    </w:p>
    <w:p w:rsidR="009B4233" w:rsidRDefault="006B08B9">
      <w:pPr>
        <w:widowControl/>
        <w:numPr>
          <w:ilvl w:val="0"/>
          <w:numId w:val="67"/>
        </w:numPr>
        <w:suppressAutoHyphens w:val="0"/>
        <w:spacing w:after="288" w:line="264" w:lineRule="auto"/>
        <w:ind w:right="1" w:firstLine="414"/>
        <w:jc w:val="both"/>
        <w:textAlignment w:val="auto"/>
      </w:pPr>
      <w:r>
        <w:rPr>
          <w:rFonts w:ascii="Arial" w:hAnsi="Arial" w:cs="Arial"/>
          <w:sz w:val="22"/>
          <w:szCs w:val="22"/>
        </w:rPr>
        <w:t xml:space="preserve">Por otra parte, para la correcta ejecución del modificado nº1 del proyecto, resulta necesario la </w:t>
      </w:r>
      <w:r>
        <w:rPr>
          <w:rFonts w:ascii="Arial" w:eastAsia="Calibri" w:hAnsi="Arial" w:cs="Arial"/>
          <w:b/>
          <w:sz w:val="22"/>
          <w:szCs w:val="22"/>
        </w:rPr>
        <w:t>PUESTA A D</w:t>
      </w:r>
      <w:r>
        <w:rPr>
          <w:rFonts w:ascii="Arial" w:eastAsia="Calibri" w:hAnsi="Arial" w:cs="Arial"/>
          <w:b/>
          <w:sz w:val="22"/>
          <w:szCs w:val="22"/>
        </w:rPr>
        <w:t>ISPOSICION</w:t>
      </w:r>
      <w:r>
        <w:rPr>
          <w:rFonts w:ascii="Arial" w:hAnsi="Arial" w:cs="Arial"/>
          <w:sz w:val="22"/>
          <w:szCs w:val="22"/>
        </w:rPr>
        <w:t xml:space="preserve"> de los siguientes suelos municipales identificados en el Inventario Municipal de Bienes Inmuebles, según ficha descrita en el presente informe como </w:t>
      </w:r>
      <w:r>
        <w:rPr>
          <w:rFonts w:ascii="Arial" w:eastAsia="Calibri" w:hAnsi="Arial" w:cs="Arial"/>
          <w:b/>
          <w:sz w:val="22"/>
          <w:szCs w:val="22"/>
        </w:rPr>
        <w:t>CALLE LA MAGDALENA:</w:t>
      </w:r>
    </w:p>
    <w:tbl>
      <w:tblPr>
        <w:tblW w:w="8232" w:type="dxa"/>
        <w:tblInd w:w="276" w:type="dxa"/>
        <w:tblCellMar>
          <w:left w:w="10" w:type="dxa"/>
          <w:right w:w="10" w:type="dxa"/>
        </w:tblCellMar>
        <w:tblLook w:val="0000" w:firstRow="0" w:lastRow="0" w:firstColumn="0" w:lastColumn="0" w:noHBand="0" w:noVBand="0"/>
      </w:tblPr>
      <w:tblGrid>
        <w:gridCol w:w="3956"/>
        <w:gridCol w:w="4276"/>
      </w:tblGrid>
      <w:tr w:rsidR="009B4233">
        <w:tblPrEx>
          <w:tblCellMar>
            <w:top w:w="0" w:type="dxa"/>
            <w:bottom w:w="0" w:type="dxa"/>
          </w:tblCellMar>
        </w:tblPrEx>
        <w:trPr>
          <w:trHeight w:val="382"/>
        </w:trPr>
        <w:tc>
          <w:tcPr>
            <w:tcW w:w="3956" w:type="dxa"/>
            <w:tcBorders>
              <w:top w:val="single" w:sz="4" w:space="0" w:color="000000"/>
              <w:left w:val="single" w:sz="4" w:space="0" w:color="000000"/>
              <w:bottom w:val="single" w:sz="4" w:space="0" w:color="000000"/>
              <w:right w:val="single" w:sz="4" w:space="0" w:color="000000"/>
            </w:tcBorders>
            <w:shd w:val="clear" w:color="auto" w:fill="auto"/>
            <w:tcMar>
              <w:top w:w="68" w:type="dxa"/>
              <w:left w:w="115" w:type="dxa"/>
              <w:bottom w:w="0" w:type="dxa"/>
              <w:right w:w="115" w:type="dxa"/>
            </w:tcMar>
          </w:tcPr>
          <w:p w:rsidR="009B4233" w:rsidRDefault="006B08B9">
            <w:pPr>
              <w:spacing w:line="249" w:lineRule="auto"/>
              <w:ind w:left="1"/>
              <w:jc w:val="center"/>
            </w:pPr>
            <w:r>
              <w:rPr>
                <w:rFonts w:ascii="Arial" w:eastAsia="Calibri" w:hAnsi="Arial" w:cs="Arial"/>
                <w:b/>
                <w:sz w:val="22"/>
                <w:szCs w:val="22"/>
              </w:rPr>
              <w:t>Nº INVENTARIO MUNICIPAL</w:t>
            </w:r>
          </w:p>
        </w:tc>
        <w:tc>
          <w:tcPr>
            <w:tcW w:w="4276" w:type="dxa"/>
            <w:tcBorders>
              <w:top w:val="single" w:sz="4" w:space="0" w:color="000000"/>
              <w:left w:val="single" w:sz="4" w:space="0" w:color="000000"/>
              <w:bottom w:val="single" w:sz="4" w:space="0" w:color="000000"/>
              <w:right w:val="single" w:sz="4" w:space="0" w:color="000000"/>
            </w:tcBorders>
            <w:shd w:val="clear" w:color="auto" w:fill="auto"/>
            <w:tcMar>
              <w:top w:w="68" w:type="dxa"/>
              <w:left w:w="115" w:type="dxa"/>
              <w:bottom w:w="0" w:type="dxa"/>
              <w:right w:w="115" w:type="dxa"/>
            </w:tcMar>
          </w:tcPr>
          <w:p w:rsidR="009B4233" w:rsidRDefault="006B08B9">
            <w:pPr>
              <w:spacing w:line="249" w:lineRule="auto"/>
              <w:ind w:left="2"/>
              <w:jc w:val="center"/>
            </w:pPr>
            <w:r>
              <w:rPr>
                <w:rFonts w:ascii="Arial" w:eastAsia="Calibri" w:hAnsi="Arial" w:cs="Arial"/>
                <w:b/>
                <w:sz w:val="22"/>
                <w:szCs w:val="22"/>
              </w:rPr>
              <w:t>DENOMINACION</w:t>
            </w:r>
          </w:p>
        </w:tc>
      </w:tr>
      <w:tr w:rsidR="009B4233">
        <w:tblPrEx>
          <w:tblCellMar>
            <w:top w:w="0" w:type="dxa"/>
            <w:bottom w:w="0" w:type="dxa"/>
          </w:tblCellMar>
        </w:tblPrEx>
        <w:trPr>
          <w:trHeight w:val="396"/>
        </w:trPr>
        <w:tc>
          <w:tcPr>
            <w:tcW w:w="3956" w:type="dxa"/>
            <w:tcBorders>
              <w:top w:val="single" w:sz="4" w:space="0" w:color="000000"/>
              <w:left w:val="single" w:sz="4" w:space="0" w:color="000000"/>
              <w:bottom w:val="single" w:sz="4" w:space="0" w:color="000000"/>
              <w:right w:val="single" w:sz="4" w:space="0" w:color="000000"/>
            </w:tcBorders>
            <w:shd w:val="clear" w:color="auto" w:fill="auto"/>
            <w:tcMar>
              <w:top w:w="68" w:type="dxa"/>
              <w:left w:w="115" w:type="dxa"/>
              <w:bottom w:w="0" w:type="dxa"/>
              <w:right w:w="115" w:type="dxa"/>
            </w:tcMar>
          </w:tcPr>
          <w:p w:rsidR="009B4233" w:rsidRDefault="006B08B9">
            <w:pPr>
              <w:spacing w:line="249" w:lineRule="auto"/>
              <w:ind w:left="2"/>
              <w:jc w:val="center"/>
              <w:rPr>
                <w:rFonts w:ascii="Arial" w:hAnsi="Arial" w:cs="Arial"/>
                <w:sz w:val="22"/>
                <w:szCs w:val="22"/>
              </w:rPr>
            </w:pPr>
            <w:r>
              <w:rPr>
                <w:rFonts w:ascii="Arial" w:hAnsi="Arial" w:cs="Arial"/>
                <w:sz w:val="22"/>
                <w:szCs w:val="22"/>
              </w:rPr>
              <w:t>14/37</w:t>
            </w:r>
          </w:p>
        </w:tc>
        <w:tc>
          <w:tcPr>
            <w:tcW w:w="4276" w:type="dxa"/>
            <w:tcBorders>
              <w:top w:val="single" w:sz="4" w:space="0" w:color="000000"/>
              <w:left w:val="single" w:sz="4" w:space="0" w:color="000000"/>
              <w:bottom w:val="single" w:sz="4" w:space="0" w:color="000000"/>
              <w:right w:val="single" w:sz="4" w:space="0" w:color="000000"/>
            </w:tcBorders>
            <w:shd w:val="clear" w:color="auto" w:fill="auto"/>
            <w:tcMar>
              <w:top w:w="68" w:type="dxa"/>
              <w:left w:w="115" w:type="dxa"/>
              <w:bottom w:w="0" w:type="dxa"/>
              <w:right w:w="115" w:type="dxa"/>
            </w:tcMar>
          </w:tcPr>
          <w:p w:rsidR="009B4233" w:rsidRDefault="006B08B9">
            <w:pPr>
              <w:spacing w:line="249" w:lineRule="auto"/>
              <w:ind w:left="2"/>
              <w:jc w:val="center"/>
              <w:rPr>
                <w:rFonts w:ascii="Arial" w:hAnsi="Arial" w:cs="Arial"/>
                <w:sz w:val="22"/>
                <w:szCs w:val="22"/>
              </w:rPr>
            </w:pPr>
            <w:r>
              <w:rPr>
                <w:rFonts w:ascii="Arial" w:hAnsi="Arial" w:cs="Arial"/>
                <w:sz w:val="22"/>
                <w:szCs w:val="22"/>
              </w:rPr>
              <w:t>CALLE LA MAGDALENA</w:t>
            </w:r>
          </w:p>
        </w:tc>
      </w:tr>
    </w:tbl>
    <w:p w:rsidR="009B4233" w:rsidRDefault="006B08B9">
      <w:pPr>
        <w:spacing w:after="238"/>
        <w:ind w:left="708" w:right="1"/>
        <w:rPr>
          <w:rFonts w:ascii="Arial" w:hAnsi="Arial" w:cs="Arial"/>
          <w:sz w:val="22"/>
          <w:szCs w:val="22"/>
        </w:rPr>
      </w:pPr>
      <w:r>
        <w:rPr>
          <w:rFonts w:ascii="Arial" w:hAnsi="Arial" w:cs="Arial"/>
          <w:sz w:val="22"/>
          <w:szCs w:val="22"/>
        </w:rPr>
        <w:t>…”“</w:t>
      </w:r>
    </w:p>
    <w:p w:rsidR="009B4233" w:rsidRDefault="006B08B9">
      <w:pPr>
        <w:pStyle w:val="Ttulo1"/>
        <w:spacing w:after="240"/>
        <w:ind w:left="714" w:right="2"/>
        <w:rPr>
          <w:rFonts w:ascii="Arial" w:hAnsi="Arial" w:cs="Arial"/>
          <w:sz w:val="22"/>
          <w:szCs w:val="22"/>
        </w:rPr>
      </w:pPr>
      <w:r>
        <w:rPr>
          <w:rFonts w:ascii="Arial" w:hAnsi="Arial" w:cs="Arial"/>
          <w:sz w:val="22"/>
          <w:szCs w:val="22"/>
        </w:rPr>
        <w:t>FUNDAMENTOS JURÍDICOS</w:t>
      </w:r>
    </w:p>
    <w:p w:rsidR="009B4233" w:rsidRDefault="006B08B9">
      <w:pPr>
        <w:shd w:val="clear" w:color="auto" w:fill="F9F9F9"/>
        <w:spacing w:after="616" w:line="216" w:lineRule="auto"/>
      </w:pPr>
      <w:r>
        <w:rPr>
          <w:rFonts w:ascii="Arial" w:eastAsia="Calibri" w:hAnsi="Arial" w:cs="Arial"/>
          <w:b/>
          <w:sz w:val="22"/>
          <w:szCs w:val="22"/>
        </w:rPr>
        <w:t>Artículos del Real Decreto 1372/1986, de 13 de junio, por el que se aprueba el Reglamento de Bienes de las Entidades Locales:</w:t>
      </w:r>
    </w:p>
    <w:p w:rsidR="009B4233" w:rsidRDefault="006B08B9">
      <w:pPr>
        <w:spacing w:after="316"/>
        <w:ind w:right="1"/>
        <w:jc w:val="both"/>
        <w:rPr>
          <w:rFonts w:ascii="Arial" w:hAnsi="Arial" w:cs="Arial"/>
          <w:sz w:val="22"/>
          <w:szCs w:val="22"/>
        </w:rPr>
      </w:pPr>
      <w:r>
        <w:rPr>
          <w:rFonts w:ascii="Arial" w:hAnsi="Arial" w:cs="Arial"/>
          <w:sz w:val="22"/>
          <w:szCs w:val="22"/>
        </w:rPr>
        <w:t>Art. 109.</w:t>
      </w:r>
    </w:p>
    <w:p w:rsidR="009B4233" w:rsidRDefault="006B08B9">
      <w:pPr>
        <w:widowControl/>
        <w:numPr>
          <w:ilvl w:val="0"/>
          <w:numId w:val="68"/>
        </w:numPr>
        <w:suppressAutoHyphens w:val="0"/>
        <w:spacing w:after="321" w:line="264" w:lineRule="auto"/>
        <w:ind w:right="1" w:firstLine="360"/>
        <w:jc w:val="both"/>
        <w:textAlignment w:val="auto"/>
        <w:rPr>
          <w:rFonts w:ascii="Arial" w:hAnsi="Arial" w:cs="Arial"/>
          <w:sz w:val="22"/>
          <w:szCs w:val="22"/>
        </w:rPr>
      </w:pPr>
      <w:r>
        <w:rPr>
          <w:rFonts w:ascii="Arial" w:hAnsi="Arial" w:cs="Arial"/>
          <w:sz w:val="22"/>
          <w:szCs w:val="22"/>
        </w:rPr>
        <w:t>Los bienes inmuebles patrimoniales no podrán enajenarse, gravarse ni permutarse sin autorización d</w:t>
      </w:r>
      <w:r>
        <w:rPr>
          <w:rFonts w:ascii="Arial" w:hAnsi="Arial" w:cs="Arial"/>
          <w:sz w:val="22"/>
          <w:szCs w:val="22"/>
        </w:rPr>
        <w:t>el órgano competente de la Comunidad Autónoma, cuando su valor exceda del 25 por 100 de los recursos ordinarios del presupuesto anual de la Corporación. No obstante, se dará cuenta al órgano competente de la Comunidad Autónoma de toda enajenación de bienes</w:t>
      </w:r>
      <w:r>
        <w:rPr>
          <w:rFonts w:ascii="Arial" w:hAnsi="Arial" w:cs="Arial"/>
          <w:sz w:val="22"/>
          <w:szCs w:val="22"/>
        </w:rPr>
        <w:t xml:space="preserve"> inmuebles que se produzca.</w:t>
      </w:r>
    </w:p>
    <w:p w:rsidR="009B4233" w:rsidRDefault="006B08B9">
      <w:pPr>
        <w:widowControl/>
        <w:numPr>
          <w:ilvl w:val="0"/>
          <w:numId w:val="68"/>
        </w:numPr>
        <w:suppressAutoHyphens w:val="0"/>
        <w:spacing w:after="503" w:line="264" w:lineRule="auto"/>
        <w:ind w:right="1" w:firstLine="360"/>
        <w:jc w:val="both"/>
        <w:textAlignment w:val="auto"/>
        <w:rPr>
          <w:rFonts w:ascii="Arial" w:hAnsi="Arial" w:cs="Arial"/>
          <w:sz w:val="22"/>
          <w:szCs w:val="22"/>
        </w:rPr>
      </w:pPr>
      <w:r>
        <w:rPr>
          <w:rFonts w:ascii="Arial" w:hAnsi="Arial" w:cs="Arial"/>
          <w:sz w:val="22"/>
          <w:szCs w:val="22"/>
        </w:rPr>
        <w:t xml:space="preserve">Los bienes inmuebles patrimoniales no podrán cederse gratuitamente sino a Entidades o Instituciones publicas para fines que redunden en beneficio de los habitantes del término municipal, así como a las Instituciones privadas de </w:t>
      </w:r>
      <w:r>
        <w:rPr>
          <w:rFonts w:ascii="Arial" w:hAnsi="Arial" w:cs="Arial"/>
          <w:sz w:val="22"/>
          <w:szCs w:val="22"/>
        </w:rPr>
        <w:t>interés público sin animo de lucro. De estas cesiones también se dará cuenta a la autoridad competente de la Comunidad Autónoma.</w:t>
      </w:r>
    </w:p>
    <w:p w:rsidR="009B4233" w:rsidRDefault="006B08B9">
      <w:pPr>
        <w:spacing w:after="314"/>
        <w:ind w:right="1"/>
        <w:jc w:val="both"/>
        <w:rPr>
          <w:rFonts w:ascii="Arial" w:hAnsi="Arial" w:cs="Arial"/>
          <w:sz w:val="22"/>
          <w:szCs w:val="22"/>
        </w:rPr>
      </w:pPr>
      <w:r>
        <w:rPr>
          <w:rFonts w:ascii="Arial" w:hAnsi="Arial" w:cs="Arial"/>
          <w:sz w:val="22"/>
          <w:szCs w:val="22"/>
        </w:rPr>
        <w:t>Art. 110.</w:t>
      </w:r>
    </w:p>
    <w:p w:rsidR="009B4233" w:rsidRDefault="006B08B9">
      <w:pPr>
        <w:spacing w:after="503"/>
        <w:ind w:right="1" w:firstLine="360"/>
        <w:jc w:val="both"/>
        <w:rPr>
          <w:rFonts w:ascii="Arial" w:hAnsi="Arial" w:cs="Arial"/>
          <w:sz w:val="22"/>
          <w:szCs w:val="22"/>
        </w:rPr>
      </w:pPr>
      <w:r>
        <w:rPr>
          <w:rFonts w:ascii="Arial" w:hAnsi="Arial" w:cs="Arial"/>
          <w:sz w:val="22"/>
          <w:szCs w:val="22"/>
        </w:rPr>
        <w:t xml:space="preserve">1. En todo caso, la cesión gratuita de los bienes requerirá acuerdo adoptado con el voto favorable de la mayoría </w:t>
      </w:r>
      <w:r>
        <w:rPr>
          <w:rFonts w:ascii="Arial" w:hAnsi="Arial" w:cs="Arial"/>
          <w:sz w:val="22"/>
          <w:szCs w:val="22"/>
        </w:rPr>
        <w:t>absoluta del número legal de miembros de la Corporación, previa instrucción del expediente con arreglo a estos requisitos:</w:t>
      </w:r>
    </w:p>
    <w:p w:rsidR="009B4233" w:rsidRDefault="006B08B9">
      <w:pPr>
        <w:widowControl/>
        <w:numPr>
          <w:ilvl w:val="0"/>
          <w:numId w:val="69"/>
        </w:numPr>
        <w:suppressAutoHyphens w:val="0"/>
        <w:spacing w:after="321" w:line="264" w:lineRule="auto"/>
        <w:ind w:right="1" w:firstLine="360"/>
        <w:jc w:val="both"/>
        <w:textAlignment w:val="auto"/>
        <w:rPr>
          <w:rFonts w:ascii="Arial" w:hAnsi="Arial" w:cs="Arial"/>
          <w:sz w:val="22"/>
          <w:szCs w:val="22"/>
        </w:rPr>
      </w:pPr>
      <w:r>
        <w:rPr>
          <w:rFonts w:ascii="Arial" w:hAnsi="Arial" w:cs="Arial"/>
          <w:sz w:val="22"/>
          <w:szCs w:val="22"/>
        </w:rPr>
        <w:t xml:space="preserve">Justificación documental por la propia Entidad o Institución solicitante de su carácter público y Memoria demostrativa de que los </w:t>
      </w:r>
      <w:r>
        <w:rPr>
          <w:rFonts w:ascii="Arial" w:hAnsi="Arial" w:cs="Arial"/>
          <w:sz w:val="22"/>
          <w:szCs w:val="22"/>
        </w:rPr>
        <w:t>fines que persigue han de redundar de manera evidente y positiva en beneficio de los habitantes del término municipal.</w:t>
      </w:r>
    </w:p>
    <w:p w:rsidR="009B4233" w:rsidRDefault="006B08B9">
      <w:pPr>
        <w:widowControl/>
        <w:numPr>
          <w:ilvl w:val="0"/>
          <w:numId w:val="69"/>
        </w:numPr>
        <w:suppressAutoHyphens w:val="0"/>
        <w:spacing w:line="249" w:lineRule="auto"/>
        <w:ind w:right="1" w:firstLine="360"/>
        <w:jc w:val="both"/>
        <w:textAlignment w:val="auto"/>
        <w:rPr>
          <w:rFonts w:ascii="Arial" w:hAnsi="Arial" w:cs="Arial"/>
          <w:sz w:val="22"/>
          <w:szCs w:val="22"/>
        </w:rPr>
      </w:pPr>
      <w:r>
        <w:rPr>
          <w:rFonts w:ascii="Arial" w:hAnsi="Arial" w:cs="Arial"/>
          <w:sz w:val="22"/>
          <w:szCs w:val="22"/>
        </w:rPr>
        <w:t xml:space="preserve">Certificación del Registro de la Propiedad acreditativa de que los bienes se hallan </w:t>
      </w:r>
    </w:p>
    <w:p w:rsidR="009B4233" w:rsidRDefault="006B08B9">
      <w:pPr>
        <w:spacing w:after="314"/>
        <w:ind w:right="1"/>
        <w:jc w:val="both"/>
        <w:rPr>
          <w:rFonts w:ascii="Arial" w:hAnsi="Arial" w:cs="Arial"/>
          <w:sz w:val="22"/>
          <w:szCs w:val="22"/>
        </w:rPr>
      </w:pPr>
      <w:r>
        <w:rPr>
          <w:rFonts w:ascii="Arial" w:hAnsi="Arial" w:cs="Arial"/>
          <w:sz w:val="22"/>
          <w:szCs w:val="22"/>
        </w:rPr>
        <w:t>debidamente inscritos en concepto de patrimoniales d</w:t>
      </w:r>
      <w:r>
        <w:rPr>
          <w:rFonts w:ascii="Arial" w:hAnsi="Arial" w:cs="Arial"/>
          <w:sz w:val="22"/>
          <w:szCs w:val="22"/>
        </w:rPr>
        <w:t>e la Entidad local.</w:t>
      </w:r>
    </w:p>
    <w:p w:rsidR="009B4233" w:rsidRDefault="006B08B9">
      <w:pPr>
        <w:widowControl/>
        <w:numPr>
          <w:ilvl w:val="0"/>
          <w:numId w:val="69"/>
        </w:numPr>
        <w:suppressAutoHyphens w:val="0"/>
        <w:spacing w:after="4" w:line="264" w:lineRule="auto"/>
        <w:ind w:right="1" w:firstLine="360"/>
        <w:jc w:val="both"/>
        <w:textAlignment w:val="auto"/>
        <w:rPr>
          <w:rFonts w:ascii="Arial" w:hAnsi="Arial" w:cs="Arial"/>
          <w:sz w:val="22"/>
          <w:szCs w:val="22"/>
        </w:rPr>
      </w:pPr>
      <w:r>
        <w:rPr>
          <w:rFonts w:ascii="Arial" w:hAnsi="Arial" w:cs="Arial"/>
          <w:sz w:val="22"/>
          <w:szCs w:val="22"/>
        </w:rPr>
        <w:t>Certificación del Secretario de la Corporación en la que conste que los bienes figuran en el inventario aprobado por la Corporación con la antedicha calificación jurídica.</w:t>
      </w:r>
    </w:p>
    <w:p w:rsidR="009B4233" w:rsidRDefault="006B08B9">
      <w:pPr>
        <w:widowControl/>
        <w:numPr>
          <w:ilvl w:val="0"/>
          <w:numId w:val="69"/>
        </w:numPr>
        <w:suppressAutoHyphens w:val="0"/>
        <w:spacing w:line="249" w:lineRule="auto"/>
        <w:ind w:right="1" w:firstLine="360"/>
        <w:jc w:val="both"/>
        <w:textAlignment w:val="auto"/>
        <w:rPr>
          <w:rFonts w:ascii="Arial" w:hAnsi="Arial" w:cs="Arial"/>
          <w:sz w:val="22"/>
          <w:szCs w:val="22"/>
        </w:rPr>
      </w:pPr>
      <w:r>
        <w:rPr>
          <w:rFonts w:ascii="Arial" w:hAnsi="Arial" w:cs="Arial"/>
          <w:sz w:val="22"/>
          <w:szCs w:val="22"/>
        </w:rPr>
        <w:t>Informe del Interventor de fondos en el que pruebe no haber deud</w:t>
      </w:r>
      <w:r>
        <w:rPr>
          <w:rFonts w:ascii="Arial" w:hAnsi="Arial" w:cs="Arial"/>
          <w:sz w:val="22"/>
          <w:szCs w:val="22"/>
        </w:rPr>
        <w:t xml:space="preserve">a pendiente de </w:t>
      </w:r>
    </w:p>
    <w:p w:rsidR="009B4233" w:rsidRDefault="006B08B9">
      <w:pPr>
        <w:spacing w:after="316"/>
        <w:ind w:right="1"/>
        <w:jc w:val="both"/>
        <w:rPr>
          <w:rFonts w:ascii="Arial" w:hAnsi="Arial" w:cs="Arial"/>
          <w:sz w:val="22"/>
          <w:szCs w:val="22"/>
        </w:rPr>
      </w:pPr>
      <w:r>
        <w:rPr>
          <w:rFonts w:ascii="Arial" w:hAnsi="Arial" w:cs="Arial"/>
          <w:sz w:val="22"/>
          <w:szCs w:val="22"/>
        </w:rPr>
        <w:t>liquidación con cargo al presupuesto municipal.</w:t>
      </w:r>
    </w:p>
    <w:p w:rsidR="009B4233" w:rsidRDefault="006B08B9">
      <w:pPr>
        <w:widowControl/>
        <w:numPr>
          <w:ilvl w:val="0"/>
          <w:numId w:val="69"/>
        </w:numPr>
        <w:suppressAutoHyphens w:val="0"/>
        <w:spacing w:after="321" w:line="264" w:lineRule="auto"/>
        <w:ind w:right="1" w:firstLine="360"/>
        <w:jc w:val="both"/>
        <w:textAlignment w:val="auto"/>
        <w:rPr>
          <w:rFonts w:ascii="Arial" w:hAnsi="Arial" w:cs="Arial"/>
          <w:sz w:val="22"/>
          <w:szCs w:val="22"/>
        </w:rPr>
      </w:pPr>
      <w:r>
        <w:rPr>
          <w:rFonts w:ascii="Arial" w:hAnsi="Arial" w:cs="Arial"/>
          <w:sz w:val="22"/>
          <w:szCs w:val="22"/>
        </w:rPr>
        <w:t xml:space="preserve">Dictamen suscrito por técnico que asevere que los bienes no se hallan comprendidos en ningún plan de ordenación, reforma o adaptación, no son necesarios para la Entidad local ni es previsible </w:t>
      </w:r>
      <w:r>
        <w:rPr>
          <w:rFonts w:ascii="Arial" w:hAnsi="Arial" w:cs="Arial"/>
          <w:sz w:val="22"/>
          <w:szCs w:val="22"/>
        </w:rPr>
        <w:t>que lo sean en los diez años inmediatos.</w:t>
      </w:r>
    </w:p>
    <w:p w:rsidR="009B4233" w:rsidRDefault="006B08B9">
      <w:pPr>
        <w:widowControl/>
        <w:numPr>
          <w:ilvl w:val="0"/>
          <w:numId w:val="69"/>
        </w:numPr>
        <w:suppressAutoHyphens w:val="0"/>
        <w:spacing w:after="496" w:line="264" w:lineRule="auto"/>
        <w:ind w:right="1" w:firstLine="360"/>
        <w:jc w:val="both"/>
        <w:textAlignment w:val="auto"/>
        <w:rPr>
          <w:rFonts w:ascii="Arial" w:hAnsi="Arial" w:cs="Arial"/>
          <w:sz w:val="22"/>
          <w:szCs w:val="22"/>
        </w:rPr>
      </w:pPr>
      <w:r>
        <w:rPr>
          <w:rFonts w:ascii="Arial" w:hAnsi="Arial" w:cs="Arial"/>
          <w:sz w:val="22"/>
          <w:szCs w:val="22"/>
        </w:rPr>
        <w:t>Información pública por plazo no inferior a quince días.</w:t>
      </w:r>
    </w:p>
    <w:p w:rsidR="009B4233" w:rsidRDefault="006B08B9">
      <w:pPr>
        <w:spacing w:after="501"/>
        <w:ind w:right="1" w:firstLine="360"/>
        <w:jc w:val="both"/>
        <w:rPr>
          <w:rFonts w:ascii="Arial" w:hAnsi="Arial" w:cs="Arial"/>
          <w:sz w:val="22"/>
          <w:szCs w:val="22"/>
        </w:rPr>
      </w:pPr>
      <w:r>
        <w:rPr>
          <w:rFonts w:ascii="Arial" w:hAnsi="Arial" w:cs="Arial"/>
          <w:sz w:val="22"/>
          <w:szCs w:val="22"/>
        </w:rPr>
        <w:t>2. La cesión de solares al Organismo competente de promoción de la vivienda para construir viviendas de protección oficial revestirá, normalmente, la forma de</w:t>
      </w:r>
      <w:r>
        <w:rPr>
          <w:rFonts w:ascii="Arial" w:hAnsi="Arial" w:cs="Arial"/>
          <w:sz w:val="22"/>
          <w:szCs w:val="22"/>
        </w:rPr>
        <w:t xml:space="preserve"> permuta de los terrenos por número equivalente de aquellos que hubieren de edificarse y, cuando esto no fuere posible, la cesión gratuita no precisará el cumplimiento del requisito d) del párrafo precedente.</w:t>
      </w:r>
    </w:p>
    <w:p w:rsidR="009B4233" w:rsidRDefault="006B08B9">
      <w:pPr>
        <w:spacing w:after="316"/>
        <w:ind w:right="1"/>
        <w:jc w:val="both"/>
        <w:rPr>
          <w:rFonts w:ascii="Arial" w:hAnsi="Arial" w:cs="Arial"/>
          <w:sz w:val="22"/>
          <w:szCs w:val="22"/>
        </w:rPr>
      </w:pPr>
      <w:r>
        <w:rPr>
          <w:rFonts w:ascii="Arial" w:hAnsi="Arial" w:cs="Arial"/>
          <w:sz w:val="22"/>
          <w:szCs w:val="22"/>
        </w:rPr>
        <w:t>Art. 111.</w:t>
      </w:r>
    </w:p>
    <w:p w:rsidR="009B4233" w:rsidRDefault="006B08B9">
      <w:pPr>
        <w:widowControl/>
        <w:numPr>
          <w:ilvl w:val="0"/>
          <w:numId w:val="70"/>
        </w:numPr>
        <w:suppressAutoHyphens w:val="0"/>
        <w:spacing w:after="321" w:line="264" w:lineRule="auto"/>
        <w:ind w:right="1" w:firstLine="360"/>
        <w:jc w:val="both"/>
        <w:textAlignment w:val="auto"/>
        <w:rPr>
          <w:rFonts w:ascii="Arial" w:hAnsi="Arial" w:cs="Arial"/>
          <w:sz w:val="22"/>
          <w:szCs w:val="22"/>
        </w:rPr>
      </w:pPr>
      <w:r>
        <w:rPr>
          <w:rFonts w:ascii="Arial" w:hAnsi="Arial" w:cs="Arial"/>
          <w:sz w:val="22"/>
          <w:szCs w:val="22"/>
        </w:rPr>
        <w:t xml:space="preserve">Si los bienes cedidos no fuesen </w:t>
      </w:r>
      <w:r>
        <w:rPr>
          <w:rFonts w:ascii="Arial" w:hAnsi="Arial" w:cs="Arial"/>
          <w:sz w:val="22"/>
          <w:szCs w:val="22"/>
        </w:rPr>
        <w:t>destinados al uso dentro del plazo señalado en el acuerdo de cesión o dejasen de serlo posteriormente se considerará resuelta la cesión y revertirán aquéllos a la Corporación local, la cual tendrá derecho a percibir de la Entidad beneficiaria, previa tasac</w:t>
      </w:r>
      <w:r>
        <w:rPr>
          <w:rFonts w:ascii="Arial" w:hAnsi="Arial" w:cs="Arial"/>
          <w:sz w:val="22"/>
          <w:szCs w:val="22"/>
        </w:rPr>
        <w:t>ión pericial, el valor de los detrimentos experimentados por los bienes cedidos.</w:t>
      </w:r>
    </w:p>
    <w:p w:rsidR="009B4233" w:rsidRDefault="006B08B9">
      <w:pPr>
        <w:widowControl/>
        <w:numPr>
          <w:ilvl w:val="0"/>
          <w:numId w:val="70"/>
        </w:numPr>
        <w:suppressAutoHyphens w:val="0"/>
        <w:spacing w:after="323" w:line="264" w:lineRule="auto"/>
        <w:ind w:right="1" w:firstLine="360"/>
        <w:jc w:val="both"/>
        <w:textAlignment w:val="auto"/>
        <w:rPr>
          <w:rFonts w:ascii="Arial" w:hAnsi="Arial" w:cs="Arial"/>
          <w:sz w:val="22"/>
          <w:szCs w:val="22"/>
        </w:rPr>
      </w:pPr>
      <w:r>
        <w:rPr>
          <w:rFonts w:ascii="Arial" w:hAnsi="Arial" w:cs="Arial"/>
          <w:sz w:val="22"/>
          <w:szCs w:val="22"/>
        </w:rPr>
        <w:t>Si en el acuerdo de cesión no se estipula otra cosa, se entenderá que los fines para los cuales se hubieran otorgado deberán cumplirse en el plazo máximo de cinco años, debien</w:t>
      </w:r>
      <w:r>
        <w:rPr>
          <w:rFonts w:ascii="Arial" w:hAnsi="Arial" w:cs="Arial"/>
          <w:sz w:val="22"/>
          <w:szCs w:val="22"/>
        </w:rPr>
        <w:t>do mantenerse su destino durante los treinta años siguientes.</w:t>
      </w:r>
    </w:p>
    <w:p w:rsidR="009B4233" w:rsidRDefault="006B08B9">
      <w:pPr>
        <w:widowControl/>
        <w:numPr>
          <w:ilvl w:val="0"/>
          <w:numId w:val="70"/>
        </w:numPr>
        <w:suppressAutoHyphens w:val="0"/>
        <w:spacing w:after="143" w:line="264" w:lineRule="auto"/>
        <w:ind w:right="1" w:firstLine="360"/>
        <w:jc w:val="both"/>
        <w:textAlignment w:val="auto"/>
        <w:rPr>
          <w:rFonts w:ascii="Arial" w:hAnsi="Arial" w:cs="Arial"/>
          <w:sz w:val="22"/>
          <w:szCs w:val="22"/>
        </w:rPr>
      </w:pPr>
      <w:r>
        <w:rPr>
          <w:rFonts w:ascii="Arial" w:hAnsi="Arial" w:cs="Arial"/>
          <w:sz w:val="22"/>
          <w:szCs w:val="22"/>
        </w:rPr>
        <w:t>Los bienes cedidos revertirán, en su caso, al Patrimonio de la Entidad cedente con todas sus pertenencias y accesiones.</w:t>
      </w:r>
    </w:p>
    <w:p w:rsidR="009B4233" w:rsidRDefault="006B08B9">
      <w:pPr>
        <w:spacing w:after="245"/>
        <w:ind w:right="1" w:firstLine="708"/>
        <w:jc w:val="both"/>
        <w:rPr>
          <w:rFonts w:ascii="Arial" w:hAnsi="Arial" w:cs="Arial"/>
          <w:sz w:val="22"/>
          <w:szCs w:val="22"/>
        </w:rPr>
      </w:pPr>
      <w:r>
        <w:rPr>
          <w:rFonts w:ascii="Arial" w:hAnsi="Arial" w:cs="Arial"/>
          <w:sz w:val="22"/>
          <w:szCs w:val="22"/>
        </w:rPr>
        <w:t xml:space="preserve">En el presente expediente, los trámites de la cesión gratuita sólo serían </w:t>
      </w:r>
      <w:r>
        <w:rPr>
          <w:rFonts w:ascii="Arial" w:hAnsi="Arial" w:cs="Arial"/>
          <w:sz w:val="22"/>
          <w:szCs w:val="22"/>
        </w:rPr>
        <w:t>precisos aplicar cuando hubiera que traspasar  la titularidad de los bienes municipales a favor del Cabildo Insular de Tenerife, por el contrario en el presente caso la propiedad de los bienes revierten al Ayuntamiento, una vez ejecutado el proyecto de obr</w:t>
      </w:r>
      <w:r>
        <w:rPr>
          <w:rFonts w:ascii="Arial" w:hAnsi="Arial" w:cs="Arial"/>
          <w:sz w:val="22"/>
          <w:szCs w:val="22"/>
        </w:rPr>
        <w:t>a, por lo que  sólo se pone a disposición del Cabildo Insular de Tenerife varias parcelas municipales con el objeto de ejecutar por parte de ese Organismo el proyecto denominado “remodelación de plaza de la Patrona”.</w:t>
      </w:r>
    </w:p>
    <w:p w:rsidR="009B4233" w:rsidRDefault="006B08B9">
      <w:pPr>
        <w:spacing w:after="112"/>
        <w:ind w:right="1"/>
        <w:jc w:val="both"/>
        <w:rPr>
          <w:rFonts w:ascii="Arial" w:hAnsi="Arial" w:cs="Arial"/>
          <w:sz w:val="22"/>
          <w:szCs w:val="22"/>
        </w:rPr>
      </w:pPr>
      <w:r>
        <w:rPr>
          <w:rFonts w:ascii="Arial" w:hAnsi="Arial" w:cs="Arial"/>
          <w:sz w:val="22"/>
          <w:szCs w:val="22"/>
        </w:rPr>
        <w:t>Vista la Ley 7/1985, de 2 de abril, Reg</w:t>
      </w:r>
      <w:r>
        <w:rPr>
          <w:rFonts w:ascii="Arial" w:hAnsi="Arial" w:cs="Arial"/>
          <w:sz w:val="22"/>
          <w:szCs w:val="22"/>
        </w:rPr>
        <w:t>uladora de las Bases del Régimen Local.</w:t>
      </w:r>
    </w:p>
    <w:p w:rsidR="009B4233" w:rsidRDefault="006B08B9">
      <w:pPr>
        <w:spacing w:after="112"/>
        <w:ind w:right="1"/>
        <w:jc w:val="both"/>
        <w:rPr>
          <w:rFonts w:ascii="Arial" w:hAnsi="Arial" w:cs="Arial"/>
          <w:sz w:val="22"/>
          <w:szCs w:val="22"/>
        </w:rPr>
      </w:pPr>
      <w:r>
        <w:rPr>
          <w:rFonts w:ascii="Arial" w:hAnsi="Arial" w:cs="Arial"/>
          <w:sz w:val="22"/>
          <w:szCs w:val="22"/>
        </w:rPr>
        <w:t xml:space="preserve">Artículo 33. 2. Corresponde en todo caso al Pleno: ñ) Aquellas atribuciones que deban corresponder al Pleno por exigir su aprobación una mayoría especial. </w:t>
      </w:r>
    </w:p>
    <w:p w:rsidR="009B4233" w:rsidRDefault="006B08B9">
      <w:pPr>
        <w:spacing w:after="112"/>
        <w:ind w:right="1"/>
        <w:jc w:val="both"/>
        <w:rPr>
          <w:rFonts w:ascii="Arial" w:hAnsi="Arial" w:cs="Arial"/>
          <w:sz w:val="22"/>
          <w:szCs w:val="22"/>
        </w:rPr>
      </w:pPr>
      <w:r>
        <w:rPr>
          <w:rFonts w:ascii="Arial" w:hAnsi="Arial" w:cs="Arial"/>
          <w:sz w:val="22"/>
          <w:szCs w:val="22"/>
        </w:rPr>
        <w:t>En base a los antecedentes de hecho y fundamentos de Derecho</w:t>
      </w:r>
      <w:r>
        <w:rPr>
          <w:rFonts w:ascii="Arial" w:hAnsi="Arial" w:cs="Arial"/>
          <w:sz w:val="22"/>
          <w:szCs w:val="22"/>
        </w:rPr>
        <w:t xml:space="preserve"> expuestos, se emite la siguiente</w:t>
      </w:r>
    </w:p>
    <w:p w:rsidR="009B4233" w:rsidRDefault="009B4233">
      <w:pPr>
        <w:spacing w:after="112"/>
        <w:ind w:right="1"/>
        <w:jc w:val="both"/>
        <w:rPr>
          <w:rFonts w:ascii="Arial" w:hAnsi="Arial" w:cs="Arial"/>
          <w:sz w:val="22"/>
          <w:szCs w:val="22"/>
        </w:rPr>
      </w:pPr>
    </w:p>
    <w:p w:rsidR="009B4233" w:rsidRDefault="009B4233">
      <w:pPr>
        <w:spacing w:after="112"/>
        <w:ind w:right="1"/>
        <w:jc w:val="both"/>
        <w:rPr>
          <w:rFonts w:ascii="Arial" w:hAnsi="Arial" w:cs="Arial"/>
          <w:sz w:val="22"/>
          <w:szCs w:val="22"/>
        </w:rPr>
      </w:pPr>
    </w:p>
    <w:p w:rsidR="009B4233" w:rsidRDefault="006B08B9">
      <w:pPr>
        <w:pStyle w:val="Ttulo1"/>
        <w:ind w:left="714" w:right="708"/>
        <w:rPr>
          <w:rFonts w:ascii="Arial" w:hAnsi="Arial" w:cs="Arial"/>
          <w:sz w:val="22"/>
          <w:szCs w:val="22"/>
        </w:rPr>
      </w:pPr>
      <w:r>
        <w:rPr>
          <w:rFonts w:ascii="Arial" w:hAnsi="Arial" w:cs="Arial"/>
          <w:sz w:val="22"/>
          <w:szCs w:val="22"/>
        </w:rPr>
        <w:t>INFORME-PROPUESTA DE RESOLUCIÓN</w:t>
      </w:r>
    </w:p>
    <w:p w:rsidR="009B4233" w:rsidRDefault="009B4233">
      <w:pPr>
        <w:rPr>
          <w:rFonts w:ascii="Arial" w:hAnsi="Arial" w:cs="Arial"/>
          <w:sz w:val="22"/>
          <w:szCs w:val="22"/>
          <w:lang w:eastAsia="es-ES"/>
        </w:rPr>
      </w:pPr>
    </w:p>
    <w:p w:rsidR="009B4233" w:rsidRDefault="006B08B9">
      <w:pPr>
        <w:spacing w:after="112"/>
        <w:ind w:right="1"/>
        <w:jc w:val="both"/>
      </w:pPr>
      <w:r>
        <w:rPr>
          <w:rFonts w:ascii="Arial" w:eastAsia="Calibri" w:hAnsi="Arial" w:cs="Arial"/>
          <w:b/>
          <w:sz w:val="22"/>
          <w:szCs w:val="22"/>
        </w:rPr>
        <w:t xml:space="preserve">Primero.- </w:t>
      </w:r>
      <w:r>
        <w:rPr>
          <w:rFonts w:ascii="Arial" w:hAnsi="Arial" w:cs="Arial"/>
          <w:sz w:val="22"/>
          <w:szCs w:val="22"/>
        </w:rPr>
        <w:t xml:space="preserve">Prestar conformidad al </w:t>
      </w:r>
      <w:r>
        <w:rPr>
          <w:rFonts w:ascii="Arial" w:eastAsia="Calibri" w:hAnsi="Arial" w:cs="Arial"/>
          <w:b/>
          <w:sz w:val="22"/>
          <w:szCs w:val="22"/>
        </w:rPr>
        <w:t>Modificado nº 1 del Proyecto Remodelación de la Plaza de la Patrona de Canarias, canalización de cauce e implantación de conducciones hidráulicas (sectore</w:t>
      </w:r>
      <w:r>
        <w:rPr>
          <w:rFonts w:ascii="Arial" w:eastAsia="Calibri" w:hAnsi="Arial" w:cs="Arial"/>
          <w:b/>
          <w:sz w:val="22"/>
          <w:szCs w:val="22"/>
        </w:rPr>
        <w:t xml:space="preserve">s 1, 2 y 3), </w:t>
      </w:r>
      <w:r>
        <w:rPr>
          <w:rFonts w:ascii="Arial" w:hAnsi="Arial" w:cs="Arial"/>
          <w:sz w:val="22"/>
          <w:szCs w:val="22"/>
        </w:rPr>
        <w:t>en el término municipal de Candelaria, una vez comprobada por los técnicos municipales la compatibilidad urbanística del proyecto presentado con el Plan General de Ordenación, condicionado a cuantos informes sectoriales le sea de aplicación, e</w:t>
      </w:r>
      <w:r>
        <w:rPr>
          <w:rFonts w:ascii="Arial" w:hAnsi="Arial" w:cs="Arial"/>
          <w:sz w:val="22"/>
          <w:szCs w:val="22"/>
        </w:rPr>
        <w:t>n especial a los emitidos por la Comisión Insular de Patrimonio Histórico del Excmo. Cabildo Insular de Tenerife, Consejo Insular de aguas y Demarcación de Costas.</w:t>
      </w:r>
    </w:p>
    <w:p w:rsidR="009B4233" w:rsidRDefault="006B08B9">
      <w:pPr>
        <w:spacing w:after="200"/>
        <w:ind w:right="1"/>
        <w:jc w:val="both"/>
      </w:pPr>
      <w:r>
        <w:rPr>
          <w:rFonts w:ascii="Arial" w:eastAsia="Calibri" w:hAnsi="Arial" w:cs="Arial"/>
          <w:b/>
          <w:sz w:val="22"/>
          <w:szCs w:val="22"/>
        </w:rPr>
        <w:t xml:space="preserve">Segundo.- </w:t>
      </w:r>
      <w:r>
        <w:rPr>
          <w:rFonts w:ascii="Arial" w:hAnsi="Arial" w:cs="Arial"/>
          <w:sz w:val="22"/>
          <w:szCs w:val="22"/>
        </w:rPr>
        <w:t xml:space="preserve">Aprobar la cesión temporal de uso de los siguientes bienes inmuebles de propiedad </w:t>
      </w:r>
      <w:r>
        <w:rPr>
          <w:rFonts w:ascii="Arial" w:hAnsi="Arial" w:cs="Arial"/>
          <w:sz w:val="22"/>
          <w:szCs w:val="22"/>
        </w:rPr>
        <w:t>municipal según ficha descrita en el presente informe:</w:t>
      </w:r>
    </w:p>
    <w:tbl>
      <w:tblPr>
        <w:tblW w:w="8232" w:type="dxa"/>
        <w:tblInd w:w="276" w:type="dxa"/>
        <w:tblCellMar>
          <w:left w:w="10" w:type="dxa"/>
          <w:right w:w="10" w:type="dxa"/>
        </w:tblCellMar>
        <w:tblLook w:val="0000" w:firstRow="0" w:lastRow="0" w:firstColumn="0" w:lastColumn="0" w:noHBand="0" w:noVBand="0"/>
      </w:tblPr>
      <w:tblGrid>
        <w:gridCol w:w="3956"/>
        <w:gridCol w:w="4276"/>
      </w:tblGrid>
      <w:tr w:rsidR="009B4233">
        <w:tblPrEx>
          <w:tblCellMar>
            <w:top w:w="0" w:type="dxa"/>
            <w:bottom w:w="0" w:type="dxa"/>
          </w:tblCellMar>
        </w:tblPrEx>
        <w:trPr>
          <w:trHeight w:val="382"/>
        </w:trPr>
        <w:tc>
          <w:tcPr>
            <w:tcW w:w="3956" w:type="dxa"/>
            <w:tcBorders>
              <w:top w:val="single" w:sz="4" w:space="0" w:color="000000"/>
              <w:left w:val="single" w:sz="4" w:space="0" w:color="000000"/>
              <w:bottom w:val="single" w:sz="4" w:space="0" w:color="000000"/>
              <w:right w:val="single" w:sz="4" w:space="0" w:color="000000"/>
            </w:tcBorders>
            <w:shd w:val="clear" w:color="auto" w:fill="auto"/>
            <w:tcMar>
              <w:top w:w="70" w:type="dxa"/>
              <w:left w:w="115" w:type="dxa"/>
              <w:bottom w:w="0" w:type="dxa"/>
              <w:right w:w="115" w:type="dxa"/>
            </w:tcMar>
          </w:tcPr>
          <w:p w:rsidR="009B4233" w:rsidRDefault="006B08B9">
            <w:pPr>
              <w:spacing w:line="249" w:lineRule="auto"/>
              <w:ind w:left="1"/>
              <w:jc w:val="center"/>
            </w:pPr>
            <w:r>
              <w:rPr>
                <w:rFonts w:ascii="Arial" w:eastAsia="Calibri" w:hAnsi="Arial" w:cs="Arial"/>
                <w:b/>
                <w:sz w:val="22"/>
                <w:szCs w:val="22"/>
              </w:rPr>
              <w:t>Nº INVENTARIO MUNICIPAL</w:t>
            </w:r>
          </w:p>
        </w:tc>
        <w:tc>
          <w:tcPr>
            <w:tcW w:w="4276" w:type="dxa"/>
            <w:tcBorders>
              <w:top w:val="single" w:sz="4" w:space="0" w:color="000000"/>
              <w:left w:val="single" w:sz="4" w:space="0" w:color="000000"/>
              <w:bottom w:val="single" w:sz="4" w:space="0" w:color="000000"/>
              <w:right w:val="single" w:sz="4" w:space="0" w:color="000000"/>
            </w:tcBorders>
            <w:shd w:val="clear" w:color="auto" w:fill="auto"/>
            <w:tcMar>
              <w:top w:w="70" w:type="dxa"/>
              <w:left w:w="115" w:type="dxa"/>
              <w:bottom w:w="0" w:type="dxa"/>
              <w:right w:w="115" w:type="dxa"/>
            </w:tcMar>
          </w:tcPr>
          <w:p w:rsidR="009B4233" w:rsidRDefault="006B08B9">
            <w:pPr>
              <w:spacing w:line="249" w:lineRule="auto"/>
              <w:ind w:left="6"/>
              <w:jc w:val="center"/>
            </w:pPr>
            <w:r>
              <w:rPr>
                <w:rFonts w:ascii="Arial" w:eastAsia="Calibri" w:hAnsi="Arial" w:cs="Arial"/>
                <w:b/>
                <w:sz w:val="22"/>
                <w:szCs w:val="22"/>
              </w:rPr>
              <w:t>DENOMINACION</w:t>
            </w:r>
          </w:p>
        </w:tc>
      </w:tr>
      <w:tr w:rsidR="009B4233">
        <w:tblPrEx>
          <w:tblCellMar>
            <w:top w:w="0" w:type="dxa"/>
            <w:bottom w:w="0" w:type="dxa"/>
          </w:tblCellMar>
        </w:tblPrEx>
        <w:trPr>
          <w:trHeight w:val="396"/>
        </w:trPr>
        <w:tc>
          <w:tcPr>
            <w:tcW w:w="3956" w:type="dxa"/>
            <w:tcBorders>
              <w:top w:val="single" w:sz="4" w:space="0" w:color="000000"/>
              <w:left w:val="single" w:sz="4" w:space="0" w:color="000000"/>
              <w:bottom w:val="single" w:sz="4" w:space="0" w:color="000000"/>
              <w:right w:val="single" w:sz="4" w:space="0" w:color="000000"/>
            </w:tcBorders>
            <w:shd w:val="clear" w:color="auto" w:fill="auto"/>
            <w:tcMar>
              <w:top w:w="70" w:type="dxa"/>
              <w:left w:w="115" w:type="dxa"/>
              <w:bottom w:w="0" w:type="dxa"/>
              <w:right w:w="115" w:type="dxa"/>
            </w:tcMar>
          </w:tcPr>
          <w:p w:rsidR="009B4233" w:rsidRDefault="006B08B9">
            <w:pPr>
              <w:spacing w:line="249" w:lineRule="auto"/>
              <w:ind w:left="6"/>
              <w:jc w:val="center"/>
              <w:rPr>
                <w:rFonts w:ascii="Arial" w:hAnsi="Arial" w:cs="Arial"/>
                <w:sz w:val="22"/>
                <w:szCs w:val="22"/>
              </w:rPr>
            </w:pPr>
            <w:r>
              <w:rPr>
                <w:rFonts w:ascii="Arial" w:hAnsi="Arial" w:cs="Arial"/>
                <w:sz w:val="22"/>
                <w:szCs w:val="22"/>
              </w:rPr>
              <w:t>14/37</w:t>
            </w:r>
          </w:p>
        </w:tc>
        <w:tc>
          <w:tcPr>
            <w:tcW w:w="4276" w:type="dxa"/>
            <w:tcBorders>
              <w:top w:val="single" w:sz="4" w:space="0" w:color="000000"/>
              <w:left w:val="single" w:sz="4" w:space="0" w:color="000000"/>
              <w:bottom w:val="single" w:sz="4" w:space="0" w:color="000000"/>
              <w:right w:val="single" w:sz="4" w:space="0" w:color="000000"/>
            </w:tcBorders>
            <w:shd w:val="clear" w:color="auto" w:fill="auto"/>
            <w:tcMar>
              <w:top w:w="70" w:type="dxa"/>
              <w:left w:w="115" w:type="dxa"/>
              <w:bottom w:w="0" w:type="dxa"/>
              <w:right w:w="115" w:type="dxa"/>
            </w:tcMar>
          </w:tcPr>
          <w:p w:rsidR="009B4233" w:rsidRDefault="006B08B9">
            <w:pPr>
              <w:spacing w:line="249" w:lineRule="auto"/>
              <w:ind w:left="2"/>
              <w:jc w:val="center"/>
              <w:rPr>
                <w:rFonts w:ascii="Arial" w:hAnsi="Arial" w:cs="Arial"/>
                <w:sz w:val="22"/>
                <w:szCs w:val="22"/>
              </w:rPr>
            </w:pPr>
            <w:r>
              <w:rPr>
                <w:rFonts w:ascii="Arial" w:hAnsi="Arial" w:cs="Arial"/>
                <w:sz w:val="22"/>
                <w:szCs w:val="22"/>
              </w:rPr>
              <w:t>CALLE LA MAGDALENA</w:t>
            </w:r>
          </w:p>
        </w:tc>
      </w:tr>
    </w:tbl>
    <w:p w:rsidR="009B4233" w:rsidRDefault="006B08B9">
      <w:pPr>
        <w:spacing w:after="81"/>
        <w:ind w:right="1"/>
        <w:jc w:val="both"/>
      </w:pPr>
      <w:r>
        <w:rPr>
          <w:rFonts w:ascii="Arial" w:eastAsia="Calibri" w:hAnsi="Arial" w:cs="Arial"/>
          <w:b/>
          <w:sz w:val="22"/>
          <w:szCs w:val="22"/>
        </w:rPr>
        <w:t xml:space="preserve">Tercero.- </w:t>
      </w:r>
      <w:r>
        <w:rPr>
          <w:rFonts w:ascii="Arial" w:hAnsi="Arial" w:cs="Arial"/>
          <w:sz w:val="22"/>
          <w:szCs w:val="22"/>
        </w:rPr>
        <w:t xml:space="preserve"> Poner a disposición del Cabildo Insular de Tenerife de los bienes descritos en el informe técnico emitido por la Arquitecta </w:t>
      </w:r>
      <w:r>
        <w:rPr>
          <w:rFonts w:ascii="Arial" w:hAnsi="Arial" w:cs="Arial"/>
          <w:sz w:val="22"/>
          <w:szCs w:val="22"/>
        </w:rPr>
        <w:t>municipal con fecha 16 de septiembre de 2025, con el objeto de destinarlos a la ejecución del “</w:t>
      </w:r>
      <w:r>
        <w:rPr>
          <w:rFonts w:ascii="Arial" w:eastAsia="Calibri" w:hAnsi="Arial" w:cs="Arial"/>
          <w:b/>
          <w:sz w:val="22"/>
          <w:szCs w:val="22"/>
        </w:rPr>
        <w:t xml:space="preserve">Modificado nº 1 del Proyecto Remodelación de la Plaza de la Patrona de Canarias, canalización de cauce e implantación de conducciones hidráulicas (sectores 1, 2 </w:t>
      </w:r>
      <w:r>
        <w:rPr>
          <w:rFonts w:ascii="Arial" w:eastAsia="Calibri" w:hAnsi="Arial" w:cs="Arial"/>
          <w:b/>
          <w:sz w:val="22"/>
          <w:szCs w:val="22"/>
        </w:rPr>
        <w:t>y 3)”</w:t>
      </w:r>
    </w:p>
    <w:p w:rsidR="009B4233" w:rsidRDefault="006B08B9">
      <w:pPr>
        <w:spacing w:after="81"/>
        <w:ind w:right="1"/>
        <w:jc w:val="both"/>
      </w:pPr>
      <w:r>
        <w:rPr>
          <w:rFonts w:ascii="Arial" w:eastAsia="Calibri" w:hAnsi="Arial" w:cs="Arial"/>
          <w:b/>
          <w:sz w:val="22"/>
          <w:szCs w:val="22"/>
        </w:rPr>
        <w:t xml:space="preserve">Cuarto.- </w:t>
      </w:r>
      <w:r>
        <w:rPr>
          <w:rFonts w:ascii="Arial" w:hAnsi="Arial" w:cs="Arial"/>
          <w:sz w:val="22"/>
          <w:szCs w:val="22"/>
        </w:rPr>
        <w:t>Facultar a la Alcaldía para la firma de documentación que se derive en la ejecución del Acuerdo que se adopte.</w:t>
      </w:r>
    </w:p>
    <w:p w:rsidR="009B4233" w:rsidRDefault="006B08B9">
      <w:pPr>
        <w:spacing w:after="822"/>
        <w:ind w:right="1"/>
        <w:jc w:val="both"/>
      </w:pPr>
      <w:r>
        <w:rPr>
          <w:rFonts w:ascii="Arial" w:eastAsia="Calibri" w:hAnsi="Arial" w:cs="Arial"/>
          <w:b/>
          <w:sz w:val="22"/>
          <w:szCs w:val="22"/>
        </w:rPr>
        <w:t xml:space="preserve">Quinto.- </w:t>
      </w:r>
      <w:r>
        <w:rPr>
          <w:rFonts w:ascii="Arial" w:hAnsi="Arial" w:cs="Arial"/>
          <w:sz w:val="22"/>
          <w:szCs w:val="22"/>
        </w:rPr>
        <w:t>Notificar la resolución al Cabildo Insular de Tenerife.”</w:t>
      </w:r>
    </w:p>
    <w:p w:rsidR="009B4233" w:rsidRDefault="006B08B9">
      <w:pPr>
        <w:jc w:val="both"/>
        <w:rPr>
          <w:rFonts w:ascii="Arial" w:eastAsia="Times New Roman" w:hAnsi="Arial" w:cs="Arial"/>
          <w:b/>
          <w:color w:val="000000"/>
          <w:sz w:val="22"/>
          <w:szCs w:val="22"/>
          <w:lang w:eastAsia="es-ES"/>
        </w:rPr>
      </w:pPr>
      <w:r>
        <w:rPr>
          <w:rFonts w:ascii="Arial" w:eastAsia="Times New Roman" w:hAnsi="Arial" w:cs="Arial"/>
          <w:b/>
          <w:color w:val="000000"/>
          <w:sz w:val="22"/>
          <w:szCs w:val="22"/>
          <w:lang w:eastAsia="es-ES"/>
        </w:rPr>
        <w:t xml:space="preserve">   Consta en el expediente propuesta de la Alcaldesa-Presidenta,</w:t>
      </w:r>
      <w:r>
        <w:rPr>
          <w:rFonts w:ascii="Arial" w:eastAsia="Times New Roman" w:hAnsi="Arial" w:cs="Arial"/>
          <w:b/>
          <w:color w:val="000000"/>
          <w:sz w:val="22"/>
          <w:szCs w:val="22"/>
          <w:lang w:eastAsia="es-ES"/>
        </w:rPr>
        <w:t xml:space="preserve"> de fecha 17 de septiembre de 2025, cuyo tenor literal es el siguiente:</w:t>
      </w:r>
    </w:p>
    <w:p w:rsidR="009B4233" w:rsidRDefault="009B4233">
      <w:pPr>
        <w:pStyle w:val="Ttulo1"/>
        <w:rPr>
          <w:rFonts w:ascii="Arial" w:hAnsi="Arial" w:cs="Arial"/>
          <w:sz w:val="22"/>
          <w:szCs w:val="22"/>
        </w:rPr>
      </w:pPr>
    </w:p>
    <w:p w:rsidR="009B4233" w:rsidRDefault="006B08B9">
      <w:pPr>
        <w:pStyle w:val="Ttulo1"/>
        <w:rPr>
          <w:rFonts w:ascii="Arial" w:hAnsi="Arial" w:cs="Arial"/>
          <w:sz w:val="22"/>
          <w:szCs w:val="22"/>
        </w:rPr>
      </w:pPr>
      <w:r>
        <w:rPr>
          <w:rFonts w:ascii="Arial" w:hAnsi="Arial" w:cs="Arial"/>
          <w:sz w:val="22"/>
          <w:szCs w:val="22"/>
        </w:rPr>
        <w:t>“PROPUESTA</w:t>
      </w:r>
    </w:p>
    <w:p w:rsidR="009B4233" w:rsidRDefault="006B08B9">
      <w:pPr>
        <w:spacing w:after="486"/>
        <w:ind w:right="1"/>
        <w:jc w:val="both"/>
      </w:pPr>
      <w:r>
        <w:rPr>
          <w:rFonts w:ascii="Arial" w:hAnsi="Arial" w:cs="Arial"/>
          <w:sz w:val="22"/>
          <w:szCs w:val="22"/>
        </w:rPr>
        <w:t>Visto expediente nº</w:t>
      </w:r>
      <w:r>
        <w:rPr>
          <w:rFonts w:ascii="Arial" w:eastAsia="Calibri" w:hAnsi="Arial" w:cs="Arial"/>
          <w:b/>
          <w:sz w:val="22"/>
          <w:szCs w:val="22"/>
        </w:rPr>
        <w:t xml:space="preserve">: 7020/2021 </w:t>
      </w:r>
      <w:r>
        <w:rPr>
          <w:rFonts w:ascii="Arial" w:hAnsi="Arial" w:cs="Arial"/>
          <w:sz w:val="22"/>
          <w:szCs w:val="22"/>
        </w:rPr>
        <w:t>relativo a la</w:t>
      </w:r>
      <w:r>
        <w:rPr>
          <w:rFonts w:ascii="Arial" w:eastAsia="Calibri" w:hAnsi="Arial" w:cs="Arial"/>
          <w:b/>
          <w:sz w:val="22"/>
          <w:szCs w:val="22"/>
        </w:rPr>
        <w:t xml:space="preserve"> </w:t>
      </w:r>
      <w:r>
        <w:rPr>
          <w:rFonts w:ascii="Arial" w:hAnsi="Arial" w:cs="Arial"/>
          <w:sz w:val="22"/>
          <w:szCs w:val="22"/>
        </w:rPr>
        <w:t>Puesta a disposición de los terrenos necesarios para la ejecución del Proyecto de Remodelación de la Plaza de la Basílica, y Co</w:t>
      </w:r>
      <w:r>
        <w:rPr>
          <w:rFonts w:ascii="Arial" w:hAnsi="Arial" w:cs="Arial"/>
          <w:sz w:val="22"/>
          <w:szCs w:val="22"/>
        </w:rPr>
        <w:t>nformidad del Modificado nº 1 del Proyecto Remodelación de la Plaza de la Patrona de Canarias y visto el informe jurídico de fecha 17/09/2025, se eleva la siguiente propuesta al Pleno:</w:t>
      </w:r>
    </w:p>
    <w:p w:rsidR="009B4233" w:rsidRDefault="006B08B9">
      <w:pPr>
        <w:pStyle w:val="Ttulo2"/>
        <w:ind w:left="712" w:right="705"/>
        <w:jc w:val="center"/>
        <w:rPr>
          <w:rFonts w:ascii="Arial" w:hAnsi="Arial" w:cs="Arial"/>
          <w:sz w:val="22"/>
          <w:szCs w:val="22"/>
        </w:rPr>
      </w:pPr>
      <w:r>
        <w:rPr>
          <w:rFonts w:ascii="Arial" w:hAnsi="Arial" w:cs="Arial"/>
          <w:sz w:val="22"/>
          <w:szCs w:val="22"/>
        </w:rPr>
        <w:t>“…INFORME JURIDICO</w:t>
      </w:r>
    </w:p>
    <w:p w:rsidR="009B4233" w:rsidRDefault="006B08B9">
      <w:pPr>
        <w:spacing w:after="457"/>
        <w:ind w:left="269" w:right="1" w:firstLine="282"/>
        <w:jc w:val="both"/>
        <w:rPr>
          <w:rFonts w:ascii="Arial" w:hAnsi="Arial" w:cs="Arial"/>
          <w:sz w:val="22"/>
          <w:szCs w:val="22"/>
        </w:rPr>
      </w:pPr>
      <w:r>
        <w:rPr>
          <w:rFonts w:ascii="Arial" w:hAnsi="Arial" w:cs="Arial"/>
          <w:sz w:val="22"/>
          <w:szCs w:val="22"/>
        </w:rPr>
        <w:t>La técnico de la Administración General Olga Fernánd</w:t>
      </w:r>
      <w:r>
        <w:rPr>
          <w:rFonts w:ascii="Arial" w:hAnsi="Arial" w:cs="Arial"/>
          <w:sz w:val="22"/>
          <w:szCs w:val="22"/>
        </w:rPr>
        <w:t xml:space="preserve">ez Méndez Bencomo, en el expediente anteriormente reseñado, emite el siguiente informe, conformado por el Secretario General Octavio Manuel Fernández Hernández: </w:t>
      </w:r>
    </w:p>
    <w:p w:rsidR="009B4233" w:rsidRDefault="006B08B9">
      <w:pPr>
        <w:pStyle w:val="Ttulo2"/>
        <w:ind w:left="712" w:right="141"/>
        <w:jc w:val="center"/>
        <w:rPr>
          <w:rFonts w:ascii="Arial" w:hAnsi="Arial" w:cs="Arial"/>
          <w:sz w:val="22"/>
          <w:szCs w:val="22"/>
        </w:rPr>
      </w:pPr>
      <w:r>
        <w:rPr>
          <w:rFonts w:ascii="Arial" w:hAnsi="Arial" w:cs="Arial"/>
          <w:sz w:val="22"/>
          <w:szCs w:val="22"/>
        </w:rPr>
        <w:t>ANTECEDENTES DE HECHO</w:t>
      </w:r>
    </w:p>
    <w:p w:rsidR="009B4233" w:rsidRDefault="006B08B9">
      <w:pPr>
        <w:spacing w:after="85"/>
        <w:ind w:left="269" w:right="1" w:firstLine="282"/>
        <w:jc w:val="both"/>
        <w:rPr>
          <w:rFonts w:ascii="Arial" w:hAnsi="Arial" w:cs="Arial"/>
          <w:sz w:val="22"/>
          <w:szCs w:val="22"/>
        </w:rPr>
      </w:pPr>
      <w:r>
        <w:rPr>
          <w:rFonts w:ascii="Arial" w:hAnsi="Arial" w:cs="Arial"/>
          <w:sz w:val="22"/>
          <w:szCs w:val="22"/>
        </w:rPr>
        <w:t>Visto el expediente 7020/2021 relativo al Proyecto de Remodelación de la</w:t>
      </w:r>
      <w:r>
        <w:rPr>
          <w:rFonts w:ascii="Arial" w:hAnsi="Arial" w:cs="Arial"/>
          <w:sz w:val="22"/>
          <w:szCs w:val="22"/>
        </w:rPr>
        <w:t xml:space="preserve"> Plaza de la Patrona y el informe técnico de fecha 16 de septiembre de 2025, emitido por la Arquitecta Municipal del siguiente tenor literal:</w:t>
      </w:r>
    </w:p>
    <w:p w:rsidR="009B4233" w:rsidRDefault="006B08B9">
      <w:pPr>
        <w:pStyle w:val="Ttulo2"/>
        <w:spacing w:after="312"/>
        <w:ind w:left="712" w:right="705"/>
        <w:jc w:val="center"/>
        <w:rPr>
          <w:rFonts w:ascii="Arial" w:hAnsi="Arial" w:cs="Arial"/>
          <w:sz w:val="22"/>
          <w:szCs w:val="22"/>
        </w:rPr>
      </w:pPr>
      <w:r>
        <w:rPr>
          <w:rFonts w:ascii="Arial" w:hAnsi="Arial" w:cs="Arial"/>
          <w:sz w:val="22"/>
          <w:szCs w:val="22"/>
        </w:rPr>
        <w:t>“…INFORME</w:t>
      </w:r>
    </w:p>
    <w:p w:rsidR="009B4233" w:rsidRDefault="006B08B9">
      <w:pPr>
        <w:spacing w:after="71"/>
        <w:ind w:left="269" w:right="1"/>
        <w:jc w:val="both"/>
      </w:pPr>
      <w:r>
        <w:rPr>
          <w:rFonts w:ascii="Arial" w:hAnsi="Arial" w:cs="Arial"/>
          <w:sz w:val="22"/>
          <w:szCs w:val="22"/>
        </w:rPr>
        <w:t>A la vista de los Oficios presentados por el Cabildo Insular de Tenerife, con fechas 21 de agosto de 202</w:t>
      </w:r>
      <w:r>
        <w:rPr>
          <w:rFonts w:ascii="Arial" w:hAnsi="Arial" w:cs="Arial"/>
          <w:sz w:val="22"/>
          <w:szCs w:val="22"/>
        </w:rPr>
        <w:t xml:space="preserve">5 y nº de registro de entrada 2025-E-RC-7850, en relación con la puesta a disposición de los terrenos adyacentes a la Plaza de Los Artesanos y el edificio Oceánica, así como la conformidad del </w:t>
      </w:r>
      <w:r>
        <w:rPr>
          <w:rFonts w:ascii="Arial" w:eastAsia="Calibri" w:hAnsi="Arial" w:cs="Arial"/>
          <w:b/>
          <w:sz w:val="22"/>
          <w:szCs w:val="22"/>
        </w:rPr>
        <w:t>Proyecto de Remodelación de la Plaza de la Patrona</w:t>
      </w:r>
      <w:r>
        <w:rPr>
          <w:rFonts w:ascii="Arial" w:hAnsi="Arial" w:cs="Arial"/>
          <w:sz w:val="22"/>
          <w:szCs w:val="22"/>
        </w:rPr>
        <w:t xml:space="preserve"> </w:t>
      </w:r>
      <w:r>
        <w:rPr>
          <w:rFonts w:ascii="Arial" w:eastAsia="Calibri" w:hAnsi="Arial" w:cs="Arial"/>
          <w:b/>
          <w:sz w:val="22"/>
          <w:szCs w:val="22"/>
        </w:rPr>
        <w:t xml:space="preserve"> y el Modifi</w:t>
      </w:r>
      <w:r>
        <w:rPr>
          <w:rFonts w:ascii="Arial" w:eastAsia="Calibri" w:hAnsi="Arial" w:cs="Arial"/>
          <w:b/>
          <w:sz w:val="22"/>
          <w:szCs w:val="22"/>
        </w:rPr>
        <w:t xml:space="preserve">cado nº 1 del Proyecto Remodelación de la Plaza de la Patrona de Canarias, canalización de cauce e implantación de conducciones hidráulicas (sectores 1, 2 y 3), </w:t>
      </w:r>
      <w:r>
        <w:rPr>
          <w:rFonts w:ascii="Arial" w:hAnsi="Arial" w:cs="Arial"/>
          <w:sz w:val="22"/>
          <w:szCs w:val="22"/>
        </w:rPr>
        <w:t xml:space="preserve">Nayra Guzmán Hernández, arquitecta emite el presente informe: </w:t>
      </w:r>
    </w:p>
    <w:tbl>
      <w:tblPr>
        <w:tblW w:w="8788" w:type="dxa"/>
        <w:tblInd w:w="281" w:type="dxa"/>
        <w:tblCellMar>
          <w:left w:w="10" w:type="dxa"/>
          <w:right w:w="10" w:type="dxa"/>
        </w:tblCellMar>
        <w:tblLook w:val="0000" w:firstRow="0" w:lastRow="0" w:firstColumn="0" w:lastColumn="0" w:noHBand="0" w:noVBand="0"/>
      </w:tblPr>
      <w:tblGrid>
        <w:gridCol w:w="853"/>
        <w:gridCol w:w="7935"/>
      </w:tblGrid>
      <w:tr w:rsidR="009B4233">
        <w:tblPrEx>
          <w:tblCellMar>
            <w:top w:w="0" w:type="dxa"/>
            <w:bottom w:w="0" w:type="dxa"/>
          </w:tblCellMar>
        </w:tblPrEx>
        <w:trPr>
          <w:trHeight w:val="254"/>
        </w:trPr>
        <w:tc>
          <w:tcPr>
            <w:tcW w:w="853" w:type="dxa"/>
            <w:shd w:val="clear" w:color="auto" w:fill="E0E0E0"/>
            <w:tcMar>
              <w:top w:w="8" w:type="dxa"/>
              <w:left w:w="0" w:type="dxa"/>
              <w:bottom w:w="0" w:type="dxa"/>
              <w:right w:w="115" w:type="dxa"/>
            </w:tcMar>
          </w:tcPr>
          <w:p w:rsidR="009B4233" w:rsidRDefault="006B08B9">
            <w:pPr>
              <w:spacing w:line="249" w:lineRule="auto"/>
              <w:ind w:left="299"/>
              <w:jc w:val="center"/>
            </w:pPr>
            <w:r>
              <w:rPr>
                <w:rFonts w:ascii="Arial" w:eastAsia="Calibri" w:hAnsi="Arial" w:cs="Arial"/>
                <w:b/>
                <w:sz w:val="22"/>
                <w:szCs w:val="22"/>
              </w:rPr>
              <w:t>1.</w:t>
            </w:r>
          </w:p>
        </w:tc>
        <w:tc>
          <w:tcPr>
            <w:tcW w:w="7935" w:type="dxa"/>
            <w:shd w:val="clear" w:color="auto" w:fill="E0E0E0"/>
            <w:tcMar>
              <w:top w:w="8" w:type="dxa"/>
              <w:left w:w="0" w:type="dxa"/>
              <w:bottom w:w="0" w:type="dxa"/>
              <w:right w:w="115" w:type="dxa"/>
            </w:tcMar>
          </w:tcPr>
          <w:p w:rsidR="009B4233" w:rsidRDefault="006B08B9">
            <w:pPr>
              <w:spacing w:line="249" w:lineRule="auto"/>
            </w:pPr>
            <w:r>
              <w:rPr>
                <w:rFonts w:ascii="Arial" w:eastAsia="Calibri" w:hAnsi="Arial" w:cs="Arial"/>
                <w:b/>
                <w:sz w:val="22"/>
                <w:szCs w:val="22"/>
                <w:shd w:val="clear" w:color="auto" w:fill="E6E6E6"/>
              </w:rPr>
              <w:t>ANTECEDENTES</w:t>
            </w:r>
            <w:r>
              <w:rPr>
                <w:rFonts w:ascii="Arial" w:eastAsia="Calibri" w:hAnsi="Arial" w:cs="Arial"/>
                <w:b/>
                <w:sz w:val="22"/>
                <w:szCs w:val="22"/>
              </w:rPr>
              <w:t>. -</w:t>
            </w:r>
          </w:p>
        </w:tc>
      </w:tr>
    </w:tbl>
    <w:p w:rsidR="009B4233" w:rsidRDefault="006B08B9">
      <w:pPr>
        <w:widowControl/>
        <w:numPr>
          <w:ilvl w:val="0"/>
          <w:numId w:val="71"/>
        </w:numPr>
        <w:suppressAutoHyphens w:val="0"/>
        <w:spacing w:after="3" w:line="264" w:lineRule="auto"/>
        <w:ind w:right="1" w:firstLine="414"/>
        <w:jc w:val="both"/>
        <w:textAlignment w:val="auto"/>
        <w:rPr>
          <w:rFonts w:ascii="Arial" w:hAnsi="Arial" w:cs="Arial"/>
          <w:sz w:val="22"/>
          <w:szCs w:val="22"/>
        </w:rPr>
      </w:pPr>
      <w:r>
        <w:rPr>
          <w:rFonts w:ascii="Arial" w:hAnsi="Arial" w:cs="Arial"/>
          <w:sz w:val="22"/>
          <w:szCs w:val="22"/>
        </w:rPr>
        <w:t>Con fecha 14</w:t>
      </w:r>
      <w:r>
        <w:rPr>
          <w:rFonts w:ascii="Arial" w:hAnsi="Arial" w:cs="Arial"/>
          <w:sz w:val="22"/>
          <w:szCs w:val="22"/>
        </w:rPr>
        <w:t xml:space="preserve"> de mayo del 2009, se resuelve adjudicar, como resultado del Concurso de Ideas, la Remodelación de la Plaza de la Patrona y su Entorno, Término </w:t>
      </w:r>
    </w:p>
    <w:p w:rsidR="009B4233" w:rsidRDefault="006B08B9">
      <w:pPr>
        <w:ind w:left="269" w:right="1"/>
        <w:jc w:val="both"/>
      </w:pPr>
      <w:r>
        <w:rPr>
          <w:rFonts w:ascii="Arial" w:hAnsi="Arial" w:cs="Arial"/>
          <w:sz w:val="22"/>
          <w:szCs w:val="22"/>
        </w:rPr>
        <w:t xml:space="preserve">Municipal de Candelaria al Equipo Redactor </w:t>
      </w:r>
      <w:r>
        <w:rPr>
          <w:rFonts w:ascii="Arial" w:eastAsia="Calibri" w:hAnsi="Arial" w:cs="Arial"/>
          <w:b/>
          <w:sz w:val="22"/>
          <w:szCs w:val="22"/>
        </w:rPr>
        <w:t xml:space="preserve">RUIZ-LARREA &amp; ASOCIADOS S.L Y </w:t>
      </w:r>
    </w:p>
    <w:p w:rsidR="009B4233" w:rsidRDefault="006B08B9">
      <w:pPr>
        <w:spacing w:after="1" w:line="249" w:lineRule="auto"/>
        <w:ind w:left="294" w:hanging="10"/>
        <w:jc w:val="both"/>
      </w:pPr>
      <w:r>
        <w:rPr>
          <w:rFonts w:ascii="Arial" w:eastAsia="Calibri" w:hAnsi="Arial" w:cs="Arial"/>
          <w:b/>
          <w:sz w:val="22"/>
          <w:szCs w:val="22"/>
        </w:rPr>
        <w:t xml:space="preserve">ESTUDIO </w:t>
      </w:r>
    </w:p>
    <w:p w:rsidR="009B4233" w:rsidRDefault="006B08B9">
      <w:pPr>
        <w:widowControl/>
        <w:numPr>
          <w:ilvl w:val="0"/>
          <w:numId w:val="71"/>
        </w:numPr>
        <w:suppressAutoHyphens w:val="0"/>
        <w:spacing w:after="3" w:line="249" w:lineRule="auto"/>
        <w:ind w:right="1" w:firstLine="414"/>
        <w:jc w:val="both"/>
        <w:textAlignment w:val="auto"/>
      </w:pPr>
      <w:r>
        <w:rPr>
          <w:rFonts w:ascii="Arial" w:eastAsia="Calibri" w:hAnsi="Arial" w:cs="Arial"/>
          <w:b/>
          <w:sz w:val="22"/>
          <w:szCs w:val="22"/>
        </w:rPr>
        <w:t>ARQUITECTURA EUSTAQUIO MARTÍ</w:t>
      </w:r>
      <w:r>
        <w:rPr>
          <w:rFonts w:ascii="Arial" w:eastAsia="Calibri" w:hAnsi="Arial" w:cs="Arial"/>
          <w:b/>
          <w:sz w:val="22"/>
          <w:szCs w:val="22"/>
        </w:rPr>
        <w:t xml:space="preserve">NEZ SLPU “RLA &amp; EM UTE” </w:t>
      </w:r>
      <w:r>
        <w:rPr>
          <w:rFonts w:ascii="Arial" w:eastAsia="Courier New" w:hAnsi="Arial" w:cs="Arial"/>
          <w:sz w:val="22"/>
          <w:szCs w:val="22"/>
        </w:rPr>
        <w:t xml:space="preserve">o </w:t>
      </w:r>
      <w:r>
        <w:rPr>
          <w:rFonts w:ascii="Arial" w:hAnsi="Arial" w:cs="Arial"/>
          <w:sz w:val="22"/>
          <w:szCs w:val="22"/>
        </w:rPr>
        <w:t xml:space="preserve">Con </w:t>
      </w:r>
    </w:p>
    <w:p w:rsidR="009B4233" w:rsidRDefault="006B08B9">
      <w:pPr>
        <w:ind w:left="269" w:right="1"/>
        <w:jc w:val="both"/>
        <w:rPr>
          <w:rFonts w:ascii="Arial" w:hAnsi="Arial" w:cs="Arial"/>
          <w:sz w:val="22"/>
          <w:szCs w:val="22"/>
        </w:rPr>
      </w:pPr>
      <w:r>
        <w:rPr>
          <w:rFonts w:ascii="Arial" w:hAnsi="Arial" w:cs="Arial"/>
          <w:sz w:val="22"/>
          <w:szCs w:val="22"/>
        </w:rPr>
        <w:t xml:space="preserve">fecha 9 de noviembre de 2010, se aprueba por el Excmo. Cabildo Insular de Tenerife (Área de Turismo y Planificación), el Plan Director para la redacción del proyecto de la Remodelación de la Plaza de la Patrona y su Entorno, </w:t>
      </w:r>
      <w:r>
        <w:rPr>
          <w:rFonts w:ascii="Arial" w:hAnsi="Arial" w:cs="Arial"/>
          <w:sz w:val="22"/>
          <w:szCs w:val="22"/>
        </w:rPr>
        <w:t>Término Municipal de Candelaria</w:t>
      </w:r>
    </w:p>
    <w:p w:rsidR="009B4233" w:rsidRDefault="006B08B9">
      <w:pPr>
        <w:widowControl/>
        <w:numPr>
          <w:ilvl w:val="0"/>
          <w:numId w:val="71"/>
        </w:numPr>
        <w:suppressAutoHyphens w:val="0"/>
        <w:spacing w:after="32" w:line="264" w:lineRule="auto"/>
        <w:ind w:right="1" w:firstLine="414"/>
        <w:jc w:val="both"/>
        <w:textAlignment w:val="auto"/>
      </w:pPr>
      <w:r>
        <w:rPr>
          <w:rFonts w:ascii="Arial" w:hAnsi="Arial" w:cs="Arial"/>
          <w:sz w:val="22"/>
          <w:szCs w:val="22"/>
        </w:rPr>
        <w:t xml:space="preserve">Con fecha 11 de febrero de 2011, se presentan por parte del Ayuntamiento de Candelaria, sugerencias al Documento del Plan Director </w:t>
      </w:r>
      <w:r>
        <w:rPr>
          <w:rFonts w:ascii="Arial" w:eastAsia="Courier New" w:hAnsi="Arial" w:cs="Arial"/>
          <w:sz w:val="22"/>
          <w:szCs w:val="22"/>
        </w:rPr>
        <w:t xml:space="preserve">o </w:t>
      </w:r>
      <w:r>
        <w:rPr>
          <w:rFonts w:ascii="Arial" w:hAnsi="Arial" w:cs="Arial"/>
          <w:sz w:val="22"/>
          <w:szCs w:val="22"/>
        </w:rPr>
        <w:t xml:space="preserve">Con fecha 26 de enero de </w:t>
      </w:r>
    </w:p>
    <w:p w:rsidR="009B4233" w:rsidRDefault="006B08B9">
      <w:pPr>
        <w:ind w:left="269" w:right="1"/>
        <w:jc w:val="both"/>
        <w:rPr>
          <w:rFonts w:ascii="Arial" w:hAnsi="Arial" w:cs="Arial"/>
          <w:sz w:val="22"/>
          <w:szCs w:val="22"/>
        </w:rPr>
      </w:pPr>
      <w:r>
        <w:rPr>
          <w:rFonts w:ascii="Arial" w:hAnsi="Arial" w:cs="Arial"/>
          <w:sz w:val="22"/>
          <w:szCs w:val="22"/>
        </w:rPr>
        <w:t xml:space="preserve">2016 se presenta informe por parte de la Comisión Insular de </w:t>
      </w:r>
      <w:r>
        <w:rPr>
          <w:rFonts w:ascii="Arial" w:hAnsi="Arial" w:cs="Arial"/>
          <w:sz w:val="22"/>
          <w:szCs w:val="22"/>
        </w:rPr>
        <w:t xml:space="preserve">Patrimonio Histórico del </w:t>
      </w:r>
    </w:p>
    <w:p w:rsidR="009B4233" w:rsidRDefault="006B08B9">
      <w:pPr>
        <w:ind w:left="269" w:right="1"/>
        <w:jc w:val="both"/>
        <w:rPr>
          <w:rFonts w:ascii="Arial" w:hAnsi="Arial" w:cs="Arial"/>
          <w:sz w:val="22"/>
          <w:szCs w:val="22"/>
        </w:rPr>
      </w:pPr>
      <w:r>
        <w:rPr>
          <w:rFonts w:ascii="Arial" w:hAnsi="Arial" w:cs="Arial"/>
          <w:sz w:val="22"/>
          <w:szCs w:val="22"/>
        </w:rPr>
        <w:t>Excmo. Cabildo Insular de Tenerife</w:t>
      </w:r>
    </w:p>
    <w:p w:rsidR="009B4233" w:rsidRDefault="006B08B9">
      <w:pPr>
        <w:widowControl/>
        <w:numPr>
          <w:ilvl w:val="0"/>
          <w:numId w:val="72"/>
        </w:numPr>
        <w:suppressAutoHyphens w:val="0"/>
        <w:spacing w:after="3" w:line="264" w:lineRule="auto"/>
        <w:ind w:right="1" w:firstLine="414"/>
        <w:jc w:val="both"/>
        <w:textAlignment w:val="auto"/>
        <w:rPr>
          <w:rFonts w:ascii="Arial" w:hAnsi="Arial" w:cs="Arial"/>
          <w:sz w:val="22"/>
          <w:szCs w:val="22"/>
        </w:rPr>
      </w:pPr>
      <w:r>
        <w:rPr>
          <w:rFonts w:ascii="Arial" w:hAnsi="Arial" w:cs="Arial"/>
          <w:sz w:val="22"/>
          <w:szCs w:val="22"/>
        </w:rPr>
        <w:t>Con fecha 14 de febrero de 2019, se presenta Proyecto de Remodelación de la Plaza de la Basílica.</w:t>
      </w:r>
    </w:p>
    <w:p w:rsidR="009B4233" w:rsidRDefault="006B08B9">
      <w:pPr>
        <w:widowControl/>
        <w:numPr>
          <w:ilvl w:val="0"/>
          <w:numId w:val="72"/>
        </w:numPr>
        <w:suppressAutoHyphens w:val="0"/>
        <w:spacing w:after="3" w:line="264" w:lineRule="auto"/>
        <w:ind w:right="1" w:firstLine="414"/>
        <w:jc w:val="both"/>
        <w:textAlignment w:val="auto"/>
        <w:rPr>
          <w:rFonts w:ascii="Arial" w:hAnsi="Arial" w:cs="Arial"/>
          <w:sz w:val="22"/>
          <w:szCs w:val="22"/>
        </w:rPr>
      </w:pPr>
      <w:r>
        <w:rPr>
          <w:rFonts w:ascii="Arial" w:hAnsi="Arial" w:cs="Arial"/>
          <w:sz w:val="22"/>
          <w:szCs w:val="22"/>
        </w:rPr>
        <w:t>Con fecha 14 de marzo de 2019 y nº de registro de salida se remite al Cabildo, informe sobre la c</w:t>
      </w:r>
      <w:r>
        <w:rPr>
          <w:rFonts w:ascii="Arial" w:hAnsi="Arial" w:cs="Arial"/>
          <w:sz w:val="22"/>
          <w:szCs w:val="22"/>
        </w:rPr>
        <w:t>ompatibilidad urbanística del Proyecto, con las siguientes conclusiones:</w:t>
      </w:r>
    </w:p>
    <w:p w:rsidR="009B4233" w:rsidRDefault="006B08B9">
      <w:pPr>
        <w:widowControl/>
        <w:numPr>
          <w:ilvl w:val="0"/>
          <w:numId w:val="72"/>
        </w:numPr>
        <w:suppressAutoHyphens w:val="0"/>
        <w:spacing w:line="251" w:lineRule="auto"/>
        <w:ind w:right="1" w:firstLine="414"/>
        <w:jc w:val="both"/>
        <w:textAlignment w:val="auto"/>
      </w:pPr>
      <w:r>
        <w:rPr>
          <w:rFonts w:ascii="Arial" w:eastAsia="Calibri" w:hAnsi="Arial" w:cs="Arial"/>
          <w:i/>
          <w:sz w:val="22"/>
          <w:szCs w:val="22"/>
        </w:rPr>
        <w:t>“…Los tres sectores, se encuentran dentro del Suelo Urbano Consolidado de Interés Cultural, en el Casco de Candelaria, incluido en el Bien de Interés Cultural, en la categoría de Monu</w:t>
      </w:r>
      <w:r>
        <w:rPr>
          <w:rFonts w:ascii="Arial" w:eastAsia="Calibri" w:hAnsi="Arial" w:cs="Arial"/>
          <w:i/>
          <w:sz w:val="22"/>
          <w:szCs w:val="22"/>
        </w:rPr>
        <w:t>mento, del Santuario de la Virgen de Candelaria y del Convento. El entorno abarca el antiguo Ayuntamiento, La Plaza, y los Riscos de la Basílica hasta la Cueva de San Blas.</w:t>
      </w:r>
    </w:p>
    <w:p w:rsidR="009B4233" w:rsidRDefault="006B08B9">
      <w:pPr>
        <w:widowControl/>
        <w:numPr>
          <w:ilvl w:val="0"/>
          <w:numId w:val="72"/>
        </w:numPr>
        <w:suppressAutoHyphens w:val="0"/>
        <w:spacing w:line="251" w:lineRule="auto"/>
        <w:ind w:right="1" w:firstLine="414"/>
        <w:jc w:val="both"/>
        <w:textAlignment w:val="auto"/>
      </w:pPr>
      <w:r>
        <w:rPr>
          <w:rFonts w:ascii="Arial" w:eastAsia="Calibri" w:hAnsi="Arial" w:cs="Arial"/>
          <w:i/>
          <w:sz w:val="22"/>
          <w:szCs w:val="22"/>
        </w:rPr>
        <w:t xml:space="preserve">Las obras permitidas en líneas generales son las de son de conservación, </w:t>
      </w:r>
      <w:r>
        <w:rPr>
          <w:rFonts w:ascii="Arial" w:eastAsia="Calibri" w:hAnsi="Arial" w:cs="Arial"/>
          <w:i/>
          <w:sz w:val="22"/>
          <w:szCs w:val="22"/>
        </w:rPr>
        <w:t xml:space="preserve">restauración y consolidación y por tanto las obras descritas dentro del Proyecto de Remodelación de la Plaza de la Basílica, incluidas dentro de los tres primeros sectores se consideran COMPATIBLES con el Plan General de Ordenación. </w:t>
      </w:r>
    </w:p>
    <w:p w:rsidR="009B4233" w:rsidRDefault="006B08B9">
      <w:pPr>
        <w:widowControl/>
        <w:numPr>
          <w:ilvl w:val="0"/>
          <w:numId w:val="72"/>
        </w:numPr>
        <w:suppressAutoHyphens w:val="0"/>
        <w:spacing w:line="251" w:lineRule="auto"/>
        <w:ind w:right="1" w:firstLine="414"/>
        <w:jc w:val="both"/>
        <w:textAlignment w:val="auto"/>
      </w:pPr>
      <w:r>
        <w:rPr>
          <w:rFonts w:ascii="Arial" w:eastAsia="Calibri" w:hAnsi="Arial" w:cs="Arial"/>
          <w:i/>
          <w:sz w:val="22"/>
          <w:szCs w:val="22"/>
        </w:rPr>
        <w:t>En el presente informe</w:t>
      </w:r>
      <w:r>
        <w:rPr>
          <w:rFonts w:ascii="Arial" w:eastAsia="Calibri" w:hAnsi="Arial" w:cs="Arial"/>
          <w:i/>
          <w:sz w:val="22"/>
          <w:szCs w:val="22"/>
        </w:rPr>
        <w:t xml:space="preserve"> se comprueba la compatibilidad urbanística del proyecto presentado con el Plan General de Ordenación y por tanto quedará condicionado a cuantos informes sectoriales le sea de aplicación, en especial a los emitidos por la Comisión Insular de Patrimonio His</w:t>
      </w:r>
      <w:r>
        <w:rPr>
          <w:rFonts w:ascii="Arial" w:eastAsia="Calibri" w:hAnsi="Arial" w:cs="Arial"/>
          <w:i/>
          <w:sz w:val="22"/>
          <w:szCs w:val="22"/>
        </w:rPr>
        <w:t xml:space="preserve">tórico del Excmo. Cabildo Insular de Tenerife, Consejo </w:t>
      </w:r>
    </w:p>
    <w:p w:rsidR="009B4233" w:rsidRDefault="006B08B9">
      <w:pPr>
        <w:spacing w:line="251" w:lineRule="auto"/>
        <w:ind w:left="269"/>
        <w:jc w:val="both"/>
      </w:pPr>
      <w:r>
        <w:rPr>
          <w:rFonts w:ascii="Arial" w:eastAsia="Calibri" w:hAnsi="Arial" w:cs="Arial"/>
          <w:i/>
          <w:sz w:val="22"/>
          <w:szCs w:val="22"/>
        </w:rPr>
        <w:t>Insular de aguas y Demarcación de Costas ,..”</w:t>
      </w:r>
    </w:p>
    <w:p w:rsidR="009B4233" w:rsidRDefault="006B08B9">
      <w:pPr>
        <w:widowControl/>
        <w:numPr>
          <w:ilvl w:val="0"/>
          <w:numId w:val="72"/>
        </w:numPr>
        <w:suppressAutoHyphens w:val="0"/>
        <w:spacing w:after="3" w:line="264" w:lineRule="auto"/>
        <w:ind w:right="1" w:firstLine="414"/>
        <w:jc w:val="both"/>
        <w:textAlignment w:val="auto"/>
        <w:rPr>
          <w:rFonts w:ascii="Arial" w:hAnsi="Arial" w:cs="Arial"/>
          <w:sz w:val="22"/>
          <w:szCs w:val="22"/>
        </w:rPr>
      </w:pPr>
      <w:r>
        <w:rPr>
          <w:rFonts w:ascii="Arial" w:hAnsi="Arial" w:cs="Arial"/>
          <w:sz w:val="22"/>
          <w:szCs w:val="22"/>
        </w:rPr>
        <w:t>Con fecha 28 de septiembre de 2020 y nº de registro de entrada 2020-E-RC10531 se presenta por parte del Cabildo el Proyecto actualizado recogiendo las con</w:t>
      </w:r>
      <w:r>
        <w:rPr>
          <w:rFonts w:ascii="Arial" w:hAnsi="Arial" w:cs="Arial"/>
          <w:sz w:val="22"/>
          <w:szCs w:val="22"/>
        </w:rPr>
        <w:t>sideraciones realizadas por los diferentes organismos y entidades públicas.</w:t>
      </w:r>
    </w:p>
    <w:p w:rsidR="009B4233" w:rsidRDefault="006B08B9">
      <w:pPr>
        <w:widowControl/>
        <w:numPr>
          <w:ilvl w:val="0"/>
          <w:numId w:val="72"/>
        </w:numPr>
        <w:suppressAutoHyphens w:val="0"/>
        <w:spacing w:after="3" w:line="264" w:lineRule="auto"/>
        <w:ind w:right="1" w:firstLine="414"/>
        <w:jc w:val="both"/>
        <w:textAlignment w:val="auto"/>
        <w:rPr>
          <w:rFonts w:ascii="Arial" w:hAnsi="Arial" w:cs="Arial"/>
          <w:sz w:val="22"/>
          <w:szCs w:val="22"/>
        </w:rPr>
      </w:pPr>
      <w:r>
        <w:rPr>
          <w:rFonts w:ascii="Arial" w:hAnsi="Arial" w:cs="Arial"/>
          <w:sz w:val="22"/>
          <w:szCs w:val="22"/>
        </w:rPr>
        <w:t>Con fecha 25 de febrero de 2021 se solicita por parte del Ayuntamiento autorización de del Servicio Provincial de Costas de las Obras contenidas en el Proyecto.</w:t>
      </w:r>
    </w:p>
    <w:p w:rsidR="009B4233" w:rsidRDefault="006B08B9">
      <w:pPr>
        <w:widowControl/>
        <w:numPr>
          <w:ilvl w:val="0"/>
          <w:numId w:val="72"/>
        </w:numPr>
        <w:suppressAutoHyphens w:val="0"/>
        <w:spacing w:after="3" w:line="264" w:lineRule="auto"/>
        <w:ind w:right="1" w:firstLine="414"/>
        <w:jc w:val="both"/>
        <w:textAlignment w:val="auto"/>
        <w:rPr>
          <w:rFonts w:ascii="Arial" w:hAnsi="Arial" w:cs="Arial"/>
          <w:sz w:val="22"/>
          <w:szCs w:val="22"/>
        </w:rPr>
      </w:pPr>
      <w:r>
        <w:rPr>
          <w:rFonts w:ascii="Arial" w:hAnsi="Arial" w:cs="Arial"/>
          <w:sz w:val="22"/>
          <w:szCs w:val="22"/>
        </w:rPr>
        <w:t>Con fecha 10 de may</w:t>
      </w:r>
      <w:r>
        <w:rPr>
          <w:rFonts w:ascii="Arial" w:hAnsi="Arial" w:cs="Arial"/>
          <w:sz w:val="22"/>
          <w:szCs w:val="22"/>
        </w:rPr>
        <w:t xml:space="preserve">o de 2023 y nº de registro de salida 2023-S-RC-1900, se remite al Cabildo de Tenerife el certificado de propuesta del Pleno para la puesta a </w:t>
      </w:r>
    </w:p>
    <w:p w:rsidR="009B4233" w:rsidRDefault="006B08B9">
      <w:pPr>
        <w:ind w:left="269" w:right="1"/>
      </w:pPr>
      <w:r>
        <w:rPr>
          <w:rFonts w:ascii="Arial" w:hAnsi="Arial" w:cs="Arial"/>
          <w:sz w:val="22"/>
          <w:szCs w:val="22"/>
        </w:rPr>
        <w:t>disposición de bienes para el Proyecto de Remodelación de la Plaza de la Patrona de Canarias y su entorno, canaliz</w:t>
      </w:r>
      <w:r>
        <w:rPr>
          <w:rFonts w:ascii="Arial" w:hAnsi="Arial" w:cs="Arial"/>
          <w:sz w:val="22"/>
          <w:szCs w:val="22"/>
        </w:rPr>
        <w:t xml:space="preserve">ación de cauce e implantación de obras hidráulicas. </w:t>
      </w:r>
      <w:r>
        <w:rPr>
          <w:rFonts w:ascii="Arial" w:eastAsia="Calibri" w:hAnsi="Arial" w:cs="Arial"/>
          <w:sz w:val="22"/>
          <w:szCs w:val="22"/>
        </w:rPr>
        <w:t xml:space="preserve"> </w:t>
      </w:r>
      <w:r>
        <w:rPr>
          <w:rFonts w:ascii="Arial" w:hAnsi="Arial" w:cs="Arial"/>
          <w:sz w:val="22"/>
          <w:szCs w:val="22"/>
        </w:rPr>
        <w:t>Con fecha de 9 de octubre de 2024, el Consejo de Gobierno Insular, adjudicó el contrato de obras para la ejecución del proyecto “Remodelación de la Plaza de la Patrona y su entorno, canalización de cauc</w:t>
      </w:r>
      <w:r>
        <w:rPr>
          <w:rFonts w:ascii="Arial" w:hAnsi="Arial" w:cs="Arial"/>
          <w:sz w:val="22"/>
          <w:szCs w:val="22"/>
        </w:rPr>
        <w:t>e e implantación de conducciones hidráulica”, y las separatas que lo integran, en el término municipal de Candelaria, a la empresa CONSTRUCCIONES SÁNCHEZ DOMÍNGUEZ-SANDO, S.A.U., con NIF-A29029428, por un importe de dieciséis millones doscientos veintinuev</w:t>
      </w:r>
      <w:r>
        <w:rPr>
          <w:rFonts w:ascii="Arial" w:hAnsi="Arial" w:cs="Arial"/>
          <w:sz w:val="22"/>
          <w:szCs w:val="22"/>
        </w:rPr>
        <w:t>e mil ciento cuarenta y nueve euros con cuarenta y siete céntimos (16.229.149,47 €), con el 7% de IGIC incluido, y un plazo de ejecución de treinta y seis (36) meses contados a partir del día siguiente a la fecha de suscripción del acta de comprobación del</w:t>
      </w:r>
      <w:r>
        <w:rPr>
          <w:rFonts w:ascii="Arial" w:hAnsi="Arial" w:cs="Arial"/>
          <w:sz w:val="22"/>
          <w:szCs w:val="22"/>
        </w:rPr>
        <w:t xml:space="preserve"> replanteo.</w:t>
      </w:r>
    </w:p>
    <w:p w:rsidR="009B4233" w:rsidRDefault="006B08B9">
      <w:pPr>
        <w:widowControl/>
        <w:numPr>
          <w:ilvl w:val="0"/>
          <w:numId w:val="72"/>
        </w:numPr>
        <w:suppressAutoHyphens w:val="0"/>
        <w:spacing w:after="7" w:line="249" w:lineRule="auto"/>
        <w:ind w:right="1" w:firstLine="414"/>
        <w:jc w:val="both"/>
        <w:textAlignment w:val="auto"/>
        <w:rPr>
          <w:rFonts w:ascii="Arial" w:hAnsi="Arial" w:cs="Arial"/>
          <w:sz w:val="22"/>
          <w:szCs w:val="22"/>
        </w:rPr>
      </w:pPr>
      <w:r>
        <w:rPr>
          <w:rFonts w:ascii="Arial" w:hAnsi="Arial" w:cs="Arial"/>
          <w:sz w:val="22"/>
          <w:szCs w:val="22"/>
        </w:rPr>
        <w:t>Con fecha 27 de diciembre de 2024 se firma el Acta de Replanteo de las Obras</w:t>
      </w:r>
    </w:p>
    <w:p w:rsidR="009B4233" w:rsidRDefault="006B08B9">
      <w:pPr>
        <w:widowControl/>
        <w:numPr>
          <w:ilvl w:val="0"/>
          <w:numId w:val="72"/>
        </w:numPr>
        <w:suppressAutoHyphens w:val="0"/>
        <w:spacing w:after="3" w:line="264" w:lineRule="auto"/>
        <w:ind w:right="1" w:firstLine="414"/>
        <w:jc w:val="both"/>
        <w:textAlignment w:val="auto"/>
        <w:rPr>
          <w:rFonts w:ascii="Arial" w:hAnsi="Arial" w:cs="Arial"/>
          <w:sz w:val="22"/>
          <w:szCs w:val="22"/>
        </w:rPr>
      </w:pPr>
      <w:r>
        <w:rPr>
          <w:rFonts w:ascii="Arial" w:hAnsi="Arial" w:cs="Arial"/>
          <w:sz w:val="22"/>
          <w:szCs w:val="22"/>
        </w:rPr>
        <w:t>Con fecha 12 de junio de 2025 se autoriza por parte del Consejo Insular de Aguas a favor del Ayuntamiento, la propuesta de modificación de un tramo del encauzamiento d</w:t>
      </w:r>
      <w:r>
        <w:rPr>
          <w:rFonts w:ascii="Arial" w:hAnsi="Arial" w:cs="Arial"/>
          <w:sz w:val="22"/>
          <w:szCs w:val="22"/>
        </w:rPr>
        <w:t xml:space="preserve">el Barranco de La Arena, presentada por el Cabildo Insular de Tenerife </w:t>
      </w:r>
    </w:p>
    <w:p w:rsidR="009B4233" w:rsidRDefault="006B08B9">
      <w:pPr>
        <w:widowControl/>
        <w:numPr>
          <w:ilvl w:val="0"/>
          <w:numId w:val="72"/>
        </w:numPr>
        <w:suppressAutoHyphens w:val="0"/>
        <w:spacing w:after="94" w:line="264" w:lineRule="auto"/>
        <w:ind w:right="1" w:firstLine="414"/>
        <w:jc w:val="both"/>
        <w:textAlignment w:val="auto"/>
        <w:rPr>
          <w:rFonts w:ascii="Arial" w:hAnsi="Arial" w:cs="Arial"/>
          <w:sz w:val="22"/>
          <w:szCs w:val="22"/>
        </w:rPr>
      </w:pPr>
      <w:r>
        <w:rPr>
          <w:rFonts w:ascii="Arial" w:hAnsi="Arial" w:cs="Arial"/>
          <w:sz w:val="22"/>
          <w:szCs w:val="22"/>
        </w:rPr>
        <w:t>Con fecha 21 de agosto de 2025 y número de registro de entrada 2025-E-RC7850, se remite por parte del Cabildo de Tenerife el Modificado nº 1 del Proyecto Remodelación de la Plaza de la</w:t>
      </w:r>
      <w:r>
        <w:rPr>
          <w:rFonts w:ascii="Arial" w:hAnsi="Arial" w:cs="Arial"/>
          <w:sz w:val="22"/>
          <w:szCs w:val="22"/>
        </w:rPr>
        <w:t xml:space="preserve"> Patrona de Canarias, canalización de cauce e implantación de conducciones hidráulicas (sectores 1, 2 y 3), solicitando la puesta a disposición de los terrenos adyacentes a la Plaza de Los Artesanos y el edificio Oceánica.</w:t>
      </w:r>
    </w:p>
    <w:p w:rsidR="009B4233" w:rsidRDefault="006B08B9">
      <w:pPr>
        <w:pStyle w:val="Ttulo3"/>
        <w:tabs>
          <w:tab w:val="center" w:pos="3419"/>
        </w:tabs>
        <w:rPr>
          <w:rFonts w:ascii="Arial" w:hAnsi="Arial" w:cs="Arial"/>
          <w:sz w:val="22"/>
          <w:szCs w:val="22"/>
        </w:rPr>
      </w:pPr>
      <w:r>
        <w:rPr>
          <w:rFonts w:ascii="Arial" w:hAnsi="Arial" w:cs="Arial"/>
          <w:sz w:val="22"/>
          <w:szCs w:val="22"/>
        </w:rPr>
        <w:t>2.</w:t>
      </w:r>
      <w:r>
        <w:rPr>
          <w:rFonts w:ascii="Arial" w:hAnsi="Arial" w:cs="Arial"/>
          <w:sz w:val="22"/>
          <w:szCs w:val="22"/>
        </w:rPr>
        <w:tab/>
        <w:t>ÁMBITO DE EJECUCIÓN DEL PROYEC</w:t>
      </w:r>
      <w:r>
        <w:rPr>
          <w:rFonts w:ascii="Arial" w:hAnsi="Arial" w:cs="Arial"/>
          <w:sz w:val="22"/>
          <w:szCs w:val="22"/>
        </w:rPr>
        <w:t>TO. -</w:t>
      </w:r>
    </w:p>
    <w:p w:rsidR="009B4233" w:rsidRDefault="006B08B9">
      <w:pPr>
        <w:spacing w:after="284"/>
        <w:ind w:left="269" w:right="1"/>
        <w:rPr>
          <w:rFonts w:ascii="Arial" w:hAnsi="Arial" w:cs="Arial"/>
          <w:sz w:val="22"/>
          <w:szCs w:val="22"/>
        </w:rPr>
      </w:pPr>
      <w:r>
        <w:rPr>
          <w:rFonts w:ascii="Arial" w:hAnsi="Arial" w:cs="Arial"/>
          <w:sz w:val="22"/>
          <w:szCs w:val="22"/>
        </w:rPr>
        <w:t>En el modificado nº 1 del proyecto presentado, se distinguen tres ámbitos diferenciados, que se dividen en sectores comprendidos entre el Paseo de San Blas y el final de la calle Antón Guanche:</w:t>
      </w:r>
    </w:p>
    <w:p w:rsidR="009B4233" w:rsidRDefault="006B08B9">
      <w:pPr>
        <w:ind w:left="708" w:right="1"/>
      </w:pPr>
      <w:r>
        <w:rPr>
          <w:rFonts w:ascii="Arial" w:eastAsia="Calibri" w:hAnsi="Arial" w:cs="Arial"/>
          <w:b/>
          <w:sz w:val="22"/>
          <w:szCs w:val="22"/>
        </w:rPr>
        <w:t>SECTOR 1:</w:t>
      </w:r>
      <w:r>
        <w:rPr>
          <w:rFonts w:ascii="Arial" w:hAnsi="Arial" w:cs="Arial"/>
          <w:sz w:val="22"/>
          <w:szCs w:val="22"/>
        </w:rPr>
        <w:t xml:space="preserve"> Paseo Marítimo</w:t>
      </w:r>
    </w:p>
    <w:p w:rsidR="009B4233" w:rsidRDefault="006B08B9">
      <w:pPr>
        <w:ind w:left="708" w:right="1"/>
      </w:pPr>
      <w:r>
        <w:rPr>
          <w:rFonts w:ascii="Arial" w:eastAsia="Calibri" w:hAnsi="Arial" w:cs="Arial"/>
          <w:b/>
          <w:sz w:val="22"/>
          <w:szCs w:val="22"/>
        </w:rPr>
        <w:t>SECTOR 2:</w:t>
      </w:r>
      <w:r>
        <w:rPr>
          <w:rFonts w:ascii="Arial" w:hAnsi="Arial" w:cs="Arial"/>
          <w:sz w:val="22"/>
          <w:szCs w:val="22"/>
        </w:rPr>
        <w:t xml:space="preserve"> Plaza de la Patrona</w:t>
      </w:r>
    </w:p>
    <w:p w:rsidR="009B4233" w:rsidRDefault="006B08B9">
      <w:pPr>
        <w:spacing w:line="249" w:lineRule="auto"/>
        <w:ind w:left="281" w:right="-872"/>
      </w:pPr>
      <w:r>
        <w:rPr>
          <w:rFonts w:ascii="Arial" w:hAnsi="Arial" w:cs="Arial"/>
          <w:noProof/>
          <w:sz w:val="22"/>
          <w:szCs w:val="22"/>
          <w:lang w:eastAsia="es-ES" w:bidi="ar-SA"/>
        </w:rPr>
        <mc:AlternateContent>
          <mc:Choice Requires="wpg">
            <w:drawing>
              <wp:inline distT="0" distB="0" distL="0" distR="0">
                <wp:extent cx="8255002" cy="6094063"/>
                <wp:effectExtent l="0" t="0" r="0" b="1937"/>
                <wp:docPr id="63" name="Grupo 153"/>
                <wp:cNvGraphicFramePr/>
                <a:graphic xmlns:a="http://schemas.openxmlformats.org/drawingml/2006/main">
                  <a:graphicData uri="http://schemas.microsoft.com/office/word/2010/wordprocessingGroup">
                    <wpg:wgp>
                      <wpg:cNvGrpSpPr/>
                      <wpg:grpSpPr>
                        <a:xfrm>
                          <a:off x="0" y="0"/>
                          <a:ext cx="7414530" cy="6094063"/>
                          <a:chOff x="0" y="0"/>
                          <a:chExt cx="7414530" cy="6094063"/>
                        </a:xfrm>
                      </wpg:grpSpPr>
                      <wps:wsp>
                        <wps:cNvPr id="64" name="Shape 10591"/>
                        <wps:cNvSpPr/>
                        <wps:spPr>
                          <a:xfrm>
                            <a:off x="0" y="4960748"/>
                            <a:ext cx="5580592" cy="161291"/>
                          </a:xfrm>
                          <a:custGeom>
                            <a:avLst/>
                            <a:gdLst>
                              <a:gd name="f0" fmla="val 10800000"/>
                              <a:gd name="f1" fmla="val 5400000"/>
                              <a:gd name="f2" fmla="val 180"/>
                              <a:gd name="f3" fmla="val w"/>
                              <a:gd name="f4" fmla="val h"/>
                              <a:gd name="f5" fmla="val 0"/>
                              <a:gd name="f6" fmla="val 5580381"/>
                              <a:gd name="f7" fmla="val 161290"/>
                              <a:gd name="f8" fmla="+- 0 0 -90"/>
                              <a:gd name="f9" fmla="*/ f3 1 5580381"/>
                              <a:gd name="f10" fmla="*/ f4 1 161290"/>
                              <a:gd name="f11" fmla="+- f7 0 f5"/>
                              <a:gd name="f12" fmla="+- f6 0 f5"/>
                              <a:gd name="f13" fmla="*/ f8 f0 1"/>
                              <a:gd name="f14" fmla="*/ f12 1 5580381"/>
                              <a:gd name="f15" fmla="*/ f11 1 161290"/>
                              <a:gd name="f16" fmla="*/ 0 f12 1"/>
                              <a:gd name="f17" fmla="*/ 0 f11 1"/>
                              <a:gd name="f18" fmla="*/ 5580381 f12 1"/>
                              <a:gd name="f19" fmla="*/ 161290 f11 1"/>
                              <a:gd name="f20" fmla="*/ f13 1 f2"/>
                              <a:gd name="f21" fmla="*/ f16 1 5580381"/>
                              <a:gd name="f22" fmla="*/ f17 1 161290"/>
                              <a:gd name="f23" fmla="*/ f18 1 5580381"/>
                              <a:gd name="f24" fmla="*/ f19 1 161290"/>
                              <a:gd name="f25" fmla="+- f20 0 f1"/>
                              <a:gd name="f26" fmla="*/ f21 1 f14"/>
                              <a:gd name="f27" fmla="*/ f22 1 f15"/>
                              <a:gd name="f28" fmla="*/ f23 1 f14"/>
                              <a:gd name="f29" fmla="*/ f24 1 f15"/>
                              <a:gd name="f30" fmla="*/ f26 f9 1"/>
                              <a:gd name="f31" fmla="*/ f28 f9 1"/>
                              <a:gd name="f32" fmla="*/ f29 f10 1"/>
                              <a:gd name="f33" fmla="*/ f27 f10 1"/>
                            </a:gdLst>
                            <a:ahLst/>
                            <a:cxnLst>
                              <a:cxn ang="3cd4">
                                <a:pos x="hc" y="t"/>
                              </a:cxn>
                              <a:cxn ang="0">
                                <a:pos x="r" y="vc"/>
                              </a:cxn>
                              <a:cxn ang="cd4">
                                <a:pos x="hc" y="b"/>
                              </a:cxn>
                              <a:cxn ang="cd2">
                                <a:pos x="l" y="vc"/>
                              </a:cxn>
                              <a:cxn ang="f25">
                                <a:pos x="f30" y="f33"/>
                              </a:cxn>
                              <a:cxn ang="f25">
                                <a:pos x="f31" y="f33"/>
                              </a:cxn>
                              <a:cxn ang="f25">
                                <a:pos x="f31" y="f32"/>
                              </a:cxn>
                              <a:cxn ang="f25">
                                <a:pos x="f30" y="f32"/>
                              </a:cxn>
                              <a:cxn ang="f25">
                                <a:pos x="f30" y="f33"/>
                              </a:cxn>
                            </a:cxnLst>
                            <a:rect l="f30" t="f33" r="f31" b="f32"/>
                            <a:pathLst>
                              <a:path w="5580381" h="161290">
                                <a:moveTo>
                                  <a:pt x="f5" y="f5"/>
                                </a:moveTo>
                                <a:lnTo>
                                  <a:pt x="f6" y="f5"/>
                                </a:lnTo>
                                <a:lnTo>
                                  <a:pt x="f6" y="f7"/>
                                </a:lnTo>
                                <a:lnTo>
                                  <a:pt x="f5" y="f7"/>
                                </a:lnTo>
                                <a:lnTo>
                                  <a:pt x="f5" y="f5"/>
                                </a:lnTo>
                              </a:path>
                            </a:pathLst>
                          </a:custGeom>
                          <a:noFill/>
                          <a:ln cap="flat">
                            <a:noFill/>
                            <a:prstDash val="solid"/>
                          </a:ln>
                        </wps:spPr>
                        <wps:bodyPr lIns="0" tIns="0" rIns="0" bIns="0"/>
                      </wps:wsp>
                      <wps:wsp>
                        <wps:cNvPr id="65" name="Rectangle 239"/>
                        <wps:cNvSpPr/>
                        <wps:spPr>
                          <a:xfrm>
                            <a:off x="271156" y="0"/>
                            <a:ext cx="990724" cy="207577"/>
                          </a:xfrm>
                          <a:prstGeom prst="rect">
                            <a:avLst/>
                          </a:prstGeom>
                          <a:noFill/>
                          <a:ln cap="flat">
                            <a:noFill/>
                            <a:prstDash val="solid"/>
                          </a:ln>
                        </wps:spPr>
                        <wps:txbx>
                          <w:txbxContent>
                            <w:p w:rsidR="009B4233" w:rsidRDefault="006B08B9">
                              <w:pPr>
                                <w:spacing w:after="160" w:line="249" w:lineRule="auto"/>
                              </w:pPr>
                              <w:r>
                                <w:rPr>
                                  <w:rFonts w:ascii="Calibri" w:eastAsia="Calibri" w:hAnsi="Calibri" w:cs="Calibri"/>
                                  <w:b/>
                                  <w:w w:val="128"/>
                                </w:rPr>
                                <w:t>SECTOR</w:t>
                              </w:r>
                              <w:r>
                                <w:rPr>
                                  <w:rFonts w:ascii="Calibri" w:eastAsia="Calibri" w:hAnsi="Calibri" w:cs="Calibri"/>
                                  <w:b/>
                                  <w:spacing w:val="13"/>
                                  <w:w w:val="128"/>
                                </w:rPr>
                                <w:t xml:space="preserve"> </w:t>
                              </w:r>
                              <w:r>
                                <w:rPr>
                                  <w:rFonts w:ascii="Calibri" w:eastAsia="Calibri" w:hAnsi="Calibri" w:cs="Calibri"/>
                                  <w:b/>
                                  <w:w w:val="128"/>
                                </w:rPr>
                                <w:t>3:</w:t>
                              </w:r>
                            </w:p>
                          </w:txbxContent>
                        </wps:txbx>
                        <wps:bodyPr vert="horz" wrap="square" lIns="0" tIns="0" rIns="0" bIns="0" anchor="t" anchorCtr="0" compatLnSpc="0">
                          <a:noAutofit/>
                        </wps:bodyPr>
                      </wps:wsp>
                      <wps:wsp>
                        <wps:cNvPr id="66" name="Rectangle 240"/>
                        <wps:cNvSpPr/>
                        <wps:spPr>
                          <a:xfrm>
                            <a:off x="1016675" y="0"/>
                            <a:ext cx="1950799" cy="207577"/>
                          </a:xfrm>
                          <a:prstGeom prst="rect">
                            <a:avLst/>
                          </a:prstGeom>
                          <a:noFill/>
                          <a:ln cap="flat">
                            <a:noFill/>
                            <a:prstDash val="solid"/>
                          </a:ln>
                        </wps:spPr>
                        <wps:txbx>
                          <w:txbxContent>
                            <w:p w:rsidR="009B4233" w:rsidRDefault="006B08B9">
                              <w:pPr>
                                <w:spacing w:after="160" w:line="249" w:lineRule="auto"/>
                              </w:pPr>
                              <w:r>
                                <w:rPr>
                                  <w:spacing w:val="10"/>
                                  <w:w w:val="113"/>
                                </w:rPr>
                                <w:t xml:space="preserve"> </w:t>
                              </w:r>
                              <w:r>
                                <w:rPr>
                                  <w:w w:val="113"/>
                                </w:rPr>
                                <w:t>Plaza</w:t>
                              </w:r>
                              <w:r>
                                <w:rPr>
                                  <w:spacing w:val="14"/>
                                  <w:w w:val="113"/>
                                </w:rPr>
                                <w:t xml:space="preserve"> </w:t>
                              </w:r>
                              <w:r>
                                <w:rPr>
                                  <w:w w:val="113"/>
                                </w:rPr>
                                <w:t>de</w:t>
                              </w:r>
                              <w:r>
                                <w:rPr>
                                  <w:spacing w:val="12"/>
                                  <w:w w:val="113"/>
                                </w:rPr>
                                <w:t xml:space="preserve"> </w:t>
                              </w:r>
                              <w:r>
                                <w:rPr>
                                  <w:w w:val="113"/>
                                </w:rPr>
                                <w:t>los</w:t>
                              </w:r>
                              <w:r>
                                <w:rPr>
                                  <w:spacing w:val="12"/>
                                  <w:w w:val="113"/>
                                </w:rPr>
                                <w:t xml:space="preserve"> </w:t>
                              </w:r>
                              <w:r>
                                <w:rPr>
                                  <w:w w:val="113"/>
                                </w:rPr>
                                <w:t>Artesanos</w:t>
                              </w:r>
                            </w:p>
                          </w:txbxContent>
                        </wps:txbx>
                        <wps:bodyPr vert="horz" wrap="square" lIns="0" tIns="0" rIns="0" bIns="0" anchor="t" anchorCtr="0" compatLnSpc="0">
                          <a:noAutofit/>
                        </wps:bodyPr>
                      </wps:wsp>
                      <pic:pic xmlns:pic="http://schemas.openxmlformats.org/drawingml/2006/picture">
                        <pic:nvPicPr>
                          <pic:cNvPr id="67" name="Picture 242">
                            <a:extLst>
                              <a:ext uri="{FF2B5EF4-FFF2-40B4-BE49-F238E27FC236}">
                                <a16:creationId xmlns:a16="http://schemas.microsoft.com/office/drawing/2014/main" id="{00000000-0000-0000-0000-000000000000}"/>
                              </a:ext>
                            </a:extLst>
                          </pic:cNvPr>
                          <pic:cNvPicPr>
                            <a:picLocks noChangeAspect="1"/>
                          </pic:cNvPicPr>
                        </pic:nvPicPr>
                        <pic:blipFill>
                          <a:blip r:embed="rId35"/>
                          <a:srcRect/>
                          <a:stretch>
                            <a:fillRect/>
                          </a:stretch>
                        </pic:blipFill>
                        <pic:spPr>
                          <a:xfrm>
                            <a:off x="270516" y="393164"/>
                            <a:ext cx="5578050" cy="3954807"/>
                          </a:xfrm>
                          <a:prstGeom prst="rect">
                            <a:avLst/>
                          </a:prstGeom>
                          <a:noFill/>
                          <a:ln>
                            <a:noFill/>
                            <a:prstDash/>
                          </a:ln>
                        </pic:spPr>
                      </pic:pic>
                      <wps:wsp>
                        <wps:cNvPr id="68" name="Rectangle 243"/>
                        <wps:cNvSpPr/>
                        <wps:spPr>
                          <a:xfrm>
                            <a:off x="480709" y="4391817"/>
                            <a:ext cx="6503926" cy="169831"/>
                          </a:xfrm>
                          <a:prstGeom prst="rect">
                            <a:avLst/>
                          </a:prstGeom>
                          <a:noFill/>
                          <a:ln cap="flat">
                            <a:noFill/>
                            <a:prstDash val="solid"/>
                          </a:ln>
                        </wps:spPr>
                        <wps:txbx>
                          <w:txbxContent>
                            <w:p w:rsidR="009B4233" w:rsidRDefault="006B08B9">
                              <w:pPr>
                                <w:spacing w:after="160" w:line="249" w:lineRule="auto"/>
                              </w:pPr>
                              <w:r>
                                <w:rPr>
                                  <w:rFonts w:ascii="Calibri" w:eastAsia="Calibri" w:hAnsi="Calibri" w:cs="Calibri"/>
                                  <w:i/>
                                  <w:w w:val="110"/>
                                  <w:sz w:val="18"/>
                                </w:rPr>
                                <w:t>Plano</w:t>
                              </w:r>
                              <w:r>
                                <w:rPr>
                                  <w:rFonts w:ascii="Calibri" w:eastAsia="Calibri" w:hAnsi="Calibri" w:cs="Calibri"/>
                                  <w:i/>
                                  <w:spacing w:val="11"/>
                                  <w:w w:val="110"/>
                                  <w:sz w:val="18"/>
                                </w:rPr>
                                <w:t xml:space="preserve"> </w:t>
                              </w:r>
                              <w:r>
                                <w:rPr>
                                  <w:rFonts w:ascii="Calibri" w:eastAsia="Calibri" w:hAnsi="Calibri" w:cs="Calibri"/>
                                  <w:i/>
                                  <w:w w:val="110"/>
                                  <w:sz w:val="18"/>
                                </w:rPr>
                                <w:t>del</w:t>
                              </w:r>
                              <w:r>
                                <w:rPr>
                                  <w:rFonts w:ascii="Calibri" w:eastAsia="Calibri" w:hAnsi="Calibri" w:cs="Calibri"/>
                                  <w:i/>
                                  <w:spacing w:val="9"/>
                                  <w:w w:val="110"/>
                                  <w:sz w:val="18"/>
                                </w:rPr>
                                <w:t xml:space="preserve"> </w:t>
                              </w:r>
                              <w:r>
                                <w:rPr>
                                  <w:rFonts w:ascii="Calibri" w:eastAsia="Calibri" w:hAnsi="Calibri" w:cs="Calibri"/>
                                  <w:i/>
                                  <w:w w:val="110"/>
                                  <w:sz w:val="18"/>
                                </w:rPr>
                                <w:t>Modificado</w:t>
                              </w:r>
                              <w:r>
                                <w:rPr>
                                  <w:rFonts w:ascii="Calibri" w:eastAsia="Calibri" w:hAnsi="Calibri" w:cs="Calibri"/>
                                  <w:i/>
                                  <w:spacing w:val="9"/>
                                  <w:w w:val="110"/>
                                  <w:sz w:val="18"/>
                                </w:rPr>
                                <w:t xml:space="preserve"> </w:t>
                              </w:r>
                              <w:r>
                                <w:rPr>
                                  <w:rFonts w:ascii="Calibri" w:eastAsia="Calibri" w:hAnsi="Calibri" w:cs="Calibri"/>
                                  <w:i/>
                                  <w:w w:val="110"/>
                                  <w:sz w:val="18"/>
                                </w:rPr>
                                <w:t>nº</w:t>
                              </w:r>
                              <w:r>
                                <w:rPr>
                                  <w:rFonts w:ascii="Calibri" w:eastAsia="Calibri" w:hAnsi="Calibri" w:cs="Calibri"/>
                                  <w:i/>
                                  <w:spacing w:val="9"/>
                                  <w:w w:val="110"/>
                                  <w:sz w:val="18"/>
                                </w:rPr>
                                <w:t xml:space="preserve"> </w:t>
                              </w:r>
                              <w:r>
                                <w:rPr>
                                  <w:rFonts w:ascii="Calibri" w:eastAsia="Calibri" w:hAnsi="Calibri" w:cs="Calibri"/>
                                  <w:i/>
                                  <w:w w:val="110"/>
                                  <w:sz w:val="18"/>
                                </w:rPr>
                                <w:t>1</w:t>
                              </w:r>
                              <w:r>
                                <w:rPr>
                                  <w:rFonts w:ascii="Calibri" w:eastAsia="Calibri" w:hAnsi="Calibri" w:cs="Calibri"/>
                                  <w:i/>
                                  <w:spacing w:val="9"/>
                                  <w:w w:val="110"/>
                                  <w:sz w:val="18"/>
                                </w:rPr>
                                <w:t xml:space="preserve"> </w:t>
                              </w:r>
                              <w:r>
                                <w:rPr>
                                  <w:rFonts w:ascii="Calibri" w:eastAsia="Calibri" w:hAnsi="Calibri" w:cs="Calibri"/>
                                  <w:i/>
                                  <w:w w:val="110"/>
                                  <w:sz w:val="18"/>
                                </w:rPr>
                                <w:t>del</w:t>
                              </w:r>
                              <w:r>
                                <w:rPr>
                                  <w:rFonts w:ascii="Calibri" w:eastAsia="Calibri" w:hAnsi="Calibri" w:cs="Calibri"/>
                                  <w:i/>
                                  <w:spacing w:val="9"/>
                                  <w:w w:val="110"/>
                                  <w:sz w:val="18"/>
                                </w:rPr>
                                <w:t xml:space="preserve"> </w:t>
                              </w:r>
                              <w:r>
                                <w:rPr>
                                  <w:rFonts w:ascii="Calibri" w:eastAsia="Calibri" w:hAnsi="Calibri" w:cs="Calibri"/>
                                  <w:i/>
                                  <w:w w:val="110"/>
                                  <w:sz w:val="18"/>
                                </w:rPr>
                                <w:t>Proyecto</w:t>
                              </w:r>
                              <w:r>
                                <w:rPr>
                                  <w:rFonts w:ascii="Calibri" w:eastAsia="Calibri" w:hAnsi="Calibri" w:cs="Calibri"/>
                                  <w:i/>
                                  <w:spacing w:val="11"/>
                                  <w:w w:val="110"/>
                                  <w:sz w:val="18"/>
                                </w:rPr>
                                <w:t xml:space="preserve"> </w:t>
                              </w:r>
                              <w:r>
                                <w:rPr>
                                  <w:rFonts w:ascii="Calibri" w:eastAsia="Calibri" w:hAnsi="Calibri" w:cs="Calibri"/>
                                  <w:i/>
                                  <w:w w:val="110"/>
                                  <w:sz w:val="18"/>
                                </w:rPr>
                                <w:t>de</w:t>
                              </w:r>
                              <w:r>
                                <w:rPr>
                                  <w:rFonts w:ascii="Calibri" w:eastAsia="Calibri" w:hAnsi="Calibri" w:cs="Calibri"/>
                                  <w:i/>
                                  <w:spacing w:val="9"/>
                                  <w:w w:val="110"/>
                                  <w:sz w:val="18"/>
                                </w:rPr>
                                <w:t xml:space="preserve"> </w:t>
                              </w:r>
                              <w:r>
                                <w:rPr>
                                  <w:rFonts w:ascii="Calibri" w:eastAsia="Calibri" w:hAnsi="Calibri" w:cs="Calibri"/>
                                  <w:i/>
                                  <w:w w:val="110"/>
                                  <w:sz w:val="18"/>
                                </w:rPr>
                                <w:t>Remodelación</w:t>
                              </w:r>
                              <w:r>
                                <w:rPr>
                                  <w:rFonts w:ascii="Calibri" w:eastAsia="Calibri" w:hAnsi="Calibri" w:cs="Calibri"/>
                                  <w:i/>
                                  <w:spacing w:val="9"/>
                                  <w:w w:val="110"/>
                                  <w:sz w:val="18"/>
                                </w:rPr>
                                <w:t xml:space="preserve"> </w:t>
                              </w:r>
                              <w:r>
                                <w:rPr>
                                  <w:rFonts w:ascii="Calibri" w:eastAsia="Calibri" w:hAnsi="Calibri" w:cs="Calibri"/>
                                  <w:i/>
                                  <w:w w:val="110"/>
                                  <w:sz w:val="18"/>
                                </w:rPr>
                                <w:t>de</w:t>
                              </w:r>
                              <w:r>
                                <w:rPr>
                                  <w:rFonts w:ascii="Calibri" w:eastAsia="Calibri" w:hAnsi="Calibri" w:cs="Calibri"/>
                                  <w:i/>
                                  <w:spacing w:val="9"/>
                                  <w:w w:val="110"/>
                                  <w:sz w:val="18"/>
                                </w:rPr>
                                <w:t xml:space="preserve"> </w:t>
                              </w:r>
                              <w:r>
                                <w:rPr>
                                  <w:rFonts w:ascii="Calibri" w:eastAsia="Calibri" w:hAnsi="Calibri" w:cs="Calibri"/>
                                  <w:i/>
                                  <w:w w:val="110"/>
                                  <w:sz w:val="18"/>
                                </w:rPr>
                                <w:t>la</w:t>
                              </w:r>
                              <w:r>
                                <w:rPr>
                                  <w:rFonts w:ascii="Calibri" w:eastAsia="Calibri" w:hAnsi="Calibri" w:cs="Calibri"/>
                                  <w:i/>
                                  <w:spacing w:val="11"/>
                                  <w:w w:val="110"/>
                                  <w:sz w:val="18"/>
                                </w:rPr>
                                <w:t xml:space="preserve"> </w:t>
                              </w:r>
                              <w:r>
                                <w:rPr>
                                  <w:rFonts w:ascii="Calibri" w:eastAsia="Calibri" w:hAnsi="Calibri" w:cs="Calibri"/>
                                  <w:i/>
                                  <w:w w:val="110"/>
                                  <w:sz w:val="18"/>
                                </w:rPr>
                                <w:t>Plaza</w:t>
                              </w:r>
                              <w:r>
                                <w:rPr>
                                  <w:rFonts w:ascii="Calibri" w:eastAsia="Calibri" w:hAnsi="Calibri" w:cs="Calibri"/>
                                  <w:i/>
                                  <w:spacing w:val="9"/>
                                  <w:w w:val="110"/>
                                  <w:sz w:val="18"/>
                                </w:rPr>
                                <w:t xml:space="preserve"> </w:t>
                              </w:r>
                              <w:r>
                                <w:rPr>
                                  <w:rFonts w:ascii="Calibri" w:eastAsia="Calibri" w:hAnsi="Calibri" w:cs="Calibri"/>
                                  <w:i/>
                                  <w:w w:val="110"/>
                                  <w:sz w:val="18"/>
                                </w:rPr>
                                <w:t>de</w:t>
                              </w:r>
                              <w:r>
                                <w:rPr>
                                  <w:rFonts w:ascii="Calibri" w:eastAsia="Calibri" w:hAnsi="Calibri" w:cs="Calibri"/>
                                  <w:i/>
                                  <w:spacing w:val="9"/>
                                  <w:w w:val="110"/>
                                  <w:sz w:val="18"/>
                                </w:rPr>
                                <w:t xml:space="preserve"> </w:t>
                              </w:r>
                              <w:r>
                                <w:rPr>
                                  <w:rFonts w:ascii="Calibri" w:eastAsia="Calibri" w:hAnsi="Calibri" w:cs="Calibri"/>
                                  <w:i/>
                                  <w:w w:val="110"/>
                                  <w:sz w:val="18"/>
                                </w:rPr>
                                <w:t>La</w:t>
                              </w:r>
                              <w:r>
                                <w:rPr>
                                  <w:rFonts w:ascii="Calibri" w:eastAsia="Calibri" w:hAnsi="Calibri" w:cs="Calibri"/>
                                  <w:i/>
                                  <w:spacing w:val="9"/>
                                  <w:w w:val="110"/>
                                  <w:sz w:val="18"/>
                                </w:rPr>
                                <w:t xml:space="preserve"> </w:t>
                              </w:r>
                              <w:r>
                                <w:rPr>
                                  <w:rFonts w:ascii="Calibri" w:eastAsia="Calibri" w:hAnsi="Calibri" w:cs="Calibri"/>
                                  <w:i/>
                                  <w:w w:val="110"/>
                                  <w:sz w:val="18"/>
                                </w:rPr>
                                <w:t>Patrona</w:t>
                              </w:r>
                              <w:r>
                                <w:rPr>
                                  <w:rFonts w:ascii="Calibri" w:eastAsia="Calibri" w:hAnsi="Calibri" w:cs="Calibri"/>
                                  <w:i/>
                                  <w:spacing w:val="9"/>
                                  <w:w w:val="110"/>
                                  <w:sz w:val="18"/>
                                </w:rPr>
                                <w:t xml:space="preserve"> </w:t>
                              </w:r>
                              <w:r>
                                <w:rPr>
                                  <w:rFonts w:ascii="Calibri" w:eastAsia="Calibri" w:hAnsi="Calibri" w:cs="Calibri"/>
                                  <w:i/>
                                  <w:w w:val="110"/>
                                  <w:sz w:val="18"/>
                                </w:rPr>
                                <w:t>y</w:t>
                              </w:r>
                              <w:r>
                                <w:rPr>
                                  <w:rFonts w:ascii="Calibri" w:eastAsia="Calibri" w:hAnsi="Calibri" w:cs="Calibri"/>
                                  <w:i/>
                                  <w:spacing w:val="9"/>
                                  <w:w w:val="110"/>
                                  <w:sz w:val="18"/>
                                </w:rPr>
                                <w:t xml:space="preserve"> </w:t>
                              </w:r>
                              <w:r>
                                <w:rPr>
                                  <w:rFonts w:ascii="Calibri" w:eastAsia="Calibri" w:hAnsi="Calibri" w:cs="Calibri"/>
                                  <w:i/>
                                  <w:w w:val="110"/>
                                  <w:sz w:val="18"/>
                                </w:rPr>
                                <w:t>su</w:t>
                              </w:r>
                              <w:r>
                                <w:rPr>
                                  <w:rFonts w:ascii="Calibri" w:eastAsia="Calibri" w:hAnsi="Calibri" w:cs="Calibri"/>
                                  <w:i/>
                                  <w:spacing w:val="9"/>
                                  <w:w w:val="110"/>
                                  <w:sz w:val="18"/>
                                </w:rPr>
                                <w:t xml:space="preserve"> </w:t>
                              </w:r>
                              <w:r>
                                <w:rPr>
                                  <w:rFonts w:ascii="Calibri" w:eastAsia="Calibri" w:hAnsi="Calibri" w:cs="Calibri"/>
                                  <w:i/>
                                  <w:w w:val="110"/>
                                  <w:sz w:val="18"/>
                                </w:rPr>
                                <w:t>entorno</w:t>
                              </w:r>
                            </w:p>
                          </w:txbxContent>
                        </wps:txbx>
                        <wps:bodyPr vert="horz" wrap="square" lIns="0" tIns="0" rIns="0" bIns="0" anchor="t" anchorCtr="0" compatLnSpc="0">
                          <a:noAutofit/>
                        </wps:bodyPr>
                      </wps:wsp>
                      <wps:wsp>
                        <wps:cNvPr id="69" name="Rectangle 244"/>
                        <wps:cNvSpPr/>
                        <wps:spPr>
                          <a:xfrm>
                            <a:off x="271156" y="4558055"/>
                            <a:ext cx="51471" cy="207577"/>
                          </a:xfrm>
                          <a:prstGeom prst="rect">
                            <a:avLst/>
                          </a:prstGeom>
                          <a:noFill/>
                          <a:ln cap="flat">
                            <a:noFill/>
                            <a:prstDash val="solid"/>
                          </a:ln>
                        </wps:spPr>
                        <wps:txbx>
                          <w:txbxContent>
                            <w:p w:rsidR="009B4233" w:rsidRDefault="006B08B9">
                              <w:pPr>
                                <w:spacing w:after="160" w:line="249" w:lineRule="auto"/>
                              </w:pPr>
                              <w:r>
                                <w:t xml:space="preserve"> </w:t>
                              </w:r>
                            </w:p>
                          </w:txbxContent>
                        </wps:txbx>
                        <wps:bodyPr vert="horz" wrap="square" lIns="0" tIns="0" rIns="0" bIns="0" anchor="t" anchorCtr="0" compatLnSpc="0">
                          <a:noAutofit/>
                        </wps:bodyPr>
                      </wps:wsp>
                      <wps:wsp>
                        <wps:cNvPr id="70" name="Rectangle 245"/>
                        <wps:cNvSpPr/>
                        <wps:spPr>
                          <a:xfrm>
                            <a:off x="271156" y="4965731"/>
                            <a:ext cx="154588" cy="207577"/>
                          </a:xfrm>
                          <a:prstGeom prst="rect">
                            <a:avLst/>
                          </a:prstGeom>
                          <a:noFill/>
                          <a:ln cap="flat">
                            <a:noFill/>
                            <a:prstDash val="solid"/>
                          </a:ln>
                        </wps:spPr>
                        <wps:txbx>
                          <w:txbxContent>
                            <w:p w:rsidR="009B4233" w:rsidRDefault="006B08B9">
                              <w:pPr>
                                <w:spacing w:after="160" w:line="249" w:lineRule="auto"/>
                              </w:pPr>
                              <w:r>
                                <w:rPr>
                                  <w:rFonts w:ascii="Calibri" w:eastAsia="Calibri" w:hAnsi="Calibri" w:cs="Calibri"/>
                                  <w:b/>
                                  <w:w w:val="110"/>
                                </w:rPr>
                                <w:t>3.</w:t>
                              </w:r>
                            </w:p>
                          </w:txbxContent>
                        </wps:txbx>
                        <wps:bodyPr vert="horz" wrap="square" lIns="0" tIns="0" rIns="0" bIns="0" anchor="t" anchorCtr="0" compatLnSpc="0">
                          <a:noAutofit/>
                        </wps:bodyPr>
                      </wps:wsp>
                      <wps:wsp>
                        <wps:cNvPr id="71" name="Rectangle 247"/>
                        <wps:cNvSpPr/>
                        <wps:spPr>
                          <a:xfrm>
                            <a:off x="541672" y="4965731"/>
                            <a:ext cx="2431855" cy="207577"/>
                          </a:xfrm>
                          <a:prstGeom prst="rect">
                            <a:avLst/>
                          </a:prstGeom>
                          <a:noFill/>
                          <a:ln cap="flat">
                            <a:noFill/>
                            <a:prstDash val="solid"/>
                          </a:ln>
                        </wps:spPr>
                        <wps:txbx>
                          <w:txbxContent>
                            <w:p w:rsidR="009B4233" w:rsidRDefault="006B08B9">
                              <w:pPr>
                                <w:spacing w:after="160" w:line="249" w:lineRule="auto"/>
                              </w:pPr>
                              <w:r>
                                <w:rPr>
                                  <w:rFonts w:ascii="Calibri" w:eastAsia="Calibri" w:hAnsi="Calibri" w:cs="Calibri"/>
                                  <w:b/>
                                  <w:w w:val="124"/>
                                  <w:shd w:val="clear" w:color="auto" w:fill="E6E6E6"/>
                                </w:rPr>
                                <w:t>OBJETO</w:t>
                              </w:r>
                              <w:r>
                                <w:rPr>
                                  <w:rFonts w:ascii="Calibri" w:eastAsia="Calibri" w:hAnsi="Calibri" w:cs="Calibri"/>
                                  <w:b/>
                                  <w:spacing w:val="13"/>
                                  <w:w w:val="124"/>
                                  <w:shd w:val="clear" w:color="auto" w:fill="E6E6E6"/>
                                </w:rPr>
                                <w:t xml:space="preserve"> </w:t>
                              </w:r>
                              <w:r>
                                <w:rPr>
                                  <w:rFonts w:ascii="Calibri" w:eastAsia="Calibri" w:hAnsi="Calibri" w:cs="Calibri"/>
                                  <w:b/>
                                  <w:w w:val="124"/>
                                  <w:shd w:val="clear" w:color="auto" w:fill="E6E6E6"/>
                                </w:rPr>
                                <w:t>DEL</w:t>
                              </w:r>
                              <w:r>
                                <w:rPr>
                                  <w:rFonts w:ascii="Calibri" w:eastAsia="Calibri" w:hAnsi="Calibri" w:cs="Calibri"/>
                                  <w:b/>
                                  <w:spacing w:val="12"/>
                                  <w:w w:val="124"/>
                                  <w:shd w:val="clear" w:color="auto" w:fill="E6E6E6"/>
                                </w:rPr>
                                <w:t xml:space="preserve"> </w:t>
                              </w:r>
                              <w:r>
                                <w:rPr>
                                  <w:rFonts w:ascii="Calibri" w:eastAsia="Calibri" w:hAnsi="Calibri" w:cs="Calibri"/>
                                  <w:b/>
                                  <w:w w:val="124"/>
                                  <w:shd w:val="clear" w:color="auto" w:fill="E6E6E6"/>
                                </w:rPr>
                                <w:t>MODIFICADO</w:t>
                              </w:r>
                            </w:p>
                          </w:txbxContent>
                        </wps:txbx>
                        <wps:bodyPr vert="horz" wrap="square" lIns="0" tIns="0" rIns="0" bIns="0" anchor="t" anchorCtr="0" compatLnSpc="0">
                          <a:noAutofit/>
                        </wps:bodyPr>
                      </wps:wsp>
                      <wps:wsp>
                        <wps:cNvPr id="72" name="Rectangle 248"/>
                        <wps:cNvSpPr/>
                        <wps:spPr>
                          <a:xfrm>
                            <a:off x="2373087" y="4965731"/>
                            <a:ext cx="164811" cy="207577"/>
                          </a:xfrm>
                          <a:prstGeom prst="rect">
                            <a:avLst/>
                          </a:prstGeom>
                          <a:noFill/>
                          <a:ln cap="flat">
                            <a:noFill/>
                            <a:prstDash val="solid"/>
                          </a:ln>
                        </wps:spPr>
                        <wps:txbx>
                          <w:txbxContent>
                            <w:p w:rsidR="009B4233" w:rsidRDefault="006B08B9">
                              <w:pPr>
                                <w:spacing w:after="160" w:line="249" w:lineRule="auto"/>
                              </w:pPr>
                              <w:r>
                                <w:rPr>
                                  <w:rFonts w:ascii="Calibri" w:eastAsia="Calibri" w:hAnsi="Calibri" w:cs="Calibri"/>
                                  <w:b/>
                                  <w:w w:val="110"/>
                                </w:rPr>
                                <w:t>.</w:t>
                              </w:r>
                              <w:r>
                                <w:rPr>
                                  <w:rFonts w:ascii="Calibri" w:eastAsia="Calibri" w:hAnsi="Calibri" w:cs="Calibri"/>
                                  <w:b/>
                                  <w:spacing w:val="11"/>
                                  <w:w w:val="110"/>
                                </w:rPr>
                                <w:t xml:space="preserve"> </w:t>
                              </w:r>
                              <w:r>
                                <w:rPr>
                                  <w:rFonts w:ascii="Calibri" w:eastAsia="Calibri" w:hAnsi="Calibri" w:cs="Calibri"/>
                                  <w:b/>
                                  <w:w w:val="110"/>
                                </w:rPr>
                                <w:t>-</w:t>
                              </w:r>
                            </w:p>
                          </w:txbxContent>
                        </wps:txbx>
                        <wps:bodyPr vert="horz" wrap="square" lIns="0" tIns="0" rIns="0" bIns="0" anchor="t" anchorCtr="0" compatLnSpc="0">
                          <a:noAutofit/>
                        </wps:bodyPr>
                      </wps:wsp>
                      <wps:wsp>
                        <wps:cNvPr id="73" name="Rectangle 249"/>
                        <wps:cNvSpPr/>
                        <wps:spPr>
                          <a:xfrm>
                            <a:off x="271156" y="5439573"/>
                            <a:ext cx="3948543" cy="169831"/>
                          </a:xfrm>
                          <a:prstGeom prst="rect">
                            <a:avLst/>
                          </a:prstGeom>
                          <a:noFill/>
                          <a:ln cap="flat">
                            <a:noFill/>
                            <a:prstDash val="solid"/>
                          </a:ln>
                        </wps:spPr>
                        <wps:txbx>
                          <w:txbxContent>
                            <w:p w:rsidR="009B4233" w:rsidRDefault="006B08B9">
                              <w:pPr>
                                <w:spacing w:after="160" w:line="249" w:lineRule="auto"/>
                              </w:pPr>
                              <w:r>
                                <w:rPr>
                                  <w:rFonts w:ascii="Calibri" w:eastAsia="Calibri" w:hAnsi="Calibri" w:cs="Calibri"/>
                                  <w:b/>
                                  <w:w w:val="127"/>
                                  <w:sz w:val="18"/>
                                </w:rPr>
                                <w:t>A.-</w:t>
                              </w:r>
                              <w:r>
                                <w:rPr>
                                  <w:rFonts w:ascii="Calibri" w:eastAsia="Calibri" w:hAnsi="Calibri" w:cs="Calibri"/>
                                  <w:b/>
                                  <w:spacing w:val="9"/>
                                  <w:w w:val="127"/>
                                  <w:sz w:val="18"/>
                                </w:rPr>
                                <w:t xml:space="preserve"> </w:t>
                              </w:r>
                              <w:r>
                                <w:rPr>
                                  <w:rFonts w:ascii="Calibri" w:eastAsia="Calibri" w:hAnsi="Calibri" w:cs="Calibri"/>
                                  <w:b/>
                                  <w:w w:val="127"/>
                                  <w:sz w:val="18"/>
                                </w:rPr>
                                <w:t>EDIFICIO</w:t>
                              </w:r>
                              <w:r>
                                <w:rPr>
                                  <w:rFonts w:ascii="Calibri" w:eastAsia="Calibri" w:hAnsi="Calibri" w:cs="Calibri"/>
                                  <w:b/>
                                  <w:spacing w:val="9"/>
                                  <w:w w:val="127"/>
                                  <w:sz w:val="18"/>
                                </w:rPr>
                                <w:t xml:space="preserve"> </w:t>
                              </w:r>
                              <w:r>
                                <w:rPr>
                                  <w:rFonts w:ascii="Calibri" w:eastAsia="Calibri" w:hAnsi="Calibri" w:cs="Calibri"/>
                                  <w:b/>
                                  <w:w w:val="127"/>
                                  <w:sz w:val="18"/>
                                </w:rPr>
                                <w:t>OCEÁNICA.</w:t>
                              </w:r>
                              <w:r>
                                <w:rPr>
                                  <w:rFonts w:ascii="Calibri" w:eastAsia="Calibri" w:hAnsi="Calibri" w:cs="Calibri"/>
                                  <w:b/>
                                  <w:spacing w:val="9"/>
                                  <w:w w:val="127"/>
                                  <w:sz w:val="18"/>
                                </w:rPr>
                                <w:t xml:space="preserve"> </w:t>
                              </w:r>
                              <w:r>
                                <w:rPr>
                                  <w:rFonts w:ascii="Calibri" w:eastAsia="Calibri" w:hAnsi="Calibri" w:cs="Calibri"/>
                                  <w:b/>
                                  <w:w w:val="127"/>
                                  <w:sz w:val="18"/>
                                </w:rPr>
                                <w:t>PLAZA</w:t>
                              </w:r>
                              <w:r>
                                <w:rPr>
                                  <w:rFonts w:ascii="Calibri" w:eastAsia="Calibri" w:hAnsi="Calibri" w:cs="Calibri"/>
                                  <w:b/>
                                  <w:spacing w:val="9"/>
                                  <w:w w:val="127"/>
                                  <w:sz w:val="18"/>
                                </w:rPr>
                                <w:t xml:space="preserve"> </w:t>
                              </w:r>
                              <w:r>
                                <w:rPr>
                                  <w:rFonts w:ascii="Calibri" w:eastAsia="Calibri" w:hAnsi="Calibri" w:cs="Calibri"/>
                                  <w:b/>
                                  <w:w w:val="127"/>
                                  <w:sz w:val="18"/>
                                </w:rPr>
                                <w:t>DE</w:t>
                              </w:r>
                              <w:r>
                                <w:rPr>
                                  <w:rFonts w:ascii="Calibri" w:eastAsia="Calibri" w:hAnsi="Calibri" w:cs="Calibri"/>
                                  <w:b/>
                                  <w:spacing w:val="9"/>
                                  <w:w w:val="127"/>
                                  <w:sz w:val="18"/>
                                </w:rPr>
                                <w:t xml:space="preserve"> </w:t>
                              </w:r>
                              <w:r>
                                <w:rPr>
                                  <w:rFonts w:ascii="Calibri" w:eastAsia="Calibri" w:hAnsi="Calibri" w:cs="Calibri"/>
                                  <w:b/>
                                  <w:w w:val="127"/>
                                  <w:sz w:val="18"/>
                                </w:rPr>
                                <w:t>LOS</w:t>
                              </w:r>
                              <w:r>
                                <w:rPr>
                                  <w:rFonts w:ascii="Calibri" w:eastAsia="Calibri" w:hAnsi="Calibri" w:cs="Calibri"/>
                                  <w:b/>
                                  <w:spacing w:val="9"/>
                                  <w:w w:val="127"/>
                                  <w:sz w:val="18"/>
                                </w:rPr>
                                <w:t xml:space="preserve"> </w:t>
                              </w:r>
                              <w:r>
                                <w:rPr>
                                  <w:rFonts w:ascii="Calibri" w:eastAsia="Calibri" w:hAnsi="Calibri" w:cs="Calibri"/>
                                  <w:b/>
                                  <w:w w:val="127"/>
                                  <w:sz w:val="18"/>
                                </w:rPr>
                                <w:t>ARTESANOS</w:t>
                              </w:r>
                            </w:p>
                          </w:txbxContent>
                        </wps:txbx>
                        <wps:bodyPr vert="horz" wrap="square" lIns="0" tIns="0" rIns="0" bIns="0" anchor="t" anchorCtr="0" compatLnSpc="0">
                          <a:noAutofit/>
                        </wps:bodyPr>
                      </wps:wsp>
                      <wps:wsp>
                        <wps:cNvPr id="74" name="Rectangle 250"/>
                        <wps:cNvSpPr/>
                        <wps:spPr>
                          <a:xfrm>
                            <a:off x="271156" y="5702335"/>
                            <a:ext cx="7056991" cy="207577"/>
                          </a:xfrm>
                          <a:prstGeom prst="rect">
                            <a:avLst/>
                          </a:prstGeom>
                          <a:noFill/>
                          <a:ln cap="flat">
                            <a:noFill/>
                            <a:prstDash val="solid"/>
                          </a:ln>
                        </wps:spPr>
                        <wps:txbx>
                          <w:txbxContent>
                            <w:p w:rsidR="009B4233" w:rsidRDefault="006B08B9">
                              <w:pPr>
                                <w:spacing w:after="160" w:line="249" w:lineRule="auto"/>
                              </w:pPr>
                              <w:r>
                                <w:rPr>
                                  <w:w w:val="109"/>
                                </w:rPr>
                                <w:t>Como</w:t>
                              </w:r>
                              <w:r>
                                <w:rPr>
                                  <w:spacing w:val="29"/>
                                  <w:w w:val="109"/>
                                </w:rPr>
                                <w:t xml:space="preserve"> </w:t>
                              </w:r>
                              <w:r>
                                <w:rPr>
                                  <w:w w:val="109"/>
                                </w:rPr>
                                <w:t>consecuencia</w:t>
                              </w:r>
                              <w:r>
                                <w:rPr>
                                  <w:spacing w:val="31"/>
                                  <w:w w:val="109"/>
                                </w:rPr>
                                <w:t xml:space="preserve"> </w:t>
                              </w:r>
                              <w:r>
                                <w:rPr>
                                  <w:w w:val="109"/>
                                </w:rPr>
                                <w:t>de</w:t>
                              </w:r>
                              <w:r>
                                <w:rPr>
                                  <w:spacing w:val="29"/>
                                  <w:w w:val="109"/>
                                </w:rPr>
                                <w:t xml:space="preserve"> </w:t>
                              </w:r>
                              <w:r>
                                <w:rPr>
                                  <w:w w:val="109"/>
                                </w:rPr>
                                <w:t>la</w:t>
                              </w:r>
                              <w:r>
                                <w:rPr>
                                  <w:spacing w:val="31"/>
                                  <w:w w:val="109"/>
                                </w:rPr>
                                <w:t xml:space="preserve"> </w:t>
                              </w:r>
                              <w:r>
                                <w:rPr>
                                  <w:w w:val="109"/>
                                </w:rPr>
                                <w:t>construcción</w:t>
                              </w:r>
                              <w:r>
                                <w:rPr>
                                  <w:spacing w:val="31"/>
                                  <w:w w:val="109"/>
                                </w:rPr>
                                <w:t xml:space="preserve"> </w:t>
                              </w:r>
                              <w:r>
                                <w:rPr>
                                  <w:w w:val="109"/>
                                </w:rPr>
                                <w:t>de</w:t>
                              </w:r>
                              <w:r>
                                <w:rPr>
                                  <w:spacing w:val="29"/>
                                  <w:w w:val="109"/>
                                </w:rPr>
                                <w:t xml:space="preserve"> </w:t>
                              </w:r>
                              <w:r>
                                <w:rPr>
                                  <w:w w:val="109"/>
                                </w:rPr>
                                <w:t>un</w:t>
                              </w:r>
                              <w:r>
                                <w:rPr>
                                  <w:spacing w:val="27"/>
                                  <w:w w:val="109"/>
                                </w:rPr>
                                <w:t xml:space="preserve"> </w:t>
                              </w:r>
                              <w:r>
                                <w:rPr>
                                  <w:w w:val="109"/>
                                </w:rPr>
                                <w:t>nuevo</w:t>
                              </w:r>
                              <w:r>
                                <w:rPr>
                                  <w:spacing w:val="31"/>
                                  <w:w w:val="109"/>
                                </w:rPr>
                                <w:t xml:space="preserve"> </w:t>
                              </w:r>
                              <w:r>
                                <w:rPr>
                                  <w:w w:val="109"/>
                                </w:rPr>
                                <w:t>edificio</w:t>
                              </w:r>
                              <w:r>
                                <w:rPr>
                                  <w:spacing w:val="31"/>
                                  <w:w w:val="109"/>
                                </w:rPr>
                                <w:t xml:space="preserve"> </w:t>
                              </w:r>
                              <w:r>
                                <w:rPr>
                                  <w:w w:val="109"/>
                                </w:rPr>
                                <w:t>en</w:t>
                              </w:r>
                              <w:r>
                                <w:rPr>
                                  <w:spacing w:val="29"/>
                                  <w:w w:val="109"/>
                                </w:rPr>
                                <w:t xml:space="preserve"> </w:t>
                              </w:r>
                              <w:r>
                                <w:rPr>
                                  <w:w w:val="109"/>
                                </w:rPr>
                                <w:t>una</w:t>
                              </w:r>
                              <w:r>
                                <w:rPr>
                                  <w:spacing w:val="29"/>
                                  <w:w w:val="109"/>
                                </w:rPr>
                                <w:t xml:space="preserve"> </w:t>
                              </w:r>
                              <w:r>
                                <w:rPr>
                                  <w:w w:val="109"/>
                                </w:rPr>
                                <w:t>antigua</w:t>
                              </w:r>
                              <w:r>
                                <w:rPr>
                                  <w:spacing w:val="29"/>
                                  <w:w w:val="109"/>
                                </w:rPr>
                                <w:t xml:space="preserve"> </w:t>
                              </w:r>
                              <w:r>
                                <w:rPr>
                                  <w:w w:val="109"/>
                                </w:rPr>
                                <w:t>parcela</w:t>
                              </w:r>
                            </w:p>
                          </w:txbxContent>
                        </wps:txbx>
                        <wps:bodyPr vert="horz" wrap="square" lIns="0" tIns="0" rIns="0" bIns="0" anchor="t" anchorCtr="0" compatLnSpc="0">
                          <a:noAutofit/>
                        </wps:bodyPr>
                      </wps:wsp>
                      <wps:wsp>
                        <wps:cNvPr id="75" name="Rectangle 251"/>
                        <wps:cNvSpPr/>
                        <wps:spPr>
                          <a:xfrm>
                            <a:off x="5582494" y="5702335"/>
                            <a:ext cx="51471" cy="207577"/>
                          </a:xfrm>
                          <a:prstGeom prst="rect">
                            <a:avLst/>
                          </a:prstGeom>
                          <a:noFill/>
                          <a:ln cap="flat">
                            <a:noFill/>
                            <a:prstDash val="solid"/>
                          </a:ln>
                        </wps:spPr>
                        <wps:txbx>
                          <w:txbxContent>
                            <w:p w:rsidR="009B4233" w:rsidRDefault="006B08B9">
                              <w:pPr>
                                <w:spacing w:after="160" w:line="249" w:lineRule="auto"/>
                              </w:pPr>
                              <w:r>
                                <w:t xml:space="preserve"> </w:t>
                              </w:r>
                            </w:p>
                          </w:txbxContent>
                        </wps:txbx>
                        <wps:bodyPr vert="horz" wrap="square" lIns="0" tIns="0" rIns="0" bIns="0" anchor="t" anchorCtr="0" compatLnSpc="0">
                          <a:noAutofit/>
                        </wps:bodyPr>
                      </wps:wsp>
                      <wps:wsp>
                        <wps:cNvPr id="76" name="Rectangle 252"/>
                        <wps:cNvSpPr/>
                        <wps:spPr>
                          <a:xfrm>
                            <a:off x="1901" y="5886486"/>
                            <a:ext cx="7412629" cy="207577"/>
                          </a:xfrm>
                          <a:prstGeom prst="rect">
                            <a:avLst/>
                          </a:prstGeom>
                          <a:noFill/>
                          <a:ln cap="flat">
                            <a:noFill/>
                            <a:prstDash val="solid"/>
                          </a:ln>
                        </wps:spPr>
                        <wps:txbx>
                          <w:txbxContent>
                            <w:p w:rsidR="009B4233" w:rsidRDefault="006B08B9">
                              <w:pPr>
                                <w:spacing w:after="160" w:line="249" w:lineRule="auto"/>
                              </w:pPr>
                              <w:r>
                                <w:rPr>
                                  <w:w w:val="110"/>
                                </w:rPr>
                                <w:t>situada</w:t>
                              </w:r>
                              <w:r>
                                <w:rPr>
                                  <w:spacing w:val="106"/>
                                  <w:w w:val="110"/>
                                </w:rPr>
                                <w:t xml:space="preserve"> </w:t>
                              </w:r>
                              <w:r>
                                <w:rPr>
                                  <w:w w:val="110"/>
                                </w:rPr>
                                <w:t>al</w:t>
                              </w:r>
                              <w:r>
                                <w:rPr>
                                  <w:spacing w:val="103"/>
                                  <w:w w:val="110"/>
                                </w:rPr>
                                <w:t xml:space="preserve"> </w:t>
                              </w:r>
                              <w:r>
                                <w:rPr>
                                  <w:w w:val="110"/>
                                </w:rPr>
                                <w:t>final</w:t>
                              </w:r>
                              <w:r>
                                <w:rPr>
                                  <w:spacing w:val="105"/>
                                  <w:w w:val="110"/>
                                </w:rPr>
                                <w:t xml:space="preserve"> </w:t>
                              </w:r>
                              <w:r>
                                <w:rPr>
                                  <w:w w:val="110"/>
                                </w:rPr>
                                <w:t>de</w:t>
                              </w:r>
                              <w:r>
                                <w:rPr>
                                  <w:spacing w:val="104"/>
                                  <w:w w:val="110"/>
                                </w:rPr>
                                <w:t xml:space="preserve"> </w:t>
                              </w:r>
                              <w:r>
                                <w:rPr>
                                  <w:w w:val="110"/>
                                </w:rPr>
                                <w:t>la</w:t>
                              </w:r>
                              <w:r>
                                <w:rPr>
                                  <w:spacing w:val="106"/>
                                  <w:w w:val="110"/>
                                </w:rPr>
                                <w:t xml:space="preserve"> </w:t>
                              </w:r>
                              <w:r>
                                <w:rPr>
                                  <w:w w:val="110"/>
                                </w:rPr>
                                <w:t>plaza</w:t>
                              </w:r>
                              <w:r>
                                <w:rPr>
                                  <w:spacing w:val="106"/>
                                  <w:w w:val="110"/>
                                </w:rPr>
                                <w:t xml:space="preserve"> </w:t>
                              </w:r>
                              <w:r>
                                <w:rPr>
                                  <w:w w:val="110"/>
                                </w:rPr>
                                <w:t>de</w:t>
                              </w:r>
                              <w:r>
                                <w:rPr>
                                  <w:spacing w:val="106"/>
                                  <w:w w:val="110"/>
                                </w:rPr>
                                <w:t xml:space="preserve"> </w:t>
                              </w:r>
                              <w:r>
                                <w:rPr>
                                  <w:w w:val="110"/>
                                </w:rPr>
                                <w:t>los</w:t>
                              </w:r>
                              <w:r>
                                <w:rPr>
                                  <w:spacing w:val="104"/>
                                  <w:w w:val="110"/>
                                </w:rPr>
                                <w:t xml:space="preserve"> </w:t>
                              </w:r>
                              <w:r>
                                <w:rPr>
                                  <w:w w:val="110"/>
                                </w:rPr>
                                <w:t>artesanos,</w:t>
                              </w:r>
                              <w:r>
                                <w:rPr>
                                  <w:spacing w:val="105"/>
                                  <w:w w:val="110"/>
                                </w:rPr>
                                <w:t xml:space="preserve"> </w:t>
                              </w:r>
                              <w:r>
                                <w:rPr>
                                  <w:w w:val="110"/>
                                </w:rPr>
                                <w:t>con</w:t>
                              </w:r>
                              <w:r>
                                <w:rPr>
                                  <w:spacing w:val="104"/>
                                  <w:w w:val="110"/>
                                </w:rPr>
                                <w:t xml:space="preserve"> </w:t>
                              </w:r>
                              <w:r>
                                <w:rPr>
                                  <w:w w:val="110"/>
                                </w:rPr>
                                <w:t>fachada</w:t>
                              </w:r>
                              <w:r>
                                <w:rPr>
                                  <w:spacing w:val="106"/>
                                  <w:w w:val="110"/>
                                </w:rPr>
                                <w:t xml:space="preserve"> </w:t>
                              </w:r>
                              <w:r>
                                <w:rPr>
                                  <w:w w:val="110"/>
                                </w:rPr>
                                <w:t>a</w:t>
                              </w:r>
                              <w:r>
                                <w:rPr>
                                  <w:spacing w:val="104"/>
                                  <w:w w:val="110"/>
                                </w:rPr>
                                <w:t xml:space="preserve"> </w:t>
                              </w:r>
                              <w:r>
                                <w:rPr>
                                  <w:w w:val="110"/>
                                </w:rPr>
                                <w:t>la</w:t>
                              </w:r>
                              <w:r>
                                <w:rPr>
                                  <w:spacing w:val="106"/>
                                  <w:w w:val="110"/>
                                </w:rPr>
                                <w:t xml:space="preserve"> </w:t>
                              </w:r>
                              <w:r>
                                <w:rPr>
                                  <w:w w:val="110"/>
                                </w:rPr>
                                <w:t>futura</w:t>
                              </w:r>
                              <w:r>
                                <w:rPr>
                                  <w:spacing w:val="104"/>
                                  <w:w w:val="110"/>
                                </w:rPr>
                                <w:t xml:space="preserve"> </w:t>
                              </w:r>
                              <w:r>
                                <w:rPr>
                                  <w:w w:val="110"/>
                                </w:rPr>
                                <w:t>plaza,</w:t>
                              </w:r>
                              <w:r>
                                <w:rPr>
                                  <w:spacing w:val="107"/>
                                  <w:w w:val="110"/>
                                </w:rPr>
                                <w:t xml:space="preserve"> </w:t>
                              </w:r>
                              <w:r>
                                <w:rPr>
                                  <w:w w:val="110"/>
                                </w:rPr>
                                <w:t>y</w:t>
                              </w:r>
                            </w:p>
                          </w:txbxContent>
                        </wps:txbx>
                        <wps:bodyPr vert="horz" wrap="square" lIns="0" tIns="0" rIns="0" bIns="0" anchor="t" anchorCtr="0" compatLnSpc="0">
                          <a:noAutofit/>
                        </wps:bodyPr>
                      </wps:wsp>
                      <wps:wsp>
                        <wps:cNvPr id="77" name="Rectangle 253"/>
                        <wps:cNvSpPr/>
                        <wps:spPr>
                          <a:xfrm>
                            <a:off x="5582494" y="5886486"/>
                            <a:ext cx="51471" cy="207577"/>
                          </a:xfrm>
                          <a:prstGeom prst="rect">
                            <a:avLst/>
                          </a:prstGeom>
                          <a:noFill/>
                          <a:ln cap="flat">
                            <a:noFill/>
                            <a:prstDash val="solid"/>
                          </a:ln>
                        </wps:spPr>
                        <wps:txbx>
                          <w:txbxContent>
                            <w:p w:rsidR="009B4233" w:rsidRDefault="006B08B9">
                              <w:pPr>
                                <w:spacing w:after="160" w:line="249" w:lineRule="auto"/>
                              </w:pPr>
                              <w:r>
                                <w:t xml:space="preserve"> </w:t>
                              </w:r>
                            </w:p>
                          </w:txbxContent>
                        </wps:txbx>
                        <wps:bodyPr vert="horz" wrap="square" lIns="0" tIns="0" rIns="0" bIns="0" anchor="t" anchorCtr="0" compatLnSpc="0">
                          <a:noAutofit/>
                        </wps:bodyPr>
                      </wps:wsp>
                      <wps:wsp>
                        <wps:cNvPr id="78" name="Rectangle 258"/>
                        <wps:cNvSpPr/>
                        <wps:spPr>
                          <a:xfrm rot="16200004">
                            <a:off x="4681998" y="4716763"/>
                            <a:ext cx="2547445" cy="113230"/>
                          </a:xfrm>
                          <a:prstGeom prst="rect">
                            <a:avLst/>
                          </a:prstGeom>
                          <a:noFill/>
                          <a:ln cap="flat">
                            <a:noFill/>
                            <a:prstDash val="solid"/>
                          </a:ln>
                        </wps:spPr>
                        <wps:txbx>
                          <w:txbxContent>
                            <w:p w:rsidR="009B4233" w:rsidRDefault="006B08B9">
                              <w:pPr>
                                <w:spacing w:after="160" w:line="249" w:lineRule="auto"/>
                              </w:pPr>
                              <w:r>
                                <w:rPr>
                                  <w:rFonts w:eastAsia="Arial" w:cs="Arial"/>
                                  <w:sz w:val="12"/>
                                </w:rPr>
                                <w:t xml:space="preserve">Cód. Validación: 9QPM42J7FGYPNGHWPCNHY9GWD </w:t>
                              </w:r>
                            </w:p>
                          </w:txbxContent>
                        </wps:txbx>
                        <wps:bodyPr vert="horz" wrap="square" lIns="0" tIns="0" rIns="0" bIns="0" anchor="t" anchorCtr="0" compatLnSpc="0">
                          <a:noAutofit/>
                        </wps:bodyPr>
                      </wps:wsp>
                      <wps:wsp>
                        <wps:cNvPr id="79" name="Rectangle 259"/>
                        <wps:cNvSpPr/>
                        <wps:spPr>
                          <a:xfrm rot="16200004">
                            <a:off x="4922933" y="4881501"/>
                            <a:ext cx="2217968" cy="113230"/>
                          </a:xfrm>
                          <a:prstGeom prst="rect">
                            <a:avLst/>
                          </a:prstGeom>
                          <a:noFill/>
                          <a:ln cap="flat">
                            <a:noFill/>
                            <a:prstDash val="solid"/>
                          </a:ln>
                        </wps:spPr>
                        <wps:txbx>
                          <w:txbxContent>
                            <w:p w:rsidR="009B4233" w:rsidRDefault="006B08B9">
                              <w:pPr>
                                <w:spacing w:after="160" w:line="249" w:lineRule="auto"/>
                              </w:pPr>
                              <w:r>
                                <w:rPr>
                                  <w:rFonts w:eastAsia="Arial" w:cs="Arial"/>
                                  <w:sz w:val="12"/>
                                </w:rPr>
                                <w:t xml:space="preserve">Verificación: https://candelaria.sedelectronica.es/ </w:t>
                              </w:r>
                            </w:p>
                          </w:txbxContent>
                        </wps:txbx>
                        <wps:bodyPr vert="horz" wrap="square" lIns="0" tIns="0" rIns="0" bIns="0" anchor="t" anchorCtr="0" compatLnSpc="0">
                          <a:noAutofit/>
                        </wps:bodyPr>
                      </wps:wsp>
                      <wps:wsp>
                        <wps:cNvPr id="80" name="Rectangle 260"/>
                        <wps:cNvSpPr/>
                        <wps:spPr>
                          <a:xfrm rot="16200004">
                            <a:off x="3961245" y="3843580"/>
                            <a:ext cx="4293757" cy="113230"/>
                          </a:xfrm>
                          <a:prstGeom prst="rect">
                            <a:avLst/>
                          </a:prstGeom>
                          <a:noFill/>
                          <a:ln cap="flat">
                            <a:noFill/>
                            <a:prstDash val="solid"/>
                          </a:ln>
                        </wps:spPr>
                        <wps:txbx>
                          <w:txbxContent>
                            <w:p w:rsidR="009B4233" w:rsidRDefault="006B08B9">
                              <w:pPr>
                                <w:spacing w:after="160" w:line="249" w:lineRule="auto"/>
                              </w:pPr>
                              <w:r>
                                <w:rPr>
                                  <w:rFonts w:eastAsia="Arial" w:cs="Arial"/>
                                  <w:sz w:val="12"/>
                                </w:rPr>
                                <w:t xml:space="preserve">Documento firmado electrónicamente desde la plataforma esPublico Gestiona | Página 3 de 12 </w:t>
                              </w:r>
                            </w:p>
                          </w:txbxContent>
                        </wps:txbx>
                        <wps:bodyPr vert="horz" wrap="square" lIns="0" tIns="0" rIns="0" bIns="0" anchor="t" anchorCtr="0" compatLnSpc="0">
                          <a:noAutofit/>
                        </wps:bodyPr>
                      </wps:wsp>
                    </wpg:wgp>
                  </a:graphicData>
                </a:graphic>
              </wp:inline>
            </w:drawing>
          </mc:Choice>
          <mc:Fallback>
            <w:pict>
              <v:group id="Grupo 153" o:spid="_x0000_s1058" style="width:650pt;height:479.85pt;mso-position-horizontal-relative:char;mso-position-vertical-relative:line" coordsize="74145,609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">
                <v:shape id="Shape 10591" o:spid="_x0000_s1059" style="position:absolute;top:49607;width:55805;height:1613;visibility:visible;mso-wrap-style:square;v-text-anchor:top" coordsize="5580381,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" path="m,l5580381,r,161290l,161290,,e" filled="f" stroked="f">
                  <v:path arrowok="t" o:connecttype="custom" o:connectlocs="2790296,0;5580592,80646;2790296,161291;0,80646;0,0;5580592,0;5580592,161291;0,161291;0,0" o:connectangles="270,0,90,180,0,0,0,0,0" textboxrect="0,0,5580381,161290"/>
                </v:shape>
                <v:rect id="Rectangle 239" o:spid="_x0000_s1060" style="position:absolute;left:2711;width:9907;height:20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" filled="f" stroked="f">
                  <v:textbox inset="0,0,0,0">
                    <w:txbxContent>
                      <w:p w:rsidR="009B4233" w:rsidRDefault="006B08B9">
                        <w:pPr>
                          <w:spacing w:after="160" w:line="249" w:lineRule="auto"/>
                        </w:pPr>
                        <w:r>
                          <w:rPr>
                            <w:rFonts w:ascii="Calibri" w:eastAsia="Calibri" w:hAnsi="Calibri" w:cs="Calibri"/>
                            <w:b/>
                            <w:w w:val="128"/>
                          </w:rPr>
                          <w:t>SECTOR</w:t>
                        </w:r>
                        <w:r>
                          <w:rPr>
                            <w:rFonts w:ascii="Calibri" w:eastAsia="Calibri" w:hAnsi="Calibri" w:cs="Calibri"/>
                            <w:b/>
                            <w:spacing w:val="13"/>
                            <w:w w:val="128"/>
                          </w:rPr>
                          <w:t xml:space="preserve"> </w:t>
                        </w:r>
                        <w:r>
                          <w:rPr>
                            <w:rFonts w:ascii="Calibri" w:eastAsia="Calibri" w:hAnsi="Calibri" w:cs="Calibri"/>
                            <w:b/>
                            <w:w w:val="128"/>
                          </w:rPr>
                          <w:t>3:</w:t>
                        </w:r>
                      </w:p>
                    </w:txbxContent>
                  </v:textbox>
                </v:rect>
                <v:rect id="Rectangle 240" o:spid="_x0000_s1061" style="position:absolute;left:10166;width:19508;height:20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" filled="f" stroked="f">
                  <v:textbox inset="0,0,0,0">
                    <w:txbxContent>
                      <w:p w:rsidR="009B4233" w:rsidRDefault="006B08B9">
                        <w:pPr>
                          <w:spacing w:after="160" w:line="249" w:lineRule="auto"/>
                        </w:pPr>
                        <w:r>
                          <w:rPr>
                            <w:spacing w:val="10"/>
                            <w:w w:val="113"/>
                          </w:rPr>
                          <w:t xml:space="preserve"> </w:t>
                        </w:r>
                        <w:r>
                          <w:rPr>
                            <w:w w:val="113"/>
                          </w:rPr>
                          <w:t>Plaza</w:t>
                        </w:r>
                        <w:r>
                          <w:rPr>
                            <w:spacing w:val="14"/>
                            <w:w w:val="113"/>
                          </w:rPr>
                          <w:t xml:space="preserve"> </w:t>
                        </w:r>
                        <w:r>
                          <w:rPr>
                            <w:w w:val="113"/>
                          </w:rPr>
                          <w:t>de</w:t>
                        </w:r>
                        <w:r>
                          <w:rPr>
                            <w:spacing w:val="12"/>
                            <w:w w:val="113"/>
                          </w:rPr>
                          <w:t xml:space="preserve"> </w:t>
                        </w:r>
                        <w:r>
                          <w:rPr>
                            <w:w w:val="113"/>
                          </w:rPr>
                          <w:t>los</w:t>
                        </w:r>
                        <w:r>
                          <w:rPr>
                            <w:spacing w:val="12"/>
                            <w:w w:val="113"/>
                          </w:rPr>
                          <w:t xml:space="preserve"> </w:t>
                        </w:r>
                        <w:r>
                          <w:rPr>
                            <w:w w:val="113"/>
                          </w:rPr>
                          <w:t>Artesanos</w:t>
                        </w:r>
                      </w:p>
                    </w:txbxContent>
                  </v:textbox>
                </v:rect>
                <v:shape id="Picture 242" o:spid="_x0000_s1062" type="#_x0000_t75" style="position:absolute;left:2705;top:3931;width:55780;height:39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">
                  <v:imagedata r:id="rId36" o:title=""/>
                  <v:path arrowok="t"/>
                </v:shape>
                <v:rect id="Rectangle 243" o:spid="_x0000_s1063" style="position:absolute;left:4807;top:43918;width:65039;height:16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" filled="f" stroked="f">
                  <v:textbox inset="0,0,0,0">
                    <w:txbxContent>
                      <w:p w:rsidR="009B4233" w:rsidRDefault="006B08B9">
                        <w:pPr>
                          <w:spacing w:after="160" w:line="249" w:lineRule="auto"/>
                        </w:pPr>
                        <w:r>
                          <w:rPr>
                            <w:rFonts w:ascii="Calibri" w:eastAsia="Calibri" w:hAnsi="Calibri" w:cs="Calibri"/>
                            <w:i/>
                            <w:w w:val="110"/>
                            <w:sz w:val="18"/>
                          </w:rPr>
                          <w:t>Plano</w:t>
                        </w:r>
                        <w:r>
                          <w:rPr>
                            <w:rFonts w:ascii="Calibri" w:eastAsia="Calibri" w:hAnsi="Calibri" w:cs="Calibri"/>
                            <w:i/>
                            <w:spacing w:val="11"/>
                            <w:w w:val="110"/>
                            <w:sz w:val="18"/>
                          </w:rPr>
                          <w:t xml:space="preserve"> </w:t>
                        </w:r>
                        <w:r>
                          <w:rPr>
                            <w:rFonts w:ascii="Calibri" w:eastAsia="Calibri" w:hAnsi="Calibri" w:cs="Calibri"/>
                            <w:i/>
                            <w:w w:val="110"/>
                            <w:sz w:val="18"/>
                          </w:rPr>
                          <w:t>del</w:t>
                        </w:r>
                        <w:r>
                          <w:rPr>
                            <w:rFonts w:ascii="Calibri" w:eastAsia="Calibri" w:hAnsi="Calibri" w:cs="Calibri"/>
                            <w:i/>
                            <w:spacing w:val="9"/>
                            <w:w w:val="110"/>
                            <w:sz w:val="18"/>
                          </w:rPr>
                          <w:t xml:space="preserve"> </w:t>
                        </w:r>
                        <w:r>
                          <w:rPr>
                            <w:rFonts w:ascii="Calibri" w:eastAsia="Calibri" w:hAnsi="Calibri" w:cs="Calibri"/>
                            <w:i/>
                            <w:w w:val="110"/>
                            <w:sz w:val="18"/>
                          </w:rPr>
                          <w:t>Modificado</w:t>
                        </w:r>
                        <w:r>
                          <w:rPr>
                            <w:rFonts w:ascii="Calibri" w:eastAsia="Calibri" w:hAnsi="Calibri" w:cs="Calibri"/>
                            <w:i/>
                            <w:spacing w:val="9"/>
                            <w:w w:val="110"/>
                            <w:sz w:val="18"/>
                          </w:rPr>
                          <w:t xml:space="preserve"> </w:t>
                        </w:r>
                        <w:r>
                          <w:rPr>
                            <w:rFonts w:ascii="Calibri" w:eastAsia="Calibri" w:hAnsi="Calibri" w:cs="Calibri"/>
                            <w:i/>
                            <w:w w:val="110"/>
                            <w:sz w:val="18"/>
                          </w:rPr>
                          <w:t>nº</w:t>
                        </w:r>
                        <w:r>
                          <w:rPr>
                            <w:rFonts w:ascii="Calibri" w:eastAsia="Calibri" w:hAnsi="Calibri" w:cs="Calibri"/>
                            <w:i/>
                            <w:spacing w:val="9"/>
                            <w:w w:val="110"/>
                            <w:sz w:val="18"/>
                          </w:rPr>
                          <w:t xml:space="preserve"> </w:t>
                        </w:r>
                        <w:r>
                          <w:rPr>
                            <w:rFonts w:ascii="Calibri" w:eastAsia="Calibri" w:hAnsi="Calibri" w:cs="Calibri"/>
                            <w:i/>
                            <w:w w:val="110"/>
                            <w:sz w:val="18"/>
                          </w:rPr>
                          <w:t>1</w:t>
                        </w:r>
                        <w:r>
                          <w:rPr>
                            <w:rFonts w:ascii="Calibri" w:eastAsia="Calibri" w:hAnsi="Calibri" w:cs="Calibri"/>
                            <w:i/>
                            <w:spacing w:val="9"/>
                            <w:w w:val="110"/>
                            <w:sz w:val="18"/>
                          </w:rPr>
                          <w:t xml:space="preserve"> </w:t>
                        </w:r>
                        <w:r>
                          <w:rPr>
                            <w:rFonts w:ascii="Calibri" w:eastAsia="Calibri" w:hAnsi="Calibri" w:cs="Calibri"/>
                            <w:i/>
                            <w:w w:val="110"/>
                            <w:sz w:val="18"/>
                          </w:rPr>
                          <w:t>del</w:t>
                        </w:r>
                        <w:r>
                          <w:rPr>
                            <w:rFonts w:ascii="Calibri" w:eastAsia="Calibri" w:hAnsi="Calibri" w:cs="Calibri"/>
                            <w:i/>
                            <w:spacing w:val="9"/>
                            <w:w w:val="110"/>
                            <w:sz w:val="18"/>
                          </w:rPr>
                          <w:t xml:space="preserve"> </w:t>
                        </w:r>
                        <w:r>
                          <w:rPr>
                            <w:rFonts w:ascii="Calibri" w:eastAsia="Calibri" w:hAnsi="Calibri" w:cs="Calibri"/>
                            <w:i/>
                            <w:w w:val="110"/>
                            <w:sz w:val="18"/>
                          </w:rPr>
                          <w:t>Proyecto</w:t>
                        </w:r>
                        <w:r>
                          <w:rPr>
                            <w:rFonts w:ascii="Calibri" w:eastAsia="Calibri" w:hAnsi="Calibri" w:cs="Calibri"/>
                            <w:i/>
                            <w:spacing w:val="11"/>
                            <w:w w:val="110"/>
                            <w:sz w:val="18"/>
                          </w:rPr>
                          <w:t xml:space="preserve"> </w:t>
                        </w:r>
                        <w:r>
                          <w:rPr>
                            <w:rFonts w:ascii="Calibri" w:eastAsia="Calibri" w:hAnsi="Calibri" w:cs="Calibri"/>
                            <w:i/>
                            <w:w w:val="110"/>
                            <w:sz w:val="18"/>
                          </w:rPr>
                          <w:t>de</w:t>
                        </w:r>
                        <w:r>
                          <w:rPr>
                            <w:rFonts w:ascii="Calibri" w:eastAsia="Calibri" w:hAnsi="Calibri" w:cs="Calibri"/>
                            <w:i/>
                            <w:spacing w:val="9"/>
                            <w:w w:val="110"/>
                            <w:sz w:val="18"/>
                          </w:rPr>
                          <w:t xml:space="preserve"> </w:t>
                        </w:r>
                        <w:r>
                          <w:rPr>
                            <w:rFonts w:ascii="Calibri" w:eastAsia="Calibri" w:hAnsi="Calibri" w:cs="Calibri"/>
                            <w:i/>
                            <w:w w:val="110"/>
                            <w:sz w:val="18"/>
                          </w:rPr>
                          <w:t>Remodelación</w:t>
                        </w:r>
                        <w:r>
                          <w:rPr>
                            <w:rFonts w:ascii="Calibri" w:eastAsia="Calibri" w:hAnsi="Calibri" w:cs="Calibri"/>
                            <w:i/>
                            <w:spacing w:val="9"/>
                            <w:w w:val="110"/>
                            <w:sz w:val="18"/>
                          </w:rPr>
                          <w:t xml:space="preserve"> </w:t>
                        </w:r>
                        <w:r>
                          <w:rPr>
                            <w:rFonts w:ascii="Calibri" w:eastAsia="Calibri" w:hAnsi="Calibri" w:cs="Calibri"/>
                            <w:i/>
                            <w:w w:val="110"/>
                            <w:sz w:val="18"/>
                          </w:rPr>
                          <w:t>de</w:t>
                        </w:r>
                        <w:r>
                          <w:rPr>
                            <w:rFonts w:ascii="Calibri" w:eastAsia="Calibri" w:hAnsi="Calibri" w:cs="Calibri"/>
                            <w:i/>
                            <w:spacing w:val="9"/>
                            <w:w w:val="110"/>
                            <w:sz w:val="18"/>
                          </w:rPr>
                          <w:t xml:space="preserve"> </w:t>
                        </w:r>
                        <w:r>
                          <w:rPr>
                            <w:rFonts w:ascii="Calibri" w:eastAsia="Calibri" w:hAnsi="Calibri" w:cs="Calibri"/>
                            <w:i/>
                            <w:w w:val="110"/>
                            <w:sz w:val="18"/>
                          </w:rPr>
                          <w:t>la</w:t>
                        </w:r>
                        <w:r>
                          <w:rPr>
                            <w:rFonts w:ascii="Calibri" w:eastAsia="Calibri" w:hAnsi="Calibri" w:cs="Calibri"/>
                            <w:i/>
                            <w:spacing w:val="11"/>
                            <w:w w:val="110"/>
                            <w:sz w:val="18"/>
                          </w:rPr>
                          <w:t xml:space="preserve"> </w:t>
                        </w:r>
                        <w:r>
                          <w:rPr>
                            <w:rFonts w:ascii="Calibri" w:eastAsia="Calibri" w:hAnsi="Calibri" w:cs="Calibri"/>
                            <w:i/>
                            <w:w w:val="110"/>
                            <w:sz w:val="18"/>
                          </w:rPr>
                          <w:t>Plaza</w:t>
                        </w:r>
                        <w:r>
                          <w:rPr>
                            <w:rFonts w:ascii="Calibri" w:eastAsia="Calibri" w:hAnsi="Calibri" w:cs="Calibri"/>
                            <w:i/>
                            <w:spacing w:val="9"/>
                            <w:w w:val="110"/>
                            <w:sz w:val="18"/>
                          </w:rPr>
                          <w:t xml:space="preserve"> </w:t>
                        </w:r>
                        <w:r>
                          <w:rPr>
                            <w:rFonts w:ascii="Calibri" w:eastAsia="Calibri" w:hAnsi="Calibri" w:cs="Calibri"/>
                            <w:i/>
                            <w:w w:val="110"/>
                            <w:sz w:val="18"/>
                          </w:rPr>
                          <w:t>de</w:t>
                        </w:r>
                        <w:r>
                          <w:rPr>
                            <w:rFonts w:ascii="Calibri" w:eastAsia="Calibri" w:hAnsi="Calibri" w:cs="Calibri"/>
                            <w:i/>
                            <w:spacing w:val="9"/>
                            <w:w w:val="110"/>
                            <w:sz w:val="18"/>
                          </w:rPr>
                          <w:t xml:space="preserve"> </w:t>
                        </w:r>
                        <w:r>
                          <w:rPr>
                            <w:rFonts w:ascii="Calibri" w:eastAsia="Calibri" w:hAnsi="Calibri" w:cs="Calibri"/>
                            <w:i/>
                            <w:w w:val="110"/>
                            <w:sz w:val="18"/>
                          </w:rPr>
                          <w:t>La</w:t>
                        </w:r>
                        <w:r>
                          <w:rPr>
                            <w:rFonts w:ascii="Calibri" w:eastAsia="Calibri" w:hAnsi="Calibri" w:cs="Calibri"/>
                            <w:i/>
                            <w:spacing w:val="9"/>
                            <w:w w:val="110"/>
                            <w:sz w:val="18"/>
                          </w:rPr>
                          <w:t xml:space="preserve"> </w:t>
                        </w:r>
                        <w:r>
                          <w:rPr>
                            <w:rFonts w:ascii="Calibri" w:eastAsia="Calibri" w:hAnsi="Calibri" w:cs="Calibri"/>
                            <w:i/>
                            <w:w w:val="110"/>
                            <w:sz w:val="18"/>
                          </w:rPr>
                          <w:t>Patrona</w:t>
                        </w:r>
                        <w:r>
                          <w:rPr>
                            <w:rFonts w:ascii="Calibri" w:eastAsia="Calibri" w:hAnsi="Calibri" w:cs="Calibri"/>
                            <w:i/>
                            <w:spacing w:val="9"/>
                            <w:w w:val="110"/>
                            <w:sz w:val="18"/>
                          </w:rPr>
                          <w:t xml:space="preserve"> </w:t>
                        </w:r>
                        <w:r>
                          <w:rPr>
                            <w:rFonts w:ascii="Calibri" w:eastAsia="Calibri" w:hAnsi="Calibri" w:cs="Calibri"/>
                            <w:i/>
                            <w:w w:val="110"/>
                            <w:sz w:val="18"/>
                          </w:rPr>
                          <w:t>y</w:t>
                        </w:r>
                        <w:r>
                          <w:rPr>
                            <w:rFonts w:ascii="Calibri" w:eastAsia="Calibri" w:hAnsi="Calibri" w:cs="Calibri"/>
                            <w:i/>
                            <w:spacing w:val="9"/>
                            <w:w w:val="110"/>
                            <w:sz w:val="18"/>
                          </w:rPr>
                          <w:t xml:space="preserve"> </w:t>
                        </w:r>
                        <w:r>
                          <w:rPr>
                            <w:rFonts w:ascii="Calibri" w:eastAsia="Calibri" w:hAnsi="Calibri" w:cs="Calibri"/>
                            <w:i/>
                            <w:w w:val="110"/>
                            <w:sz w:val="18"/>
                          </w:rPr>
                          <w:t>su</w:t>
                        </w:r>
                        <w:r>
                          <w:rPr>
                            <w:rFonts w:ascii="Calibri" w:eastAsia="Calibri" w:hAnsi="Calibri" w:cs="Calibri"/>
                            <w:i/>
                            <w:spacing w:val="9"/>
                            <w:w w:val="110"/>
                            <w:sz w:val="18"/>
                          </w:rPr>
                          <w:t xml:space="preserve"> </w:t>
                        </w:r>
                        <w:r>
                          <w:rPr>
                            <w:rFonts w:ascii="Calibri" w:eastAsia="Calibri" w:hAnsi="Calibri" w:cs="Calibri"/>
                            <w:i/>
                            <w:w w:val="110"/>
                            <w:sz w:val="18"/>
                          </w:rPr>
                          <w:t>entorno</w:t>
                        </w:r>
                      </w:p>
                    </w:txbxContent>
                  </v:textbox>
                </v:rect>
                <v:rect id="Rectangle 244" o:spid="_x0000_s1064" style="position:absolute;left:2711;top:45580;width:515;height:20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" filled="f" stroked="f">
                  <v:textbox inset="0,0,0,0">
                    <w:txbxContent>
                      <w:p w:rsidR="009B4233" w:rsidRDefault="006B08B9">
                        <w:pPr>
                          <w:spacing w:after="160" w:line="249" w:lineRule="auto"/>
                        </w:pPr>
                        <w:r>
                          <w:t xml:space="preserve"> </w:t>
                        </w:r>
                      </w:p>
                    </w:txbxContent>
                  </v:textbox>
                </v:rect>
                <v:rect id="Rectangle 245" o:spid="_x0000_s1065" style="position:absolute;left:2711;top:49657;width:1546;height:20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" filled="f" stroked="f">
                  <v:textbox inset="0,0,0,0">
                    <w:txbxContent>
                      <w:p w:rsidR="009B4233" w:rsidRDefault="006B08B9">
                        <w:pPr>
                          <w:spacing w:after="160" w:line="249" w:lineRule="auto"/>
                        </w:pPr>
                        <w:r>
                          <w:rPr>
                            <w:rFonts w:ascii="Calibri" w:eastAsia="Calibri" w:hAnsi="Calibri" w:cs="Calibri"/>
                            <w:b/>
                            <w:w w:val="110"/>
                          </w:rPr>
                          <w:t>3.</w:t>
                        </w:r>
                      </w:p>
                    </w:txbxContent>
                  </v:textbox>
                </v:rect>
                <v:rect id="Rectangle 247" o:spid="_x0000_s1066" style="position:absolute;left:5416;top:49657;width:24319;height:20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" filled="f" stroked="f">
                  <v:textbox inset="0,0,0,0">
                    <w:txbxContent>
                      <w:p w:rsidR="009B4233" w:rsidRDefault="006B08B9">
                        <w:pPr>
                          <w:spacing w:after="160" w:line="249" w:lineRule="auto"/>
                        </w:pPr>
                        <w:r>
                          <w:rPr>
                            <w:rFonts w:ascii="Calibri" w:eastAsia="Calibri" w:hAnsi="Calibri" w:cs="Calibri"/>
                            <w:b/>
                            <w:w w:val="124"/>
                            <w:shd w:val="clear" w:color="auto" w:fill="E6E6E6"/>
                          </w:rPr>
                          <w:t>OBJETO</w:t>
                        </w:r>
                        <w:r>
                          <w:rPr>
                            <w:rFonts w:ascii="Calibri" w:eastAsia="Calibri" w:hAnsi="Calibri" w:cs="Calibri"/>
                            <w:b/>
                            <w:spacing w:val="13"/>
                            <w:w w:val="124"/>
                            <w:shd w:val="clear" w:color="auto" w:fill="E6E6E6"/>
                          </w:rPr>
                          <w:t xml:space="preserve"> </w:t>
                        </w:r>
                        <w:r>
                          <w:rPr>
                            <w:rFonts w:ascii="Calibri" w:eastAsia="Calibri" w:hAnsi="Calibri" w:cs="Calibri"/>
                            <w:b/>
                            <w:w w:val="124"/>
                            <w:shd w:val="clear" w:color="auto" w:fill="E6E6E6"/>
                          </w:rPr>
                          <w:t>DEL</w:t>
                        </w:r>
                        <w:r>
                          <w:rPr>
                            <w:rFonts w:ascii="Calibri" w:eastAsia="Calibri" w:hAnsi="Calibri" w:cs="Calibri"/>
                            <w:b/>
                            <w:spacing w:val="12"/>
                            <w:w w:val="124"/>
                            <w:shd w:val="clear" w:color="auto" w:fill="E6E6E6"/>
                          </w:rPr>
                          <w:t xml:space="preserve"> </w:t>
                        </w:r>
                        <w:r>
                          <w:rPr>
                            <w:rFonts w:ascii="Calibri" w:eastAsia="Calibri" w:hAnsi="Calibri" w:cs="Calibri"/>
                            <w:b/>
                            <w:w w:val="124"/>
                            <w:shd w:val="clear" w:color="auto" w:fill="E6E6E6"/>
                          </w:rPr>
                          <w:t>MODIFICADO</w:t>
                        </w:r>
                      </w:p>
                    </w:txbxContent>
                  </v:textbox>
                </v:rect>
                <v:rect id="Rectangle 248" o:spid="_x0000_s1067" style="position:absolute;left:23730;top:49657;width:1648;height:20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" filled="f" stroked="f">
                  <v:textbox inset="0,0,0,0">
                    <w:txbxContent>
                      <w:p w:rsidR="009B4233" w:rsidRDefault="006B08B9">
                        <w:pPr>
                          <w:spacing w:after="160" w:line="249" w:lineRule="auto"/>
                        </w:pPr>
                        <w:r>
                          <w:rPr>
                            <w:rFonts w:ascii="Calibri" w:eastAsia="Calibri" w:hAnsi="Calibri" w:cs="Calibri"/>
                            <w:b/>
                            <w:w w:val="110"/>
                          </w:rPr>
                          <w:t>.</w:t>
                        </w:r>
                        <w:r>
                          <w:rPr>
                            <w:rFonts w:ascii="Calibri" w:eastAsia="Calibri" w:hAnsi="Calibri" w:cs="Calibri"/>
                            <w:b/>
                            <w:spacing w:val="11"/>
                            <w:w w:val="110"/>
                          </w:rPr>
                          <w:t xml:space="preserve"> </w:t>
                        </w:r>
                        <w:r>
                          <w:rPr>
                            <w:rFonts w:ascii="Calibri" w:eastAsia="Calibri" w:hAnsi="Calibri" w:cs="Calibri"/>
                            <w:b/>
                            <w:w w:val="110"/>
                          </w:rPr>
                          <w:t>-</w:t>
                        </w:r>
                      </w:p>
                    </w:txbxContent>
                  </v:textbox>
                </v:rect>
                <v:rect id="Rectangle 249" o:spid="_x0000_s1068" style="position:absolute;left:2711;top:54395;width:39485;height:1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" filled="f" stroked="f">
                  <v:textbox inset="0,0,0,0">
                    <w:txbxContent>
                      <w:p w:rsidR="009B4233" w:rsidRDefault="006B08B9">
                        <w:pPr>
                          <w:spacing w:after="160" w:line="249" w:lineRule="auto"/>
                        </w:pPr>
                        <w:r>
                          <w:rPr>
                            <w:rFonts w:ascii="Calibri" w:eastAsia="Calibri" w:hAnsi="Calibri" w:cs="Calibri"/>
                            <w:b/>
                            <w:w w:val="127"/>
                            <w:sz w:val="18"/>
                          </w:rPr>
                          <w:t>A.-</w:t>
                        </w:r>
                        <w:r>
                          <w:rPr>
                            <w:rFonts w:ascii="Calibri" w:eastAsia="Calibri" w:hAnsi="Calibri" w:cs="Calibri"/>
                            <w:b/>
                            <w:spacing w:val="9"/>
                            <w:w w:val="127"/>
                            <w:sz w:val="18"/>
                          </w:rPr>
                          <w:t xml:space="preserve"> </w:t>
                        </w:r>
                        <w:r>
                          <w:rPr>
                            <w:rFonts w:ascii="Calibri" w:eastAsia="Calibri" w:hAnsi="Calibri" w:cs="Calibri"/>
                            <w:b/>
                            <w:w w:val="127"/>
                            <w:sz w:val="18"/>
                          </w:rPr>
                          <w:t>EDIFICIO</w:t>
                        </w:r>
                        <w:r>
                          <w:rPr>
                            <w:rFonts w:ascii="Calibri" w:eastAsia="Calibri" w:hAnsi="Calibri" w:cs="Calibri"/>
                            <w:b/>
                            <w:spacing w:val="9"/>
                            <w:w w:val="127"/>
                            <w:sz w:val="18"/>
                          </w:rPr>
                          <w:t xml:space="preserve"> </w:t>
                        </w:r>
                        <w:r>
                          <w:rPr>
                            <w:rFonts w:ascii="Calibri" w:eastAsia="Calibri" w:hAnsi="Calibri" w:cs="Calibri"/>
                            <w:b/>
                            <w:w w:val="127"/>
                            <w:sz w:val="18"/>
                          </w:rPr>
                          <w:t>OCEÁNICA.</w:t>
                        </w:r>
                        <w:r>
                          <w:rPr>
                            <w:rFonts w:ascii="Calibri" w:eastAsia="Calibri" w:hAnsi="Calibri" w:cs="Calibri"/>
                            <w:b/>
                            <w:spacing w:val="9"/>
                            <w:w w:val="127"/>
                            <w:sz w:val="18"/>
                          </w:rPr>
                          <w:t xml:space="preserve"> </w:t>
                        </w:r>
                        <w:r>
                          <w:rPr>
                            <w:rFonts w:ascii="Calibri" w:eastAsia="Calibri" w:hAnsi="Calibri" w:cs="Calibri"/>
                            <w:b/>
                            <w:w w:val="127"/>
                            <w:sz w:val="18"/>
                          </w:rPr>
                          <w:t>PLAZA</w:t>
                        </w:r>
                        <w:r>
                          <w:rPr>
                            <w:rFonts w:ascii="Calibri" w:eastAsia="Calibri" w:hAnsi="Calibri" w:cs="Calibri"/>
                            <w:b/>
                            <w:spacing w:val="9"/>
                            <w:w w:val="127"/>
                            <w:sz w:val="18"/>
                          </w:rPr>
                          <w:t xml:space="preserve"> </w:t>
                        </w:r>
                        <w:r>
                          <w:rPr>
                            <w:rFonts w:ascii="Calibri" w:eastAsia="Calibri" w:hAnsi="Calibri" w:cs="Calibri"/>
                            <w:b/>
                            <w:w w:val="127"/>
                            <w:sz w:val="18"/>
                          </w:rPr>
                          <w:t>DE</w:t>
                        </w:r>
                        <w:r>
                          <w:rPr>
                            <w:rFonts w:ascii="Calibri" w:eastAsia="Calibri" w:hAnsi="Calibri" w:cs="Calibri"/>
                            <w:b/>
                            <w:spacing w:val="9"/>
                            <w:w w:val="127"/>
                            <w:sz w:val="18"/>
                          </w:rPr>
                          <w:t xml:space="preserve"> </w:t>
                        </w:r>
                        <w:r>
                          <w:rPr>
                            <w:rFonts w:ascii="Calibri" w:eastAsia="Calibri" w:hAnsi="Calibri" w:cs="Calibri"/>
                            <w:b/>
                            <w:w w:val="127"/>
                            <w:sz w:val="18"/>
                          </w:rPr>
                          <w:t>LOS</w:t>
                        </w:r>
                        <w:r>
                          <w:rPr>
                            <w:rFonts w:ascii="Calibri" w:eastAsia="Calibri" w:hAnsi="Calibri" w:cs="Calibri"/>
                            <w:b/>
                            <w:spacing w:val="9"/>
                            <w:w w:val="127"/>
                            <w:sz w:val="18"/>
                          </w:rPr>
                          <w:t xml:space="preserve"> </w:t>
                        </w:r>
                        <w:r>
                          <w:rPr>
                            <w:rFonts w:ascii="Calibri" w:eastAsia="Calibri" w:hAnsi="Calibri" w:cs="Calibri"/>
                            <w:b/>
                            <w:w w:val="127"/>
                            <w:sz w:val="18"/>
                          </w:rPr>
                          <w:t>ARTESANOS</w:t>
                        </w:r>
                      </w:p>
                    </w:txbxContent>
                  </v:textbox>
                </v:rect>
                <v:rect id="Rectangle 250" o:spid="_x0000_s1069" style="position:absolute;left:2711;top:57023;width:70570;height:20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" filled="f" stroked="f">
                  <v:textbox inset="0,0,0,0">
                    <w:txbxContent>
                      <w:p w:rsidR="009B4233" w:rsidRDefault="006B08B9">
                        <w:pPr>
                          <w:spacing w:after="160" w:line="249" w:lineRule="auto"/>
                        </w:pPr>
                        <w:r>
                          <w:rPr>
                            <w:w w:val="109"/>
                          </w:rPr>
                          <w:t>Como</w:t>
                        </w:r>
                        <w:r>
                          <w:rPr>
                            <w:spacing w:val="29"/>
                            <w:w w:val="109"/>
                          </w:rPr>
                          <w:t xml:space="preserve"> </w:t>
                        </w:r>
                        <w:r>
                          <w:rPr>
                            <w:w w:val="109"/>
                          </w:rPr>
                          <w:t>consecuencia</w:t>
                        </w:r>
                        <w:r>
                          <w:rPr>
                            <w:spacing w:val="31"/>
                            <w:w w:val="109"/>
                          </w:rPr>
                          <w:t xml:space="preserve"> </w:t>
                        </w:r>
                        <w:r>
                          <w:rPr>
                            <w:w w:val="109"/>
                          </w:rPr>
                          <w:t>de</w:t>
                        </w:r>
                        <w:r>
                          <w:rPr>
                            <w:spacing w:val="29"/>
                            <w:w w:val="109"/>
                          </w:rPr>
                          <w:t xml:space="preserve"> </w:t>
                        </w:r>
                        <w:r>
                          <w:rPr>
                            <w:w w:val="109"/>
                          </w:rPr>
                          <w:t>la</w:t>
                        </w:r>
                        <w:r>
                          <w:rPr>
                            <w:spacing w:val="31"/>
                            <w:w w:val="109"/>
                          </w:rPr>
                          <w:t xml:space="preserve"> </w:t>
                        </w:r>
                        <w:r>
                          <w:rPr>
                            <w:w w:val="109"/>
                          </w:rPr>
                          <w:t>construcción</w:t>
                        </w:r>
                        <w:r>
                          <w:rPr>
                            <w:spacing w:val="31"/>
                            <w:w w:val="109"/>
                          </w:rPr>
                          <w:t xml:space="preserve"> </w:t>
                        </w:r>
                        <w:r>
                          <w:rPr>
                            <w:w w:val="109"/>
                          </w:rPr>
                          <w:t>de</w:t>
                        </w:r>
                        <w:r>
                          <w:rPr>
                            <w:spacing w:val="29"/>
                            <w:w w:val="109"/>
                          </w:rPr>
                          <w:t xml:space="preserve"> </w:t>
                        </w:r>
                        <w:r>
                          <w:rPr>
                            <w:w w:val="109"/>
                          </w:rPr>
                          <w:t>un</w:t>
                        </w:r>
                        <w:r>
                          <w:rPr>
                            <w:spacing w:val="27"/>
                            <w:w w:val="109"/>
                          </w:rPr>
                          <w:t xml:space="preserve"> </w:t>
                        </w:r>
                        <w:r>
                          <w:rPr>
                            <w:w w:val="109"/>
                          </w:rPr>
                          <w:t>nuevo</w:t>
                        </w:r>
                        <w:r>
                          <w:rPr>
                            <w:spacing w:val="31"/>
                            <w:w w:val="109"/>
                          </w:rPr>
                          <w:t xml:space="preserve"> </w:t>
                        </w:r>
                        <w:r>
                          <w:rPr>
                            <w:w w:val="109"/>
                          </w:rPr>
                          <w:t>edificio</w:t>
                        </w:r>
                        <w:r>
                          <w:rPr>
                            <w:spacing w:val="31"/>
                            <w:w w:val="109"/>
                          </w:rPr>
                          <w:t xml:space="preserve"> </w:t>
                        </w:r>
                        <w:r>
                          <w:rPr>
                            <w:w w:val="109"/>
                          </w:rPr>
                          <w:t>en</w:t>
                        </w:r>
                        <w:r>
                          <w:rPr>
                            <w:spacing w:val="29"/>
                            <w:w w:val="109"/>
                          </w:rPr>
                          <w:t xml:space="preserve"> </w:t>
                        </w:r>
                        <w:r>
                          <w:rPr>
                            <w:w w:val="109"/>
                          </w:rPr>
                          <w:t>una</w:t>
                        </w:r>
                        <w:r>
                          <w:rPr>
                            <w:spacing w:val="29"/>
                            <w:w w:val="109"/>
                          </w:rPr>
                          <w:t xml:space="preserve"> </w:t>
                        </w:r>
                        <w:r>
                          <w:rPr>
                            <w:w w:val="109"/>
                          </w:rPr>
                          <w:t>antigua</w:t>
                        </w:r>
                        <w:r>
                          <w:rPr>
                            <w:spacing w:val="29"/>
                            <w:w w:val="109"/>
                          </w:rPr>
                          <w:t xml:space="preserve"> </w:t>
                        </w:r>
                        <w:r>
                          <w:rPr>
                            <w:w w:val="109"/>
                          </w:rPr>
                          <w:t>parcela</w:t>
                        </w:r>
                      </w:p>
                    </w:txbxContent>
                  </v:textbox>
                </v:rect>
                <v:rect id="Rectangle 251" o:spid="_x0000_s1070" style="position:absolute;left:55824;top:57023;width:515;height:20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" filled="f" stroked="f">
                  <v:textbox inset="0,0,0,0">
                    <w:txbxContent>
                      <w:p w:rsidR="009B4233" w:rsidRDefault="006B08B9">
                        <w:pPr>
                          <w:spacing w:after="160" w:line="249" w:lineRule="auto"/>
                        </w:pPr>
                        <w:r>
                          <w:t xml:space="preserve"> </w:t>
                        </w:r>
                      </w:p>
                    </w:txbxContent>
                  </v:textbox>
                </v:rect>
                <v:rect id="Rectangle 252" o:spid="_x0000_s1071" style="position:absolute;left:19;top:58864;width:74126;height:20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" filled="f" stroked="f">
                  <v:textbox inset="0,0,0,0">
                    <w:txbxContent>
                      <w:p w:rsidR="009B4233" w:rsidRDefault="006B08B9">
                        <w:pPr>
                          <w:spacing w:after="160" w:line="249" w:lineRule="auto"/>
                        </w:pPr>
                        <w:r>
                          <w:rPr>
                            <w:w w:val="110"/>
                          </w:rPr>
                          <w:t>situada</w:t>
                        </w:r>
                        <w:r>
                          <w:rPr>
                            <w:spacing w:val="106"/>
                            <w:w w:val="110"/>
                          </w:rPr>
                          <w:t xml:space="preserve"> </w:t>
                        </w:r>
                        <w:r>
                          <w:rPr>
                            <w:w w:val="110"/>
                          </w:rPr>
                          <w:t>al</w:t>
                        </w:r>
                        <w:r>
                          <w:rPr>
                            <w:spacing w:val="103"/>
                            <w:w w:val="110"/>
                          </w:rPr>
                          <w:t xml:space="preserve"> </w:t>
                        </w:r>
                        <w:r>
                          <w:rPr>
                            <w:w w:val="110"/>
                          </w:rPr>
                          <w:t>final</w:t>
                        </w:r>
                        <w:r>
                          <w:rPr>
                            <w:spacing w:val="105"/>
                            <w:w w:val="110"/>
                          </w:rPr>
                          <w:t xml:space="preserve"> </w:t>
                        </w:r>
                        <w:r>
                          <w:rPr>
                            <w:w w:val="110"/>
                          </w:rPr>
                          <w:t>de</w:t>
                        </w:r>
                        <w:r>
                          <w:rPr>
                            <w:spacing w:val="104"/>
                            <w:w w:val="110"/>
                          </w:rPr>
                          <w:t xml:space="preserve"> </w:t>
                        </w:r>
                        <w:r>
                          <w:rPr>
                            <w:w w:val="110"/>
                          </w:rPr>
                          <w:t>la</w:t>
                        </w:r>
                        <w:r>
                          <w:rPr>
                            <w:spacing w:val="106"/>
                            <w:w w:val="110"/>
                          </w:rPr>
                          <w:t xml:space="preserve"> </w:t>
                        </w:r>
                        <w:r>
                          <w:rPr>
                            <w:w w:val="110"/>
                          </w:rPr>
                          <w:t>plaza</w:t>
                        </w:r>
                        <w:r>
                          <w:rPr>
                            <w:spacing w:val="106"/>
                            <w:w w:val="110"/>
                          </w:rPr>
                          <w:t xml:space="preserve"> </w:t>
                        </w:r>
                        <w:r>
                          <w:rPr>
                            <w:w w:val="110"/>
                          </w:rPr>
                          <w:t>de</w:t>
                        </w:r>
                        <w:r>
                          <w:rPr>
                            <w:spacing w:val="106"/>
                            <w:w w:val="110"/>
                          </w:rPr>
                          <w:t xml:space="preserve"> </w:t>
                        </w:r>
                        <w:r>
                          <w:rPr>
                            <w:w w:val="110"/>
                          </w:rPr>
                          <w:t>los</w:t>
                        </w:r>
                        <w:r>
                          <w:rPr>
                            <w:spacing w:val="104"/>
                            <w:w w:val="110"/>
                          </w:rPr>
                          <w:t xml:space="preserve"> </w:t>
                        </w:r>
                        <w:r>
                          <w:rPr>
                            <w:w w:val="110"/>
                          </w:rPr>
                          <w:t>artesanos,</w:t>
                        </w:r>
                        <w:r>
                          <w:rPr>
                            <w:spacing w:val="105"/>
                            <w:w w:val="110"/>
                          </w:rPr>
                          <w:t xml:space="preserve"> </w:t>
                        </w:r>
                        <w:r>
                          <w:rPr>
                            <w:w w:val="110"/>
                          </w:rPr>
                          <w:t>con</w:t>
                        </w:r>
                        <w:r>
                          <w:rPr>
                            <w:spacing w:val="104"/>
                            <w:w w:val="110"/>
                          </w:rPr>
                          <w:t xml:space="preserve"> </w:t>
                        </w:r>
                        <w:r>
                          <w:rPr>
                            <w:w w:val="110"/>
                          </w:rPr>
                          <w:t>fachada</w:t>
                        </w:r>
                        <w:r>
                          <w:rPr>
                            <w:spacing w:val="106"/>
                            <w:w w:val="110"/>
                          </w:rPr>
                          <w:t xml:space="preserve"> </w:t>
                        </w:r>
                        <w:r>
                          <w:rPr>
                            <w:w w:val="110"/>
                          </w:rPr>
                          <w:t>a</w:t>
                        </w:r>
                        <w:r>
                          <w:rPr>
                            <w:spacing w:val="104"/>
                            <w:w w:val="110"/>
                          </w:rPr>
                          <w:t xml:space="preserve"> </w:t>
                        </w:r>
                        <w:r>
                          <w:rPr>
                            <w:w w:val="110"/>
                          </w:rPr>
                          <w:t>la</w:t>
                        </w:r>
                        <w:r>
                          <w:rPr>
                            <w:spacing w:val="106"/>
                            <w:w w:val="110"/>
                          </w:rPr>
                          <w:t xml:space="preserve"> </w:t>
                        </w:r>
                        <w:r>
                          <w:rPr>
                            <w:w w:val="110"/>
                          </w:rPr>
                          <w:t>futura</w:t>
                        </w:r>
                        <w:r>
                          <w:rPr>
                            <w:spacing w:val="104"/>
                            <w:w w:val="110"/>
                          </w:rPr>
                          <w:t xml:space="preserve"> </w:t>
                        </w:r>
                        <w:r>
                          <w:rPr>
                            <w:w w:val="110"/>
                          </w:rPr>
                          <w:t>plaza,</w:t>
                        </w:r>
                        <w:r>
                          <w:rPr>
                            <w:spacing w:val="107"/>
                            <w:w w:val="110"/>
                          </w:rPr>
                          <w:t xml:space="preserve"> </w:t>
                        </w:r>
                        <w:r>
                          <w:rPr>
                            <w:w w:val="110"/>
                          </w:rPr>
                          <w:t>y</w:t>
                        </w:r>
                      </w:p>
                    </w:txbxContent>
                  </v:textbox>
                </v:rect>
                <v:rect id="Rectangle 253" o:spid="_x0000_s1072" style="position:absolute;left:55824;top:58864;width:515;height:20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" filled="f" stroked="f">
                  <v:textbox inset="0,0,0,0">
                    <w:txbxContent>
                      <w:p w:rsidR="009B4233" w:rsidRDefault="006B08B9">
                        <w:pPr>
                          <w:spacing w:after="160" w:line="249" w:lineRule="auto"/>
                        </w:pPr>
                        <w:r>
                          <w:t xml:space="preserve"> </w:t>
                        </w:r>
                      </w:p>
                    </w:txbxContent>
                  </v:textbox>
                </v:rect>
                <v:rect id="Rectangle 258" o:spid="_x0000_s1073" style="position:absolute;left:46819;top:47168;width:25475;height:1132;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" filled="f" stroked="f">
                  <v:textbox inset="0,0,0,0">
                    <w:txbxContent>
                      <w:p w:rsidR="009B4233" w:rsidRDefault="006B08B9">
                        <w:pPr>
                          <w:spacing w:after="160" w:line="249" w:lineRule="auto"/>
                        </w:pPr>
                        <w:r>
                          <w:rPr>
                            <w:rFonts w:eastAsia="Arial" w:cs="Arial"/>
                            <w:sz w:val="12"/>
                          </w:rPr>
                          <w:t xml:space="preserve">Cód. Validación: 9QPM42J7FGYPNGHWPCNHY9GWD </w:t>
                        </w:r>
                      </w:p>
                    </w:txbxContent>
                  </v:textbox>
                </v:rect>
                <v:rect id="Rectangle 259" o:spid="_x0000_s1074" style="position:absolute;left:49229;top:48815;width:22180;height:1132;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" filled="f" stroked="f">
                  <v:textbox inset="0,0,0,0">
                    <w:txbxContent>
                      <w:p w:rsidR="009B4233" w:rsidRDefault="006B08B9">
                        <w:pPr>
                          <w:spacing w:after="160" w:line="249" w:lineRule="auto"/>
                        </w:pPr>
                        <w:r>
                          <w:rPr>
                            <w:rFonts w:eastAsia="Arial" w:cs="Arial"/>
                            <w:sz w:val="12"/>
                          </w:rPr>
                          <w:t xml:space="preserve">Verificación: https://candelaria.sedelectronica.es/ </w:t>
                        </w:r>
                      </w:p>
                    </w:txbxContent>
                  </v:textbox>
                </v:rect>
                <v:rect id="Rectangle 260" o:spid="_x0000_s1075" style="position:absolute;left:39612;top:38436;width:42937;height:1132;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" filled="f" stroked="f">
                  <v:textbox inset="0,0,0,0">
                    <w:txbxContent>
                      <w:p w:rsidR="009B4233" w:rsidRDefault="006B08B9">
                        <w:pPr>
                          <w:spacing w:after="160" w:line="249" w:lineRule="auto"/>
                        </w:pPr>
                        <w:r>
                          <w:rPr>
                            <w:rFonts w:eastAsia="Arial" w:cs="Arial"/>
                            <w:sz w:val="12"/>
                          </w:rPr>
                          <w:t xml:space="preserve">Documento firmado electrónicamente desde la plataforma esPublico Gestiona | Página 3 de 12 </w:t>
                        </w:r>
                      </w:p>
                    </w:txbxContent>
                  </v:textbox>
                </v:rect>
                <w10:anchorlock/>
              </v:group>
            </w:pict>
          </mc:Fallback>
        </mc:AlternateContent>
      </w:r>
    </w:p>
    <w:p w:rsidR="009B4233" w:rsidRDefault="006B08B9">
      <w:pPr>
        <w:spacing w:after="500"/>
        <w:ind w:left="269" w:right="1"/>
        <w:rPr>
          <w:rFonts w:ascii="Arial" w:hAnsi="Arial" w:cs="Arial"/>
          <w:sz w:val="22"/>
          <w:szCs w:val="22"/>
        </w:rPr>
      </w:pPr>
      <w:r>
        <w:rPr>
          <w:rFonts w:ascii="Arial" w:hAnsi="Arial" w:cs="Arial"/>
          <w:sz w:val="22"/>
          <w:szCs w:val="22"/>
        </w:rPr>
        <w:t xml:space="preserve">encontrándose la construcción privada de viviendas en fase de terminación, se ha constatado la existencia de problemas de rasantes en relación a las entradas </w:t>
      </w:r>
      <w:r>
        <w:rPr>
          <w:rFonts w:ascii="Arial" w:hAnsi="Arial" w:cs="Arial"/>
          <w:sz w:val="22"/>
          <w:szCs w:val="22"/>
        </w:rPr>
        <w:t>peatonales y de vehículos al edificio</w:t>
      </w:r>
    </w:p>
    <w:p w:rsidR="009B4233" w:rsidRDefault="006B08B9">
      <w:pPr>
        <w:ind w:left="269" w:right="1"/>
        <w:jc w:val="both"/>
        <w:rPr>
          <w:rFonts w:ascii="Arial" w:hAnsi="Arial" w:cs="Arial"/>
          <w:sz w:val="22"/>
          <w:szCs w:val="22"/>
        </w:rPr>
      </w:pPr>
      <w:r>
        <w:rPr>
          <w:rFonts w:ascii="Arial" w:hAnsi="Arial" w:cs="Arial"/>
          <w:sz w:val="22"/>
          <w:szCs w:val="22"/>
        </w:rPr>
        <w:t>Es por ello que, habiendo consultado con el Ayuntamiento de Candelaria al respecto, es necesario realizar una serie de actuaciones, ajuste y reformas sobre la solución planteada del proyecto de la plaza de los Artesano</w:t>
      </w:r>
      <w:r>
        <w:rPr>
          <w:rFonts w:ascii="Arial" w:hAnsi="Arial" w:cs="Arial"/>
          <w:sz w:val="22"/>
          <w:szCs w:val="22"/>
        </w:rPr>
        <w:t>s, a fin de adecuar el proyecto en este ámbito las cotas para el correcto funcionamiento tanto del espacio público de la Plaza, resolviendo al tiempo la operatividad de los accesos de los propietarios de las viviendas y garajes al edificio denominado Oceán</w:t>
      </w:r>
      <w:r>
        <w:rPr>
          <w:rFonts w:ascii="Arial" w:hAnsi="Arial" w:cs="Arial"/>
          <w:sz w:val="22"/>
          <w:szCs w:val="22"/>
        </w:rPr>
        <w:t>ica.</w:t>
      </w:r>
    </w:p>
    <w:p w:rsidR="009B4233" w:rsidRDefault="006B08B9">
      <w:pPr>
        <w:ind w:left="269" w:right="1"/>
        <w:jc w:val="both"/>
        <w:rPr>
          <w:rFonts w:ascii="Arial" w:hAnsi="Arial" w:cs="Arial"/>
          <w:sz w:val="22"/>
          <w:szCs w:val="22"/>
        </w:rPr>
      </w:pPr>
      <w:r>
        <w:rPr>
          <w:rFonts w:ascii="Arial" w:hAnsi="Arial" w:cs="Arial"/>
          <w:sz w:val="22"/>
          <w:szCs w:val="22"/>
        </w:rPr>
        <w:t>En cualquier caso, hemos de recalcar que la nueva solución, no afecta ni merma las condiciones funcionales, de calidad y espaciales del espacio público, sino que se adaptan los conceptos derivados del proyecto aprobado.</w:t>
      </w:r>
    </w:p>
    <w:p w:rsidR="009B4233" w:rsidRDefault="006B08B9">
      <w:pPr>
        <w:spacing w:after="210"/>
        <w:ind w:left="269" w:right="1"/>
        <w:jc w:val="both"/>
        <w:rPr>
          <w:rFonts w:ascii="Arial" w:hAnsi="Arial" w:cs="Arial"/>
          <w:sz w:val="22"/>
          <w:szCs w:val="22"/>
        </w:rPr>
      </w:pPr>
      <w:r>
        <w:rPr>
          <w:rFonts w:ascii="Arial" w:hAnsi="Arial" w:cs="Arial"/>
          <w:sz w:val="22"/>
          <w:szCs w:val="22"/>
        </w:rPr>
        <w:t xml:space="preserve">La reordenación de la Plaza de </w:t>
      </w:r>
      <w:r>
        <w:rPr>
          <w:rFonts w:ascii="Arial" w:hAnsi="Arial" w:cs="Arial"/>
          <w:sz w:val="22"/>
          <w:szCs w:val="22"/>
        </w:rPr>
        <w:t>Los Artesanos, para dar cabida al acceso del Edificio Oceánica, ha llevado la aparición de un peatonal y un tramo de vial de acceso al garaje del mismo. Ha sido necesario definir un nuevo alumbrado.</w:t>
      </w:r>
    </w:p>
    <w:p w:rsidR="009B4233" w:rsidRDefault="006B08B9">
      <w:pPr>
        <w:spacing w:after="217" w:line="249" w:lineRule="auto"/>
        <w:ind w:left="284" w:firstLine="424"/>
      </w:pPr>
      <w:r>
        <w:rPr>
          <w:rFonts w:ascii="Arial" w:eastAsia="Calibri" w:hAnsi="Arial" w:cs="Arial"/>
          <w:b/>
          <w:sz w:val="22"/>
          <w:szCs w:val="22"/>
        </w:rPr>
        <w:t>B.- ELIMINACIÓN DE LA RAMPA DE MADERA PREVISTA PARA DAR A</w:t>
      </w:r>
      <w:r>
        <w:rPr>
          <w:rFonts w:ascii="Arial" w:eastAsia="Calibri" w:hAnsi="Arial" w:cs="Arial"/>
          <w:b/>
          <w:sz w:val="22"/>
          <w:szCs w:val="22"/>
        </w:rPr>
        <w:t>CCESIBILIDAD ENTRE LA PLAYA Y LA PLAZA</w:t>
      </w:r>
    </w:p>
    <w:p w:rsidR="009B4233" w:rsidRDefault="006B08B9">
      <w:pPr>
        <w:ind w:left="269" w:right="1"/>
        <w:jc w:val="both"/>
        <w:rPr>
          <w:rFonts w:ascii="Arial" w:hAnsi="Arial" w:cs="Arial"/>
          <w:sz w:val="22"/>
          <w:szCs w:val="22"/>
        </w:rPr>
      </w:pPr>
      <w:r>
        <w:rPr>
          <w:rFonts w:ascii="Arial" w:hAnsi="Arial" w:cs="Arial"/>
          <w:sz w:val="22"/>
          <w:szCs w:val="22"/>
        </w:rPr>
        <w:t>Atendiendo a las indicaciones del organismo responsable del mantenimiento de la fibra óptica, fibra de comunicación entre islas y península, que discurre enterrada bajo la plaza y se introduce en el mar a través de un</w:t>
      </w:r>
      <w:r>
        <w:rPr>
          <w:rFonts w:ascii="Arial" w:hAnsi="Arial" w:cs="Arial"/>
          <w:sz w:val="22"/>
          <w:szCs w:val="22"/>
        </w:rPr>
        <w:t>a gran arqueta enterrada bajo el nivel de la plaza situada en la esquina norte de la plaza, zona donde el proyecto tiene prevista la ubicación de una rampa de madera que soluciona la accesibilidad entre el nivel de la plaza y la playa, se nos informa del r</w:t>
      </w:r>
      <w:r>
        <w:rPr>
          <w:rFonts w:ascii="Arial" w:hAnsi="Arial" w:cs="Arial"/>
          <w:sz w:val="22"/>
          <w:szCs w:val="22"/>
        </w:rPr>
        <w:t>iesgo, que durante la ejecución de los trabajos de cimentación de dicha rampa, se pueda producir algún tipo de daño a la fibra, pudiendo producir la desconexión de la misma.</w:t>
      </w:r>
    </w:p>
    <w:p w:rsidR="009B4233" w:rsidRDefault="006B08B9">
      <w:pPr>
        <w:spacing w:after="210"/>
        <w:ind w:left="269" w:right="1"/>
        <w:jc w:val="both"/>
        <w:rPr>
          <w:rFonts w:ascii="Arial" w:hAnsi="Arial" w:cs="Arial"/>
          <w:sz w:val="22"/>
          <w:szCs w:val="22"/>
        </w:rPr>
      </w:pPr>
      <w:r>
        <w:rPr>
          <w:rFonts w:ascii="Arial" w:hAnsi="Arial" w:cs="Arial"/>
          <w:sz w:val="22"/>
          <w:szCs w:val="22"/>
        </w:rPr>
        <w:t>A la vista de las indicaciones de riesgo de la ejecución de obras en la zona de la</w:t>
      </w:r>
      <w:r>
        <w:rPr>
          <w:rFonts w:ascii="Arial" w:hAnsi="Arial" w:cs="Arial"/>
          <w:sz w:val="22"/>
          <w:szCs w:val="22"/>
        </w:rPr>
        <w:t xml:space="preserve"> playa donde se encuentra la salida de la citada fibra y que coincide con la situación de la rampa accesible proyectada, se solicita realizar una modificación sobre la solución de la accesibilidad entre la plaza y la playa mediante la adaptación, según la </w:t>
      </w:r>
      <w:r>
        <w:rPr>
          <w:rFonts w:ascii="Arial" w:hAnsi="Arial" w:cs="Arial"/>
          <w:sz w:val="22"/>
          <w:szCs w:val="22"/>
        </w:rPr>
        <w:t>normativa de aplicación, de una de las rampas laterales al botaolas central, lo que permitirá eliminar el acceso de madera y evitar, por tanto, cualquier tipo de obra próxima a la zona de salida de la fibra al mar, evitando así los posibles daños que se pu</w:t>
      </w:r>
      <w:r>
        <w:rPr>
          <w:rFonts w:ascii="Arial" w:hAnsi="Arial" w:cs="Arial"/>
          <w:sz w:val="22"/>
          <w:szCs w:val="22"/>
        </w:rPr>
        <w:t>dieran causar a la misma.</w:t>
      </w:r>
    </w:p>
    <w:p w:rsidR="009B4233" w:rsidRDefault="006B08B9">
      <w:pPr>
        <w:spacing w:after="217" w:line="249" w:lineRule="auto"/>
        <w:ind w:left="703" w:hanging="10"/>
      </w:pPr>
      <w:r>
        <w:rPr>
          <w:rFonts w:ascii="Arial" w:eastAsia="Calibri" w:hAnsi="Arial" w:cs="Arial"/>
          <w:b/>
          <w:sz w:val="22"/>
          <w:szCs w:val="22"/>
        </w:rPr>
        <w:t>C.- ADECUACIÓN DE PIEZAS DE BASALTO DEL PAVIMENTO DE URBANIZACIÓN</w:t>
      </w:r>
    </w:p>
    <w:p w:rsidR="009B4233" w:rsidRDefault="006B08B9">
      <w:pPr>
        <w:ind w:left="269" w:right="1"/>
        <w:jc w:val="both"/>
        <w:rPr>
          <w:rFonts w:ascii="Arial" w:hAnsi="Arial" w:cs="Arial"/>
          <w:sz w:val="22"/>
          <w:szCs w:val="22"/>
        </w:rPr>
      </w:pPr>
      <w:r>
        <w:rPr>
          <w:rFonts w:ascii="Arial" w:hAnsi="Arial" w:cs="Arial"/>
          <w:sz w:val="22"/>
          <w:szCs w:val="22"/>
        </w:rPr>
        <w:t>La solución general del proyecto contempla la ejecución del pavimento mediante piezas de basalto de diferentes dimensiones y tratamientos superficiales específicos.</w:t>
      </w:r>
      <w:r>
        <w:rPr>
          <w:rFonts w:ascii="Arial" w:hAnsi="Arial" w:cs="Arial"/>
          <w:sz w:val="22"/>
          <w:szCs w:val="22"/>
        </w:rPr>
        <w:t xml:space="preserve"> Sin embargo, tras la revisión conjunta con la contrata de las partidas incluidas en el proyecto aprobado, se ha constatado la necesidad técnica de modificar los espesores originalmente proyectados. Esta modificación resulta imprescindible para garantizar </w:t>
      </w:r>
      <w:r>
        <w:rPr>
          <w:rFonts w:ascii="Arial" w:hAnsi="Arial" w:cs="Arial"/>
          <w:sz w:val="22"/>
          <w:szCs w:val="22"/>
        </w:rPr>
        <w:t>la adecuada respuesta del pavimento frente a los usos reales de cada zona del ámbito de actuación, optimizando así el comportamiento estructural y funcional del basalto como material de acabado. La adaptación propuesta no solo responde a criterios de racio</w:t>
      </w:r>
      <w:r>
        <w:rPr>
          <w:rFonts w:ascii="Arial" w:hAnsi="Arial" w:cs="Arial"/>
          <w:sz w:val="22"/>
          <w:szCs w:val="22"/>
        </w:rPr>
        <w:t>nalidad constructiva, sino que constituye una medida técnica indispensable para asegurar la durabilidad y seguridad del pavimento previsto.</w:t>
      </w:r>
    </w:p>
    <w:p w:rsidR="009B4233" w:rsidRDefault="009B4233">
      <w:pPr>
        <w:ind w:left="269" w:right="1"/>
        <w:jc w:val="both"/>
        <w:rPr>
          <w:rFonts w:ascii="Arial" w:hAnsi="Arial" w:cs="Arial"/>
          <w:sz w:val="22"/>
          <w:szCs w:val="22"/>
        </w:rPr>
      </w:pPr>
    </w:p>
    <w:p w:rsidR="009B4233" w:rsidRDefault="006B08B9">
      <w:pPr>
        <w:spacing w:after="213" w:line="249" w:lineRule="auto"/>
        <w:ind w:left="495" w:right="130" w:hanging="10"/>
        <w:jc w:val="center"/>
      </w:pPr>
      <w:r>
        <w:rPr>
          <w:rFonts w:ascii="Arial" w:eastAsia="Calibri" w:hAnsi="Arial" w:cs="Arial"/>
          <w:b/>
          <w:sz w:val="22"/>
          <w:szCs w:val="22"/>
        </w:rPr>
        <w:t>D.- INCORPORACIÓN DE PARTIDAS DE DESVÍOS PROVISIONALES DE LAS INSTALACIONES</w:t>
      </w:r>
    </w:p>
    <w:p w:rsidR="009B4233" w:rsidRDefault="006B08B9">
      <w:pPr>
        <w:ind w:left="269" w:right="1"/>
        <w:jc w:val="both"/>
        <w:rPr>
          <w:rFonts w:ascii="Arial" w:hAnsi="Arial" w:cs="Arial"/>
          <w:sz w:val="22"/>
          <w:szCs w:val="22"/>
        </w:rPr>
      </w:pPr>
      <w:r>
        <w:rPr>
          <w:rFonts w:ascii="Arial" w:hAnsi="Arial" w:cs="Arial"/>
          <w:sz w:val="22"/>
          <w:szCs w:val="22"/>
        </w:rPr>
        <w:t>Una vez comenzados los trabajos de reco</w:t>
      </w:r>
      <w:r>
        <w:rPr>
          <w:rFonts w:ascii="Arial" w:hAnsi="Arial" w:cs="Arial"/>
          <w:sz w:val="22"/>
          <w:szCs w:val="22"/>
        </w:rPr>
        <w:t>nocimiento in situ mediante la apertura de zanjas y otros métodos de detección, se han identificado en distintas zonas, elementos de obra civil no inventariados por las distintas compañías suministradoras y la administración local involucrada, razón por la</w:t>
      </w:r>
      <w:r>
        <w:rPr>
          <w:rFonts w:ascii="Arial" w:hAnsi="Arial" w:cs="Arial"/>
          <w:sz w:val="22"/>
          <w:szCs w:val="22"/>
        </w:rPr>
        <w:t xml:space="preserve"> que la redacción del proyecto de ingeniería no las contempló como servicios afectados.</w:t>
      </w:r>
    </w:p>
    <w:p w:rsidR="009B4233" w:rsidRDefault="006B08B9">
      <w:pPr>
        <w:ind w:left="269" w:right="1"/>
        <w:jc w:val="both"/>
        <w:rPr>
          <w:rFonts w:ascii="Arial" w:hAnsi="Arial" w:cs="Arial"/>
          <w:sz w:val="22"/>
          <w:szCs w:val="22"/>
        </w:rPr>
      </w:pPr>
      <w:r>
        <w:rPr>
          <w:rFonts w:ascii="Arial" w:hAnsi="Arial" w:cs="Arial"/>
          <w:sz w:val="22"/>
          <w:szCs w:val="22"/>
        </w:rPr>
        <w:t xml:space="preserve">De entre los servicios afectados más significativos se pueden señalar: arquetas y cámaras enterradas de distribución de telefonía de dimensiones no convencionales (2x3 </w:t>
      </w:r>
      <w:r>
        <w:rPr>
          <w:rFonts w:ascii="Arial" w:hAnsi="Arial" w:cs="Arial"/>
          <w:sz w:val="22"/>
          <w:szCs w:val="22"/>
        </w:rPr>
        <w:t>mts de planta y una altura media de 2,5 mts); redes existentes, detectadas en la apertura de zanjas, en un estado de deterioro considerable que imposibilita la realización directa de las obras para la futura red en esos puntos; trazados de redes de pluvial</w:t>
      </w:r>
      <w:r>
        <w:rPr>
          <w:rFonts w:ascii="Arial" w:hAnsi="Arial" w:cs="Arial"/>
          <w:sz w:val="22"/>
          <w:szCs w:val="22"/>
        </w:rPr>
        <w:t>es, telefonía-, saneamiento y otras. definitiva, entendiendo necesario incorporar una serie de partidas alzadas a justificar por la dirección facultativa.</w:t>
      </w:r>
    </w:p>
    <w:p w:rsidR="009B4233" w:rsidRDefault="006B08B9">
      <w:pPr>
        <w:ind w:left="269" w:right="1"/>
        <w:jc w:val="both"/>
        <w:rPr>
          <w:rFonts w:ascii="Arial" w:hAnsi="Arial" w:cs="Arial"/>
          <w:sz w:val="22"/>
          <w:szCs w:val="22"/>
        </w:rPr>
      </w:pPr>
      <w:r>
        <w:rPr>
          <w:rFonts w:ascii="Arial" w:hAnsi="Arial" w:cs="Arial"/>
          <w:sz w:val="22"/>
          <w:szCs w:val="22"/>
        </w:rPr>
        <w:t xml:space="preserve">También se ha variado el ajardinado de la plaza, por lo que ha sido necesario variar la ubicación de </w:t>
      </w:r>
      <w:r>
        <w:rPr>
          <w:rFonts w:ascii="Arial" w:hAnsi="Arial" w:cs="Arial"/>
          <w:sz w:val="22"/>
          <w:szCs w:val="22"/>
        </w:rPr>
        <w:t>los postes previsto para su alumbrado general, aproximándolos más al eje de la plaza, y variar la dotación en proyectores de los mismos, para ajustarse mejor a esta nueva disposición.</w:t>
      </w:r>
    </w:p>
    <w:p w:rsidR="009B4233" w:rsidRDefault="006B08B9">
      <w:pPr>
        <w:ind w:left="269" w:right="1"/>
        <w:jc w:val="both"/>
        <w:rPr>
          <w:rFonts w:ascii="Arial" w:hAnsi="Arial" w:cs="Arial"/>
          <w:sz w:val="22"/>
          <w:szCs w:val="22"/>
        </w:rPr>
      </w:pPr>
      <w:r>
        <w:rPr>
          <w:rFonts w:ascii="Arial" w:hAnsi="Arial" w:cs="Arial"/>
          <w:sz w:val="22"/>
          <w:szCs w:val="22"/>
        </w:rPr>
        <w:t>La variación en el ajardinado ha hecho necesaria la instalación en proye</w:t>
      </w:r>
      <w:r>
        <w:rPr>
          <w:rFonts w:ascii="Arial" w:hAnsi="Arial" w:cs="Arial"/>
          <w:sz w:val="22"/>
          <w:szCs w:val="22"/>
        </w:rPr>
        <w:t>ctores UPLIGHT adicionales, tanto del tipo previsto en proyecto, como de un nuevo tipo previstos para especies de portes bajos.</w:t>
      </w:r>
    </w:p>
    <w:p w:rsidR="009B4233" w:rsidRDefault="006B08B9">
      <w:pPr>
        <w:spacing w:after="210"/>
        <w:ind w:left="269" w:right="1"/>
        <w:jc w:val="both"/>
        <w:rPr>
          <w:rFonts w:ascii="Arial" w:hAnsi="Arial" w:cs="Arial"/>
          <w:sz w:val="22"/>
          <w:szCs w:val="22"/>
        </w:rPr>
      </w:pPr>
      <w:r>
        <w:rPr>
          <w:rFonts w:ascii="Arial" w:hAnsi="Arial" w:cs="Arial"/>
          <w:sz w:val="22"/>
          <w:szCs w:val="22"/>
        </w:rPr>
        <w:t>Todo ello conlleva la ampliación de cableado prevista en proyecto, para los elementos nuevos o adicionales, así como las canaliz</w:t>
      </w:r>
      <w:r>
        <w:rPr>
          <w:rFonts w:ascii="Arial" w:hAnsi="Arial" w:cs="Arial"/>
          <w:sz w:val="22"/>
          <w:szCs w:val="22"/>
        </w:rPr>
        <w:t>aciones y arquetas para su instalación subterránea. Las modificaciones previstas pueden observarse en planos adjuntos.</w:t>
      </w:r>
    </w:p>
    <w:p w:rsidR="009B4233" w:rsidRDefault="006B08B9">
      <w:pPr>
        <w:spacing w:after="217" w:line="249" w:lineRule="auto"/>
        <w:ind w:left="703" w:hanging="10"/>
      </w:pPr>
      <w:r>
        <w:rPr>
          <w:rFonts w:ascii="Arial" w:eastAsia="Calibri" w:hAnsi="Arial" w:cs="Arial"/>
          <w:b/>
          <w:sz w:val="22"/>
          <w:szCs w:val="22"/>
        </w:rPr>
        <w:t>DESVÍOS PROVISIONALES ESPECIFICOS:</w:t>
      </w:r>
    </w:p>
    <w:p w:rsidR="009B4233" w:rsidRDefault="006B08B9">
      <w:pPr>
        <w:ind w:left="269" w:right="1"/>
        <w:jc w:val="both"/>
      </w:pPr>
      <w:r>
        <w:rPr>
          <w:rFonts w:ascii="Arial" w:hAnsi="Arial" w:cs="Arial"/>
          <w:sz w:val="22"/>
          <w:szCs w:val="22"/>
        </w:rPr>
        <w:t xml:space="preserve">La canalización de </w:t>
      </w:r>
      <w:r>
        <w:rPr>
          <w:rFonts w:ascii="Arial" w:eastAsia="Calibri" w:hAnsi="Arial" w:cs="Arial"/>
          <w:b/>
          <w:sz w:val="22"/>
          <w:szCs w:val="22"/>
        </w:rPr>
        <w:t xml:space="preserve">TELEFÓNICA </w:t>
      </w:r>
      <w:r>
        <w:rPr>
          <w:rFonts w:ascii="Arial" w:hAnsi="Arial" w:cs="Arial"/>
          <w:sz w:val="22"/>
          <w:szCs w:val="22"/>
        </w:rPr>
        <w:t>que asciende por Antón Guanche figuraba en la información facilitada par</w:t>
      </w:r>
      <w:r>
        <w:rPr>
          <w:rFonts w:ascii="Arial" w:hAnsi="Arial" w:cs="Arial"/>
          <w:sz w:val="22"/>
          <w:szCs w:val="22"/>
        </w:rPr>
        <w:t>alela al eje de la vía, sin embargo, realizadas las primeras catas se ha encontrado que en algunos tramos se encuentran en diagonal, por lo que se hace necesario realizar un desvío provisional de la red de fibra óptica en servicio, para rectificar el traza</w:t>
      </w:r>
      <w:r>
        <w:rPr>
          <w:rFonts w:ascii="Arial" w:hAnsi="Arial" w:cs="Arial"/>
          <w:sz w:val="22"/>
          <w:szCs w:val="22"/>
        </w:rPr>
        <w:t>do de su canalización y dar cabida al resto de canalizaciones previstas.</w:t>
      </w:r>
    </w:p>
    <w:p w:rsidR="009B4233" w:rsidRDefault="006B08B9">
      <w:pPr>
        <w:ind w:left="269" w:right="1"/>
        <w:jc w:val="both"/>
        <w:rPr>
          <w:rFonts w:ascii="Arial" w:hAnsi="Arial" w:cs="Arial"/>
          <w:sz w:val="22"/>
          <w:szCs w:val="22"/>
        </w:rPr>
      </w:pPr>
      <w:r>
        <w:rPr>
          <w:rFonts w:ascii="Arial" w:hAnsi="Arial" w:cs="Arial"/>
          <w:sz w:val="22"/>
          <w:szCs w:val="22"/>
        </w:rPr>
        <w:t>Este desvío se realizará por dicha compañía, con la colaboración de la contrata que aportan mano de obra de apoyo, medios y ayudas de albañilería. El trazado ha sido estudiado por TEL</w:t>
      </w:r>
      <w:r>
        <w:rPr>
          <w:rFonts w:ascii="Arial" w:hAnsi="Arial" w:cs="Arial"/>
          <w:sz w:val="22"/>
          <w:szCs w:val="22"/>
        </w:rPr>
        <w:t>EFÓNICA, y será aéreo, sobre postes, liberando también la zona próxima al azud y su recorrido en la Plaza de La Patrona que se alinea con Antón Guanche, con lo que facilita la ejecución de las canalizaciones previstas en ambos tramos. En planos adjunto pue</w:t>
      </w:r>
      <w:r>
        <w:rPr>
          <w:rFonts w:ascii="Arial" w:hAnsi="Arial" w:cs="Arial"/>
          <w:sz w:val="22"/>
          <w:szCs w:val="22"/>
        </w:rPr>
        <w:t>de observarse el trazado propuesto.</w:t>
      </w:r>
    </w:p>
    <w:p w:rsidR="009B4233" w:rsidRDefault="006B08B9">
      <w:pPr>
        <w:spacing w:after="246"/>
        <w:ind w:left="269" w:right="1"/>
        <w:jc w:val="both"/>
      </w:pPr>
      <w:r>
        <w:rPr>
          <w:rFonts w:ascii="Arial" w:hAnsi="Arial" w:cs="Arial"/>
          <w:sz w:val="22"/>
          <w:szCs w:val="22"/>
        </w:rPr>
        <w:t>La posición que finalmente se ha decidido para el MARCO DE PLUVIALES que discurrirá por la Plaza de los Artesanos y desciende a La Plaza de la Patrona, así como la planificación de la obra han hecho necesario prever desv</w:t>
      </w:r>
      <w:r>
        <w:rPr>
          <w:rFonts w:ascii="Arial" w:hAnsi="Arial" w:cs="Arial"/>
          <w:sz w:val="22"/>
          <w:szCs w:val="22"/>
        </w:rPr>
        <w:t xml:space="preserve">íos provisionales de obra, tanto para la </w:t>
      </w:r>
      <w:r>
        <w:rPr>
          <w:rFonts w:ascii="Arial" w:eastAsia="Calibri" w:hAnsi="Arial" w:cs="Arial"/>
          <w:b/>
          <w:sz w:val="22"/>
          <w:szCs w:val="22"/>
        </w:rPr>
        <w:t xml:space="preserve">RED DE RESIDUALES </w:t>
      </w:r>
      <w:r>
        <w:rPr>
          <w:rFonts w:ascii="Arial" w:hAnsi="Arial" w:cs="Arial"/>
          <w:sz w:val="22"/>
          <w:szCs w:val="22"/>
        </w:rPr>
        <w:t xml:space="preserve">como para la </w:t>
      </w:r>
      <w:r>
        <w:rPr>
          <w:rFonts w:ascii="Arial" w:eastAsia="Calibri" w:hAnsi="Arial" w:cs="Arial"/>
          <w:b/>
          <w:sz w:val="22"/>
          <w:szCs w:val="22"/>
        </w:rPr>
        <w:t>RED</w:t>
      </w:r>
      <w:r>
        <w:rPr>
          <w:rFonts w:ascii="Arial" w:hAnsi="Arial" w:cs="Arial"/>
          <w:sz w:val="22"/>
          <w:szCs w:val="22"/>
        </w:rPr>
        <w:t xml:space="preserve"> </w:t>
      </w:r>
      <w:r>
        <w:rPr>
          <w:rFonts w:ascii="Arial" w:eastAsia="Calibri" w:hAnsi="Arial" w:cs="Arial"/>
          <w:b/>
          <w:sz w:val="22"/>
          <w:szCs w:val="22"/>
        </w:rPr>
        <w:t>DE ABASTECIMIENTO</w:t>
      </w:r>
      <w:r>
        <w:rPr>
          <w:rFonts w:ascii="Arial" w:hAnsi="Arial" w:cs="Arial"/>
          <w:sz w:val="22"/>
          <w:szCs w:val="22"/>
        </w:rPr>
        <w:t>, con el fin de mantener en servicio las acometidas domiciliarias en la zona de la Plaza de Los Artesanos, a realizar de forma previa a las redes definitivas. En p</w:t>
      </w:r>
      <w:r>
        <w:rPr>
          <w:rFonts w:ascii="Arial" w:hAnsi="Arial" w:cs="Arial"/>
          <w:sz w:val="22"/>
          <w:szCs w:val="22"/>
        </w:rPr>
        <w:t>lanos adjuntos puede observarse que ambas instalaciones tienen tramos que se cruzan con el recorrido del marco, y se han definido nuevos recorridos, que permitan eliminar esos cruces, y el actual punto de bajada en la zona de La Cueva. De esa manera se pod</w:t>
      </w:r>
      <w:r>
        <w:rPr>
          <w:rFonts w:ascii="Arial" w:hAnsi="Arial" w:cs="Arial"/>
          <w:sz w:val="22"/>
          <w:szCs w:val="22"/>
        </w:rPr>
        <w:t>rá realizar el marco y la bajada de residuales definitiva previstas en proyecto sin interferencias.</w:t>
      </w:r>
    </w:p>
    <w:p w:rsidR="009B4233" w:rsidRDefault="006B08B9">
      <w:pPr>
        <w:spacing w:after="277" w:line="249" w:lineRule="auto"/>
        <w:ind w:left="495" w:hanging="10"/>
        <w:jc w:val="center"/>
      </w:pPr>
      <w:r>
        <w:rPr>
          <w:rFonts w:ascii="Arial" w:eastAsia="Calibri" w:hAnsi="Arial" w:cs="Arial"/>
          <w:b/>
          <w:sz w:val="22"/>
          <w:szCs w:val="22"/>
        </w:rPr>
        <w:t>E.- ADECUACIÓN DEL ACCESO PEATONAL EN LA ZONA DEL AZUD PREVISTO CON EL CIATF</w:t>
      </w:r>
    </w:p>
    <w:p w:rsidR="009B4233" w:rsidRDefault="006B08B9">
      <w:pPr>
        <w:ind w:left="269" w:right="1"/>
        <w:jc w:val="both"/>
        <w:rPr>
          <w:rFonts w:ascii="Arial" w:hAnsi="Arial" w:cs="Arial"/>
          <w:sz w:val="22"/>
          <w:szCs w:val="22"/>
        </w:rPr>
      </w:pPr>
      <w:r>
        <w:rPr>
          <w:rFonts w:ascii="Arial" w:hAnsi="Arial" w:cs="Arial"/>
          <w:sz w:val="22"/>
          <w:szCs w:val="22"/>
        </w:rPr>
        <w:t>Durante los trabajos previos que se han venido realizando para la ejecución del</w:t>
      </w:r>
      <w:r>
        <w:rPr>
          <w:rFonts w:ascii="Arial" w:hAnsi="Arial" w:cs="Arial"/>
          <w:sz w:val="22"/>
          <w:szCs w:val="22"/>
        </w:rPr>
        <w:t xml:space="preserve"> azud, previsto en el proyecto del encauzamiento del barranco de Tapia, los servicios municipales del Ayuntamiento de Candelaria, han solicitado dar solución a la continuidad peatonal en esta zona y que el proyecto de arquitectura tenía previsto terminar e</w:t>
      </w:r>
      <w:r>
        <w:rPr>
          <w:rFonts w:ascii="Arial" w:hAnsi="Arial" w:cs="Arial"/>
          <w:sz w:val="22"/>
          <w:szCs w:val="22"/>
        </w:rPr>
        <w:t>n este lado de la calle Antón Guanche en el encuentro del frente edificado con el barranco de Tapia, tal y como existe en la actualidad.</w:t>
      </w:r>
    </w:p>
    <w:p w:rsidR="009B4233" w:rsidRDefault="006B08B9">
      <w:pPr>
        <w:spacing w:after="131"/>
        <w:ind w:left="269" w:right="1"/>
        <w:jc w:val="both"/>
        <w:rPr>
          <w:rFonts w:ascii="Arial" w:hAnsi="Arial" w:cs="Arial"/>
          <w:sz w:val="22"/>
          <w:szCs w:val="22"/>
        </w:rPr>
      </w:pPr>
      <w:r>
        <w:rPr>
          <w:rFonts w:ascii="Arial" w:hAnsi="Arial" w:cs="Arial"/>
          <w:sz w:val="22"/>
          <w:szCs w:val="22"/>
        </w:rPr>
        <w:t>Es por ello que se solicita realizar una serie modificaciones de esta zona al ser necesaria una serie de ajustes en rel</w:t>
      </w:r>
      <w:r>
        <w:rPr>
          <w:rFonts w:ascii="Arial" w:hAnsi="Arial" w:cs="Arial"/>
          <w:sz w:val="22"/>
          <w:szCs w:val="22"/>
        </w:rPr>
        <w:t>ación a la urbanización, de mutuo acuerdo entre la DF de arquitectura y la DF de la obra hidráulica, teniendo como objetivo principal el de obtener, habilitar y diseñar un espacio peatonal de continuidad, no prevista en el lado del azud, mediante la incorp</w:t>
      </w:r>
      <w:r>
        <w:rPr>
          <w:rFonts w:ascii="Arial" w:hAnsi="Arial" w:cs="Arial"/>
          <w:sz w:val="22"/>
          <w:szCs w:val="22"/>
        </w:rPr>
        <w:t>oración de una franja peatonal que permita la continuidad de la acera.</w:t>
      </w:r>
    </w:p>
    <w:tbl>
      <w:tblPr>
        <w:tblW w:w="8788" w:type="dxa"/>
        <w:tblInd w:w="281" w:type="dxa"/>
        <w:tblCellMar>
          <w:left w:w="10" w:type="dxa"/>
          <w:right w:w="10" w:type="dxa"/>
        </w:tblCellMar>
        <w:tblLook w:val="0000" w:firstRow="0" w:lastRow="0" w:firstColumn="0" w:lastColumn="0" w:noHBand="0" w:noVBand="0"/>
      </w:tblPr>
      <w:tblGrid>
        <w:gridCol w:w="853"/>
        <w:gridCol w:w="7935"/>
      </w:tblGrid>
      <w:tr w:rsidR="009B4233">
        <w:tblPrEx>
          <w:tblCellMar>
            <w:top w:w="0" w:type="dxa"/>
            <w:bottom w:w="0" w:type="dxa"/>
          </w:tblCellMar>
        </w:tblPrEx>
        <w:trPr>
          <w:trHeight w:val="252"/>
        </w:trPr>
        <w:tc>
          <w:tcPr>
            <w:tcW w:w="853" w:type="dxa"/>
            <w:shd w:val="clear" w:color="auto" w:fill="E0E0E0"/>
            <w:tcMar>
              <w:top w:w="8" w:type="dxa"/>
              <w:left w:w="0" w:type="dxa"/>
              <w:bottom w:w="0" w:type="dxa"/>
              <w:right w:w="115" w:type="dxa"/>
            </w:tcMar>
          </w:tcPr>
          <w:p w:rsidR="009B4233" w:rsidRDefault="006B08B9">
            <w:pPr>
              <w:spacing w:line="249" w:lineRule="auto"/>
              <w:ind w:left="299"/>
              <w:jc w:val="center"/>
            </w:pPr>
            <w:r>
              <w:rPr>
                <w:rFonts w:ascii="Arial" w:eastAsia="Calibri" w:hAnsi="Arial" w:cs="Arial"/>
                <w:b/>
                <w:sz w:val="22"/>
                <w:szCs w:val="22"/>
              </w:rPr>
              <w:t>4.</w:t>
            </w:r>
          </w:p>
        </w:tc>
        <w:tc>
          <w:tcPr>
            <w:tcW w:w="7935" w:type="dxa"/>
            <w:shd w:val="clear" w:color="auto" w:fill="E0E0E0"/>
            <w:tcMar>
              <w:top w:w="8" w:type="dxa"/>
              <w:left w:w="0" w:type="dxa"/>
              <w:bottom w:w="0" w:type="dxa"/>
              <w:right w:w="115" w:type="dxa"/>
            </w:tcMar>
          </w:tcPr>
          <w:p w:rsidR="009B4233" w:rsidRDefault="006B08B9">
            <w:pPr>
              <w:spacing w:line="249" w:lineRule="auto"/>
            </w:pPr>
            <w:r>
              <w:rPr>
                <w:rFonts w:ascii="Arial" w:eastAsia="Calibri" w:hAnsi="Arial" w:cs="Arial"/>
                <w:b/>
                <w:sz w:val="22"/>
                <w:szCs w:val="22"/>
                <w:shd w:val="clear" w:color="auto" w:fill="E6E6E6"/>
              </w:rPr>
              <w:t>REGIMEN URBANÍSTICO DE APLICACIÓN</w:t>
            </w:r>
            <w:r>
              <w:rPr>
                <w:rFonts w:ascii="Arial" w:eastAsia="Calibri" w:hAnsi="Arial" w:cs="Arial"/>
                <w:b/>
                <w:sz w:val="22"/>
                <w:szCs w:val="22"/>
              </w:rPr>
              <w:t>-</w:t>
            </w:r>
          </w:p>
        </w:tc>
      </w:tr>
    </w:tbl>
    <w:p w:rsidR="009B4233" w:rsidRDefault="006B08B9">
      <w:pPr>
        <w:spacing w:after="284"/>
        <w:ind w:left="269" w:right="1"/>
        <w:jc w:val="both"/>
        <w:rPr>
          <w:rFonts w:ascii="Arial" w:hAnsi="Arial" w:cs="Arial"/>
          <w:sz w:val="22"/>
          <w:szCs w:val="22"/>
        </w:rPr>
      </w:pPr>
      <w:r>
        <w:rPr>
          <w:rFonts w:ascii="Arial" w:hAnsi="Arial" w:cs="Arial"/>
          <w:sz w:val="22"/>
          <w:szCs w:val="22"/>
        </w:rPr>
        <w:t>De acuerdo con el PLAN GENERAL DE ORDENACIÓN, planeamiento municipal en vigor, con publicaciones en B.O.C. de fecha 10 de mayo de 2007 y B.O.P. de</w:t>
      </w:r>
      <w:r>
        <w:rPr>
          <w:rFonts w:ascii="Arial" w:hAnsi="Arial" w:cs="Arial"/>
          <w:sz w:val="22"/>
          <w:szCs w:val="22"/>
        </w:rPr>
        <w:t xml:space="preserve"> fecha 17 de mayo de 2007 y Modificaciones Puntuales, aprobadas definitivamente por acuerdo del Ayuntamiento Pleno, en sesiones ordinarias de fecha 26 de marzo de 2009 y 29 de diciembre de 2011 y publicada en el BOP de Santa Cruz de Tenerife de fecha 17 de</w:t>
      </w:r>
      <w:r>
        <w:rPr>
          <w:rFonts w:ascii="Arial" w:hAnsi="Arial" w:cs="Arial"/>
          <w:sz w:val="22"/>
          <w:szCs w:val="22"/>
        </w:rPr>
        <w:t xml:space="preserve"> junio de 2009 y 3 de febrero de 2012</w:t>
      </w:r>
    </w:p>
    <w:p w:rsidR="009B4233" w:rsidRDefault="006B08B9">
      <w:pPr>
        <w:ind w:left="269" w:right="1"/>
        <w:jc w:val="both"/>
        <w:rPr>
          <w:rFonts w:ascii="Arial" w:hAnsi="Arial" w:cs="Arial"/>
          <w:sz w:val="22"/>
          <w:szCs w:val="22"/>
        </w:rPr>
      </w:pPr>
      <w:r>
        <w:rPr>
          <w:rFonts w:ascii="Arial" w:hAnsi="Arial" w:cs="Arial"/>
          <w:sz w:val="22"/>
          <w:szCs w:val="22"/>
        </w:rPr>
        <w:t>Con carácter general cabe destacar que los tres sectores se localizan dentro de un Suelo Urbano Consolidado de Interés Cultural, incluido en el Casco de Candelaria, conjunto de interés con Protección Ambiental y dentro</w:t>
      </w:r>
      <w:r>
        <w:rPr>
          <w:rFonts w:ascii="Arial" w:hAnsi="Arial" w:cs="Arial"/>
          <w:sz w:val="22"/>
          <w:szCs w:val="22"/>
        </w:rPr>
        <w:t xml:space="preserve"> del Bien de Interés Cultural, en la categoría de Monumento, del Santuario de la Virgen de Candelaria y del Convento.</w:t>
      </w:r>
    </w:p>
    <w:p w:rsidR="009B4233" w:rsidRDefault="006B08B9">
      <w:pPr>
        <w:ind w:left="269" w:right="1"/>
        <w:jc w:val="both"/>
        <w:rPr>
          <w:rFonts w:ascii="Arial" w:hAnsi="Arial" w:cs="Arial"/>
          <w:sz w:val="22"/>
          <w:szCs w:val="22"/>
        </w:rPr>
      </w:pPr>
      <w:r>
        <w:rPr>
          <w:rFonts w:ascii="Arial" w:hAnsi="Arial" w:cs="Arial"/>
          <w:sz w:val="22"/>
          <w:szCs w:val="22"/>
        </w:rPr>
        <w:t>El entorno abarca el antiguo Ayuntamiento, La Plaza, y los Riscos de la Basílica hasta la Cueva de San Blas.</w:t>
      </w:r>
    </w:p>
    <w:p w:rsidR="009B4233" w:rsidRDefault="009B4233">
      <w:pPr>
        <w:ind w:left="269" w:right="1"/>
        <w:jc w:val="both"/>
        <w:rPr>
          <w:rFonts w:ascii="Arial" w:hAnsi="Arial" w:cs="Arial"/>
          <w:sz w:val="22"/>
          <w:szCs w:val="22"/>
        </w:rPr>
      </w:pPr>
    </w:p>
    <w:p w:rsidR="009B4233" w:rsidRDefault="006B08B9">
      <w:pPr>
        <w:spacing w:line="249" w:lineRule="auto"/>
        <w:ind w:left="10" w:right="1835" w:hanging="10"/>
        <w:jc w:val="right"/>
      </w:pPr>
      <w:r>
        <w:rPr>
          <w:rFonts w:ascii="Arial" w:eastAsia="Calibri" w:hAnsi="Arial" w:cs="Arial"/>
          <w:b/>
          <w:sz w:val="22"/>
          <w:szCs w:val="22"/>
        </w:rPr>
        <w:t xml:space="preserve">ORDENACIÓN DETALLADA PLAN </w:t>
      </w:r>
      <w:r>
        <w:rPr>
          <w:rFonts w:ascii="Arial" w:eastAsia="Calibri" w:hAnsi="Arial" w:cs="Arial"/>
          <w:b/>
          <w:sz w:val="22"/>
          <w:szCs w:val="22"/>
        </w:rPr>
        <w:t>GENERAL</w:t>
      </w:r>
    </w:p>
    <w:p w:rsidR="009B4233" w:rsidRDefault="006B08B9">
      <w:pPr>
        <w:spacing w:after="262" w:line="249" w:lineRule="auto"/>
        <w:ind w:left="2047"/>
      </w:pPr>
      <w:r>
        <w:rPr>
          <w:rFonts w:ascii="Arial" w:hAnsi="Arial" w:cs="Arial"/>
          <w:noProof/>
          <w:sz w:val="22"/>
          <w:szCs w:val="22"/>
          <w:lang w:eastAsia="es-ES" w:bidi="ar-SA"/>
        </w:rPr>
        <w:drawing>
          <wp:inline distT="0" distB="0" distL="0" distR="0">
            <wp:extent cx="3604263" cy="3147063"/>
            <wp:effectExtent l="0" t="0" r="0" b="0"/>
            <wp:docPr id="81" name="Imagen 14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rcRect/>
                    <a:stretch>
                      <a:fillRect/>
                    </a:stretch>
                  </pic:blipFill>
                  <pic:spPr>
                    <a:xfrm>
                      <a:off x="0" y="0"/>
                      <a:ext cx="3604263" cy="3147063"/>
                    </a:xfrm>
                    <a:prstGeom prst="rect">
                      <a:avLst/>
                    </a:prstGeom>
                    <a:noFill/>
                    <a:ln>
                      <a:noFill/>
                      <a:prstDash/>
                    </a:ln>
                  </pic:spPr>
                </pic:pic>
              </a:graphicData>
            </a:graphic>
          </wp:inline>
        </w:drawing>
      </w:r>
    </w:p>
    <w:p w:rsidR="009B4233" w:rsidRDefault="006B08B9">
      <w:pPr>
        <w:spacing w:line="249" w:lineRule="auto"/>
        <w:ind w:left="3294" w:hanging="10"/>
      </w:pPr>
      <w:r>
        <w:rPr>
          <w:rFonts w:ascii="Arial" w:eastAsia="Calibri" w:hAnsi="Arial" w:cs="Arial"/>
          <w:b/>
          <w:sz w:val="22"/>
          <w:szCs w:val="22"/>
        </w:rPr>
        <w:t>ORDENACIÓN ESTRUCTURAL</w:t>
      </w:r>
    </w:p>
    <w:p w:rsidR="009B4233" w:rsidRDefault="006B08B9">
      <w:pPr>
        <w:spacing w:after="10" w:line="249" w:lineRule="auto"/>
        <w:ind w:left="2074"/>
      </w:pPr>
      <w:r>
        <w:rPr>
          <w:rFonts w:ascii="Arial" w:hAnsi="Arial" w:cs="Arial"/>
          <w:noProof/>
          <w:sz w:val="22"/>
          <w:szCs w:val="22"/>
          <w:lang w:eastAsia="es-ES" w:bidi="ar-SA"/>
        </w:rPr>
        <w:drawing>
          <wp:inline distT="0" distB="0" distL="0" distR="0">
            <wp:extent cx="3573776" cy="3383280"/>
            <wp:effectExtent l="0" t="0" r="7624" b="7620"/>
            <wp:docPr id="82" name="Imagen 14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rcRect/>
                    <a:stretch>
                      <a:fillRect/>
                    </a:stretch>
                  </pic:blipFill>
                  <pic:spPr>
                    <a:xfrm>
                      <a:off x="0" y="0"/>
                      <a:ext cx="3573776" cy="3383280"/>
                    </a:xfrm>
                    <a:prstGeom prst="rect">
                      <a:avLst/>
                    </a:prstGeom>
                    <a:noFill/>
                    <a:ln>
                      <a:noFill/>
                      <a:prstDash/>
                    </a:ln>
                  </pic:spPr>
                </pic:pic>
              </a:graphicData>
            </a:graphic>
          </wp:inline>
        </w:drawing>
      </w:r>
    </w:p>
    <w:p w:rsidR="009B4233" w:rsidRDefault="006B08B9">
      <w:pPr>
        <w:spacing w:after="63" w:line="249" w:lineRule="auto"/>
        <w:ind w:left="708"/>
        <w:rPr>
          <w:rFonts w:ascii="Arial" w:hAnsi="Arial" w:cs="Arial"/>
          <w:sz w:val="22"/>
          <w:szCs w:val="22"/>
        </w:rPr>
      </w:pPr>
      <w:r>
        <w:rPr>
          <w:rFonts w:ascii="Arial" w:hAnsi="Arial" w:cs="Arial"/>
          <w:sz w:val="22"/>
          <w:szCs w:val="22"/>
        </w:rPr>
        <w:t xml:space="preserve">                                       </w:t>
      </w:r>
    </w:p>
    <w:tbl>
      <w:tblPr>
        <w:tblW w:w="8788" w:type="dxa"/>
        <w:tblInd w:w="281" w:type="dxa"/>
        <w:tblCellMar>
          <w:left w:w="10" w:type="dxa"/>
          <w:right w:w="10" w:type="dxa"/>
        </w:tblCellMar>
        <w:tblLook w:val="0000" w:firstRow="0" w:lastRow="0" w:firstColumn="0" w:lastColumn="0" w:noHBand="0" w:noVBand="0"/>
      </w:tblPr>
      <w:tblGrid>
        <w:gridCol w:w="851"/>
        <w:gridCol w:w="3885"/>
        <w:gridCol w:w="4052"/>
      </w:tblGrid>
      <w:tr w:rsidR="009B4233">
        <w:tblPrEx>
          <w:tblCellMar>
            <w:top w:w="0" w:type="dxa"/>
            <w:bottom w:w="0" w:type="dxa"/>
          </w:tblCellMar>
        </w:tblPrEx>
        <w:trPr>
          <w:trHeight w:val="252"/>
        </w:trPr>
        <w:tc>
          <w:tcPr>
            <w:tcW w:w="851" w:type="dxa"/>
            <w:shd w:val="clear" w:color="auto" w:fill="E0E0E0"/>
            <w:tcMar>
              <w:top w:w="7" w:type="dxa"/>
              <w:left w:w="2" w:type="dxa"/>
              <w:bottom w:w="0" w:type="dxa"/>
              <w:right w:w="1" w:type="dxa"/>
            </w:tcMar>
          </w:tcPr>
          <w:p w:rsidR="009B4233" w:rsidRDefault="006B08B9">
            <w:pPr>
              <w:spacing w:line="249" w:lineRule="auto"/>
              <w:ind w:left="185"/>
              <w:jc w:val="center"/>
            </w:pPr>
            <w:r>
              <w:rPr>
                <w:rFonts w:ascii="Arial" w:eastAsia="Calibri" w:hAnsi="Arial" w:cs="Arial"/>
                <w:b/>
                <w:sz w:val="22"/>
                <w:szCs w:val="22"/>
              </w:rPr>
              <w:t>5.</w:t>
            </w:r>
          </w:p>
        </w:tc>
        <w:tc>
          <w:tcPr>
            <w:tcW w:w="3885" w:type="dxa"/>
            <w:shd w:val="clear" w:color="auto" w:fill="E6E6E6"/>
            <w:tcMar>
              <w:top w:w="7" w:type="dxa"/>
              <w:left w:w="2" w:type="dxa"/>
              <w:bottom w:w="0" w:type="dxa"/>
              <w:right w:w="1" w:type="dxa"/>
            </w:tcMar>
          </w:tcPr>
          <w:p w:rsidR="009B4233" w:rsidRDefault="006B08B9">
            <w:pPr>
              <w:spacing w:line="249" w:lineRule="auto"/>
            </w:pPr>
            <w:r>
              <w:rPr>
                <w:rFonts w:ascii="Arial" w:eastAsia="Calibri" w:hAnsi="Arial" w:cs="Arial"/>
                <w:b/>
                <w:sz w:val="22"/>
                <w:szCs w:val="22"/>
              </w:rPr>
              <w:t>INVENTARIO MUNICIPAL DE BIENES</w:t>
            </w:r>
          </w:p>
        </w:tc>
        <w:tc>
          <w:tcPr>
            <w:tcW w:w="4052" w:type="dxa"/>
            <w:shd w:val="clear" w:color="auto" w:fill="E0E0E0"/>
            <w:tcMar>
              <w:top w:w="7" w:type="dxa"/>
              <w:left w:w="2" w:type="dxa"/>
              <w:bottom w:w="0" w:type="dxa"/>
              <w:right w:w="1" w:type="dxa"/>
            </w:tcMar>
          </w:tcPr>
          <w:p w:rsidR="009B4233" w:rsidRDefault="006B08B9">
            <w:pPr>
              <w:spacing w:line="249" w:lineRule="auto"/>
              <w:ind w:left="1"/>
            </w:pPr>
            <w:r>
              <w:rPr>
                <w:rFonts w:ascii="Arial" w:eastAsia="Calibri" w:hAnsi="Arial" w:cs="Arial"/>
                <w:b/>
                <w:sz w:val="22"/>
                <w:szCs w:val="22"/>
              </w:rPr>
              <w:t>. -</w:t>
            </w:r>
          </w:p>
        </w:tc>
      </w:tr>
    </w:tbl>
    <w:p w:rsidR="009B4233" w:rsidRDefault="006B08B9">
      <w:pPr>
        <w:spacing w:line="249" w:lineRule="auto"/>
        <w:ind w:left="10" w:right="-2" w:hanging="10"/>
        <w:jc w:val="both"/>
        <w:rPr>
          <w:rFonts w:ascii="Arial" w:hAnsi="Arial" w:cs="Arial"/>
          <w:sz w:val="22"/>
          <w:szCs w:val="22"/>
        </w:rPr>
      </w:pPr>
      <w:r>
        <w:rPr>
          <w:rFonts w:ascii="Arial" w:hAnsi="Arial" w:cs="Arial"/>
          <w:sz w:val="22"/>
          <w:szCs w:val="22"/>
        </w:rPr>
        <w:t xml:space="preserve">     En relación al ámbito establecido en el modificado nº 1 del Proyecto de</w:t>
      </w:r>
    </w:p>
    <w:p w:rsidR="009B4233" w:rsidRDefault="006B08B9">
      <w:pPr>
        <w:ind w:left="269" w:right="1"/>
        <w:jc w:val="both"/>
        <w:rPr>
          <w:rFonts w:ascii="Arial" w:hAnsi="Arial" w:cs="Arial"/>
          <w:sz w:val="22"/>
          <w:szCs w:val="22"/>
        </w:rPr>
      </w:pPr>
      <w:r>
        <w:rPr>
          <w:rFonts w:ascii="Arial" w:hAnsi="Arial" w:cs="Arial"/>
          <w:sz w:val="22"/>
          <w:szCs w:val="22"/>
        </w:rPr>
        <w:t xml:space="preserve">Remodelación de la Plaza de La Patrona y su entorno, se añade a </w:t>
      </w:r>
      <w:r>
        <w:rPr>
          <w:rFonts w:ascii="Arial" w:hAnsi="Arial" w:cs="Arial"/>
          <w:sz w:val="22"/>
          <w:szCs w:val="22"/>
        </w:rPr>
        <w:t>las fichas de Paseo de</w:t>
      </w:r>
    </w:p>
    <w:p w:rsidR="009B4233" w:rsidRDefault="006B08B9">
      <w:pPr>
        <w:ind w:left="269" w:right="1"/>
        <w:jc w:val="both"/>
      </w:pPr>
      <w:r>
        <w:rPr>
          <w:rFonts w:ascii="Arial" w:hAnsi="Arial" w:cs="Arial"/>
          <w:sz w:val="22"/>
          <w:szCs w:val="22"/>
        </w:rPr>
        <w:t xml:space="preserve">San Blas (nº de inventario 140023), Plaza de La Patrona (nº de inventario 110246 y 130114), Calle Los Príncipes (nº de inventario 140019), Calle Antón Guanche (nº de inventario 140024), Parking Antón Guanche (nº de inventario 120028 </w:t>
      </w:r>
      <w:r>
        <w:rPr>
          <w:rFonts w:ascii="Arial" w:hAnsi="Arial" w:cs="Arial"/>
          <w:sz w:val="22"/>
          <w:szCs w:val="22"/>
        </w:rPr>
        <w:t xml:space="preserve">y 110253) y Solar y Vivienda en Calle Antón Guanche, nº 19 (nº de inventario 110254 y 130116), la ficha de </w:t>
      </w:r>
      <w:r>
        <w:rPr>
          <w:rFonts w:ascii="Arial" w:eastAsia="Calibri" w:hAnsi="Arial" w:cs="Arial"/>
          <w:b/>
          <w:sz w:val="22"/>
          <w:szCs w:val="22"/>
        </w:rPr>
        <w:t xml:space="preserve">Calle La Magdalena (nº de inventario 14/37 y signatura 10203/2022)¸ </w:t>
      </w:r>
      <w:r>
        <w:rPr>
          <w:rFonts w:ascii="Arial" w:hAnsi="Arial" w:cs="Arial"/>
          <w:sz w:val="22"/>
          <w:szCs w:val="22"/>
        </w:rPr>
        <w:t>poniendo a disposición dicho inmueble para la ejecución del proyecto mencionado a</w:t>
      </w:r>
      <w:r>
        <w:rPr>
          <w:rFonts w:ascii="Arial" w:hAnsi="Arial" w:cs="Arial"/>
          <w:sz w:val="22"/>
          <w:szCs w:val="22"/>
        </w:rPr>
        <w:t>nteriormente.</w:t>
      </w:r>
    </w:p>
    <w:p w:rsidR="009B4233" w:rsidRDefault="006B08B9">
      <w:pPr>
        <w:spacing w:line="249" w:lineRule="auto"/>
        <w:ind w:left="1107"/>
        <w:jc w:val="both"/>
      </w:pPr>
      <w:r>
        <w:rPr>
          <w:rFonts w:ascii="Arial" w:hAnsi="Arial" w:cs="Arial"/>
          <w:noProof/>
          <w:sz w:val="22"/>
          <w:szCs w:val="22"/>
          <w:lang w:eastAsia="es-ES" w:bidi="ar-SA"/>
        </w:rPr>
        <w:drawing>
          <wp:inline distT="0" distB="0" distL="0" distR="0">
            <wp:extent cx="4800600" cy="4983480"/>
            <wp:effectExtent l="0" t="0" r="0" b="7620"/>
            <wp:docPr id="83" name="Imagen 14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rcRect/>
                    <a:stretch>
                      <a:fillRect/>
                    </a:stretch>
                  </pic:blipFill>
                  <pic:spPr>
                    <a:xfrm>
                      <a:off x="0" y="0"/>
                      <a:ext cx="4800600" cy="4983480"/>
                    </a:xfrm>
                    <a:prstGeom prst="rect">
                      <a:avLst/>
                    </a:prstGeom>
                    <a:noFill/>
                    <a:ln>
                      <a:noFill/>
                      <a:prstDash/>
                    </a:ln>
                  </pic:spPr>
                </pic:pic>
              </a:graphicData>
            </a:graphic>
          </wp:inline>
        </w:drawing>
      </w:r>
    </w:p>
    <w:p w:rsidR="009B4233" w:rsidRDefault="006B08B9">
      <w:pPr>
        <w:spacing w:after="354" w:line="249" w:lineRule="auto"/>
        <w:ind w:left="1225"/>
      </w:pPr>
      <w:r>
        <w:rPr>
          <w:rFonts w:ascii="Arial" w:hAnsi="Arial" w:cs="Arial"/>
          <w:noProof/>
          <w:sz w:val="22"/>
          <w:szCs w:val="22"/>
          <w:lang w:eastAsia="es-ES" w:bidi="ar-SA"/>
        </w:rPr>
        <w:drawing>
          <wp:inline distT="0" distB="0" distL="0" distR="0">
            <wp:extent cx="4655823" cy="5783579"/>
            <wp:effectExtent l="0" t="0" r="0" b="7621"/>
            <wp:docPr id="84" name="Imagen 14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rcRect/>
                    <a:stretch>
                      <a:fillRect/>
                    </a:stretch>
                  </pic:blipFill>
                  <pic:spPr>
                    <a:xfrm>
                      <a:off x="0" y="0"/>
                      <a:ext cx="4655823" cy="5783579"/>
                    </a:xfrm>
                    <a:prstGeom prst="rect">
                      <a:avLst/>
                    </a:prstGeom>
                    <a:noFill/>
                    <a:ln>
                      <a:noFill/>
                      <a:prstDash/>
                    </a:ln>
                  </pic:spPr>
                </pic:pic>
              </a:graphicData>
            </a:graphic>
          </wp:inline>
        </w:drawing>
      </w:r>
    </w:p>
    <w:tbl>
      <w:tblPr>
        <w:tblW w:w="8788" w:type="dxa"/>
        <w:tblInd w:w="281" w:type="dxa"/>
        <w:tblCellMar>
          <w:left w:w="10" w:type="dxa"/>
          <w:right w:w="10" w:type="dxa"/>
        </w:tblCellMar>
        <w:tblLook w:val="0000" w:firstRow="0" w:lastRow="0" w:firstColumn="0" w:lastColumn="0" w:noHBand="0" w:noVBand="0"/>
      </w:tblPr>
      <w:tblGrid>
        <w:gridCol w:w="8788"/>
      </w:tblGrid>
      <w:tr w:rsidR="009B4233">
        <w:tblPrEx>
          <w:tblCellMar>
            <w:top w:w="0" w:type="dxa"/>
            <w:bottom w:w="0" w:type="dxa"/>
          </w:tblCellMar>
        </w:tblPrEx>
        <w:trPr>
          <w:trHeight w:val="254"/>
        </w:trPr>
        <w:tc>
          <w:tcPr>
            <w:tcW w:w="8788" w:type="dxa"/>
            <w:shd w:val="clear" w:color="auto" w:fill="E0E0E0"/>
            <w:tcMar>
              <w:top w:w="8" w:type="dxa"/>
              <w:left w:w="427" w:type="dxa"/>
              <w:bottom w:w="0" w:type="dxa"/>
              <w:right w:w="115" w:type="dxa"/>
            </w:tcMar>
          </w:tcPr>
          <w:p w:rsidR="009B4233" w:rsidRDefault="006B08B9">
            <w:pPr>
              <w:tabs>
                <w:tab w:val="center" w:pos="1263"/>
              </w:tabs>
              <w:spacing w:line="249" w:lineRule="auto"/>
            </w:pPr>
            <w:r>
              <w:rPr>
                <w:rFonts w:ascii="Arial" w:eastAsia="Calibri" w:hAnsi="Arial" w:cs="Arial"/>
                <w:b/>
                <w:sz w:val="22"/>
                <w:szCs w:val="22"/>
              </w:rPr>
              <w:t>6.</w:t>
            </w:r>
            <w:r>
              <w:rPr>
                <w:rFonts w:ascii="Arial" w:eastAsia="Calibri" w:hAnsi="Arial" w:cs="Arial"/>
                <w:b/>
                <w:sz w:val="22"/>
                <w:szCs w:val="22"/>
              </w:rPr>
              <w:tab/>
            </w:r>
            <w:r>
              <w:rPr>
                <w:rFonts w:ascii="Arial" w:eastAsia="Calibri" w:hAnsi="Arial" w:cs="Arial"/>
                <w:b/>
                <w:sz w:val="22"/>
                <w:szCs w:val="22"/>
                <w:shd w:val="clear" w:color="auto" w:fill="E6E6E6"/>
              </w:rPr>
              <w:t>CONCLUSIÓN</w:t>
            </w:r>
            <w:r>
              <w:rPr>
                <w:rFonts w:ascii="Arial" w:eastAsia="Calibri" w:hAnsi="Arial" w:cs="Arial"/>
                <w:b/>
                <w:sz w:val="22"/>
                <w:szCs w:val="22"/>
              </w:rPr>
              <w:t>. -</w:t>
            </w:r>
          </w:p>
        </w:tc>
      </w:tr>
    </w:tbl>
    <w:p w:rsidR="009B4233" w:rsidRDefault="006B08B9">
      <w:pPr>
        <w:widowControl/>
        <w:numPr>
          <w:ilvl w:val="0"/>
          <w:numId w:val="73"/>
        </w:numPr>
        <w:suppressAutoHyphens w:val="0"/>
        <w:spacing w:after="248" w:line="264" w:lineRule="auto"/>
        <w:ind w:right="1" w:firstLine="414"/>
        <w:jc w:val="both"/>
        <w:textAlignment w:val="auto"/>
      </w:pPr>
      <w:r>
        <w:rPr>
          <w:rFonts w:ascii="Arial" w:hAnsi="Arial" w:cs="Arial"/>
          <w:sz w:val="22"/>
          <w:szCs w:val="22"/>
        </w:rPr>
        <w:t xml:space="preserve">A la vista de las modificaciones propuestas, descritas con anterioridad, no afectan a la ordenación prevista en el Plan General de Ordenación para el ámbito y por tanto se informa la </w:t>
      </w:r>
      <w:r>
        <w:rPr>
          <w:rFonts w:ascii="Arial" w:eastAsia="Calibri" w:hAnsi="Arial" w:cs="Arial"/>
          <w:b/>
          <w:sz w:val="22"/>
          <w:szCs w:val="22"/>
        </w:rPr>
        <w:t xml:space="preserve">CONFORMIDAD del Modificado nº1 del </w:t>
      </w:r>
      <w:r>
        <w:rPr>
          <w:rFonts w:ascii="Arial" w:eastAsia="Calibri" w:hAnsi="Arial" w:cs="Arial"/>
          <w:b/>
          <w:sz w:val="22"/>
          <w:szCs w:val="22"/>
        </w:rPr>
        <w:t>Proyecto Remodelación de la Plaza de la Patrona de Canarias, canalización de cauce e implantación de conducciones hidráulicas (sectores 1, 2 y 3)</w:t>
      </w:r>
    </w:p>
    <w:p w:rsidR="009B4233" w:rsidRDefault="006B08B9">
      <w:pPr>
        <w:ind w:left="269" w:right="1"/>
        <w:jc w:val="both"/>
        <w:rPr>
          <w:rFonts w:ascii="Arial" w:hAnsi="Arial" w:cs="Arial"/>
          <w:sz w:val="22"/>
          <w:szCs w:val="22"/>
        </w:rPr>
      </w:pPr>
      <w:r>
        <w:rPr>
          <w:rFonts w:ascii="Arial" w:hAnsi="Arial" w:cs="Arial"/>
          <w:sz w:val="22"/>
          <w:szCs w:val="22"/>
        </w:rPr>
        <w:t xml:space="preserve">En el presente informe se comprueba la compatibilidad urbanística del proyecto presentado con el Plan General </w:t>
      </w:r>
      <w:r>
        <w:rPr>
          <w:rFonts w:ascii="Arial" w:hAnsi="Arial" w:cs="Arial"/>
          <w:sz w:val="22"/>
          <w:szCs w:val="22"/>
        </w:rPr>
        <w:t>de Ordenación y por tanto quedará condicionado a cuantos informes sectoriales le sea de aplicación, en especial a los emitidos por la Comisión Insular de Patrimonio Histórico del Excmo. Cabildo Insular de Tenerife, Consejo Insular de aguas y Demarcación de</w:t>
      </w:r>
      <w:r>
        <w:rPr>
          <w:rFonts w:ascii="Arial" w:hAnsi="Arial" w:cs="Arial"/>
          <w:sz w:val="22"/>
          <w:szCs w:val="22"/>
        </w:rPr>
        <w:t xml:space="preserve"> Costas.</w:t>
      </w:r>
    </w:p>
    <w:p w:rsidR="009B4233" w:rsidRDefault="006B08B9">
      <w:pPr>
        <w:widowControl/>
        <w:numPr>
          <w:ilvl w:val="0"/>
          <w:numId w:val="73"/>
        </w:numPr>
        <w:suppressAutoHyphens w:val="0"/>
        <w:spacing w:after="291" w:line="264" w:lineRule="auto"/>
        <w:ind w:right="1" w:firstLine="414"/>
        <w:jc w:val="both"/>
        <w:textAlignment w:val="auto"/>
      </w:pPr>
      <w:r>
        <w:rPr>
          <w:rFonts w:ascii="Arial" w:hAnsi="Arial" w:cs="Arial"/>
          <w:sz w:val="22"/>
          <w:szCs w:val="22"/>
        </w:rPr>
        <w:t xml:space="preserve">Por otra parte, para la correcta ejecución del modificado nº1 del proyecto, resulta necesario la </w:t>
      </w:r>
      <w:r>
        <w:rPr>
          <w:rFonts w:ascii="Arial" w:eastAsia="Calibri" w:hAnsi="Arial" w:cs="Arial"/>
          <w:b/>
          <w:sz w:val="22"/>
          <w:szCs w:val="22"/>
        </w:rPr>
        <w:t>PUESTA A DISPOSICION</w:t>
      </w:r>
      <w:r>
        <w:rPr>
          <w:rFonts w:ascii="Arial" w:hAnsi="Arial" w:cs="Arial"/>
          <w:sz w:val="22"/>
          <w:szCs w:val="22"/>
        </w:rPr>
        <w:t xml:space="preserve"> de los siguientes suelos municipales identificados en el Inventario Municipal de Bienes Inmuebles, según ficha descrita en el pre</w:t>
      </w:r>
      <w:r>
        <w:rPr>
          <w:rFonts w:ascii="Arial" w:hAnsi="Arial" w:cs="Arial"/>
          <w:sz w:val="22"/>
          <w:szCs w:val="22"/>
        </w:rPr>
        <w:t xml:space="preserve">sente informe como </w:t>
      </w:r>
      <w:r>
        <w:rPr>
          <w:rFonts w:ascii="Arial" w:eastAsia="Calibri" w:hAnsi="Arial" w:cs="Arial"/>
          <w:b/>
          <w:sz w:val="22"/>
          <w:szCs w:val="22"/>
        </w:rPr>
        <w:t>CALLE LA MAGDALENA:</w:t>
      </w:r>
    </w:p>
    <w:tbl>
      <w:tblPr>
        <w:tblW w:w="8232" w:type="dxa"/>
        <w:tblInd w:w="276" w:type="dxa"/>
        <w:tblCellMar>
          <w:left w:w="10" w:type="dxa"/>
          <w:right w:w="10" w:type="dxa"/>
        </w:tblCellMar>
        <w:tblLook w:val="0000" w:firstRow="0" w:lastRow="0" w:firstColumn="0" w:lastColumn="0" w:noHBand="0" w:noVBand="0"/>
      </w:tblPr>
      <w:tblGrid>
        <w:gridCol w:w="3956"/>
        <w:gridCol w:w="4276"/>
      </w:tblGrid>
      <w:tr w:rsidR="009B4233">
        <w:tblPrEx>
          <w:tblCellMar>
            <w:top w:w="0" w:type="dxa"/>
            <w:bottom w:w="0" w:type="dxa"/>
          </w:tblCellMar>
        </w:tblPrEx>
        <w:trPr>
          <w:trHeight w:val="382"/>
        </w:trPr>
        <w:tc>
          <w:tcPr>
            <w:tcW w:w="3956" w:type="dxa"/>
            <w:tcBorders>
              <w:top w:val="single" w:sz="4" w:space="0" w:color="000000"/>
              <w:left w:val="single" w:sz="4" w:space="0" w:color="000000"/>
              <w:bottom w:val="single" w:sz="4" w:space="0" w:color="000000"/>
              <w:right w:val="single" w:sz="4" w:space="0" w:color="000000"/>
            </w:tcBorders>
            <w:shd w:val="clear" w:color="auto" w:fill="auto"/>
            <w:tcMar>
              <w:top w:w="68" w:type="dxa"/>
              <w:left w:w="115" w:type="dxa"/>
              <w:bottom w:w="0" w:type="dxa"/>
              <w:right w:w="115" w:type="dxa"/>
            </w:tcMar>
          </w:tcPr>
          <w:p w:rsidR="009B4233" w:rsidRDefault="006B08B9">
            <w:pPr>
              <w:spacing w:line="249" w:lineRule="auto"/>
              <w:ind w:left="1"/>
              <w:jc w:val="center"/>
            </w:pPr>
            <w:r>
              <w:rPr>
                <w:rFonts w:ascii="Arial" w:eastAsia="Calibri" w:hAnsi="Arial" w:cs="Arial"/>
                <w:b/>
                <w:sz w:val="22"/>
                <w:szCs w:val="22"/>
              </w:rPr>
              <w:t>Nº INVENTARIO MUNICIPAL</w:t>
            </w:r>
          </w:p>
        </w:tc>
        <w:tc>
          <w:tcPr>
            <w:tcW w:w="4276" w:type="dxa"/>
            <w:tcBorders>
              <w:top w:val="single" w:sz="4" w:space="0" w:color="000000"/>
              <w:left w:val="single" w:sz="4" w:space="0" w:color="000000"/>
              <w:bottom w:val="single" w:sz="4" w:space="0" w:color="000000"/>
              <w:right w:val="single" w:sz="4" w:space="0" w:color="000000"/>
            </w:tcBorders>
            <w:shd w:val="clear" w:color="auto" w:fill="auto"/>
            <w:tcMar>
              <w:top w:w="68" w:type="dxa"/>
              <w:left w:w="115" w:type="dxa"/>
              <w:bottom w:w="0" w:type="dxa"/>
              <w:right w:w="115" w:type="dxa"/>
            </w:tcMar>
          </w:tcPr>
          <w:p w:rsidR="009B4233" w:rsidRDefault="006B08B9">
            <w:pPr>
              <w:spacing w:line="249" w:lineRule="auto"/>
              <w:ind w:left="2"/>
              <w:jc w:val="center"/>
            </w:pPr>
            <w:r>
              <w:rPr>
                <w:rFonts w:ascii="Arial" w:eastAsia="Calibri" w:hAnsi="Arial" w:cs="Arial"/>
                <w:b/>
                <w:sz w:val="22"/>
                <w:szCs w:val="22"/>
              </w:rPr>
              <w:t>DENOMINACION</w:t>
            </w:r>
          </w:p>
        </w:tc>
      </w:tr>
      <w:tr w:rsidR="009B4233">
        <w:tblPrEx>
          <w:tblCellMar>
            <w:top w:w="0" w:type="dxa"/>
            <w:bottom w:w="0" w:type="dxa"/>
          </w:tblCellMar>
        </w:tblPrEx>
        <w:trPr>
          <w:trHeight w:val="396"/>
        </w:trPr>
        <w:tc>
          <w:tcPr>
            <w:tcW w:w="3956" w:type="dxa"/>
            <w:tcBorders>
              <w:top w:val="single" w:sz="4" w:space="0" w:color="000000"/>
              <w:left w:val="single" w:sz="4" w:space="0" w:color="000000"/>
              <w:bottom w:val="single" w:sz="4" w:space="0" w:color="000000"/>
              <w:right w:val="single" w:sz="4" w:space="0" w:color="000000"/>
            </w:tcBorders>
            <w:shd w:val="clear" w:color="auto" w:fill="auto"/>
            <w:tcMar>
              <w:top w:w="68" w:type="dxa"/>
              <w:left w:w="115" w:type="dxa"/>
              <w:bottom w:w="0" w:type="dxa"/>
              <w:right w:w="115" w:type="dxa"/>
            </w:tcMar>
          </w:tcPr>
          <w:p w:rsidR="009B4233" w:rsidRDefault="006B08B9">
            <w:pPr>
              <w:spacing w:line="249" w:lineRule="auto"/>
              <w:ind w:left="2"/>
              <w:jc w:val="center"/>
              <w:rPr>
                <w:rFonts w:ascii="Arial" w:hAnsi="Arial" w:cs="Arial"/>
                <w:sz w:val="22"/>
                <w:szCs w:val="22"/>
              </w:rPr>
            </w:pPr>
            <w:r>
              <w:rPr>
                <w:rFonts w:ascii="Arial" w:hAnsi="Arial" w:cs="Arial"/>
                <w:sz w:val="22"/>
                <w:szCs w:val="22"/>
              </w:rPr>
              <w:t>14/37</w:t>
            </w:r>
          </w:p>
        </w:tc>
        <w:tc>
          <w:tcPr>
            <w:tcW w:w="4276" w:type="dxa"/>
            <w:tcBorders>
              <w:top w:val="single" w:sz="4" w:space="0" w:color="000000"/>
              <w:left w:val="single" w:sz="4" w:space="0" w:color="000000"/>
              <w:bottom w:val="single" w:sz="4" w:space="0" w:color="000000"/>
              <w:right w:val="single" w:sz="4" w:space="0" w:color="000000"/>
            </w:tcBorders>
            <w:shd w:val="clear" w:color="auto" w:fill="auto"/>
            <w:tcMar>
              <w:top w:w="68" w:type="dxa"/>
              <w:left w:w="115" w:type="dxa"/>
              <w:bottom w:w="0" w:type="dxa"/>
              <w:right w:w="115" w:type="dxa"/>
            </w:tcMar>
          </w:tcPr>
          <w:p w:rsidR="009B4233" w:rsidRDefault="006B08B9">
            <w:pPr>
              <w:spacing w:line="249" w:lineRule="auto"/>
              <w:ind w:left="2"/>
              <w:jc w:val="center"/>
              <w:rPr>
                <w:rFonts w:ascii="Arial" w:hAnsi="Arial" w:cs="Arial"/>
                <w:sz w:val="22"/>
                <w:szCs w:val="22"/>
              </w:rPr>
            </w:pPr>
            <w:r>
              <w:rPr>
                <w:rFonts w:ascii="Arial" w:hAnsi="Arial" w:cs="Arial"/>
                <w:sz w:val="22"/>
                <w:szCs w:val="22"/>
              </w:rPr>
              <w:t>CALLE LA MAGDALENA</w:t>
            </w:r>
          </w:p>
        </w:tc>
      </w:tr>
    </w:tbl>
    <w:p w:rsidR="009B4233" w:rsidRDefault="006B08B9">
      <w:pPr>
        <w:spacing w:after="240"/>
        <w:ind w:left="708" w:right="1"/>
        <w:rPr>
          <w:rFonts w:ascii="Arial" w:hAnsi="Arial" w:cs="Arial"/>
          <w:sz w:val="22"/>
          <w:szCs w:val="22"/>
        </w:rPr>
      </w:pPr>
      <w:r>
        <w:rPr>
          <w:rFonts w:ascii="Arial" w:hAnsi="Arial" w:cs="Arial"/>
          <w:sz w:val="22"/>
          <w:szCs w:val="22"/>
        </w:rPr>
        <w:t>…”“</w:t>
      </w:r>
    </w:p>
    <w:p w:rsidR="009B4233" w:rsidRDefault="006B08B9">
      <w:pPr>
        <w:pStyle w:val="Ttulo2"/>
        <w:spacing w:after="246"/>
        <w:ind w:left="712"/>
        <w:rPr>
          <w:rFonts w:ascii="Arial" w:hAnsi="Arial" w:cs="Arial"/>
          <w:sz w:val="22"/>
          <w:szCs w:val="22"/>
        </w:rPr>
      </w:pPr>
      <w:r>
        <w:rPr>
          <w:rFonts w:ascii="Arial" w:hAnsi="Arial" w:cs="Arial"/>
          <w:sz w:val="22"/>
          <w:szCs w:val="22"/>
        </w:rPr>
        <w:t>FUNDAMENTOS JURÍDICOS</w:t>
      </w:r>
    </w:p>
    <w:p w:rsidR="009B4233" w:rsidRDefault="006B08B9">
      <w:pPr>
        <w:shd w:val="clear" w:color="auto" w:fill="F9F9F9"/>
        <w:spacing w:after="616" w:line="216" w:lineRule="auto"/>
      </w:pPr>
      <w:r>
        <w:rPr>
          <w:rFonts w:ascii="Arial" w:eastAsia="Calibri" w:hAnsi="Arial" w:cs="Arial"/>
          <w:b/>
          <w:sz w:val="22"/>
          <w:szCs w:val="22"/>
        </w:rPr>
        <w:t>Artículos del Real Decreto 1372/1986, de 13 de junio, por el que se aprueba el Reglamento de Bienes de las Entidades Locales:</w:t>
      </w:r>
    </w:p>
    <w:p w:rsidR="009B4233" w:rsidRDefault="006B08B9">
      <w:pPr>
        <w:spacing w:after="318"/>
        <w:ind w:right="1"/>
        <w:rPr>
          <w:rFonts w:ascii="Arial" w:hAnsi="Arial" w:cs="Arial"/>
          <w:sz w:val="22"/>
          <w:szCs w:val="22"/>
        </w:rPr>
      </w:pPr>
      <w:r>
        <w:rPr>
          <w:rFonts w:ascii="Arial" w:hAnsi="Arial" w:cs="Arial"/>
          <w:sz w:val="22"/>
          <w:szCs w:val="22"/>
        </w:rPr>
        <w:t>Art. 109.</w:t>
      </w:r>
    </w:p>
    <w:p w:rsidR="009B4233" w:rsidRDefault="006B08B9">
      <w:pPr>
        <w:widowControl/>
        <w:numPr>
          <w:ilvl w:val="0"/>
          <w:numId w:val="74"/>
        </w:numPr>
        <w:suppressAutoHyphens w:val="0"/>
        <w:spacing w:after="323" w:line="264" w:lineRule="auto"/>
        <w:ind w:right="1" w:firstLine="360"/>
        <w:jc w:val="both"/>
        <w:textAlignment w:val="auto"/>
        <w:rPr>
          <w:rFonts w:ascii="Arial" w:hAnsi="Arial" w:cs="Arial"/>
          <w:sz w:val="22"/>
          <w:szCs w:val="22"/>
        </w:rPr>
      </w:pPr>
      <w:r>
        <w:rPr>
          <w:rFonts w:ascii="Arial" w:hAnsi="Arial" w:cs="Arial"/>
          <w:sz w:val="22"/>
          <w:szCs w:val="22"/>
        </w:rPr>
        <w:t>Los bienes inmuebles patrimoniales no podrán enajenarse, gravarse ni permutarse sin autorización del órgano competente de la Comunidad Autónoma, cuando su valor exceda del 25 por 100 de los recursos ordinarios del presupuesto anual de la Corporac</w:t>
      </w:r>
      <w:r>
        <w:rPr>
          <w:rFonts w:ascii="Arial" w:hAnsi="Arial" w:cs="Arial"/>
          <w:sz w:val="22"/>
          <w:szCs w:val="22"/>
        </w:rPr>
        <w:t>ión. No obstante, se dará cuenta al órgano competente de la Comunidad Autónoma de toda enajenación de bienes inmuebles que se produzca.</w:t>
      </w:r>
    </w:p>
    <w:p w:rsidR="009B4233" w:rsidRDefault="006B08B9">
      <w:pPr>
        <w:widowControl/>
        <w:numPr>
          <w:ilvl w:val="0"/>
          <w:numId w:val="74"/>
        </w:numPr>
        <w:suppressAutoHyphens w:val="0"/>
        <w:spacing w:after="505" w:line="264" w:lineRule="auto"/>
        <w:ind w:right="1" w:firstLine="360"/>
        <w:jc w:val="both"/>
        <w:textAlignment w:val="auto"/>
        <w:rPr>
          <w:rFonts w:ascii="Arial" w:hAnsi="Arial" w:cs="Arial"/>
          <w:sz w:val="22"/>
          <w:szCs w:val="22"/>
        </w:rPr>
      </w:pPr>
      <w:r>
        <w:rPr>
          <w:rFonts w:ascii="Arial" w:hAnsi="Arial" w:cs="Arial"/>
          <w:sz w:val="22"/>
          <w:szCs w:val="22"/>
        </w:rPr>
        <w:t xml:space="preserve">Los bienes inmuebles patrimoniales no podrán cederse gratuitamente sino a Entidades o Instituciones publicas para fines </w:t>
      </w:r>
      <w:r>
        <w:rPr>
          <w:rFonts w:ascii="Arial" w:hAnsi="Arial" w:cs="Arial"/>
          <w:sz w:val="22"/>
          <w:szCs w:val="22"/>
        </w:rPr>
        <w:t>que redunden en beneficio de los habitantes del término municipal, así como a las Instituciones privadas de interés público sin animo de lucro. De estas cesiones también se dará cuenta a la autoridad competente de la Comunidad Autónoma.</w:t>
      </w:r>
    </w:p>
    <w:p w:rsidR="009B4233" w:rsidRDefault="006B08B9">
      <w:pPr>
        <w:spacing w:after="316"/>
        <w:ind w:right="1"/>
        <w:rPr>
          <w:rFonts w:ascii="Arial" w:hAnsi="Arial" w:cs="Arial"/>
          <w:sz w:val="22"/>
          <w:szCs w:val="22"/>
        </w:rPr>
      </w:pPr>
      <w:r>
        <w:rPr>
          <w:rFonts w:ascii="Arial" w:hAnsi="Arial" w:cs="Arial"/>
          <w:sz w:val="22"/>
          <w:szCs w:val="22"/>
        </w:rPr>
        <w:t>Art. 110.</w:t>
      </w:r>
    </w:p>
    <w:p w:rsidR="009B4233" w:rsidRDefault="006B08B9">
      <w:pPr>
        <w:spacing w:after="505"/>
        <w:ind w:right="1" w:firstLine="360"/>
        <w:rPr>
          <w:rFonts w:ascii="Arial" w:hAnsi="Arial" w:cs="Arial"/>
          <w:sz w:val="22"/>
          <w:szCs w:val="22"/>
        </w:rPr>
      </w:pPr>
      <w:r>
        <w:rPr>
          <w:rFonts w:ascii="Arial" w:hAnsi="Arial" w:cs="Arial"/>
          <w:sz w:val="22"/>
          <w:szCs w:val="22"/>
        </w:rPr>
        <w:t>1. En tod</w:t>
      </w:r>
      <w:r>
        <w:rPr>
          <w:rFonts w:ascii="Arial" w:hAnsi="Arial" w:cs="Arial"/>
          <w:sz w:val="22"/>
          <w:szCs w:val="22"/>
        </w:rPr>
        <w:t>o caso, la cesión gratuita de los bienes requerirá acuerdo adoptado con el voto favorable de la mayoría absoluta del número legal de miembros de la Corporación, previa instrucción del expediente con arreglo a estos requisitos:</w:t>
      </w:r>
    </w:p>
    <w:p w:rsidR="009B4233" w:rsidRDefault="006B08B9">
      <w:pPr>
        <w:widowControl/>
        <w:numPr>
          <w:ilvl w:val="0"/>
          <w:numId w:val="75"/>
        </w:numPr>
        <w:suppressAutoHyphens w:val="0"/>
        <w:spacing w:after="323" w:line="264" w:lineRule="auto"/>
        <w:ind w:right="1" w:firstLine="360"/>
        <w:jc w:val="both"/>
        <w:textAlignment w:val="auto"/>
        <w:rPr>
          <w:rFonts w:ascii="Arial" w:hAnsi="Arial" w:cs="Arial"/>
          <w:sz w:val="22"/>
          <w:szCs w:val="22"/>
        </w:rPr>
      </w:pPr>
      <w:r>
        <w:rPr>
          <w:rFonts w:ascii="Arial" w:hAnsi="Arial" w:cs="Arial"/>
          <w:sz w:val="22"/>
          <w:szCs w:val="22"/>
        </w:rPr>
        <w:t xml:space="preserve">Justificación documental por </w:t>
      </w:r>
      <w:r>
        <w:rPr>
          <w:rFonts w:ascii="Arial" w:hAnsi="Arial" w:cs="Arial"/>
          <w:sz w:val="22"/>
          <w:szCs w:val="22"/>
        </w:rPr>
        <w:t>la propia Entidad o Institución solicitante de su carácter público y Memoria demostrativa de que los fines que persigue han de redundar de manera evidente y positiva en beneficio de los habitantes del término municipal.</w:t>
      </w:r>
    </w:p>
    <w:p w:rsidR="009B4233" w:rsidRDefault="006B08B9">
      <w:pPr>
        <w:widowControl/>
        <w:numPr>
          <w:ilvl w:val="0"/>
          <w:numId w:val="75"/>
        </w:numPr>
        <w:suppressAutoHyphens w:val="0"/>
        <w:spacing w:line="249" w:lineRule="auto"/>
        <w:ind w:right="1" w:firstLine="360"/>
        <w:jc w:val="both"/>
        <w:textAlignment w:val="auto"/>
        <w:rPr>
          <w:rFonts w:ascii="Arial" w:hAnsi="Arial" w:cs="Arial"/>
          <w:sz w:val="22"/>
          <w:szCs w:val="22"/>
        </w:rPr>
      </w:pPr>
      <w:r>
        <w:rPr>
          <w:rFonts w:ascii="Arial" w:hAnsi="Arial" w:cs="Arial"/>
          <w:sz w:val="22"/>
          <w:szCs w:val="22"/>
        </w:rPr>
        <w:t>Certificación del Registro de la Pro</w:t>
      </w:r>
      <w:r>
        <w:rPr>
          <w:rFonts w:ascii="Arial" w:hAnsi="Arial" w:cs="Arial"/>
          <w:sz w:val="22"/>
          <w:szCs w:val="22"/>
        </w:rPr>
        <w:t xml:space="preserve">piedad acreditativa de que los bienes se hallan </w:t>
      </w:r>
    </w:p>
    <w:p w:rsidR="009B4233" w:rsidRDefault="006B08B9">
      <w:pPr>
        <w:spacing w:after="316"/>
        <w:ind w:right="1"/>
        <w:rPr>
          <w:rFonts w:ascii="Arial" w:hAnsi="Arial" w:cs="Arial"/>
          <w:sz w:val="22"/>
          <w:szCs w:val="22"/>
        </w:rPr>
      </w:pPr>
      <w:r>
        <w:rPr>
          <w:rFonts w:ascii="Arial" w:hAnsi="Arial" w:cs="Arial"/>
          <w:sz w:val="22"/>
          <w:szCs w:val="22"/>
        </w:rPr>
        <w:t>debidamente inscritos en concepto de patrimoniales de la Entidad local.</w:t>
      </w:r>
    </w:p>
    <w:p w:rsidR="009B4233" w:rsidRDefault="006B08B9">
      <w:pPr>
        <w:widowControl/>
        <w:numPr>
          <w:ilvl w:val="0"/>
          <w:numId w:val="75"/>
        </w:numPr>
        <w:suppressAutoHyphens w:val="0"/>
        <w:spacing w:after="3" w:line="264" w:lineRule="auto"/>
        <w:ind w:right="1" w:firstLine="360"/>
        <w:jc w:val="both"/>
        <w:textAlignment w:val="auto"/>
        <w:rPr>
          <w:rFonts w:ascii="Arial" w:hAnsi="Arial" w:cs="Arial"/>
          <w:sz w:val="22"/>
          <w:szCs w:val="22"/>
        </w:rPr>
      </w:pPr>
      <w:r>
        <w:rPr>
          <w:rFonts w:ascii="Arial" w:hAnsi="Arial" w:cs="Arial"/>
          <w:sz w:val="22"/>
          <w:szCs w:val="22"/>
        </w:rPr>
        <w:t>Certificación del Secretario de la Corporación en la que conste que los bienes figuran en el inventario aprobado por la Corporación con</w:t>
      </w:r>
      <w:r>
        <w:rPr>
          <w:rFonts w:ascii="Arial" w:hAnsi="Arial" w:cs="Arial"/>
          <w:sz w:val="22"/>
          <w:szCs w:val="22"/>
        </w:rPr>
        <w:t xml:space="preserve"> la antedicha calificación jurídica.</w:t>
      </w:r>
    </w:p>
    <w:p w:rsidR="009B4233" w:rsidRDefault="006B08B9">
      <w:pPr>
        <w:widowControl/>
        <w:numPr>
          <w:ilvl w:val="0"/>
          <w:numId w:val="75"/>
        </w:numPr>
        <w:suppressAutoHyphens w:val="0"/>
        <w:spacing w:line="249" w:lineRule="auto"/>
        <w:ind w:right="1" w:firstLine="360"/>
        <w:jc w:val="both"/>
        <w:textAlignment w:val="auto"/>
        <w:rPr>
          <w:rFonts w:ascii="Arial" w:hAnsi="Arial" w:cs="Arial"/>
          <w:sz w:val="22"/>
          <w:szCs w:val="22"/>
        </w:rPr>
      </w:pPr>
      <w:r>
        <w:rPr>
          <w:rFonts w:ascii="Arial" w:hAnsi="Arial" w:cs="Arial"/>
          <w:sz w:val="22"/>
          <w:szCs w:val="22"/>
        </w:rPr>
        <w:t xml:space="preserve">Informe del Interventor de fondos en el que pruebe no haber deuda pendiente de </w:t>
      </w:r>
    </w:p>
    <w:p w:rsidR="009B4233" w:rsidRDefault="006B08B9">
      <w:pPr>
        <w:spacing w:after="318"/>
        <w:ind w:right="1"/>
        <w:rPr>
          <w:rFonts w:ascii="Arial" w:hAnsi="Arial" w:cs="Arial"/>
          <w:sz w:val="22"/>
          <w:szCs w:val="22"/>
        </w:rPr>
      </w:pPr>
      <w:r>
        <w:rPr>
          <w:rFonts w:ascii="Arial" w:hAnsi="Arial" w:cs="Arial"/>
          <w:sz w:val="22"/>
          <w:szCs w:val="22"/>
        </w:rPr>
        <w:t>liquidación con cargo al presupuesto municipal.</w:t>
      </w:r>
    </w:p>
    <w:p w:rsidR="009B4233" w:rsidRDefault="006B08B9">
      <w:pPr>
        <w:widowControl/>
        <w:numPr>
          <w:ilvl w:val="0"/>
          <w:numId w:val="75"/>
        </w:numPr>
        <w:suppressAutoHyphens w:val="0"/>
        <w:spacing w:after="323" w:line="264" w:lineRule="auto"/>
        <w:ind w:right="1" w:firstLine="360"/>
        <w:jc w:val="both"/>
        <w:textAlignment w:val="auto"/>
        <w:rPr>
          <w:rFonts w:ascii="Arial" w:hAnsi="Arial" w:cs="Arial"/>
          <w:sz w:val="22"/>
          <w:szCs w:val="22"/>
        </w:rPr>
      </w:pPr>
      <w:r>
        <w:rPr>
          <w:rFonts w:ascii="Arial" w:hAnsi="Arial" w:cs="Arial"/>
          <w:sz w:val="22"/>
          <w:szCs w:val="22"/>
        </w:rPr>
        <w:t>Dictamen suscrito por técnico que asevere que los bienes no se hallan comprendidos en ningú</w:t>
      </w:r>
      <w:r>
        <w:rPr>
          <w:rFonts w:ascii="Arial" w:hAnsi="Arial" w:cs="Arial"/>
          <w:sz w:val="22"/>
          <w:szCs w:val="22"/>
        </w:rPr>
        <w:t>n plan de ordenación, reforma o adaptación, no son necesarios para la Entidad local ni es previsible que lo sean en los diez años inmediatos.</w:t>
      </w:r>
    </w:p>
    <w:p w:rsidR="009B4233" w:rsidRDefault="006B08B9">
      <w:pPr>
        <w:widowControl/>
        <w:numPr>
          <w:ilvl w:val="0"/>
          <w:numId w:val="75"/>
        </w:numPr>
        <w:suppressAutoHyphens w:val="0"/>
        <w:spacing w:after="498" w:line="264" w:lineRule="auto"/>
        <w:ind w:right="1" w:firstLine="360"/>
        <w:jc w:val="both"/>
        <w:textAlignment w:val="auto"/>
        <w:rPr>
          <w:rFonts w:ascii="Arial" w:hAnsi="Arial" w:cs="Arial"/>
          <w:sz w:val="22"/>
          <w:szCs w:val="22"/>
        </w:rPr>
      </w:pPr>
      <w:r>
        <w:rPr>
          <w:rFonts w:ascii="Arial" w:hAnsi="Arial" w:cs="Arial"/>
          <w:sz w:val="22"/>
          <w:szCs w:val="22"/>
        </w:rPr>
        <w:t>Información pública por plazo no inferior a quince días.</w:t>
      </w:r>
    </w:p>
    <w:p w:rsidR="009B4233" w:rsidRDefault="006B08B9">
      <w:pPr>
        <w:spacing w:after="503"/>
        <w:ind w:right="1" w:firstLine="360"/>
        <w:rPr>
          <w:rFonts w:ascii="Arial" w:hAnsi="Arial" w:cs="Arial"/>
          <w:sz w:val="22"/>
          <w:szCs w:val="22"/>
        </w:rPr>
      </w:pPr>
      <w:r>
        <w:rPr>
          <w:rFonts w:ascii="Arial" w:hAnsi="Arial" w:cs="Arial"/>
          <w:sz w:val="22"/>
          <w:szCs w:val="22"/>
        </w:rPr>
        <w:t>2. La cesión de solares al Organismo competente de promoc</w:t>
      </w:r>
      <w:r>
        <w:rPr>
          <w:rFonts w:ascii="Arial" w:hAnsi="Arial" w:cs="Arial"/>
          <w:sz w:val="22"/>
          <w:szCs w:val="22"/>
        </w:rPr>
        <w:t xml:space="preserve">ión de la vivienda para construir viviendas de protección oficial revestirá, normalmente, la forma de permuta de los terrenos por número equivalente de aquellos que hubieren de edificarse y, cuando esto no fuere posible, la cesión gratuita no precisará el </w:t>
      </w:r>
      <w:r>
        <w:rPr>
          <w:rFonts w:ascii="Arial" w:hAnsi="Arial" w:cs="Arial"/>
          <w:sz w:val="22"/>
          <w:szCs w:val="22"/>
        </w:rPr>
        <w:t>cumplimiento del requisito d) del párrafo precedente.</w:t>
      </w:r>
    </w:p>
    <w:p w:rsidR="009B4233" w:rsidRDefault="006B08B9">
      <w:pPr>
        <w:spacing w:after="318"/>
        <w:ind w:right="1"/>
        <w:rPr>
          <w:rFonts w:ascii="Arial" w:hAnsi="Arial" w:cs="Arial"/>
          <w:sz w:val="22"/>
          <w:szCs w:val="22"/>
        </w:rPr>
      </w:pPr>
      <w:r>
        <w:rPr>
          <w:rFonts w:ascii="Arial" w:hAnsi="Arial" w:cs="Arial"/>
          <w:sz w:val="22"/>
          <w:szCs w:val="22"/>
        </w:rPr>
        <w:t>Art. 111.</w:t>
      </w:r>
    </w:p>
    <w:p w:rsidR="009B4233" w:rsidRDefault="006B08B9">
      <w:pPr>
        <w:widowControl/>
        <w:numPr>
          <w:ilvl w:val="0"/>
          <w:numId w:val="76"/>
        </w:numPr>
        <w:suppressAutoHyphens w:val="0"/>
        <w:spacing w:after="323" w:line="264" w:lineRule="auto"/>
        <w:ind w:right="1" w:firstLine="360"/>
        <w:jc w:val="both"/>
        <w:textAlignment w:val="auto"/>
        <w:rPr>
          <w:rFonts w:ascii="Arial" w:hAnsi="Arial" w:cs="Arial"/>
          <w:sz w:val="22"/>
          <w:szCs w:val="22"/>
        </w:rPr>
      </w:pPr>
      <w:r>
        <w:rPr>
          <w:rFonts w:ascii="Arial" w:hAnsi="Arial" w:cs="Arial"/>
          <w:sz w:val="22"/>
          <w:szCs w:val="22"/>
        </w:rPr>
        <w:t xml:space="preserve">Si los bienes cedidos no fuesen destinados al uso dentro del plazo señalado en el acuerdo de cesión o dejasen de serlo posteriormente se considerará resuelta la cesión y revertirán aquéllos a </w:t>
      </w:r>
      <w:r>
        <w:rPr>
          <w:rFonts w:ascii="Arial" w:hAnsi="Arial" w:cs="Arial"/>
          <w:sz w:val="22"/>
          <w:szCs w:val="22"/>
        </w:rPr>
        <w:t>la Corporación local, la cual tendrá derecho a percibir de la Entidad beneficiaria, previa tasación pericial, el valor de los detrimentos experimentados por los bienes cedidos.</w:t>
      </w:r>
    </w:p>
    <w:p w:rsidR="009B4233" w:rsidRDefault="006B08B9">
      <w:pPr>
        <w:widowControl/>
        <w:numPr>
          <w:ilvl w:val="0"/>
          <w:numId w:val="76"/>
        </w:numPr>
        <w:suppressAutoHyphens w:val="0"/>
        <w:spacing w:after="325" w:line="264" w:lineRule="auto"/>
        <w:ind w:right="1" w:firstLine="360"/>
        <w:jc w:val="both"/>
        <w:textAlignment w:val="auto"/>
        <w:rPr>
          <w:rFonts w:ascii="Arial" w:hAnsi="Arial" w:cs="Arial"/>
          <w:sz w:val="22"/>
          <w:szCs w:val="22"/>
        </w:rPr>
      </w:pPr>
      <w:r>
        <w:rPr>
          <w:rFonts w:ascii="Arial" w:hAnsi="Arial" w:cs="Arial"/>
          <w:sz w:val="22"/>
          <w:szCs w:val="22"/>
        </w:rPr>
        <w:t>Si en el acuerdo de cesión no se estipula otra cosa, se entenderá que los fines</w:t>
      </w:r>
      <w:r>
        <w:rPr>
          <w:rFonts w:ascii="Arial" w:hAnsi="Arial" w:cs="Arial"/>
          <w:sz w:val="22"/>
          <w:szCs w:val="22"/>
        </w:rPr>
        <w:t xml:space="preserve"> para los cuales se hubieran otorgado deberán cumplirse en el plazo máximo de cinco años, debiendo mantenerse su destino durante los treinta años siguientes.</w:t>
      </w:r>
    </w:p>
    <w:p w:rsidR="009B4233" w:rsidRDefault="006B08B9">
      <w:pPr>
        <w:widowControl/>
        <w:numPr>
          <w:ilvl w:val="0"/>
          <w:numId w:val="76"/>
        </w:numPr>
        <w:suppressAutoHyphens w:val="0"/>
        <w:spacing w:after="145" w:line="264" w:lineRule="auto"/>
        <w:ind w:right="1" w:firstLine="360"/>
        <w:jc w:val="both"/>
        <w:textAlignment w:val="auto"/>
        <w:rPr>
          <w:rFonts w:ascii="Arial" w:hAnsi="Arial" w:cs="Arial"/>
          <w:sz w:val="22"/>
          <w:szCs w:val="22"/>
        </w:rPr>
      </w:pPr>
      <w:r>
        <w:rPr>
          <w:rFonts w:ascii="Arial" w:hAnsi="Arial" w:cs="Arial"/>
          <w:sz w:val="22"/>
          <w:szCs w:val="22"/>
        </w:rPr>
        <w:t xml:space="preserve">Los bienes cedidos revertirán, en su caso, al Patrimonio de la Entidad cedente con todas sus </w:t>
      </w:r>
      <w:r>
        <w:rPr>
          <w:rFonts w:ascii="Arial" w:hAnsi="Arial" w:cs="Arial"/>
          <w:sz w:val="22"/>
          <w:szCs w:val="22"/>
        </w:rPr>
        <w:t>pertenencias y accesiones.</w:t>
      </w:r>
    </w:p>
    <w:p w:rsidR="009B4233" w:rsidRDefault="006B08B9">
      <w:pPr>
        <w:spacing w:after="247"/>
        <w:ind w:right="1" w:firstLine="708"/>
        <w:rPr>
          <w:rFonts w:ascii="Arial" w:hAnsi="Arial" w:cs="Arial"/>
          <w:sz w:val="22"/>
          <w:szCs w:val="22"/>
        </w:rPr>
      </w:pPr>
      <w:r>
        <w:rPr>
          <w:rFonts w:ascii="Arial" w:hAnsi="Arial" w:cs="Arial"/>
          <w:sz w:val="22"/>
          <w:szCs w:val="22"/>
        </w:rPr>
        <w:t>En el presente expediente, los trámites de la cesión gratuita sólo serían precisos aplicar cuando hubiera que traspasar  la titularidad de los bienes municipales a favor del Cabildo Insular de Tenerife, por el contrario en el pre</w:t>
      </w:r>
      <w:r>
        <w:rPr>
          <w:rFonts w:ascii="Arial" w:hAnsi="Arial" w:cs="Arial"/>
          <w:sz w:val="22"/>
          <w:szCs w:val="22"/>
        </w:rPr>
        <w:t xml:space="preserve">sente caso la propiedad de los bienes revierten al Ayuntamiento, una vez ejecutado el proyecto de obra, por lo que  sólo se pone a disposición del Cabildo Insular de Tenerife varias parcelas municipales con el objeto de ejecutar por parte de ese Organismo </w:t>
      </w:r>
      <w:r>
        <w:rPr>
          <w:rFonts w:ascii="Arial" w:hAnsi="Arial" w:cs="Arial"/>
          <w:sz w:val="22"/>
          <w:szCs w:val="22"/>
        </w:rPr>
        <w:t>el proyecto denominado “remodelación de plaza de la Patrona”.</w:t>
      </w:r>
    </w:p>
    <w:p w:rsidR="009B4233" w:rsidRDefault="006B08B9">
      <w:pPr>
        <w:spacing w:after="114"/>
        <w:ind w:right="1"/>
        <w:rPr>
          <w:rFonts w:ascii="Arial" w:hAnsi="Arial" w:cs="Arial"/>
          <w:sz w:val="22"/>
          <w:szCs w:val="22"/>
        </w:rPr>
      </w:pPr>
      <w:r>
        <w:rPr>
          <w:rFonts w:ascii="Arial" w:hAnsi="Arial" w:cs="Arial"/>
          <w:sz w:val="22"/>
          <w:szCs w:val="22"/>
        </w:rPr>
        <w:t>Vista la Ley 7/1985, de 2 de abril, Reguladora de las Bases del Régimen Local.</w:t>
      </w:r>
    </w:p>
    <w:p w:rsidR="009B4233" w:rsidRDefault="006B08B9">
      <w:pPr>
        <w:spacing w:after="114"/>
        <w:ind w:right="1"/>
        <w:rPr>
          <w:rFonts w:ascii="Arial" w:hAnsi="Arial" w:cs="Arial"/>
          <w:sz w:val="22"/>
          <w:szCs w:val="22"/>
        </w:rPr>
      </w:pPr>
      <w:r>
        <w:rPr>
          <w:rFonts w:ascii="Arial" w:hAnsi="Arial" w:cs="Arial"/>
          <w:sz w:val="22"/>
          <w:szCs w:val="22"/>
        </w:rPr>
        <w:t>Artículo 33. 2. Corresponde en todo caso al Pleno: ñ) Aquellas atribuciones que deban corresponder al Pleno por exi</w:t>
      </w:r>
      <w:r>
        <w:rPr>
          <w:rFonts w:ascii="Arial" w:hAnsi="Arial" w:cs="Arial"/>
          <w:sz w:val="22"/>
          <w:szCs w:val="22"/>
        </w:rPr>
        <w:t xml:space="preserve">gir su aprobación una mayoría especial. </w:t>
      </w:r>
    </w:p>
    <w:p w:rsidR="009B4233" w:rsidRDefault="006B08B9">
      <w:pPr>
        <w:spacing w:after="114"/>
        <w:ind w:right="1"/>
        <w:rPr>
          <w:rFonts w:ascii="Arial" w:hAnsi="Arial" w:cs="Arial"/>
          <w:sz w:val="22"/>
          <w:szCs w:val="22"/>
        </w:rPr>
      </w:pPr>
      <w:r>
        <w:rPr>
          <w:rFonts w:ascii="Arial" w:hAnsi="Arial" w:cs="Arial"/>
          <w:sz w:val="22"/>
          <w:szCs w:val="22"/>
        </w:rPr>
        <w:t>En base a los antecedentes de hecho y fundamentos de Derecho expuestos, se emite la siguiente</w:t>
      </w:r>
    </w:p>
    <w:p w:rsidR="009B4233" w:rsidRDefault="006B08B9">
      <w:pPr>
        <w:pStyle w:val="Ttulo2"/>
        <w:ind w:left="712" w:right="707"/>
        <w:jc w:val="center"/>
        <w:rPr>
          <w:rFonts w:ascii="Arial" w:hAnsi="Arial" w:cs="Arial"/>
          <w:sz w:val="22"/>
          <w:szCs w:val="22"/>
        </w:rPr>
      </w:pPr>
      <w:r>
        <w:rPr>
          <w:rFonts w:ascii="Arial" w:hAnsi="Arial" w:cs="Arial"/>
          <w:sz w:val="22"/>
          <w:szCs w:val="22"/>
        </w:rPr>
        <w:t>INFORME-PROPUESTA DE RESOLUCIÓN</w:t>
      </w:r>
    </w:p>
    <w:p w:rsidR="009B4233" w:rsidRDefault="006B08B9">
      <w:pPr>
        <w:spacing w:after="114"/>
        <w:ind w:right="1"/>
        <w:jc w:val="both"/>
      </w:pPr>
      <w:r>
        <w:rPr>
          <w:rFonts w:ascii="Arial" w:eastAsia="Calibri" w:hAnsi="Arial" w:cs="Arial"/>
          <w:b/>
          <w:sz w:val="22"/>
          <w:szCs w:val="22"/>
        </w:rPr>
        <w:t xml:space="preserve">Primero.- </w:t>
      </w:r>
      <w:r>
        <w:rPr>
          <w:rFonts w:ascii="Arial" w:hAnsi="Arial" w:cs="Arial"/>
          <w:sz w:val="22"/>
          <w:szCs w:val="22"/>
        </w:rPr>
        <w:t xml:space="preserve">Prestar conformidad al </w:t>
      </w:r>
      <w:r>
        <w:rPr>
          <w:rFonts w:ascii="Arial" w:eastAsia="Calibri" w:hAnsi="Arial" w:cs="Arial"/>
          <w:b/>
          <w:sz w:val="22"/>
          <w:szCs w:val="22"/>
        </w:rPr>
        <w:t>Modificado nº 1 del Proyecto Remodelación de la Plaza de</w:t>
      </w:r>
      <w:r>
        <w:rPr>
          <w:rFonts w:ascii="Arial" w:eastAsia="Calibri" w:hAnsi="Arial" w:cs="Arial"/>
          <w:b/>
          <w:sz w:val="22"/>
          <w:szCs w:val="22"/>
        </w:rPr>
        <w:t xml:space="preserve"> la Patrona de Canarias, canalización de cauce e implantación de conducciones hidráulicas (sectores 1, 2 y 3), </w:t>
      </w:r>
      <w:r>
        <w:rPr>
          <w:rFonts w:ascii="Arial" w:hAnsi="Arial" w:cs="Arial"/>
          <w:sz w:val="22"/>
          <w:szCs w:val="22"/>
        </w:rPr>
        <w:t xml:space="preserve">en el término municipal de Candelaria, una vez comprobada por los técnicos municipales la compatibilidad urbanística del proyecto presentado con </w:t>
      </w:r>
      <w:r>
        <w:rPr>
          <w:rFonts w:ascii="Arial" w:hAnsi="Arial" w:cs="Arial"/>
          <w:sz w:val="22"/>
          <w:szCs w:val="22"/>
        </w:rPr>
        <w:t>el Plan General de Ordenación, condicionado a cuantos informes sectoriales le sea de aplicación, en especial a los emitidos por la Comisión Insular de Patrimonio Histórico del Excmo. Cabildo Insular de Tenerife, Consejo Insular de aguas y Demarcación de Co</w:t>
      </w:r>
      <w:r>
        <w:rPr>
          <w:rFonts w:ascii="Arial" w:hAnsi="Arial" w:cs="Arial"/>
          <w:sz w:val="22"/>
          <w:szCs w:val="22"/>
        </w:rPr>
        <w:t>stas.</w:t>
      </w:r>
    </w:p>
    <w:p w:rsidR="009B4233" w:rsidRDefault="006B08B9">
      <w:pPr>
        <w:spacing w:after="203"/>
        <w:ind w:right="1"/>
        <w:jc w:val="both"/>
      </w:pPr>
      <w:r>
        <w:rPr>
          <w:rFonts w:ascii="Arial" w:eastAsia="Calibri" w:hAnsi="Arial" w:cs="Arial"/>
          <w:b/>
          <w:sz w:val="22"/>
          <w:szCs w:val="22"/>
        </w:rPr>
        <w:t xml:space="preserve">Segundo.- </w:t>
      </w:r>
      <w:r>
        <w:rPr>
          <w:rFonts w:ascii="Arial" w:hAnsi="Arial" w:cs="Arial"/>
          <w:sz w:val="22"/>
          <w:szCs w:val="22"/>
        </w:rPr>
        <w:t>Aprobar la cesión temporal de uso de los siguientes bienes inmuebles de propiedad municipal según ficha descrita en el presente informe:</w:t>
      </w:r>
    </w:p>
    <w:tbl>
      <w:tblPr>
        <w:tblW w:w="8232" w:type="dxa"/>
        <w:tblInd w:w="276" w:type="dxa"/>
        <w:tblCellMar>
          <w:left w:w="10" w:type="dxa"/>
          <w:right w:w="10" w:type="dxa"/>
        </w:tblCellMar>
        <w:tblLook w:val="0000" w:firstRow="0" w:lastRow="0" w:firstColumn="0" w:lastColumn="0" w:noHBand="0" w:noVBand="0"/>
      </w:tblPr>
      <w:tblGrid>
        <w:gridCol w:w="3956"/>
        <w:gridCol w:w="4276"/>
      </w:tblGrid>
      <w:tr w:rsidR="009B4233">
        <w:tblPrEx>
          <w:tblCellMar>
            <w:top w:w="0" w:type="dxa"/>
            <w:bottom w:w="0" w:type="dxa"/>
          </w:tblCellMar>
        </w:tblPrEx>
        <w:trPr>
          <w:trHeight w:val="382"/>
        </w:trPr>
        <w:tc>
          <w:tcPr>
            <w:tcW w:w="3956" w:type="dxa"/>
            <w:tcBorders>
              <w:top w:val="single" w:sz="4" w:space="0" w:color="000000"/>
              <w:left w:val="single" w:sz="4" w:space="0" w:color="000000"/>
              <w:bottom w:val="single" w:sz="4" w:space="0" w:color="000000"/>
              <w:right w:val="single" w:sz="4" w:space="0" w:color="000000"/>
            </w:tcBorders>
            <w:shd w:val="clear" w:color="auto" w:fill="auto"/>
            <w:tcMar>
              <w:top w:w="70" w:type="dxa"/>
              <w:left w:w="115" w:type="dxa"/>
              <w:bottom w:w="0" w:type="dxa"/>
              <w:right w:w="115" w:type="dxa"/>
            </w:tcMar>
          </w:tcPr>
          <w:p w:rsidR="009B4233" w:rsidRDefault="006B08B9">
            <w:pPr>
              <w:spacing w:line="249" w:lineRule="auto"/>
              <w:ind w:left="1"/>
              <w:jc w:val="center"/>
            </w:pPr>
            <w:r>
              <w:rPr>
                <w:rFonts w:ascii="Arial" w:eastAsia="Calibri" w:hAnsi="Arial" w:cs="Arial"/>
                <w:b/>
                <w:sz w:val="22"/>
                <w:szCs w:val="22"/>
              </w:rPr>
              <w:t>Nº INVENTARIO MUNICIPAL</w:t>
            </w:r>
          </w:p>
        </w:tc>
        <w:tc>
          <w:tcPr>
            <w:tcW w:w="4276" w:type="dxa"/>
            <w:tcBorders>
              <w:top w:val="single" w:sz="4" w:space="0" w:color="000000"/>
              <w:left w:val="single" w:sz="4" w:space="0" w:color="000000"/>
              <w:bottom w:val="single" w:sz="4" w:space="0" w:color="000000"/>
              <w:right w:val="single" w:sz="4" w:space="0" w:color="000000"/>
            </w:tcBorders>
            <w:shd w:val="clear" w:color="auto" w:fill="auto"/>
            <w:tcMar>
              <w:top w:w="70" w:type="dxa"/>
              <w:left w:w="115" w:type="dxa"/>
              <w:bottom w:w="0" w:type="dxa"/>
              <w:right w:w="115" w:type="dxa"/>
            </w:tcMar>
          </w:tcPr>
          <w:p w:rsidR="009B4233" w:rsidRDefault="006B08B9">
            <w:pPr>
              <w:spacing w:line="249" w:lineRule="auto"/>
              <w:ind w:left="6"/>
              <w:jc w:val="center"/>
            </w:pPr>
            <w:r>
              <w:rPr>
                <w:rFonts w:ascii="Arial" w:eastAsia="Calibri" w:hAnsi="Arial" w:cs="Arial"/>
                <w:b/>
                <w:sz w:val="22"/>
                <w:szCs w:val="22"/>
              </w:rPr>
              <w:t>DENOMINACION</w:t>
            </w:r>
          </w:p>
        </w:tc>
      </w:tr>
      <w:tr w:rsidR="009B4233">
        <w:tblPrEx>
          <w:tblCellMar>
            <w:top w:w="0" w:type="dxa"/>
            <w:bottom w:w="0" w:type="dxa"/>
          </w:tblCellMar>
        </w:tblPrEx>
        <w:trPr>
          <w:trHeight w:val="396"/>
        </w:trPr>
        <w:tc>
          <w:tcPr>
            <w:tcW w:w="3956" w:type="dxa"/>
            <w:tcBorders>
              <w:top w:val="single" w:sz="4" w:space="0" w:color="000000"/>
              <w:left w:val="single" w:sz="4" w:space="0" w:color="000000"/>
              <w:bottom w:val="single" w:sz="4" w:space="0" w:color="000000"/>
              <w:right w:val="single" w:sz="4" w:space="0" w:color="000000"/>
            </w:tcBorders>
            <w:shd w:val="clear" w:color="auto" w:fill="auto"/>
            <w:tcMar>
              <w:top w:w="70" w:type="dxa"/>
              <w:left w:w="115" w:type="dxa"/>
              <w:bottom w:w="0" w:type="dxa"/>
              <w:right w:w="115" w:type="dxa"/>
            </w:tcMar>
          </w:tcPr>
          <w:p w:rsidR="009B4233" w:rsidRDefault="006B08B9">
            <w:pPr>
              <w:spacing w:line="249" w:lineRule="auto"/>
              <w:ind w:left="6"/>
              <w:jc w:val="center"/>
              <w:rPr>
                <w:rFonts w:ascii="Arial" w:hAnsi="Arial" w:cs="Arial"/>
                <w:sz w:val="22"/>
                <w:szCs w:val="22"/>
              </w:rPr>
            </w:pPr>
            <w:r>
              <w:rPr>
                <w:rFonts w:ascii="Arial" w:hAnsi="Arial" w:cs="Arial"/>
                <w:sz w:val="22"/>
                <w:szCs w:val="22"/>
              </w:rPr>
              <w:t>14/37</w:t>
            </w:r>
          </w:p>
        </w:tc>
        <w:tc>
          <w:tcPr>
            <w:tcW w:w="4276" w:type="dxa"/>
            <w:tcBorders>
              <w:top w:val="single" w:sz="4" w:space="0" w:color="000000"/>
              <w:left w:val="single" w:sz="4" w:space="0" w:color="000000"/>
              <w:bottom w:val="single" w:sz="4" w:space="0" w:color="000000"/>
              <w:right w:val="single" w:sz="4" w:space="0" w:color="000000"/>
            </w:tcBorders>
            <w:shd w:val="clear" w:color="auto" w:fill="auto"/>
            <w:tcMar>
              <w:top w:w="70" w:type="dxa"/>
              <w:left w:w="115" w:type="dxa"/>
              <w:bottom w:w="0" w:type="dxa"/>
              <w:right w:w="115" w:type="dxa"/>
            </w:tcMar>
          </w:tcPr>
          <w:p w:rsidR="009B4233" w:rsidRDefault="006B08B9">
            <w:pPr>
              <w:spacing w:line="249" w:lineRule="auto"/>
              <w:ind w:left="2"/>
              <w:jc w:val="center"/>
              <w:rPr>
                <w:rFonts w:ascii="Arial" w:hAnsi="Arial" w:cs="Arial"/>
                <w:sz w:val="22"/>
                <w:szCs w:val="22"/>
              </w:rPr>
            </w:pPr>
            <w:r>
              <w:rPr>
                <w:rFonts w:ascii="Arial" w:hAnsi="Arial" w:cs="Arial"/>
                <w:sz w:val="22"/>
                <w:szCs w:val="22"/>
              </w:rPr>
              <w:t>CALLE LA MAGDALENA</w:t>
            </w:r>
          </w:p>
        </w:tc>
      </w:tr>
    </w:tbl>
    <w:p w:rsidR="009B4233" w:rsidRDefault="006B08B9">
      <w:pPr>
        <w:spacing w:after="83"/>
        <w:ind w:right="1"/>
        <w:jc w:val="both"/>
      </w:pPr>
      <w:r>
        <w:rPr>
          <w:rFonts w:ascii="Arial" w:eastAsia="Calibri" w:hAnsi="Arial" w:cs="Arial"/>
          <w:b/>
          <w:sz w:val="22"/>
          <w:szCs w:val="22"/>
        </w:rPr>
        <w:t xml:space="preserve">Tercero.- </w:t>
      </w:r>
      <w:r>
        <w:rPr>
          <w:rFonts w:ascii="Arial" w:hAnsi="Arial" w:cs="Arial"/>
          <w:sz w:val="22"/>
          <w:szCs w:val="22"/>
        </w:rPr>
        <w:t xml:space="preserve"> Poner a disposición del </w:t>
      </w:r>
      <w:r>
        <w:rPr>
          <w:rFonts w:ascii="Arial" w:hAnsi="Arial" w:cs="Arial"/>
          <w:sz w:val="22"/>
          <w:szCs w:val="22"/>
        </w:rPr>
        <w:t>Cabildo Insular de Tenerife de los bienes descritos en el informe técnico emitido por la Arquitecta municipal con fecha 16 de septiembre de 2025, con el objeto de destinarlos a la ejecución del “</w:t>
      </w:r>
      <w:r>
        <w:rPr>
          <w:rFonts w:ascii="Arial" w:eastAsia="Calibri" w:hAnsi="Arial" w:cs="Arial"/>
          <w:b/>
          <w:sz w:val="22"/>
          <w:szCs w:val="22"/>
        </w:rPr>
        <w:t>Modificado nº 1 del Proyecto Remodelación de la Plaza de la P</w:t>
      </w:r>
      <w:r>
        <w:rPr>
          <w:rFonts w:ascii="Arial" w:eastAsia="Calibri" w:hAnsi="Arial" w:cs="Arial"/>
          <w:b/>
          <w:sz w:val="22"/>
          <w:szCs w:val="22"/>
        </w:rPr>
        <w:t>atrona de Canarias, canalización de cauce e implantación de conducciones hidráulicas (sectores 1, 2 y 3)”</w:t>
      </w:r>
    </w:p>
    <w:p w:rsidR="009B4233" w:rsidRDefault="006B08B9">
      <w:pPr>
        <w:spacing w:after="83"/>
        <w:ind w:right="1"/>
        <w:jc w:val="both"/>
      </w:pPr>
      <w:r>
        <w:rPr>
          <w:rFonts w:ascii="Arial" w:eastAsia="Calibri" w:hAnsi="Arial" w:cs="Arial"/>
          <w:b/>
          <w:sz w:val="22"/>
          <w:szCs w:val="22"/>
        </w:rPr>
        <w:t xml:space="preserve">Cuarto.- </w:t>
      </w:r>
      <w:r>
        <w:rPr>
          <w:rFonts w:ascii="Arial" w:hAnsi="Arial" w:cs="Arial"/>
          <w:sz w:val="22"/>
          <w:szCs w:val="22"/>
        </w:rPr>
        <w:t>Facultar a la Alcaldía para la firma de documentación que se derive en la ejecución del Acuerdo que se adopte.</w:t>
      </w:r>
    </w:p>
    <w:p w:rsidR="009B4233" w:rsidRDefault="006B08B9">
      <w:pPr>
        <w:spacing w:after="330"/>
        <w:ind w:right="1"/>
        <w:jc w:val="both"/>
      </w:pPr>
      <w:r>
        <w:rPr>
          <w:rFonts w:ascii="Arial" w:eastAsia="Calibri" w:hAnsi="Arial" w:cs="Arial"/>
          <w:b/>
          <w:sz w:val="22"/>
          <w:szCs w:val="22"/>
        </w:rPr>
        <w:t xml:space="preserve">Quinto.- </w:t>
      </w:r>
      <w:r>
        <w:rPr>
          <w:rFonts w:ascii="Arial" w:hAnsi="Arial" w:cs="Arial"/>
          <w:sz w:val="22"/>
          <w:szCs w:val="22"/>
        </w:rPr>
        <w:t xml:space="preserve">Notificar la </w:t>
      </w:r>
      <w:r>
        <w:rPr>
          <w:rFonts w:ascii="Arial" w:hAnsi="Arial" w:cs="Arial"/>
          <w:sz w:val="22"/>
          <w:szCs w:val="22"/>
        </w:rPr>
        <w:t>resolución al Cabildo Insular de Tenerife..”.</w:t>
      </w:r>
    </w:p>
    <w:p w:rsidR="009B4233" w:rsidRDefault="006B08B9">
      <w:pPr>
        <w:spacing w:after="709"/>
        <w:ind w:right="1" w:firstLine="708"/>
        <w:rPr>
          <w:rFonts w:ascii="Arial" w:hAnsi="Arial" w:cs="Arial"/>
          <w:sz w:val="22"/>
          <w:szCs w:val="22"/>
        </w:rPr>
      </w:pPr>
      <w:r>
        <w:rPr>
          <w:rFonts w:ascii="Arial" w:hAnsi="Arial" w:cs="Arial"/>
          <w:sz w:val="22"/>
          <w:szCs w:val="22"/>
        </w:rPr>
        <w:t>Por lo que se eleva a esta propuesta al Pleno del Ayuntamiento, que resolverá como mejor proceda.</w:t>
      </w:r>
    </w:p>
    <w:p w:rsidR="009B4233" w:rsidRDefault="006B08B9">
      <w:pPr>
        <w:ind w:firstLine="709"/>
        <w:jc w:val="both"/>
        <w:rPr>
          <w:rFonts w:ascii="Arial" w:hAnsi="Arial" w:cs="Arial"/>
          <w:b/>
          <w:sz w:val="22"/>
          <w:szCs w:val="22"/>
        </w:rPr>
      </w:pPr>
      <w:r>
        <w:rPr>
          <w:rFonts w:ascii="Arial" w:hAnsi="Arial" w:cs="Arial"/>
          <w:b/>
          <w:sz w:val="22"/>
          <w:szCs w:val="22"/>
        </w:rPr>
        <w:t>DICTAMEN FAVORABLE DE LA COMISIÓN INFORMATIVA DE URBANISMO, OBRAS Y SERVICIOS PÚBLICOS DE 29 DE SEPTIEMBRE DE 20</w:t>
      </w:r>
      <w:r>
        <w:rPr>
          <w:rFonts w:ascii="Arial" w:hAnsi="Arial" w:cs="Arial"/>
          <w:b/>
          <w:sz w:val="22"/>
          <w:szCs w:val="22"/>
        </w:rPr>
        <w:t xml:space="preserve">25. </w:t>
      </w:r>
    </w:p>
    <w:p w:rsidR="009B4233" w:rsidRDefault="009B4233">
      <w:pPr>
        <w:jc w:val="both"/>
        <w:rPr>
          <w:rFonts w:ascii="Arial" w:hAnsi="Arial" w:cs="Arial"/>
          <w:b/>
          <w:sz w:val="22"/>
          <w:szCs w:val="22"/>
        </w:rPr>
      </w:pPr>
    </w:p>
    <w:p w:rsidR="009B4233" w:rsidRDefault="006B08B9">
      <w:pPr>
        <w:ind w:firstLine="709"/>
        <w:jc w:val="both"/>
        <w:rPr>
          <w:rFonts w:ascii="Arial" w:hAnsi="Arial" w:cs="Arial"/>
          <w:b/>
          <w:sz w:val="22"/>
          <w:szCs w:val="22"/>
        </w:rPr>
      </w:pPr>
      <w:r>
        <w:rPr>
          <w:rFonts w:ascii="Arial" w:hAnsi="Arial" w:cs="Arial"/>
          <w:b/>
          <w:sz w:val="22"/>
          <w:szCs w:val="22"/>
        </w:rPr>
        <w:t>Previa ratificación de la urgencia, por la unanimidad de los concejales presentes, se pasó al debate y votación del asunto en comisión con el siguiente resultado de aprobación del dictamen:</w:t>
      </w:r>
    </w:p>
    <w:p w:rsidR="009B4233" w:rsidRDefault="009B4233">
      <w:pPr>
        <w:jc w:val="both"/>
        <w:rPr>
          <w:rFonts w:ascii="Arial" w:hAnsi="Arial" w:cs="Arial"/>
          <w:b/>
          <w:sz w:val="22"/>
          <w:szCs w:val="22"/>
        </w:rPr>
      </w:pPr>
    </w:p>
    <w:p w:rsidR="009B4233" w:rsidRDefault="006B08B9">
      <w:pPr>
        <w:rPr>
          <w:rFonts w:ascii="Arial" w:hAnsi="Arial" w:cs="Arial"/>
          <w:sz w:val="22"/>
          <w:szCs w:val="22"/>
        </w:rPr>
      </w:pPr>
      <w:r>
        <w:rPr>
          <w:rFonts w:ascii="Arial" w:hAnsi="Arial" w:cs="Arial"/>
          <w:sz w:val="22"/>
          <w:szCs w:val="22"/>
        </w:rPr>
        <w:t>Votos a favor: 4.</w:t>
      </w:r>
    </w:p>
    <w:p w:rsidR="009B4233" w:rsidRDefault="006B08B9">
      <w:pPr>
        <w:jc w:val="both"/>
        <w:rPr>
          <w:rFonts w:ascii="Arial" w:hAnsi="Arial" w:cs="Arial"/>
          <w:sz w:val="22"/>
          <w:szCs w:val="22"/>
        </w:rPr>
      </w:pPr>
      <w:r>
        <w:rPr>
          <w:rFonts w:ascii="Arial" w:hAnsi="Arial" w:cs="Arial"/>
          <w:sz w:val="22"/>
          <w:szCs w:val="22"/>
        </w:rPr>
        <w:t>Los 4 concejales del Grupo Socialista: D.</w:t>
      </w:r>
      <w:r>
        <w:rPr>
          <w:rFonts w:ascii="Arial" w:hAnsi="Arial" w:cs="Arial"/>
          <w:sz w:val="22"/>
          <w:szCs w:val="22"/>
        </w:rPr>
        <w:t xml:space="preserve"> Reinaldo José Triviño Blanco, Don Jorge Baute Delgado, Doña Margarita Eva Tendero Barroso y Doña Mónica Montserrat Yanes Delgado. </w:t>
      </w:r>
    </w:p>
    <w:p w:rsidR="009B4233" w:rsidRDefault="009B4233">
      <w:pPr>
        <w:jc w:val="both"/>
        <w:rPr>
          <w:rFonts w:ascii="Arial" w:hAnsi="Arial" w:cs="Arial"/>
          <w:sz w:val="22"/>
          <w:szCs w:val="22"/>
        </w:rPr>
      </w:pPr>
    </w:p>
    <w:p w:rsidR="009B4233" w:rsidRDefault="006B08B9">
      <w:pPr>
        <w:jc w:val="both"/>
        <w:rPr>
          <w:rFonts w:ascii="Arial" w:hAnsi="Arial" w:cs="Arial"/>
          <w:sz w:val="22"/>
          <w:szCs w:val="22"/>
        </w:rPr>
      </w:pPr>
      <w:r>
        <w:rPr>
          <w:rFonts w:ascii="Arial" w:hAnsi="Arial" w:cs="Arial"/>
          <w:sz w:val="22"/>
          <w:szCs w:val="22"/>
        </w:rPr>
        <w:t>Votos en contra: 0.</w:t>
      </w:r>
    </w:p>
    <w:p w:rsidR="009B4233" w:rsidRDefault="009B4233">
      <w:pPr>
        <w:jc w:val="both"/>
        <w:rPr>
          <w:rFonts w:ascii="Arial" w:hAnsi="Arial" w:cs="Arial"/>
          <w:sz w:val="22"/>
          <w:szCs w:val="22"/>
        </w:rPr>
      </w:pPr>
    </w:p>
    <w:p w:rsidR="009B4233" w:rsidRDefault="006B08B9">
      <w:pPr>
        <w:jc w:val="both"/>
        <w:rPr>
          <w:rFonts w:ascii="Arial" w:hAnsi="Arial" w:cs="Arial"/>
          <w:sz w:val="22"/>
          <w:szCs w:val="22"/>
        </w:rPr>
      </w:pPr>
      <w:r>
        <w:rPr>
          <w:rFonts w:ascii="Arial" w:hAnsi="Arial" w:cs="Arial"/>
          <w:sz w:val="22"/>
          <w:szCs w:val="22"/>
        </w:rPr>
        <w:t>Abstenciones: 2.</w:t>
      </w:r>
    </w:p>
    <w:p w:rsidR="009B4233" w:rsidRDefault="009B4233">
      <w:pPr>
        <w:rPr>
          <w:rFonts w:ascii="Arial" w:hAnsi="Arial" w:cs="Arial"/>
          <w:sz w:val="22"/>
          <w:szCs w:val="22"/>
        </w:rPr>
      </w:pPr>
    </w:p>
    <w:p w:rsidR="009B4233" w:rsidRDefault="006B08B9">
      <w:pPr>
        <w:jc w:val="both"/>
        <w:rPr>
          <w:rFonts w:ascii="Arial" w:hAnsi="Arial" w:cs="Arial"/>
          <w:sz w:val="22"/>
          <w:szCs w:val="22"/>
        </w:rPr>
      </w:pPr>
      <w:r>
        <w:rPr>
          <w:rFonts w:ascii="Arial" w:hAnsi="Arial" w:cs="Arial"/>
          <w:sz w:val="22"/>
          <w:szCs w:val="22"/>
        </w:rPr>
        <w:t>1 concejal del Grupo Popular: D. Jacobo López Fariña.</w:t>
      </w:r>
    </w:p>
    <w:p w:rsidR="009B4233" w:rsidRDefault="009B4233">
      <w:pPr>
        <w:jc w:val="both"/>
        <w:rPr>
          <w:rFonts w:ascii="Arial" w:hAnsi="Arial" w:cs="Arial"/>
          <w:sz w:val="22"/>
          <w:szCs w:val="22"/>
        </w:rPr>
      </w:pPr>
    </w:p>
    <w:p w:rsidR="009B4233" w:rsidRDefault="006B08B9">
      <w:pPr>
        <w:jc w:val="both"/>
        <w:rPr>
          <w:rFonts w:ascii="Arial" w:hAnsi="Arial" w:cs="Arial"/>
          <w:sz w:val="22"/>
          <w:szCs w:val="22"/>
        </w:rPr>
      </w:pPr>
      <w:r>
        <w:rPr>
          <w:rFonts w:ascii="Arial" w:hAnsi="Arial" w:cs="Arial"/>
          <w:sz w:val="22"/>
          <w:szCs w:val="22"/>
        </w:rPr>
        <w:t>1 del concejal del Grupo Mixt</w:t>
      </w:r>
      <w:r>
        <w:rPr>
          <w:rFonts w:ascii="Arial" w:hAnsi="Arial" w:cs="Arial"/>
          <w:sz w:val="22"/>
          <w:szCs w:val="22"/>
        </w:rPr>
        <w:t>o (USP): Doña Violeta López Jiménez.</w:t>
      </w:r>
    </w:p>
    <w:p w:rsidR="009B4233" w:rsidRDefault="009B4233">
      <w:pPr>
        <w:rPr>
          <w:rFonts w:ascii="Arial" w:hAnsi="Arial" w:cs="Arial"/>
          <w:b/>
          <w:sz w:val="22"/>
          <w:szCs w:val="22"/>
        </w:rPr>
      </w:pPr>
    </w:p>
    <w:p w:rsidR="009B4233" w:rsidRDefault="009B4233">
      <w:pPr>
        <w:pStyle w:val="Textoindependiente"/>
        <w:jc w:val="both"/>
        <w:rPr>
          <w:rFonts w:cs="Arial"/>
          <w:b/>
          <w:szCs w:val="22"/>
        </w:rPr>
      </w:pPr>
    </w:p>
    <w:p w:rsidR="009B4233" w:rsidRDefault="006B08B9">
      <w:pPr>
        <w:pStyle w:val="Textoindependiente"/>
        <w:jc w:val="both"/>
      </w:pPr>
      <w:r>
        <w:rPr>
          <w:rFonts w:cs="Arial"/>
          <w:b/>
          <w:szCs w:val="22"/>
        </w:rPr>
        <w:t>JUNTA DE PORTAVOCES DE 25 DE SEPTIEMBRE DE 2025.</w:t>
      </w:r>
    </w:p>
    <w:p w:rsidR="009B4233" w:rsidRDefault="006B08B9">
      <w:pPr>
        <w:rPr>
          <w:rFonts w:ascii="Arial" w:hAnsi="Arial" w:cs="Arial"/>
          <w:sz w:val="22"/>
          <w:szCs w:val="22"/>
        </w:rPr>
      </w:pPr>
      <w:r>
        <w:rPr>
          <w:rFonts w:ascii="Arial" w:hAnsi="Arial" w:cs="Arial"/>
          <w:sz w:val="22"/>
          <w:szCs w:val="22"/>
        </w:rPr>
        <w:t xml:space="preserve">Quedó oída. </w:t>
      </w:r>
    </w:p>
    <w:p w:rsidR="009B4233" w:rsidRDefault="009B4233">
      <w:pPr>
        <w:rPr>
          <w:rFonts w:ascii="Arial" w:hAnsi="Arial" w:cs="Arial"/>
          <w:sz w:val="22"/>
          <w:szCs w:val="22"/>
        </w:rPr>
      </w:pPr>
    </w:p>
    <w:p w:rsidR="009B4233" w:rsidRDefault="009B4233">
      <w:pPr>
        <w:rPr>
          <w:rFonts w:ascii="Arial" w:hAnsi="Arial" w:cs="Arial"/>
          <w:sz w:val="22"/>
          <w:szCs w:val="22"/>
        </w:rPr>
      </w:pPr>
    </w:p>
    <w:p w:rsidR="009B4233" w:rsidRDefault="009B4233">
      <w:pPr>
        <w:rPr>
          <w:rFonts w:ascii="Arial" w:hAnsi="Arial" w:cs="Arial"/>
          <w:sz w:val="22"/>
          <w:szCs w:val="22"/>
        </w:rPr>
      </w:pPr>
    </w:p>
    <w:p w:rsidR="009B4233" w:rsidRDefault="006B08B9">
      <w:pPr>
        <w:jc w:val="center"/>
      </w:pPr>
      <w:r>
        <w:rPr>
          <w:rFonts w:ascii="Arial" w:hAnsi="Arial" w:cs="Arial"/>
          <w:b/>
          <w:sz w:val="22"/>
          <w:szCs w:val="22"/>
        </w:rPr>
        <w:t>VOTACIÓN EN EL PLENO DE 25 DE SEPTIEMBRE DE 2025.</w:t>
      </w:r>
    </w:p>
    <w:p w:rsidR="009B4233" w:rsidRDefault="009B4233">
      <w:pPr>
        <w:rPr>
          <w:rFonts w:ascii="Arial" w:hAnsi="Arial" w:cs="Arial"/>
          <w:sz w:val="22"/>
          <w:szCs w:val="22"/>
        </w:rPr>
      </w:pPr>
    </w:p>
    <w:p w:rsidR="009B4233" w:rsidRDefault="006B08B9">
      <w:pPr>
        <w:ind w:firstLine="709"/>
        <w:jc w:val="both"/>
        <w:rPr>
          <w:rFonts w:ascii="Arial" w:hAnsi="Arial" w:cs="Arial"/>
          <w:sz w:val="22"/>
          <w:szCs w:val="22"/>
        </w:rPr>
      </w:pPr>
      <w:r>
        <w:rPr>
          <w:rFonts w:ascii="Arial" w:hAnsi="Arial" w:cs="Arial"/>
          <w:sz w:val="22"/>
          <w:szCs w:val="22"/>
        </w:rPr>
        <w:t>Votos a favor: La unanimidad de los 20 concejales presentes:</w:t>
      </w:r>
    </w:p>
    <w:p w:rsidR="009B4233" w:rsidRDefault="009B4233">
      <w:pPr>
        <w:jc w:val="both"/>
        <w:rPr>
          <w:rFonts w:ascii="Arial" w:hAnsi="Arial" w:cs="Arial"/>
          <w:sz w:val="22"/>
          <w:szCs w:val="22"/>
        </w:rPr>
      </w:pPr>
    </w:p>
    <w:p w:rsidR="009B4233" w:rsidRDefault="006B08B9">
      <w:pPr>
        <w:ind w:firstLine="709"/>
        <w:jc w:val="both"/>
        <w:rPr>
          <w:rFonts w:ascii="Arial" w:hAnsi="Arial" w:cs="Arial"/>
          <w:sz w:val="22"/>
          <w:szCs w:val="22"/>
        </w:rPr>
      </w:pPr>
      <w:r>
        <w:rPr>
          <w:rFonts w:ascii="Arial" w:hAnsi="Arial" w:cs="Arial"/>
          <w:sz w:val="22"/>
          <w:szCs w:val="22"/>
        </w:rPr>
        <w:t xml:space="preserve">11 concejales del Grupo Socialista: </w:t>
      </w:r>
      <w:r>
        <w:rPr>
          <w:rFonts w:ascii="Arial" w:hAnsi="Arial" w:cs="Arial"/>
          <w:sz w:val="22"/>
          <w:szCs w:val="22"/>
        </w:rPr>
        <w:t>Doña María Concepción Brito Núñez, Don Jorge Baute Delgado, Don José Francisco Pinto Ramos, Doña Olivia Concepción Pérez Díaz, Don Reinaldo José Triviño Blanco, Don Manuel Alberto González Pestano, Doña Margarita Eva Tendero Barroso, Don Airam Pérez Chinea</w:t>
      </w:r>
      <w:r>
        <w:rPr>
          <w:rFonts w:ascii="Arial" w:hAnsi="Arial" w:cs="Arial"/>
          <w:sz w:val="22"/>
          <w:szCs w:val="22"/>
        </w:rPr>
        <w:t xml:space="preserve">, Doña María del Carmen Clemente Díaz, Don Olegario Francisco Alonso Bello, Doña Mónica Monserrat Yanes Delgado. </w:t>
      </w:r>
    </w:p>
    <w:p w:rsidR="009B4233" w:rsidRDefault="009B4233">
      <w:pPr>
        <w:jc w:val="both"/>
        <w:rPr>
          <w:rFonts w:ascii="Arial" w:hAnsi="Arial" w:cs="Arial"/>
          <w:sz w:val="22"/>
          <w:szCs w:val="22"/>
        </w:rPr>
      </w:pPr>
    </w:p>
    <w:p w:rsidR="009B4233" w:rsidRDefault="006B08B9">
      <w:pPr>
        <w:ind w:firstLine="709"/>
        <w:jc w:val="both"/>
        <w:rPr>
          <w:rFonts w:ascii="Arial" w:hAnsi="Arial" w:cs="Arial"/>
          <w:sz w:val="22"/>
          <w:szCs w:val="22"/>
        </w:rPr>
      </w:pPr>
      <w:r>
        <w:rPr>
          <w:rFonts w:ascii="Arial" w:hAnsi="Arial" w:cs="Arial"/>
          <w:sz w:val="22"/>
          <w:szCs w:val="22"/>
        </w:rPr>
        <w:t>5 concejales del Grupo Popular: Don Jacobo López Fariña, Don Miguel Eduardo Hernández Chitty, Doña María Carlota Díaz González, Don José Dani</w:t>
      </w:r>
      <w:r>
        <w:rPr>
          <w:rFonts w:ascii="Arial" w:hAnsi="Arial" w:cs="Arial"/>
          <w:sz w:val="22"/>
          <w:szCs w:val="22"/>
        </w:rPr>
        <w:t xml:space="preserve">el Sosa González, y Doña Shaila Castellano Batista. </w:t>
      </w:r>
    </w:p>
    <w:p w:rsidR="009B4233" w:rsidRDefault="009B4233">
      <w:pPr>
        <w:jc w:val="both"/>
        <w:rPr>
          <w:rFonts w:ascii="Arial" w:hAnsi="Arial" w:cs="Arial"/>
          <w:sz w:val="22"/>
          <w:szCs w:val="22"/>
        </w:rPr>
      </w:pPr>
    </w:p>
    <w:p w:rsidR="009B4233" w:rsidRDefault="006B08B9">
      <w:pPr>
        <w:ind w:firstLine="709"/>
        <w:jc w:val="both"/>
      </w:pPr>
      <w:r>
        <w:rPr>
          <w:rFonts w:ascii="Arial" w:hAnsi="Arial" w:cs="Arial"/>
          <w:sz w:val="22"/>
          <w:szCs w:val="22"/>
        </w:rPr>
        <w:t>4 concejales del Grupo Mixto: Doña Ángela Cruz Perera Armas y Don José Yeray Padilla Cruz (CC), Don José Tortosa Pallarés (VOX) y Doña Violeta López Jiménez (USP)</w:t>
      </w:r>
    </w:p>
    <w:p w:rsidR="009B4233" w:rsidRDefault="006B08B9">
      <w:pPr>
        <w:jc w:val="both"/>
        <w:rPr>
          <w:rFonts w:ascii="Arial" w:hAnsi="Arial" w:cs="Arial"/>
          <w:b/>
          <w:sz w:val="22"/>
          <w:szCs w:val="22"/>
        </w:rPr>
      </w:pPr>
      <w:r>
        <w:rPr>
          <w:rFonts w:ascii="Arial" w:hAnsi="Arial" w:cs="Arial"/>
          <w:b/>
          <w:sz w:val="22"/>
          <w:szCs w:val="22"/>
        </w:rPr>
        <w:t xml:space="preserve">                          </w:t>
      </w:r>
    </w:p>
    <w:p w:rsidR="009B4233" w:rsidRDefault="009B4233">
      <w:pPr>
        <w:pStyle w:val="Textoindependiente"/>
        <w:ind w:left="709" w:firstLine="709"/>
        <w:rPr>
          <w:rFonts w:cs="Arial"/>
          <w:b/>
          <w:szCs w:val="22"/>
        </w:rPr>
      </w:pPr>
    </w:p>
    <w:p w:rsidR="009B4233" w:rsidRDefault="006B08B9">
      <w:pPr>
        <w:spacing w:after="709"/>
        <w:ind w:left="708" w:right="1" w:firstLine="708"/>
      </w:pPr>
      <w:r>
        <w:rPr>
          <w:rFonts w:cs="Arial"/>
          <w:b/>
          <w:szCs w:val="22"/>
        </w:rPr>
        <w:t>ACUERDO DEL</w:t>
      </w:r>
      <w:r>
        <w:rPr>
          <w:rFonts w:cs="Arial"/>
          <w:b/>
          <w:szCs w:val="22"/>
        </w:rPr>
        <w:t xml:space="preserve"> PLENO DE 25 DE SEPTIEMBRE DE 2025.</w:t>
      </w:r>
    </w:p>
    <w:p w:rsidR="009B4233" w:rsidRDefault="009B4233">
      <w:pPr>
        <w:jc w:val="both"/>
        <w:rPr>
          <w:rFonts w:ascii="Arial" w:hAnsi="Arial" w:cs="Arial"/>
          <w:b/>
          <w:sz w:val="22"/>
          <w:szCs w:val="22"/>
        </w:rPr>
      </w:pPr>
    </w:p>
    <w:p w:rsidR="009B4233" w:rsidRDefault="006B08B9">
      <w:pPr>
        <w:spacing w:after="114"/>
        <w:ind w:right="1" w:firstLine="709"/>
        <w:jc w:val="both"/>
      </w:pPr>
      <w:r>
        <w:rPr>
          <w:rFonts w:ascii="Arial" w:eastAsia="Calibri" w:hAnsi="Arial" w:cs="Arial"/>
          <w:b/>
          <w:sz w:val="22"/>
          <w:szCs w:val="22"/>
        </w:rPr>
        <w:t xml:space="preserve">Primero.- </w:t>
      </w:r>
      <w:r>
        <w:rPr>
          <w:rFonts w:ascii="Arial" w:hAnsi="Arial" w:cs="Arial"/>
          <w:b/>
          <w:sz w:val="22"/>
          <w:szCs w:val="22"/>
        </w:rPr>
        <w:t xml:space="preserve">Prestar conformidad al </w:t>
      </w:r>
      <w:r>
        <w:rPr>
          <w:rFonts w:ascii="Arial" w:eastAsia="Calibri" w:hAnsi="Arial" w:cs="Arial"/>
          <w:b/>
          <w:sz w:val="22"/>
          <w:szCs w:val="22"/>
        </w:rPr>
        <w:t xml:space="preserve">Modificado nº 1 del Proyecto Remodelación de la Plaza de la Patrona de Canarias, canalización de cauce e implantación de conducciones hidráulicas (sectores 1, 2 y 3), </w:t>
      </w:r>
      <w:r>
        <w:rPr>
          <w:rFonts w:ascii="Arial" w:hAnsi="Arial" w:cs="Arial"/>
          <w:b/>
          <w:sz w:val="22"/>
          <w:szCs w:val="22"/>
        </w:rPr>
        <w:t>en el término munic</w:t>
      </w:r>
      <w:r>
        <w:rPr>
          <w:rFonts w:ascii="Arial" w:hAnsi="Arial" w:cs="Arial"/>
          <w:b/>
          <w:sz w:val="22"/>
          <w:szCs w:val="22"/>
        </w:rPr>
        <w:t>ipal de Candelaria, una vez comprobada por los técnicos municipales la compatibilidad urbanística del proyecto presentado con el Plan General de Ordenación, condicionado a cuantos informes sectoriales le sea de aplicación, en especial a los emitidos por la</w:t>
      </w:r>
      <w:r>
        <w:rPr>
          <w:rFonts w:ascii="Arial" w:hAnsi="Arial" w:cs="Arial"/>
          <w:b/>
          <w:sz w:val="22"/>
          <w:szCs w:val="22"/>
        </w:rPr>
        <w:t xml:space="preserve"> Comisión Insular de Patrimonio Histórico del Excmo. Cabildo Insular de Tenerife, Consejo Insular de aguas y Demarcación de Costas.</w:t>
      </w:r>
    </w:p>
    <w:p w:rsidR="009B4233" w:rsidRDefault="006B08B9">
      <w:pPr>
        <w:spacing w:after="203"/>
        <w:ind w:right="1" w:firstLine="709"/>
        <w:jc w:val="both"/>
      </w:pPr>
      <w:r>
        <w:rPr>
          <w:rFonts w:ascii="Arial" w:eastAsia="Calibri" w:hAnsi="Arial" w:cs="Arial"/>
          <w:b/>
          <w:sz w:val="22"/>
          <w:szCs w:val="22"/>
        </w:rPr>
        <w:t xml:space="preserve">Segundo. - </w:t>
      </w:r>
      <w:r>
        <w:rPr>
          <w:rFonts w:ascii="Arial" w:hAnsi="Arial" w:cs="Arial"/>
          <w:b/>
          <w:sz w:val="22"/>
          <w:szCs w:val="22"/>
        </w:rPr>
        <w:t xml:space="preserve">Aprobar la cesión temporal de uso de los siguientes bienes inmuebles de propiedad municipal según ficha descrita </w:t>
      </w:r>
      <w:r>
        <w:rPr>
          <w:rFonts w:ascii="Arial" w:hAnsi="Arial" w:cs="Arial"/>
          <w:b/>
          <w:sz w:val="22"/>
          <w:szCs w:val="22"/>
        </w:rPr>
        <w:t>en el presente informe:</w:t>
      </w:r>
    </w:p>
    <w:tbl>
      <w:tblPr>
        <w:tblW w:w="8232" w:type="dxa"/>
        <w:tblInd w:w="276" w:type="dxa"/>
        <w:tblCellMar>
          <w:left w:w="10" w:type="dxa"/>
          <w:right w:w="10" w:type="dxa"/>
        </w:tblCellMar>
        <w:tblLook w:val="0000" w:firstRow="0" w:lastRow="0" w:firstColumn="0" w:lastColumn="0" w:noHBand="0" w:noVBand="0"/>
      </w:tblPr>
      <w:tblGrid>
        <w:gridCol w:w="3956"/>
        <w:gridCol w:w="4276"/>
      </w:tblGrid>
      <w:tr w:rsidR="009B4233">
        <w:tblPrEx>
          <w:tblCellMar>
            <w:top w:w="0" w:type="dxa"/>
            <w:bottom w:w="0" w:type="dxa"/>
          </w:tblCellMar>
        </w:tblPrEx>
        <w:trPr>
          <w:trHeight w:val="382"/>
        </w:trPr>
        <w:tc>
          <w:tcPr>
            <w:tcW w:w="3956" w:type="dxa"/>
            <w:tcBorders>
              <w:top w:val="single" w:sz="4" w:space="0" w:color="000000"/>
              <w:left w:val="single" w:sz="4" w:space="0" w:color="000000"/>
              <w:bottom w:val="single" w:sz="4" w:space="0" w:color="000000"/>
              <w:right w:val="single" w:sz="4" w:space="0" w:color="000000"/>
            </w:tcBorders>
            <w:shd w:val="clear" w:color="auto" w:fill="auto"/>
            <w:tcMar>
              <w:top w:w="70" w:type="dxa"/>
              <w:left w:w="115" w:type="dxa"/>
              <w:bottom w:w="0" w:type="dxa"/>
              <w:right w:w="115" w:type="dxa"/>
            </w:tcMar>
          </w:tcPr>
          <w:p w:rsidR="009B4233" w:rsidRDefault="006B08B9">
            <w:pPr>
              <w:spacing w:line="249" w:lineRule="auto"/>
              <w:ind w:left="1"/>
              <w:jc w:val="center"/>
            </w:pPr>
            <w:r>
              <w:rPr>
                <w:rFonts w:ascii="Arial" w:eastAsia="Calibri" w:hAnsi="Arial" w:cs="Arial"/>
                <w:b/>
                <w:sz w:val="22"/>
                <w:szCs w:val="22"/>
              </w:rPr>
              <w:t>Nº INVENTARIO MUNICIPAL</w:t>
            </w:r>
          </w:p>
        </w:tc>
        <w:tc>
          <w:tcPr>
            <w:tcW w:w="4276" w:type="dxa"/>
            <w:tcBorders>
              <w:top w:val="single" w:sz="4" w:space="0" w:color="000000"/>
              <w:left w:val="single" w:sz="4" w:space="0" w:color="000000"/>
              <w:bottom w:val="single" w:sz="4" w:space="0" w:color="000000"/>
              <w:right w:val="single" w:sz="4" w:space="0" w:color="000000"/>
            </w:tcBorders>
            <w:shd w:val="clear" w:color="auto" w:fill="auto"/>
            <w:tcMar>
              <w:top w:w="70" w:type="dxa"/>
              <w:left w:w="115" w:type="dxa"/>
              <w:bottom w:w="0" w:type="dxa"/>
              <w:right w:w="115" w:type="dxa"/>
            </w:tcMar>
          </w:tcPr>
          <w:p w:rsidR="009B4233" w:rsidRDefault="006B08B9">
            <w:pPr>
              <w:spacing w:line="249" w:lineRule="auto"/>
              <w:ind w:left="6"/>
              <w:jc w:val="center"/>
            </w:pPr>
            <w:r>
              <w:rPr>
                <w:rFonts w:ascii="Arial" w:eastAsia="Calibri" w:hAnsi="Arial" w:cs="Arial"/>
                <w:b/>
                <w:sz w:val="22"/>
                <w:szCs w:val="22"/>
              </w:rPr>
              <w:t>DENOMINACION</w:t>
            </w:r>
          </w:p>
        </w:tc>
      </w:tr>
      <w:tr w:rsidR="009B4233">
        <w:tblPrEx>
          <w:tblCellMar>
            <w:top w:w="0" w:type="dxa"/>
            <w:bottom w:w="0" w:type="dxa"/>
          </w:tblCellMar>
        </w:tblPrEx>
        <w:trPr>
          <w:trHeight w:val="396"/>
        </w:trPr>
        <w:tc>
          <w:tcPr>
            <w:tcW w:w="3956" w:type="dxa"/>
            <w:tcBorders>
              <w:top w:val="single" w:sz="4" w:space="0" w:color="000000"/>
              <w:left w:val="single" w:sz="4" w:space="0" w:color="000000"/>
              <w:bottom w:val="single" w:sz="4" w:space="0" w:color="000000"/>
              <w:right w:val="single" w:sz="4" w:space="0" w:color="000000"/>
            </w:tcBorders>
            <w:shd w:val="clear" w:color="auto" w:fill="auto"/>
            <w:tcMar>
              <w:top w:w="70" w:type="dxa"/>
              <w:left w:w="115" w:type="dxa"/>
              <w:bottom w:w="0" w:type="dxa"/>
              <w:right w:w="115" w:type="dxa"/>
            </w:tcMar>
          </w:tcPr>
          <w:p w:rsidR="009B4233" w:rsidRDefault="006B08B9">
            <w:pPr>
              <w:spacing w:line="249" w:lineRule="auto"/>
              <w:ind w:left="6"/>
              <w:jc w:val="center"/>
              <w:rPr>
                <w:rFonts w:ascii="Arial" w:hAnsi="Arial" w:cs="Arial"/>
                <w:b/>
                <w:sz w:val="22"/>
                <w:szCs w:val="22"/>
              </w:rPr>
            </w:pPr>
            <w:r>
              <w:rPr>
                <w:rFonts w:ascii="Arial" w:hAnsi="Arial" w:cs="Arial"/>
                <w:b/>
                <w:sz w:val="22"/>
                <w:szCs w:val="22"/>
              </w:rPr>
              <w:t>14/37</w:t>
            </w:r>
          </w:p>
        </w:tc>
        <w:tc>
          <w:tcPr>
            <w:tcW w:w="4276" w:type="dxa"/>
            <w:tcBorders>
              <w:top w:val="single" w:sz="4" w:space="0" w:color="000000"/>
              <w:left w:val="single" w:sz="4" w:space="0" w:color="000000"/>
              <w:bottom w:val="single" w:sz="4" w:space="0" w:color="000000"/>
              <w:right w:val="single" w:sz="4" w:space="0" w:color="000000"/>
            </w:tcBorders>
            <w:shd w:val="clear" w:color="auto" w:fill="auto"/>
            <w:tcMar>
              <w:top w:w="70" w:type="dxa"/>
              <w:left w:w="115" w:type="dxa"/>
              <w:bottom w:w="0" w:type="dxa"/>
              <w:right w:w="115" w:type="dxa"/>
            </w:tcMar>
          </w:tcPr>
          <w:p w:rsidR="009B4233" w:rsidRDefault="006B08B9">
            <w:pPr>
              <w:spacing w:line="249" w:lineRule="auto"/>
              <w:ind w:left="2"/>
              <w:jc w:val="center"/>
              <w:rPr>
                <w:rFonts w:ascii="Arial" w:hAnsi="Arial" w:cs="Arial"/>
                <w:b/>
                <w:sz w:val="22"/>
                <w:szCs w:val="22"/>
              </w:rPr>
            </w:pPr>
            <w:r>
              <w:rPr>
                <w:rFonts w:ascii="Arial" w:hAnsi="Arial" w:cs="Arial"/>
                <w:b/>
                <w:sz w:val="22"/>
                <w:szCs w:val="22"/>
              </w:rPr>
              <w:t>CALLE LA MAGDALENA</w:t>
            </w:r>
          </w:p>
        </w:tc>
      </w:tr>
    </w:tbl>
    <w:p w:rsidR="009B4233" w:rsidRDefault="009B4233">
      <w:pPr>
        <w:spacing w:after="83"/>
        <w:ind w:right="1" w:firstLine="709"/>
        <w:jc w:val="both"/>
        <w:rPr>
          <w:rFonts w:ascii="Arial" w:eastAsia="Calibri" w:hAnsi="Arial" w:cs="Arial"/>
          <w:b/>
          <w:sz w:val="22"/>
          <w:szCs w:val="22"/>
        </w:rPr>
      </w:pPr>
    </w:p>
    <w:p w:rsidR="009B4233" w:rsidRDefault="006B08B9">
      <w:pPr>
        <w:spacing w:after="83"/>
        <w:ind w:right="1" w:firstLine="709"/>
        <w:jc w:val="both"/>
      </w:pPr>
      <w:r>
        <w:rPr>
          <w:rFonts w:ascii="Arial" w:eastAsia="Calibri" w:hAnsi="Arial" w:cs="Arial"/>
          <w:b/>
          <w:sz w:val="22"/>
          <w:szCs w:val="22"/>
        </w:rPr>
        <w:t xml:space="preserve">Tercero. - </w:t>
      </w:r>
      <w:r>
        <w:rPr>
          <w:rFonts w:ascii="Arial" w:hAnsi="Arial" w:cs="Arial"/>
          <w:b/>
          <w:sz w:val="22"/>
          <w:szCs w:val="22"/>
        </w:rPr>
        <w:t xml:space="preserve"> Poner a disposición del Cabildo Insular de Tenerife de los bienes descritos en el informe técnico emitido por la Arquitecta municipal con fecha 16 de </w:t>
      </w:r>
      <w:r>
        <w:rPr>
          <w:rFonts w:ascii="Arial" w:hAnsi="Arial" w:cs="Arial"/>
          <w:b/>
          <w:sz w:val="22"/>
          <w:szCs w:val="22"/>
        </w:rPr>
        <w:t>septiembre de 2025, con el objeto de destinarlos a la ejecución del “</w:t>
      </w:r>
      <w:r>
        <w:rPr>
          <w:rFonts w:ascii="Arial" w:eastAsia="Calibri" w:hAnsi="Arial" w:cs="Arial"/>
          <w:b/>
          <w:sz w:val="22"/>
          <w:szCs w:val="22"/>
        </w:rPr>
        <w:t>Modificado nº 1 del Proyecto Remodelación de la Plaza de la Patrona de Canarias, canalización de cauce e implantación de conducciones hidráulicas (sectores 1, 2 y 3)”</w:t>
      </w:r>
    </w:p>
    <w:p w:rsidR="009B4233" w:rsidRDefault="009B4233">
      <w:pPr>
        <w:spacing w:after="83"/>
        <w:ind w:right="1"/>
        <w:jc w:val="both"/>
        <w:rPr>
          <w:rFonts w:ascii="Arial" w:eastAsia="Calibri" w:hAnsi="Arial" w:cs="Arial"/>
          <w:b/>
          <w:sz w:val="22"/>
          <w:szCs w:val="22"/>
        </w:rPr>
      </w:pPr>
    </w:p>
    <w:p w:rsidR="009B4233" w:rsidRDefault="006B08B9">
      <w:pPr>
        <w:spacing w:after="83"/>
        <w:ind w:right="1" w:firstLine="709"/>
        <w:jc w:val="both"/>
      </w:pPr>
      <w:r>
        <w:rPr>
          <w:rFonts w:ascii="Arial" w:eastAsia="Calibri" w:hAnsi="Arial" w:cs="Arial"/>
          <w:b/>
          <w:sz w:val="22"/>
          <w:szCs w:val="22"/>
        </w:rPr>
        <w:t xml:space="preserve">Cuarto. - </w:t>
      </w:r>
      <w:r>
        <w:rPr>
          <w:rFonts w:ascii="Arial" w:hAnsi="Arial" w:cs="Arial"/>
          <w:b/>
          <w:sz w:val="22"/>
          <w:szCs w:val="22"/>
        </w:rPr>
        <w:t xml:space="preserve">Facultar </w:t>
      </w:r>
      <w:r>
        <w:rPr>
          <w:rFonts w:ascii="Arial" w:hAnsi="Arial" w:cs="Arial"/>
          <w:b/>
          <w:sz w:val="22"/>
          <w:szCs w:val="22"/>
        </w:rPr>
        <w:t>a la Alcaldía para la firma de documentación que se derive en la ejecución del Acuerdo que se adopte.</w:t>
      </w:r>
    </w:p>
    <w:p w:rsidR="009B4233" w:rsidRDefault="009B4233">
      <w:pPr>
        <w:jc w:val="both"/>
        <w:rPr>
          <w:rFonts w:ascii="Arial" w:eastAsia="Calibri" w:hAnsi="Arial" w:cs="Arial"/>
          <w:b/>
          <w:sz w:val="22"/>
          <w:szCs w:val="22"/>
        </w:rPr>
      </w:pPr>
    </w:p>
    <w:p w:rsidR="009B4233" w:rsidRDefault="006B08B9">
      <w:pPr>
        <w:ind w:firstLine="709"/>
        <w:jc w:val="both"/>
      </w:pPr>
      <w:r>
        <w:rPr>
          <w:rFonts w:ascii="Arial" w:eastAsia="Calibri" w:hAnsi="Arial" w:cs="Arial"/>
          <w:b/>
          <w:sz w:val="22"/>
          <w:szCs w:val="22"/>
        </w:rPr>
        <w:t xml:space="preserve">Quinto. - </w:t>
      </w:r>
      <w:r>
        <w:rPr>
          <w:rFonts w:ascii="Arial" w:hAnsi="Arial" w:cs="Arial"/>
          <w:b/>
          <w:sz w:val="22"/>
          <w:szCs w:val="22"/>
        </w:rPr>
        <w:t>Notificar la resolución al Cabildo Insular de Tenerife.</w:t>
      </w:r>
    </w:p>
    <w:p w:rsidR="009B4233" w:rsidRDefault="009B4233">
      <w:pPr>
        <w:ind w:firstLine="709"/>
        <w:jc w:val="both"/>
        <w:rPr>
          <w:rFonts w:ascii="Arial" w:hAnsi="Arial" w:cs="Arial"/>
          <w:b/>
          <w:sz w:val="22"/>
          <w:szCs w:val="22"/>
        </w:rPr>
      </w:pPr>
    </w:p>
    <w:p w:rsidR="009B4233" w:rsidRDefault="009B4233">
      <w:pPr>
        <w:ind w:firstLine="709"/>
        <w:jc w:val="both"/>
        <w:rPr>
          <w:rFonts w:ascii="Arial" w:hAnsi="Arial" w:cs="Arial"/>
          <w:b/>
          <w:sz w:val="22"/>
          <w:szCs w:val="22"/>
        </w:rPr>
      </w:pPr>
    </w:p>
    <w:p w:rsidR="009B4233" w:rsidRDefault="009B4233">
      <w:pPr>
        <w:ind w:firstLine="709"/>
        <w:jc w:val="both"/>
        <w:rPr>
          <w:rFonts w:ascii="Arial" w:hAnsi="Arial" w:cs="Arial"/>
          <w:b/>
          <w:sz w:val="22"/>
          <w:szCs w:val="22"/>
        </w:rPr>
      </w:pPr>
    </w:p>
    <w:p w:rsidR="009B4233" w:rsidRDefault="009B4233">
      <w:pPr>
        <w:ind w:firstLine="709"/>
        <w:jc w:val="both"/>
        <w:rPr>
          <w:rFonts w:ascii="Arial" w:hAnsi="Arial" w:cs="Arial"/>
          <w:b/>
          <w:sz w:val="22"/>
          <w:szCs w:val="22"/>
        </w:rPr>
      </w:pPr>
    </w:p>
    <w:p w:rsidR="009B4233" w:rsidRDefault="009B4233">
      <w:pPr>
        <w:ind w:firstLine="709"/>
        <w:jc w:val="both"/>
        <w:rPr>
          <w:rFonts w:ascii="Arial" w:hAnsi="Arial" w:cs="Arial"/>
          <w:b/>
          <w:sz w:val="22"/>
          <w:szCs w:val="22"/>
        </w:rPr>
      </w:pPr>
    </w:p>
    <w:p w:rsidR="009B4233" w:rsidRDefault="009B4233">
      <w:pPr>
        <w:ind w:firstLine="709"/>
        <w:jc w:val="both"/>
        <w:rPr>
          <w:rFonts w:ascii="Arial" w:hAnsi="Arial" w:cs="Arial"/>
          <w:b/>
          <w:sz w:val="22"/>
          <w:szCs w:val="22"/>
        </w:rPr>
      </w:pPr>
    </w:p>
    <w:p w:rsidR="009B4233" w:rsidRDefault="009B4233">
      <w:pPr>
        <w:ind w:firstLine="709"/>
        <w:jc w:val="both"/>
        <w:rPr>
          <w:rFonts w:ascii="Arial" w:hAnsi="Arial" w:cs="Arial"/>
          <w:b/>
          <w:sz w:val="22"/>
          <w:szCs w:val="22"/>
        </w:rPr>
      </w:pPr>
    </w:p>
    <w:p w:rsidR="009B4233" w:rsidRDefault="009B4233">
      <w:pPr>
        <w:jc w:val="both"/>
        <w:rPr>
          <w:rFonts w:ascii="Arial" w:hAnsi="Arial" w:cs="Arial"/>
          <w:b/>
          <w:sz w:val="22"/>
          <w:szCs w:val="22"/>
        </w:rPr>
      </w:pPr>
    </w:p>
    <w:p w:rsidR="009B4233" w:rsidRDefault="006B08B9">
      <w:pPr>
        <w:jc w:val="both"/>
        <w:rPr>
          <w:rFonts w:ascii="Arial" w:hAnsi="Arial" w:cs="Arial"/>
          <w:b/>
        </w:rPr>
      </w:pPr>
      <w:r>
        <w:rPr>
          <w:rFonts w:ascii="Arial" w:hAnsi="Arial" w:cs="Arial"/>
          <w:b/>
        </w:rPr>
        <w:t>8.- Expediente 10944/2024. Propuesta de la Alcaldesa-Presidenta al Pleno de fec</w:t>
      </w:r>
      <w:r>
        <w:rPr>
          <w:rFonts w:ascii="Arial" w:hAnsi="Arial" w:cs="Arial"/>
          <w:b/>
        </w:rPr>
        <w:t>ha 3 de septiembre de 2025 de aprobación de modificado por importe de 63.350,24 euros propuestos por la Dirección facultativa de la obra "Centro de mayores de Barranco Hondo" adjudicado a la empresa Proyecon Galicia S.A por importe de 4.885.885,00 euros.</w:t>
      </w:r>
    </w:p>
    <w:p w:rsidR="009B4233" w:rsidRDefault="009B4233">
      <w:pPr>
        <w:pStyle w:val="Textoindependiente"/>
        <w:jc w:val="both"/>
        <w:rPr>
          <w:rFonts w:cs="Arial"/>
          <w:b/>
          <w:sz w:val="24"/>
        </w:rPr>
      </w:pPr>
    </w:p>
    <w:p w:rsidR="009B4233" w:rsidRDefault="006B08B9">
      <w:pPr>
        <w:pStyle w:val="Textoindependiente"/>
        <w:jc w:val="both"/>
      </w:pPr>
      <w:r>
        <w:rPr>
          <w:rFonts w:cs="Arial"/>
          <w:b/>
          <w:bCs/>
          <w:szCs w:val="22"/>
        </w:rPr>
        <w:t xml:space="preserve">Consta en el expediente Informe Jurídico emitido por </w:t>
      </w:r>
      <w:r>
        <w:rPr>
          <w:rFonts w:cs="Arial"/>
          <w:b/>
          <w:szCs w:val="22"/>
        </w:rPr>
        <w:t>Doña Rosa Edelmira González Sabina</w:t>
      </w:r>
      <w:r>
        <w:rPr>
          <w:rFonts w:cs="Arial"/>
          <w:b/>
          <w:bCs/>
          <w:szCs w:val="22"/>
        </w:rPr>
        <w:t xml:space="preserve">, </w:t>
      </w:r>
      <w:r>
        <w:rPr>
          <w:rFonts w:cs="Arial"/>
          <w:b/>
          <w:szCs w:val="22"/>
        </w:rPr>
        <w:t>que desempeña el puesto de Jurista, del 02 de septiembre de 2025,</w:t>
      </w:r>
      <w:r>
        <w:rPr>
          <w:rFonts w:cs="Arial"/>
          <w:b/>
          <w:bCs/>
          <w:szCs w:val="22"/>
        </w:rPr>
        <w:t xml:space="preserve"> debidamente conformado por</w:t>
      </w:r>
      <w:r>
        <w:rPr>
          <w:rFonts w:cs="Arial"/>
          <w:b/>
          <w:szCs w:val="22"/>
        </w:rPr>
        <w:t xml:space="preserve"> Doña María del Pilar Chico Delgado, Secretaria Accidental </w:t>
      </w:r>
      <w:r>
        <w:rPr>
          <w:rFonts w:eastAsia="Calibri" w:cs="Arial"/>
          <w:b/>
          <w:szCs w:val="22"/>
        </w:rPr>
        <w:t>(Decreto nº 2025</w:t>
      </w:r>
      <w:r>
        <w:rPr>
          <w:rFonts w:eastAsia="Calibri" w:cs="Arial"/>
          <w:b/>
          <w:szCs w:val="22"/>
        </w:rPr>
        <w:t>-1939, de 19 de junio), del 02 de septiembre de 2025</w:t>
      </w:r>
      <w:r>
        <w:rPr>
          <w:rFonts w:cs="Arial"/>
          <w:b/>
          <w:szCs w:val="22"/>
        </w:rPr>
        <w:t>, y fiscalizado favorablemente por la</w:t>
      </w:r>
      <w:r>
        <w:rPr>
          <w:rFonts w:eastAsia="Calibri" w:cs="Arial"/>
          <w:b/>
          <w:szCs w:val="22"/>
        </w:rPr>
        <w:t xml:space="preserve"> interventora Accidental (Decreto nº 2289-2025, de 18 de julio)</w:t>
      </w:r>
      <w:r>
        <w:rPr>
          <w:rFonts w:cs="Arial"/>
          <w:b/>
          <w:szCs w:val="22"/>
        </w:rPr>
        <w:t xml:space="preserve">  Doña Paula Silvia Del Castillo Morales, del 02 de septiembre de 2025,</w:t>
      </w:r>
      <w:r>
        <w:rPr>
          <w:rFonts w:cs="Arial"/>
          <w:b/>
          <w:bCs/>
          <w:szCs w:val="22"/>
        </w:rPr>
        <w:t xml:space="preserve"> del siguiente tenor literal:</w:t>
      </w:r>
    </w:p>
    <w:p w:rsidR="009B4233" w:rsidRDefault="009B4233">
      <w:pPr>
        <w:pStyle w:val="Textoindependiente"/>
        <w:jc w:val="both"/>
        <w:rPr>
          <w:rFonts w:cs="Arial"/>
          <w:b/>
          <w:bCs/>
          <w:szCs w:val="22"/>
        </w:rPr>
      </w:pPr>
    </w:p>
    <w:p w:rsidR="009B4233" w:rsidRDefault="009B4233">
      <w:pPr>
        <w:jc w:val="both"/>
        <w:rPr>
          <w:rFonts w:ascii="Arial" w:hAnsi="Arial" w:cs="Arial"/>
          <w:b/>
          <w:sz w:val="22"/>
          <w:szCs w:val="22"/>
        </w:rPr>
      </w:pPr>
    </w:p>
    <w:p w:rsidR="009B4233" w:rsidRDefault="009B4233">
      <w:pPr>
        <w:pStyle w:val="Ttulo1"/>
        <w:spacing w:after="82"/>
        <w:ind w:left="369" w:right="363"/>
        <w:rPr>
          <w:rFonts w:ascii="Arial" w:hAnsi="Arial" w:cs="Arial"/>
          <w:sz w:val="22"/>
          <w:szCs w:val="22"/>
        </w:rPr>
      </w:pPr>
    </w:p>
    <w:p w:rsidR="009B4233" w:rsidRDefault="006B08B9">
      <w:pPr>
        <w:pStyle w:val="Ttulo1"/>
        <w:spacing w:after="82"/>
        <w:ind w:left="369" w:right="363"/>
        <w:rPr>
          <w:rFonts w:ascii="Arial" w:hAnsi="Arial" w:cs="Arial"/>
          <w:sz w:val="22"/>
          <w:szCs w:val="22"/>
        </w:rPr>
      </w:pPr>
      <w:r>
        <w:rPr>
          <w:rFonts w:ascii="Arial" w:hAnsi="Arial" w:cs="Arial"/>
          <w:sz w:val="22"/>
          <w:szCs w:val="22"/>
        </w:rPr>
        <w:t>“INFORME JURÍDICO</w:t>
      </w:r>
    </w:p>
    <w:p w:rsidR="009B4233" w:rsidRDefault="006B08B9">
      <w:pPr>
        <w:spacing w:line="264" w:lineRule="auto"/>
        <w:ind w:left="-5"/>
        <w:jc w:val="both"/>
      </w:pPr>
      <w:r>
        <w:rPr>
          <w:rFonts w:ascii="Arial" w:eastAsia="Calibri" w:hAnsi="Arial" w:cs="Arial"/>
          <w:b/>
          <w:sz w:val="22"/>
          <w:szCs w:val="22"/>
        </w:rPr>
        <w:t xml:space="preserve">Visto el expediente referenciado, la funcionaria Rosa Edelmira González Sabina (Decreto nº 2025-1939, de 19 de junio), que desempeña el puesto de trabajo de Técnico de Administración General, conformado por la Secretaria Accidental. </w:t>
      </w:r>
      <w:r>
        <w:rPr>
          <w:rFonts w:ascii="Arial" w:eastAsia="Calibri" w:hAnsi="Arial" w:cs="Arial"/>
          <w:b/>
          <w:sz w:val="22"/>
          <w:szCs w:val="22"/>
        </w:rPr>
        <w:t>(Decreto nº 2025-1939, de 19 de junio) y fiscalizado favorablemente por la interventora Accidental (Decreto nº 2289-2025, de 18 de julio), emite el siguiente informe:</w:t>
      </w:r>
      <w:r>
        <w:rPr>
          <w:rFonts w:ascii="Arial" w:eastAsia="Calibri" w:hAnsi="Arial" w:cs="Arial"/>
          <w:sz w:val="22"/>
          <w:szCs w:val="22"/>
        </w:rPr>
        <w:t xml:space="preserve"> </w:t>
      </w:r>
    </w:p>
    <w:p w:rsidR="009B4233" w:rsidRDefault="009B4233">
      <w:pPr>
        <w:pStyle w:val="Ttulo1"/>
        <w:spacing w:after="246"/>
        <w:ind w:left="369"/>
        <w:rPr>
          <w:rFonts w:ascii="Arial" w:hAnsi="Arial" w:cs="Arial"/>
          <w:sz w:val="22"/>
          <w:szCs w:val="22"/>
        </w:rPr>
      </w:pPr>
    </w:p>
    <w:p w:rsidR="009B4233" w:rsidRDefault="006B08B9">
      <w:pPr>
        <w:pStyle w:val="Ttulo1"/>
        <w:spacing w:after="246"/>
        <w:ind w:left="369"/>
        <w:rPr>
          <w:rFonts w:ascii="Arial" w:hAnsi="Arial" w:cs="Arial"/>
          <w:sz w:val="22"/>
          <w:szCs w:val="22"/>
        </w:rPr>
      </w:pPr>
      <w:r>
        <w:rPr>
          <w:rFonts w:ascii="Arial" w:hAnsi="Arial" w:cs="Arial"/>
          <w:sz w:val="22"/>
          <w:szCs w:val="22"/>
        </w:rPr>
        <w:t xml:space="preserve">Antecedentes de hecho </w:t>
      </w:r>
    </w:p>
    <w:p w:rsidR="009B4233" w:rsidRDefault="006B08B9">
      <w:pPr>
        <w:spacing w:after="116" w:line="228" w:lineRule="auto"/>
        <w:ind w:left="-5"/>
        <w:jc w:val="both"/>
      </w:pPr>
      <w:r>
        <w:rPr>
          <w:rFonts w:ascii="Arial" w:eastAsia="Calibri" w:hAnsi="Arial" w:cs="Arial"/>
          <w:b/>
          <w:sz w:val="22"/>
          <w:szCs w:val="22"/>
        </w:rPr>
        <w:t>Primero</w:t>
      </w:r>
      <w:r>
        <w:rPr>
          <w:rFonts w:ascii="Arial" w:eastAsia="Calibri" w:hAnsi="Arial" w:cs="Arial"/>
          <w:sz w:val="22"/>
          <w:szCs w:val="22"/>
        </w:rPr>
        <w:t>:  Mediante Acuerdo del Ayuntamiento Pleno en sesión extr</w:t>
      </w:r>
      <w:r>
        <w:rPr>
          <w:rFonts w:ascii="Arial" w:eastAsia="Calibri" w:hAnsi="Arial" w:cs="Arial"/>
          <w:sz w:val="22"/>
          <w:szCs w:val="22"/>
        </w:rPr>
        <w:t xml:space="preserve">aordinaria celebrada el 13 de diciembre de 2024, se aprobó el expediente y los pliegos de cláusulas administrativas y de prescripciones técnicas, relativos al procedimiento de contratación para la </w:t>
      </w:r>
      <w:r>
        <w:rPr>
          <w:rFonts w:ascii="Arial" w:hAnsi="Arial" w:cs="Arial"/>
          <w:sz w:val="22"/>
          <w:szCs w:val="22"/>
        </w:rPr>
        <w:t>“Ejecución del Proyecto constructivo de la primera fase del</w:t>
      </w:r>
      <w:r>
        <w:rPr>
          <w:rFonts w:ascii="Arial" w:hAnsi="Arial" w:cs="Arial"/>
          <w:sz w:val="22"/>
          <w:szCs w:val="22"/>
        </w:rPr>
        <w:t xml:space="preserve"> Centro de Mayores de Barranco Hondo”</w:t>
      </w:r>
      <w:r>
        <w:rPr>
          <w:rFonts w:ascii="Arial" w:eastAsia="Calibri" w:hAnsi="Arial" w:cs="Arial"/>
          <w:sz w:val="22"/>
          <w:szCs w:val="22"/>
        </w:rPr>
        <w:t>, sito en C/ Agustín Ramos Ramos nº 2, C/ Álvaro Pena Ramos y Paseo Florentín Hernández Pérez, Urbanización Rubens Marichal, Barranco Hondo (T.M. de Candelaria), mediante procedimiento abierto, tramitación ordinaria y a</w:t>
      </w:r>
      <w:r>
        <w:rPr>
          <w:rFonts w:ascii="Arial" w:eastAsia="Calibri" w:hAnsi="Arial" w:cs="Arial"/>
          <w:sz w:val="22"/>
          <w:szCs w:val="22"/>
        </w:rPr>
        <w:t>plicación de varios criterios de adjudicación.</w:t>
      </w:r>
    </w:p>
    <w:p w:rsidR="009B4233" w:rsidRDefault="006B08B9">
      <w:pPr>
        <w:spacing w:after="250" w:line="228" w:lineRule="auto"/>
        <w:ind w:left="-5"/>
        <w:jc w:val="both"/>
      </w:pPr>
      <w:r>
        <w:rPr>
          <w:rFonts w:ascii="Arial" w:eastAsia="Calibri" w:hAnsi="Arial" w:cs="Arial"/>
          <w:b/>
          <w:sz w:val="22"/>
          <w:szCs w:val="22"/>
        </w:rPr>
        <w:t xml:space="preserve">Segundo: </w:t>
      </w:r>
      <w:r>
        <w:rPr>
          <w:rFonts w:ascii="Arial" w:eastAsia="Calibri" w:hAnsi="Arial" w:cs="Arial"/>
          <w:sz w:val="22"/>
          <w:szCs w:val="22"/>
        </w:rPr>
        <w:t xml:space="preserve">Mediante Acuerdo del Ayuntamiento Pleno en sesión extraordinaria, de fecha 19 de febrero de 2025, se acordó la adjudicación del contrato de la obra de referencia a la empresa PROYECON GALICIA,SA, con </w:t>
      </w:r>
      <w:r>
        <w:rPr>
          <w:rFonts w:ascii="Arial" w:eastAsia="Calibri" w:hAnsi="Arial" w:cs="Arial"/>
          <w:sz w:val="22"/>
          <w:szCs w:val="22"/>
        </w:rPr>
        <w:t xml:space="preserve">CIF A32032039, por un importe de 4.885.885,00 euros, incluido IGIC, desglosado de a siguiente forma: </w:t>
      </w:r>
    </w:p>
    <w:p w:rsidR="009B4233" w:rsidRDefault="006B08B9">
      <w:pPr>
        <w:widowControl/>
        <w:numPr>
          <w:ilvl w:val="0"/>
          <w:numId w:val="77"/>
        </w:numPr>
        <w:suppressAutoHyphens w:val="0"/>
        <w:spacing w:line="228" w:lineRule="auto"/>
        <w:ind w:hanging="360"/>
        <w:jc w:val="both"/>
        <w:textAlignment w:val="auto"/>
      </w:pPr>
      <w:r>
        <w:rPr>
          <w:rFonts w:ascii="Arial" w:hAnsi="Arial" w:cs="Arial"/>
          <w:sz w:val="22"/>
          <w:szCs w:val="22"/>
        </w:rPr>
        <w:t>Obra:</w:t>
      </w:r>
      <w:r>
        <w:rPr>
          <w:rFonts w:ascii="Arial" w:eastAsia="Calibri" w:hAnsi="Arial" w:cs="Arial"/>
          <w:sz w:val="22"/>
          <w:szCs w:val="22"/>
        </w:rPr>
        <w:t xml:space="preserve"> 4.606.885,00 euros, con 0% en concepto de IGIC por aplicación de la exención prevista en el art. 52. j. Ley 4/2012, de 25 de junio, de medidas admin</w:t>
      </w:r>
      <w:r>
        <w:rPr>
          <w:rFonts w:ascii="Arial" w:eastAsia="Calibri" w:hAnsi="Arial" w:cs="Arial"/>
          <w:sz w:val="22"/>
          <w:szCs w:val="22"/>
        </w:rPr>
        <w:t>istrativas y fiscales).</w:t>
      </w:r>
    </w:p>
    <w:p w:rsidR="009B4233" w:rsidRDefault="006B08B9">
      <w:pPr>
        <w:widowControl/>
        <w:numPr>
          <w:ilvl w:val="0"/>
          <w:numId w:val="77"/>
        </w:numPr>
        <w:suppressAutoHyphens w:val="0"/>
        <w:spacing w:after="277" w:line="228" w:lineRule="auto"/>
        <w:ind w:hanging="360"/>
        <w:jc w:val="both"/>
        <w:textAlignment w:val="auto"/>
      </w:pPr>
      <w:r>
        <w:rPr>
          <w:rFonts w:ascii="Arial" w:hAnsi="Arial" w:cs="Arial"/>
          <w:sz w:val="22"/>
          <w:szCs w:val="22"/>
        </w:rPr>
        <w:t>Equipamiento:</w:t>
      </w:r>
      <w:r>
        <w:rPr>
          <w:rFonts w:ascii="Arial" w:eastAsia="Calibri" w:hAnsi="Arial" w:cs="Arial"/>
          <w:sz w:val="22"/>
          <w:szCs w:val="22"/>
        </w:rPr>
        <w:t xml:space="preserve"> 279.000,00 euros, más la cantidad de 19.530,00 euros en concepto de IGIC.</w:t>
      </w:r>
    </w:p>
    <w:p w:rsidR="009B4233" w:rsidRDefault="006B08B9">
      <w:pPr>
        <w:spacing w:after="277" w:line="228" w:lineRule="auto"/>
        <w:ind w:left="-5"/>
        <w:jc w:val="both"/>
      </w:pPr>
      <w:r>
        <w:rPr>
          <w:rFonts w:ascii="Arial" w:eastAsia="Calibri" w:hAnsi="Arial" w:cs="Arial"/>
          <w:sz w:val="22"/>
          <w:szCs w:val="22"/>
        </w:rPr>
        <w:t>El contrato administrativo se formalizó el 24 de febrero de 2025.</w:t>
      </w:r>
    </w:p>
    <w:p w:rsidR="009B4233" w:rsidRDefault="006B08B9">
      <w:pPr>
        <w:spacing w:after="277" w:line="228" w:lineRule="auto"/>
        <w:ind w:left="-5"/>
        <w:jc w:val="both"/>
      </w:pPr>
      <w:r>
        <w:rPr>
          <w:rFonts w:ascii="Arial" w:eastAsia="Calibri" w:hAnsi="Arial" w:cs="Arial"/>
          <w:b/>
          <w:sz w:val="22"/>
          <w:szCs w:val="22"/>
        </w:rPr>
        <w:t xml:space="preserve">Tercero: </w:t>
      </w:r>
      <w:r>
        <w:rPr>
          <w:rFonts w:ascii="Arial" w:eastAsia="Calibri" w:hAnsi="Arial" w:cs="Arial"/>
          <w:sz w:val="22"/>
          <w:szCs w:val="22"/>
        </w:rPr>
        <w:t>Con</w:t>
      </w:r>
      <w:r>
        <w:rPr>
          <w:rFonts w:ascii="Arial" w:eastAsia="Calibri" w:hAnsi="Arial" w:cs="Arial"/>
          <w:b/>
          <w:sz w:val="22"/>
          <w:szCs w:val="22"/>
        </w:rPr>
        <w:t xml:space="preserve"> </w:t>
      </w:r>
      <w:r>
        <w:rPr>
          <w:rFonts w:ascii="Arial" w:eastAsia="Calibri" w:hAnsi="Arial" w:cs="Arial"/>
          <w:sz w:val="22"/>
          <w:szCs w:val="22"/>
        </w:rPr>
        <w:t>fecha 22 de julio de 2025 y registro de entrada nº 6295, se prese</w:t>
      </w:r>
      <w:r>
        <w:rPr>
          <w:rFonts w:ascii="Arial" w:eastAsia="Calibri" w:hAnsi="Arial" w:cs="Arial"/>
          <w:sz w:val="22"/>
          <w:szCs w:val="22"/>
        </w:rPr>
        <w:t>nta por la dirección facultativa de la obra solicitud relativa a la aprobación de nuevos precios contradictorios.</w:t>
      </w:r>
    </w:p>
    <w:p w:rsidR="009B4233" w:rsidRDefault="006B08B9">
      <w:pPr>
        <w:spacing w:after="277" w:line="228" w:lineRule="auto"/>
        <w:ind w:left="-5"/>
        <w:jc w:val="both"/>
      </w:pPr>
      <w:r>
        <w:rPr>
          <w:rFonts w:ascii="Arial" w:eastAsia="Calibri" w:hAnsi="Arial" w:cs="Arial"/>
          <w:b/>
          <w:sz w:val="22"/>
          <w:szCs w:val="22"/>
        </w:rPr>
        <w:t xml:space="preserve">Cuarto: </w:t>
      </w:r>
      <w:r>
        <w:rPr>
          <w:rFonts w:ascii="Arial" w:eastAsia="Calibri" w:hAnsi="Arial" w:cs="Arial"/>
          <w:sz w:val="22"/>
          <w:szCs w:val="22"/>
        </w:rPr>
        <w:t>Consta informe técnico emitido por la Arquitecta municipal de fecha 5 de agosto de 2025, del siguiente tenor literal:</w:t>
      </w:r>
    </w:p>
    <w:p w:rsidR="009B4233" w:rsidRDefault="006B08B9">
      <w:pPr>
        <w:spacing w:after="508" w:line="216" w:lineRule="auto"/>
        <w:jc w:val="center"/>
      </w:pPr>
      <w:r>
        <w:rPr>
          <w:rFonts w:ascii="Arial" w:eastAsia="Calibri" w:hAnsi="Arial" w:cs="Arial"/>
          <w:b/>
          <w:sz w:val="22"/>
          <w:szCs w:val="22"/>
        </w:rPr>
        <w:t>“PRECIOS CONTRAD</w:t>
      </w:r>
      <w:r>
        <w:rPr>
          <w:rFonts w:ascii="Arial" w:eastAsia="Calibri" w:hAnsi="Arial" w:cs="Arial"/>
          <w:b/>
          <w:sz w:val="22"/>
          <w:szCs w:val="22"/>
        </w:rPr>
        <w:t xml:space="preserve">ICTORIOS OBRA DEL CENTRO DE MAYORES DE BARRANCO HONDO </w:t>
      </w:r>
    </w:p>
    <w:p w:rsidR="009B4233" w:rsidRDefault="006B08B9">
      <w:pPr>
        <w:spacing w:after="253"/>
        <w:ind w:left="-5" w:right="3"/>
        <w:jc w:val="both"/>
        <w:rPr>
          <w:rFonts w:ascii="Arial" w:hAnsi="Arial" w:cs="Arial"/>
          <w:sz w:val="22"/>
          <w:szCs w:val="22"/>
        </w:rPr>
      </w:pPr>
      <w:r>
        <w:rPr>
          <w:rFonts w:ascii="Arial" w:hAnsi="Arial" w:cs="Arial"/>
          <w:sz w:val="22"/>
          <w:szCs w:val="22"/>
        </w:rPr>
        <w:t>Visto el expediente antedicho, Nayra Guzmán Hernández, arquitecta municipal, emite el siguiente informe:</w:t>
      </w:r>
    </w:p>
    <w:p w:rsidR="009B4233" w:rsidRDefault="006B08B9">
      <w:pPr>
        <w:spacing w:after="246"/>
        <w:ind w:left="-5" w:right="3"/>
        <w:rPr>
          <w:rFonts w:ascii="Arial" w:hAnsi="Arial" w:cs="Arial"/>
          <w:sz w:val="22"/>
          <w:szCs w:val="22"/>
        </w:rPr>
      </w:pPr>
      <w:r>
        <w:rPr>
          <w:rFonts w:ascii="Arial" w:hAnsi="Arial" w:cs="Arial"/>
          <w:sz w:val="22"/>
          <w:szCs w:val="22"/>
        </w:rPr>
        <w:t xml:space="preserve">                                                           ANTECEDENTES</w:t>
      </w:r>
    </w:p>
    <w:p w:rsidR="009B4233" w:rsidRDefault="006B08B9">
      <w:pPr>
        <w:ind w:left="-5" w:right="3"/>
        <w:jc w:val="both"/>
        <w:rPr>
          <w:rFonts w:ascii="Arial" w:hAnsi="Arial" w:cs="Arial"/>
          <w:sz w:val="22"/>
          <w:szCs w:val="22"/>
        </w:rPr>
      </w:pPr>
      <w:r>
        <w:rPr>
          <w:rFonts w:ascii="Arial" w:hAnsi="Arial" w:cs="Arial"/>
          <w:sz w:val="22"/>
          <w:szCs w:val="22"/>
        </w:rPr>
        <w:t xml:space="preserve">Empresa Adjudicataria: </w:t>
      </w:r>
      <w:r>
        <w:rPr>
          <w:rFonts w:ascii="Arial" w:hAnsi="Arial" w:cs="Arial"/>
          <w:sz w:val="22"/>
          <w:szCs w:val="22"/>
        </w:rPr>
        <w:t>“PROYECON GALICIA, SA” CIF A32032039</w:t>
      </w:r>
    </w:p>
    <w:p w:rsidR="009B4233" w:rsidRDefault="006B08B9">
      <w:pPr>
        <w:ind w:left="-5" w:right="3"/>
        <w:jc w:val="both"/>
        <w:rPr>
          <w:rFonts w:ascii="Arial" w:hAnsi="Arial" w:cs="Arial"/>
          <w:sz w:val="22"/>
          <w:szCs w:val="22"/>
        </w:rPr>
      </w:pPr>
      <w:r>
        <w:rPr>
          <w:rFonts w:ascii="Arial" w:hAnsi="Arial" w:cs="Arial"/>
          <w:sz w:val="22"/>
          <w:szCs w:val="22"/>
        </w:rPr>
        <w:t xml:space="preserve">Presupuesto Adjudicación: 4.885.885,00 EUROS, desglosado de la siguiente manera: </w:t>
      </w:r>
    </w:p>
    <w:p w:rsidR="009B4233" w:rsidRDefault="006B08B9">
      <w:pPr>
        <w:spacing w:after="1"/>
        <w:ind w:left="-5" w:right="3"/>
        <w:jc w:val="both"/>
        <w:rPr>
          <w:rFonts w:ascii="Arial" w:hAnsi="Arial" w:cs="Arial"/>
          <w:sz w:val="22"/>
          <w:szCs w:val="22"/>
        </w:rPr>
      </w:pPr>
      <w:r>
        <w:rPr>
          <w:rFonts w:ascii="Arial" w:hAnsi="Arial" w:cs="Arial"/>
          <w:sz w:val="22"/>
          <w:szCs w:val="22"/>
        </w:rPr>
        <w:t>4.606.885,0 € de obra con IGIC 0, más 279.000,00 € de Equipamiento con 19.530,00 € en concepto de IGIC.</w:t>
      </w:r>
    </w:p>
    <w:p w:rsidR="009B4233" w:rsidRDefault="006B08B9">
      <w:pPr>
        <w:ind w:left="-5" w:right="3"/>
        <w:jc w:val="both"/>
        <w:rPr>
          <w:rFonts w:ascii="Arial" w:hAnsi="Arial" w:cs="Arial"/>
          <w:sz w:val="22"/>
          <w:szCs w:val="22"/>
        </w:rPr>
      </w:pPr>
      <w:r>
        <w:rPr>
          <w:rFonts w:ascii="Arial" w:hAnsi="Arial" w:cs="Arial"/>
          <w:sz w:val="22"/>
          <w:szCs w:val="22"/>
        </w:rPr>
        <w:t>Adjudicación: Acuerdo de Pleno de</w:t>
      </w:r>
      <w:r>
        <w:rPr>
          <w:rFonts w:ascii="Arial" w:hAnsi="Arial" w:cs="Arial"/>
          <w:sz w:val="22"/>
          <w:szCs w:val="22"/>
        </w:rPr>
        <w:t xml:space="preserve"> 19 de febrero de 2025</w:t>
      </w:r>
    </w:p>
    <w:p w:rsidR="009B4233" w:rsidRDefault="006B08B9">
      <w:pPr>
        <w:ind w:left="-5" w:right="3"/>
        <w:jc w:val="both"/>
        <w:rPr>
          <w:rFonts w:ascii="Arial" w:hAnsi="Arial" w:cs="Arial"/>
          <w:sz w:val="22"/>
          <w:szCs w:val="22"/>
        </w:rPr>
      </w:pPr>
      <w:r>
        <w:rPr>
          <w:rFonts w:ascii="Arial" w:hAnsi="Arial" w:cs="Arial"/>
          <w:sz w:val="22"/>
          <w:szCs w:val="22"/>
        </w:rPr>
        <w:t>Plazo de Ejecución: Treinta y Seis (36) Meses</w:t>
      </w:r>
    </w:p>
    <w:p w:rsidR="009B4233" w:rsidRDefault="006B08B9">
      <w:pPr>
        <w:ind w:left="-5" w:right="3"/>
        <w:jc w:val="both"/>
        <w:rPr>
          <w:rFonts w:ascii="Arial" w:hAnsi="Arial" w:cs="Arial"/>
          <w:sz w:val="22"/>
          <w:szCs w:val="22"/>
        </w:rPr>
      </w:pPr>
      <w:r>
        <w:rPr>
          <w:rFonts w:ascii="Arial" w:hAnsi="Arial" w:cs="Arial"/>
          <w:sz w:val="22"/>
          <w:szCs w:val="22"/>
        </w:rPr>
        <w:t>Plazo de garantía: Cinco (5) Años</w:t>
      </w:r>
    </w:p>
    <w:p w:rsidR="009B4233" w:rsidRDefault="006B08B9">
      <w:pPr>
        <w:spacing w:after="253"/>
        <w:ind w:left="-5" w:right="1872"/>
        <w:jc w:val="both"/>
        <w:rPr>
          <w:rFonts w:ascii="Arial" w:hAnsi="Arial" w:cs="Arial"/>
          <w:sz w:val="22"/>
          <w:szCs w:val="22"/>
        </w:rPr>
      </w:pPr>
      <w:r>
        <w:rPr>
          <w:rFonts w:ascii="Arial" w:hAnsi="Arial" w:cs="Arial"/>
          <w:sz w:val="22"/>
          <w:szCs w:val="22"/>
        </w:rPr>
        <w:t>Mejoras al Proyecto: 19.946 € Puntos de recarga vehículos eléctricos Acta de replanteo de 24 de marzo de 2025</w:t>
      </w:r>
    </w:p>
    <w:p w:rsidR="009B4233" w:rsidRDefault="009B4233">
      <w:pPr>
        <w:pStyle w:val="Ttulo1"/>
        <w:ind w:right="3"/>
        <w:rPr>
          <w:rFonts w:ascii="Arial" w:hAnsi="Arial" w:cs="Arial"/>
          <w:sz w:val="22"/>
          <w:szCs w:val="22"/>
        </w:rPr>
      </w:pPr>
    </w:p>
    <w:p w:rsidR="009B4233" w:rsidRDefault="006B08B9">
      <w:pPr>
        <w:pStyle w:val="Ttulo1"/>
        <w:ind w:right="3"/>
        <w:rPr>
          <w:rFonts w:ascii="Arial" w:hAnsi="Arial" w:cs="Arial"/>
          <w:sz w:val="22"/>
          <w:szCs w:val="22"/>
        </w:rPr>
      </w:pPr>
      <w:r>
        <w:rPr>
          <w:rFonts w:ascii="Arial" w:hAnsi="Arial" w:cs="Arial"/>
          <w:sz w:val="22"/>
          <w:szCs w:val="22"/>
        </w:rPr>
        <w:t>INFORME</w:t>
      </w:r>
    </w:p>
    <w:p w:rsidR="009B4233" w:rsidRDefault="006B08B9">
      <w:pPr>
        <w:spacing w:after="253"/>
        <w:ind w:left="-5" w:right="3"/>
        <w:jc w:val="both"/>
        <w:rPr>
          <w:rFonts w:ascii="Arial" w:hAnsi="Arial" w:cs="Arial"/>
          <w:sz w:val="22"/>
          <w:szCs w:val="22"/>
        </w:rPr>
      </w:pPr>
      <w:r>
        <w:rPr>
          <w:rFonts w:ascii="Arial" w:hAnsi="Arial" w:cs="Arial"/>
          <w:sz w:val="22"/>
          <w:szCs w:val="22"/>
        </w:rPr>
        <w:t>A la vista del informe emitido por</w:t>
      </w:r>
      <w:r>
        <w:rPr>
          <w:rFonts w:ascii="Arial" w:hAnsi="Arial" w:cs="Arial"/>
          <w:sz w:val="22"/>
          <w:szCs w:val="22"/>
        </w:rPr>
        <w:t xml:space="preserve"> la Dirección Facultativa de la Obra, presentado con fecha 22 de julio y registro 2025-E-RE-6295, en la que se informa sobre la necesidad de incorporación precios contradictorios:</w:t>
      </w:r>
    </w:p>
    <w:p w:rsidR="009B4233" w:rsidRDefault="006B08B9">
      <w:pPr>
        <w:ind w:left="-5" w:right="3"/>
        <w:jc w:val="both"/>
        <w:rPr>
          <w:rFonts w:ascii="Arial" w:hAnsi="Arial" w:cs="Arial"/>
          <w:sz w:val="22"/>
          <w:szCs w:val="22"/>
        </w:rPr>
      </w:pPr>
      <w:r>
        <w:rPr>
          <w:rFonts w:ascii="Arial" w:hAnsi="Arial" w:cs="Arial"/>
          <w:sz w:val="22"/>
          <w:szCs w:val="22"/>
        </w:rPr>
        <w:t>Durante las visitas realizadas a la obra por parte de esta Dirección Faculta</w:t>
      </w:r>
      <w:r>
        <w:rPr>
          <w:rFonts w:ascii="Arial" w:hAnsi="Arial" w:cs="Arial"/>
          <w:sz w:val="22"/>
          <w:szCs w:val="22"/>
        </w:rPr>
        <w:t>tiva, y debido a necesidades surgidas para el correcto desarrollo de los trabajos, se han solicitado a la empresa constructora la ejecución de una serie de unidades de obra no contempladas ni valoradas en el presupuesto del proyecto.</w:t>
      </w:r>
    </w:p>
    <w:p w:rsidR="009B4233" w:rsidRDefault="006B08B9">
      <w:pPr>
        <w:spacing w:after="1"/>
        <w:ind w:left="-5" w:right="3"/>
        <w:jc w:val="both"/>
        <w:rPr>
          <w:rFonts w:ascii="Arial" w:hAnsi="Arial" w:cs="Arial"/>
          <w:sz w:val="22"/>
          <w:szCs w:val="22"/>
        </w:rPr>
      </w:pPr>
      <w:r>
        <w:rPr>
          <w:rFonts w:ascii="Arial" w:hAnsi="Arial" w:cs="Arial"/>
          <w:sz w:val="22"/>
          <w:szCs w:val="22"/>
        </w:rPr>
        <w:t>En el transcurso de la</w:t>
      </w:r>
      <w:r>
        <w:rPr>
          <w:rFonts w:ascii="Arial" w:hAnsi="Arial" w:cs="Arial"/>
          <w:sz w:val="22"/>
          <w:szCs w:val="22"/>
        </w:rPr>
        <w:t xml:space="preserve"> obra, y al revisar con mayor detalle las mediciones del proyecto, se ha confirmado que estas unidades no estaban reflejadas en el presupuesto inicial, a pesar de ser necesarias para garantizar la adecuada ejecución de los trabajos. Por ello, se solicita a</w:t>
      </w:r>
      <w:r>
        <w:rPr>
          <w:rFonts w:ascii="Arial" w:hAnsi="Arial" w:cs="Arial"/>
          <w:sz w:val="22"/>
          <w:szCs w:val="22"/>
        </w:rPr>
        <w:t xml:space="preserve"> </w:t>
      </w:r>
    </w:p>
    <w:p w:rsidR="009B4233" w:rsidRDefault="006B08B9">
      <w:pPr>
        <w:spacing w:after="1"/>
        <w:ind w:left="-5" w:right="3"/>
        <w:jc w:val="both"/>
        <w:rPr>
          <w:rFonts w:ascii="Arial" w:hAnsi="Arial" w:cs="Arial"/>
          <w:sz w:val="22"/>
          <w:szCs w:val="22"/>
        </w:rPr>
      </w:pPr>
      <w:r>
        <w:rPr>
          <w:rFonts w:ascii="Arial" w:hAnsi="Arial" w:cs="Arial"/>
          <w:sz w:val="22"/>
          <w:szCs w:val="22"/>
        </w:rPr>
        <w:t>la empresa constructora que realice la correspondiente cuantificación y valoración económica de dichas unidades.</w:t>
      </w:r>
    </w:p>
    <w:p w:rsidR="009B4233" w:rsidRDefault="006B08B9">
      <w:pPr>
        <w:spacing w:after="253"/>
        <w:ind w:left="-5" w:right="3"/>
        <w:jc w:val="both"/>
        <w:rPr>
          <w:rFonts w:ascii="Arial" w:hAnsi="Arial" w:cs="Arial"/>
          <w:sz w:val="22"/>
          <w:szCs w:val="22"/>
        </w:rPr>
      </w:pPr>
      <w:r>
        <w:rPr>
          <w:rFonts w:ascii="Arial" w:hAnsi="Arial" w:cs="Arial"/>
          <w:sz w:val="22"/>
          <w:szCs w:val="22"/>
        </w:rPr>
        <w:t>Como anexo al presente documento, se incorpora un cuadro detallado con la medición y valoración económica de cada unidad, junto con la justif</w:t>
      </w:r>
      <w:r>
        <w:rPr>
          <w:rFonts w:ascii="Arial" w:hAnsi="Arial" w:cs="Arial"/>
          <w:sz w:val="22"/>
          <w:szCs w:val="22"/>
        </w:rPr>
        <w:t>icación técnica correspondiente: Relación de unidades nuevas solicitadas:</w:t>
      </w:r>
    </w:p>
    <w:p w:rsidR="009B4233" w:rsidRDefault="006B08B9">
      <w:pPr>
        <w:spacing w:after="1"/>
        <w:ind w:left="-5"/>
        <w:jc w:val="both"/>
      </w:pPr>
      <w:r>
        <w:rPr>
          <w:rFonts w:ascii="Arial" w:eastAsia="Calibri" w:hAnsi="Arial" w:cs="Arial"/>
          <w:b/>
          <w:sz w:val="22"/>
          <w:szCs w:val="22"/>
        </w:rPr>
        <w:t>PN_1: Retirada de la impermeabilización existente en trasdós de muros, incluyendo carga y transporte a vertedero.</w:t>
      </w:r>
    </w:p>
    <w:p w:rsidR="009B4233" w:rsidRDefault="006B08B9">
      <w:pPr>
        <w:spacing w:after="253"/>
        <w:ind w:left="-5" w:right="3"/>
        <w:jc w:val="both"/>
        <w:rPr>
          <w:rFonts w:ascii="Arial" w:hAnsi="Arial" w:cs="Arial"/>
          <w:sz w:val="22"/>
          <w:szCs w:val="22"/>
        </w:rPr>
      </w:pPr>
      <w:r>
        <w:rPr>
          <w:rFonts w:ascii="Arial" w:hAnsi="Arial" w:cs="Arial"/>
          <w:sz w:val="22"/>
          <w:szCs w:val="22"/>
        </w:rPr>
        <w:t>Motivo: Debido al mal estado y deterioro de la actual impermeabiliza</w:t>
      </w:r>
      <w:r>
        <w:rPr>
          <w:rFonts w:ascii="Arial" w:hAnsi="Arial" w:cs="Arial"/>
          <w:sz w:val="22"/>
          <w:szCs w:val="22"/>
        </w:rPr>
        <w:t>ción de los muros, se hace necesaria su retirada y correcta gestión.</w:t>
      </w:r>
    </w:p>
    <w:p w:rsidR="009B4233" w:rsidRDefault="006B08B9">
      <w:pPr>
        <w:spacing w:after="1"/>
        <w:ind w:left="-5"/>
        <w:jc w:val="both"/>
      </w:pPr>
      <w:r>
        <w:rPr>
          <w:rFonts w:ascii="Arial" w:eastAsia="Calibri" w:hAnsi="Arial" w:cs="Arial"/>
          <w:b/>
          <w:sz w:val="22"/>
          <w:szCs w:val="22"/>
        </w:rPr>
        <w:t>PN_2: Suministro e instalación de línea de trabajo, incluyendo desbroce de vegetación existente en la cabecera del talud.</w:t>
      </w:r>
    </w:p>
    <w:p w:rsidR="009B4233" w:rsidRDefault="006B08B9">
      <w:pPr>
        <w:spacing w:after="246"/>
        <w:ind w:left="-5" w:right="3"/>
        <w:jc w:val="both"/>
        <w:rPr>
          <w:rFonts w:ascii="Arial" w:hAnsi="Arial" w:cs="Arial"/>
          <w:sz w:val="22"/>
          <w:szCs w:val="22"/>
        </w:rPr>
      </w:pPr>
      <w:r>
        <w:rPr>
          <w:rFonts w:ascii="Arial" w:hAnsi="Arial" w:cs="Arial"/>
          <w:sz w:val="22"/>
          <w:szCs w:val="22"/>
        </w:rPr>
        <w:t>Motivo: Para garantizar condiciones seguras de acceso y trabajo e</w:t>
      </w:r>
      <w:r>
        <w:rPr>
          <w:rFonts w:ascii="Arial" w:hAnsi="Arial" w:cs="Arial"/>
          <w:sz w:val="22"/>
          <w:szCs w:val="22"/>
        </w:rPr>
        <w:t>n la zona del talud.</w:t>
      </w:r>
    </w:p>
    <w:p w:rsidR="009B4233" w:rsidRDefault="006B08B9">
      <w:pPr>
        <w:spacing w:after="1"/>
        <w:ind w:left="-5"/>
        <w:jc w:val="both"/>
      </w:pPr>
      <w:r>
        <w:rPr>
          <w:rFonts w:ascii="Arial" w:eastAsia="Calibri" w:hAnsi="Arial" w:cs="Arial"/>
          <w:b/>
          <w:sz w:val="22"/>
          <w:szCs w:val="22"/>
        </w:rPr>
        <w:t>PN_3: Suministro e instalación de malla de triple torsión anclada a coronación y pie de talud.</w:t>
      </w:r>
    </w:p>
    <w:p w:rsidR="009B4233" w:rsidRDefault="006B08B9">
      <w:pPr>
        <w:spacing w:after="216"/>
        <w:ind w:left="-5" w:right="3"/>
        <w:jc w:val="both"/>
        <w:rPr>
          <w:rFonts w:ascii="Arial" w:hAnsi="Arial" w:cs="Arial"/>
          <w:sz w:val="22"/>
          <w:szCs w:val="22"/>
        </w:rPr>
      </w:pPr>
      <w:r>
        <w:rPr>
          <w:rFonts w:ascii="Arial" w:hAnsi="Arial" w:cs="Arial"/>
          <w:sz w:val="22"/>
          <w:szCs w:val="22"/>
        </w:rPr>
        <w:t xml:space="preserve">Motivo: Al evaluar el estado del terreno en la zona del talud, se ha observado que este presenta inestabilidad en determinadas áreas. La </w:t>
      </w:r>
      <w:r>
        <w:rPr>
          <w:rFonts w:ascii="Arial" w:hAnsi="Arial" w:cs="Arial"/>
          <w:sz w:val="22"/>
          <w:szCs w:val="22"/>
        </w:rPr>
        <w:t>instalación de la malla es necesaria para prevenir la caída de piedras y evitar posibles accidentes hacia la zona inferior, donde el personal trabaja en las tareas de cimentación.</w:t>
      </w:r>
    </w:p>
    <w:p w:rsidR="009B4233" w:rsidRDefault="006B08B9">
      <w:pPr>
        <w:spacing w:after="1"/>
        <w:ind w:left="-5"/>
        <w:jc w:val="both"/>
      </w:pPr>
      <w:r>
        <w:rPr>
          <w:rFonts w:ascii="Arial" w:eastAsia="Calibri" w:hAnsi="Arial" w:cs="Arial"/>
          <w:b/>
          <w:sz w:val="22"/>
          <w:szCs w:val="22"/>
        </w:rPr>
        <w:t>PN_4: Drenaje perimetral mediante tubo flexible de polietileno de alta densi</w:t>
      </w:r>
      <w:r>
        <w:rPr>
          <w:rFonts w:ascii="Arial" w:eastAsia="Calibri" w:hAnsi="Arial" w:cs="Arial"/>
          <w:b/>
          <w:sz w:val="22"/>
          <w:szCs w:val="22"/>
        </w:rPr>
        <w:t>dad (PEAD/HDPE).</w:t>
      </w:r>
    </w:p>
    <w:p w:rsidR="009B4233" w:rsidRDefault="006B08B9">
      <w:pPr>
        <w:spacing w:after="253"/>
        <w:ind w:left="-5" w:right="3"/>
        <w:jc w:val="both"/>
        <w:rPr>
          <w:rFonts w:ascii="Arial" w:hAnsi="Arial" w:cs="Arial"/>
          <w:sz w:val="22"/>
          <w:szCs w:val="22"/>
        </w:rPr>
      </w:pPr>
      <w:r>
        <w:rPr>
          <w:rFonts w:ascii="Arial" w:hAnsi="Arial" w:cs="Arial"/>
          <w:sz w:val="22"/>
          <w:szCs w:val="22"/>
        </w:rPr>
        <w:t>Motivo: Aunque el tubo de drenaje aparece representado en los detalles constructivos del proyecto, no se encuentra valorado ni reflejado en las mediciones, por lo que es necesario incorporarlo.</w:t>
      </w:r>
    </w:p>
    <w:p w:rsidR="009B4233" w:rsidRDefault="006B08B9">
      <w:pPr>
        <w:spacing w:after="1"/>
        <w:ind w:left="-5"/>
        <w:jc w:val="both"/>
      </w:pPr>
      <w:r>
        <w:rPr>
          <w:rFonts w:ascii="Arial" w:eastAsia="Calibri" w:hAnsi="Arial" w:cs="Arial"/>
          <w:b/>
          <w:sz w:val="22"/>
          <w:szCs w:val="22"/>
        </w:rPr>
        <w:t>PN_5: Lámina de protección frente al gas radó</w:t>
      </w:r>
      <w:r>
        <w:rPr>
          <w:rFonts w:ascii="Arial" w:eastAsia="Calibri" w:hAnsi="Arial" w:cs="Arial"/>
          <w:b/>
          <w:sz w:val="22"/>
          <w:szCs w:val="22"/>
        </w:rPr>
        <w:t>n, mediante lámina de PVC URDIN SANI 1,2 mm no armada.</w:t>
      </w:r>
    </w:p>
    <w:p w:rsidR="009B4233" w:rsidRDefault="006B08B9">
      <w:pPr>
        <w:ind w:left="-5" w:right="3"/>
        <w:jc w:val="both"/>
        <w:rPr>
          <w:rFonts w:ascii="Arial" w:hAnsi="Arial" w:cs="Arial"/>
          <w:sz w:val="22"/>
          <w:szCs w:val="22"/>
        </w:rPr>
      </w:pPr>
      <w:r>
        <w:rPr>
          <w:rFonts w:ascii="Arial" w:hAnsi="Arial" w:cs="Arial"/>
          <w:sz w:val="22"/>
          <w:szCs w:val="22"/>
        </w:rPr>
        <w:t xml:space="preserve">Motivo: Al analizar las mediciones del proyecto, se ha detectado la ausencia de una solución para la protección frente al gas radón bajo la solera de la planta sótano. Esta actuación es necesaria para </w:t>
      </w:r>
      <w:r>
        <w:rPr>
          <w:rFonts w:ascii="Arial" w:hAnsi="Arial" w:cs="Arial"/>
          <w:sz w:val="22"/>
          <w:szCs w:val="22"/>
        </w:rPr>
        <w:t>cumplir con los requisitos del Código Técnico de la Edificación.</w:t>
      </w:r>
    </w:p>
    <w:p w:rsidR="009B4233" w:rsidRDefault="006B08B9">
      <w:pPr>
        <w:spacing w:after="262" w:line="249" w:lineRule="auto"/>
        <w:ind w:left="-2"/>
      </w:pPr>
      <w:r>
        <w:rPr>
          <w:rFonts w:ascii="Arial" w:hAnsi="Arial" w:cs="Arial"/>
          <w:noProof/>
          <w:sz w:val="22"/>
          <w:szCs w:val="22"/>
          <w:lang w:eastAsia="es-ES" w:bidi="ar-SA"/>
        </w:rPr>
        <w:drawing>
          <wp:inline distT="0" distB="0" distL="0" distR="0">
            <wp:extent cx="5455923" cy="2225036"/>
            <wp:effectExtent l="0" t="0" r="0" b="3814"/>
            <wp:docPr id="85" name="Imagen 469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rcRect/>
                    <a:stretch>
                      <a:fillRect/>
                    </a:stretch>
                  </pic:blipFill>
                  <pic:spPr>
                    <a:xfrm>
                      <a:off x="0" y="0"/>
                      <a:ext cx="5455923" cy="2225036"/>
                    </a:xfrm>
                    <a:prstGeom prst="rect">
                      <a:avLst/>
                    </a:prstGeom>
                    <a:noFill/>
                    <a:ln>
                      <a:noFill/>
                      <a:prstDash/>
                    </a:ln>
                  </pic:spPr>
                </pic:pic>
              </a:graphicData>
            </a:graphic>
          </wp:inline>
        </w:drawing>
      </w:r>
    </w:p>
    <w:p w:rsidR="009B4233" w:rsidRDefault="006B08B9">
      <w:pPr>
        <w:pStyle w:val="Ttulo1"/>
        <w:ind w:right="4"/>
        <w:rPr>
          <w:rFonts w:ascii="Arial" w:hAnsi="Arial" w:cs="Arial"/>
          <w:sz w:val="22"/>
          <w:szCs w:val="22"/>
        </w:rPr>
      </w:pPr>
      <w:r>
        <w:rPr>
          <w:rFonts w:ascii="Arial" w:hAnsi="Arial" w:cs="Arial"/>
          <w:sz w:val="22"/>
          <w:szCs w:val="22"/>
        </w:rPr>
        <w:t>CONCLUSIONES</w:t>
      </w:r>
    </w:p>
    <w:p w:rsidR="009B4233" w:rsidRDefault="006B08B9">
      <w:pPr>
        <w:spacing w:after="253"/>
        <w:ind w:left="-5" w:right="3"/>
        <w:jc w:val="both"/>
        <w:rPr>
          <w:rFonts w:ascii="Arial" w:hAnsi="Arial" w:cs="Arial"/>
          <w:sz w:val="22"/>
          <w:szCs w:val="22"/>
        </w:rPr>
      </w:pPr>
      <w:r>
        <w:rPr>
          <w:rFonts w:ascii="Arial" w:hAnsi="Arial" w:cs="Arial"/>
          <w:sz w:val="22"/>
          <w:szCs w:val="22"/>
        </w:rPr>
        <w:t>El incremento de Importe de ejecución por contrata del conjunto de los 5 nuevos precios es de 63.350,24 €. lo que supone un incremento del 1,29 % sobre el presupuesto de adjudi</w:t>
      </w:r>
      <w:r>
        <w:rPr>
          <w:rFonts w:ascii="Arial" w:hAnsi="Arial" w:cs="Arial"/>
          <w:sz w:val="22"/>
          <w:szCs w:val="22"/>
        </w:rPr>
        <w:t>cación del contrato, menor del 3% al que limita el artículo 242.4.c) de la Ley 9/2017 de Contratos del Sector Público.”</w:t>
      </w:r>
    </w:p>
    <w:p w:rsidR="009B4233" w:rsidRDefault="006B08B9">
      <w:pPr>
        <w:spacing w:after="277" w:line="228" w:lineRule="auto"/>
        <w:ind w:left="-5"/>
        <w:jc w:val="both"/>
      </w:pPr>
      <w:r>
        <w:rPr>
          <w:rFonts w:ascii="Arial" w:eastAsia="Calibri" w:hAnsi="Arial" w:cs="Arial"/>
          <w:b/>
          <w:sz w:val="22"/>
          <w:szCs w:val="22"/>
        </w:rPr>
        <w:t xml:space="preserve">Quinto: </w:t>
      </w:r>
      <w:r>
        <w:rPr>
          <w:rFonts w:ascii="Arial" w:eastAsia="Calibri" w:hAnsi="Arial" w:cs="Arial"/>
          <w:sz w:val="22"/>
          <w:szCs w:val="22"/>
        </w:rPr>
        <w:t>Consta en el expediente documento contable AD nº 2.25.0.05595, por importe de 63.350,24 euros, correspondiente a la aprobación d</w:t>
      </w:r>
      <w:r>
        <w:rPr>
          <w:rFonts w:ascii="Arial" w:eastAsia="Calibri" w:hAnsi="Arial" w:cs="Arial"/>
          <w:sz w:val="22"/>
          <w:szCs w:val="22"/>
        </w:rPr>
        <w:t xml:space="preserve">e los precios contradictorios propuestos por la dirección facultativa e informados favorablemente por la Arquitecta municipal. </w:t>
      </w:r>
    </w:p>
    <w:p w:rsidR="009B4233" w:rsidRDefault="006B08B9">
      <w:pPr>
        <w:pStyle w:val="Ttulo2"/>
        <w:ind w:left="369" w:right="2"/>
        <w:jc w:val="center"/>
        <w:rPr>
          <w:rFonts w:ascii="Arial" w:hAnsi="Arial" w:cs="Arial"/>
          <w:sz w:val="22"/>
          <w:szCs w:val="22"/>
        </w:rPr>
      </w:pPr>
      <w:r>
        <w:rPr>
          <w:rFonts w:ascii="Arial" w:hAnsi="Arial" w:cs="Arial"/>
          <w:sz w:val="22"/>
          <w:szCs w:val="22"/>
        </w:rPr>
        <w:t>Fundamentos de derecho</w:t>
      </w:r>
    </w:p>
    <w:p w:rsidR="009B4233" w:rsidRDefault="006B08B9">
      <w:pPr>
        <w:spacing w:after="277" w:line="228" w:lineRule="auto"/>
        <w:ind w:left="-5"/>
        <w:jc w:val="both"/>
      </w:pPr>
      <w:r>
        <w:rPr>
          <w:rFonts w:ascii="Arial" w:eastAsia="Calibri" w:hAnsi="Arial" w:cs="Arial"/>
          <w:b/>
          <w:sz w:val="22"/>
          <w:szCs w:val="22"/>
        </w:rPr>
        <w:t xml:space="preserve">Primero: </w:t>
      </w:r>
      <w:r>
        <w:rPr>
          <w:rFonts w:ascii="Arial" w:eastAsia="Calibri" w:hAnsi="Arial" w:cs="Arial"/>
          <w:sz w:val="22"/>
          <w:szCs w:val="22"/>
        </w:rPr>
        <w:t>El art. 242 de la Ley 9/2017 de Contratos del Sector Público, relativo a la modificación del con</w:t>
      </w:r>
      <w:r>
        <w:rPr>
          <w:rFonts w:ascii="Arial" w:eastAsia="Calibri" w:hAnsi="Arial" w:cs="Arial"/>
          <w:sz w:val="22"/>
          <w:szCs w:val="22"/>
        </w:rPr>
        <w:t xml:space="preserve">trato de obras dispone que: </w:t>
      </w:r>
    </w:p>
    <w:p w:rsidR="009B4233" w:rsidRDefault="006B08B9">
      <w:pPr>
        <w:widowControl/>
        <w:numPr>
          <w:ilvl w:val="0"/>
          <w:numId w:val="78"/>
        </w:numPr>
        <w:suppressAutoHyphens w:val="0"/>
        <w:spacing w:line="218" w:lineRule="auto"/>
        <w:ind w:right="3" w:firstLine="360"/>
        <w:jc w:val="both"/>
        <w:textAlignment w:val="auto"/>
        <w:rPr>
          <w:rFonts w:ascii="Arial" w:hAnsi="Arial" w:cs="Arial"/>
          <w:sz w:val="22"/>
          <w:szCs w:val="22"/>
        </w:rPr>
      </w:pPr>
      <w:r>
        <w:rPr>
          <w:rFonts w:ascii="Arial" w:hAnsi="Arial" w:cs="Arial"/>
          <w:sz w:val="22"/>
          <w:szCs w:val="22"/>
        </w:rPr>
        <w:t>Serán obligatorias para el contratista las modificaciones del contrato de obras que se acuerden de conformidad con lo establecido en el artículo 206. En caso de que la modificación suponga supresión o reducción de unidades de o</w:t>
      </w:r>
      <w:r>
        <w:rPr>
          <w:rFonts w:ascii="Arial" w:hAnsi="Arial" w:cs="Arial"/>
          <w:sz w:val="22"/>
          <w:szCs w:val="22"/>
        </w:rPr>
        <w:t>bra, el contratista no tendrá derecho a reclamar indemnización alguna.</w:t>
      </w:r>
    </w:p>
    <w:p w:rsidR="009B4233" w:rsidRDefault="006B08B9">
      <w:pPr>
        <w:widowControl/>
        <w:numPr>
          <w:ilvl w:val="0"/>
          <w:numId w:val="78"/>
        </w:numPr>
        <w:suppressAutoHyphens w:val="0"/>
        <w:spacing w:line="218" w:lineRule="auto"/>
        <w:ind w:right="3" w:firstLine="360"/>
        <w:jc w:val="both"/>
        <w:textAlignment w:val="auto"/>
        <w:rPr>
          <w:rFonts w:ascii="Arial" w:hAnsi="Arial" w:cs="Arial"/>
          <w:sz w:val="22"/>
          <w:szCs w:val="22"/>
        </w:rPr>
      </w:pPr>
      <w:r>
        <w:rPr>
          <w:rFonts w:ascii="Arial" w:hAnsi="Arial" w:cs="Arial"/>
          <w:sz w:val="22"/>
          <w:szCs w:val="22"/>
        </w:rPr>
        <w:t>Cuando las modificaciones supongan la introducción de unidades de obra no previstas en el proyecto o cuyas características difieran de las fijadas en este, y no sea necesario realizar u</w:t>
      </w:r>
      <w:r>
        <w:rPr>
          <w:rFonts w:ascii="Arial" w:hAnsi="Arial" w:cs="Arial"/>
          <w:sz w:val="22"/>
          <w:szCs w:val="22"/>
        </w:rPr>
        <w:t xml:space="preserve">na nueva licitación, los precios aplicables a las mismas serán fijados por la Administración, previa audiencia del contratista por plazo mínimo de tres días hábiles. </w:t>
      </w:r>
    </w:p>
    <w:p w:rsidR="009B4233" w:rsidRDefault="006B08B9">
      <w:pPr>
        <w:ind w:left="-5" w:right="3"/>
        <w:jc w:val="both"/>
        <w:rPr>
          <w:rFonts w:ascii="Arial" w:hAnsi="Arial" w:cs="Arial"/>
          <w:sz w:val="22"/>
          <w:szCs w:val="22"/>
        </w:rPr>
      </w:pPr>
      <w:r>
        <w:rPr>
          <w:rFonts w:ascii="Arial" w:hAnsi="Arial" w:cs="Arial"/>
          <w:sz w:val="22"/>
          <w:szCs w:val="22"/>
        </w:rPr>
        <w:t>Cuando el contratista no aceptase los precios fijados, el órgano de contratación podrá co</w:t>
      </w:r>
      <w:r>
        <w:rPr>
          <w:rFonts w:ascii="Arial" w:hAnsi="Arial" w:cs="Arial"/>
          <w:sz w:val="22"/>
          <w:szCs w:val="22"/>
        </w:rPr>
        <w:t>ntratarlas con otro empresario en los mismos precios que hubiese fijado, ejecutarlas directamente u optar por la resolución del contrato conforme al artículo 211 de esta Ley. …..</w:t>
      </w:r>
    </w:p>
    <w:p w:rsidR="009B4233" w:rsidRDefault="006B08B9">
      <w:pPr>
        <w:ind w:left="-15" w:right="3" w:firstLine="356"/>
        <w:jc w:val="both"/>
        <w:rPr>
          <w:rFonts w:ascii="Arial" w:hAnsi="Arial" w:cs="Arial"/>
          <w:sz w:val="22"/>
          <w:szCs w:val="22"/>
        </w:rPr>
      </w:pPr>
      <w:r>
        <w:rPr>
          <w:rFonts w:ascii="Arial" w:hAnsi="Arial" w:cs="Arial"/>
          <w:sz w:val="22"/>
          <w:szCs w:val="22"/>
        </w:rPr>
        <w:t xml:space="preserve">4. Cuando el Director facultativo de la obra considere necesaria una </w:t>
      </w:r>
      <w:r>
        <w:rPr>
          <w:rFonts w:ascii="Arial" w:hAnsi="Arial" w:cs="Arial"/>
          <w:sz w:val="22"/>
          <w:szCs w:val="22"/>
        </w:rPr>
        <w:t>modificación del proyecto y se cumplan los requisitos que a tal efecto regula esta Ley, recabará del órgano de contratación autorización para iniciar el correspondiente expediente, que se sustanciará con las siguientes actuaciones:</w:t>
      </w:r>
    </w:p>
    <w:p w:rsidR="009B4233" w:rsidRDefault="006B08B9">
      <w:pPr>
        <w:widowControl/>
        <w:numPr>
          <w:ilvl w:val="0"/>
          <w:numId w:val="79"/>
        </w:numPr>
        <w:suppressAutoHyphens w:val="0"/>
        <w:spacing w:after="30" w:line="218" w:lineRule="auto"/>
        <w:ind w:right="3" w:hanging="288"/>
        <w:jc w:val="both"/>
        <w:textAlignment w:val="auto"/>
        <w:rPr>
          <w:rFonts w:ascii="Arial" w:hAnsi="Arial" w:cs="Arial"/>
          <w:sz w:val="22"/>
          <w:szCs w:val="22"/>
        </w:rPr>
      </w:pPr>
      <w:r>
        <w:rPr>
          <w:rFonts w:ascii="Arial" w:hAnsi="Arial" w:cs="Arial"/>
          <w:sz w:val="22"/>
          <w:szCs w:val="22"/>
        </w:rPr>
        <w:t>Redacción de la modifica</w:t>
      </w:r>
      <w:r>
        <w:rPr>
          <w:rFonts w:ascii="Arial" w:hAnsi="Arial" w:cs="Arial"/>
          <w:sz w:val="22"/>
          <w:szCs w:val="22"/>
        </w:rPr>
        <w:t>ción del proyecto y aprobación técnica de la misma.</w:t>
      </w:r>
    </w:p>
    <w:p w:rsidR="009B4233" w:rsidRDefault="006B08B9">
      <w:pPr>
        <w:widowControl/>
        <w:numPr>
          <w:ilvl w:val="0"/>
          <w:numId w:val="79"/>
        </w:numPr>
        <w:suppressAutoHyphens w:val="0"/>
        <w:spacing w:after="30" w:line="218" w:lineRule="auto"/>
        <w:ind w:right="3" w:hanging="288"/>
        <w:jc w:val="both"/>
        <w:textAlignment w:val="auto"/>
        <w:rPr>
          <w:rFonts w:ascii="Arial" w:hAnsi="Arial" w:cs="Arial"/>
          <w:sz w:val="22"/>
          <w:szCs w:val="22"/>
        </w:rPr>
      </w:pPr>
      <w:r>
        <w:rPr>
          <w:rFonts w:ascii="Arial" w:hAnsi="Arial" w:cs="Arial"/>
          <w:sz w:val="22"/>
          <w:szCs w:val="22"/>
        </w:rPr>
        <w:t>Audiencia del contratista y del redactor del proyecto, por plazo mínimo de tres días.</w:t>
      </w:r>
    </w:p>
    <w:p w:rsidR="009B4233" w:rsidRDefault="006B08B9">
      <w:pPr>
        <w:widowControl/>
        <w:numPr>
          <w:ilvl w:val="0"/>
          <w:numId w:val="79"/>
        </w:numPr>
        <w:suppressAutoHyphens w:val="0"/>
        <w:spacing w:after="30" w:line="218" w:lineRule="auto"/>
        <w:ind w:right="3" w:hanging="288"/>
        <w:jc w:val="both"/>
        <w:textAlignment w:val="auto"/>
        <w:rPr>
          <w:rFonts w:ascii="Arial" w:hAnsi="Arial" w:cs="Arial"/>
          <w:sz w:val="22"/>
          <w:szCs w:val="22"/>
        </w:rPr>
      </w:pPr>
      <w:r>
        <w:rPr>
          <w:rFonts w:ascii="Arial" w:hAnsi="Arial" w:cs="Arial"/>
          <w:sz w:val="22"/>
          <w:szCs w:val="22"/>
        </w:rPr>
        <w:t xml:space="preserve">Aprobación del expediente por el órgano de contratación, así como de los gastos </w:t>
      </w:r>
    </w:p>
    <w:p w:rsidR="009B4233" w:rsidRDefault="006B08B9">
      <w:pPr>
        <w:ind w:left="-5" w:right="3"/>
        <w:jc w:val="both"/>
        <w:rPr>
          <w:rFonts w:ascii="Arial" w:hAnsi="Arial" w:cs="Arial"/>
          <w:sz w:val="22"/>
          <w:szCs w:val="22"/>
        </w:rPr>
      </w:pPr>
      <w:r>
        <w:rPr>
          <w:rFonts w:ascii="Arial" w:hAnsi="Arial" w:cs="Arial"/>
          <w:sz w:val="22"/>
          <w:szCs w:val="22"/>
        </w:rPr>
        <w:t>complementarios precisos.</w:t>
      </w:r>
    </w:p>
    <w:p w:rsidR="009B4233" w:rsidRDefault="006B08B9">
      <w:pPr>
        <w:ind w:left="366" w:right="3"/>
        <w:jc w:val="both"/>
        <w:rPr>
          <w:rFonts w:ascii="Arial" w:hAnsi="Arial" w:cs="Arial"/>
          <w:sz w:val="22"/>
          <w:szCs w:val="22"/>
        </w:rPr>
      </w:pPr>
      <w:r>
        <w:rPr>
          <w:rFonts w:ascii="Arial" w:hAnsi="Arial" w:cs="Arial"/>
          <w:sz w:val="22"/>
          <w:szCs w:val="22"/>
        </w:rPr>
        <w:t>No obstante</w:t>
      </w:r>
      <w:r>
        <w:rPr>
          <w:rFonts w:ascii="Arial" w:hAnsi="Arial" w:cs="Arial"/>
          <w:sz w:val="22"/>
          <w:szCs w:val="22"/>
        </w:rPr>
        <w:t>, no tendrán la consideración de modificaciones:</w:t>
      </w:r>
    </w:p>
    <w:p w:rsidR="009B4233" w:rsidRDefault="006B08B9">
      <w:pPr>
        <w:ind w:left="370" w:right="3"/>
        <w:jc w:val="both"/>
        <w:rPr>
          <w:rFonts w:ascii="Arial" w:hAnsi="Arial" w:cs="Arial"/>
          <w:sz w:val="22"/>
          <w:szCs w:val="22"/>
        </w:rPr>
      </w:pPr>
      <w:r>
        <w:rPr>
          <w:rFonts w:ascii="Arial" w:hAnsi="Arial" w:cs="Arial"/>
          <w:sz w:val="22"/>
          <w:szCs w:val="22"/>
        </w:rPr>
        <w:t>…..</w:t>
      </w:r>
    </w:p>
    <w:p w:rsidR="009B4233" w:rsidRDefault="006B08B9">
      <w:pPr>
        <w:ind w:left="-15" w:right="3" w:firstLine="360"/>
        <w:jc w:val="both"/>
        <w:rPr>
          <w:rFonts w:ascii="Arial" w:hAnsi="Arial" w:cs="Arial"/>
          <w:sz w:val="22"/>
          <w:szCs w:val="22"/>
        </w:rPr>
      </w:pPr>
      <w:r>
        <w:rPr>
          <w:rFonts w:ascii="Arial" w:hAnsi="Arial" w:cs="Arial"/>
          <w:sz w:val="22"/>
          <w:szCs w:val="22"/>
        </w:rPr>
        <w:t>ii. La inclusión de precios nuevos, fijados contradictoriamente por los procedimientos establecidos en esta Ley y en sus normas de desarrollo, siempre que no supongan incremento del precio global del con</w:t>
      </w:r>
      <w:r>
        <w:rPr>
          <w:rFonts w:ascii="Arial" w:hAnsi="Arial" w:cs="Arial"/>
          <w:sz w:val="22"/>
          <w:szCs w:val="22"/>
        </w:rPr>
        <w:t>trato ni afecten a unidades de obra que en su conjunto exceda del 3 por ciento del presupuesto primitivo del mismo.</w:t>
      </w:r>
    </w:p>
    <w:p w:rsidR="009B4233" w:rsidRDefault="006B08B9">
      <w:pPr>
        <w:spacing w:after="246"/>
        <w:ind w:left="370" w:right="3"/>
        <w:jc w:val="both"/>
        <w:rPr>
          <w:rFonts w:ascii="Arial" w:hAnsi="Arial" w:cs="Arial"/>
          <w:sz w:val="22"/>
          <w:szCs w:val="22"/>
        </w:rPr>
      </w:pPr>
      <w:r>
        <w:rPr>
          <w:rFonts w:ascii="Arial" w:hAnsi="Arial" w:cs="Arial"/>
          <w:sz w:val="22"/>
          <w:szCs w:val="22"/>
        </w:rPr>
        <w:t>…….”</w:t>
      </w:r>
    </w:p>
    <w:p w:rsidR="009B4233" w:rsidRDefault="006B08B9">
      <w:pPr>
        <w:spacing w:after="250" w:line="228" w:lineRule="auto"/>
        <w:ind w:left="-15" w:firstLine="360"/>
        <w:jc w:val="both"/>
      </w:pPr>
      <w:r>
        <w:rPr>
          <w:rFonts w:ascii="Arial" w:eastAsia="Calibri" w:hAnsi="Arial" w:cs="Arial"/>
          <w:b/>
          <w:sz w:val="22"/>
          <w:szCs w:val="22"/>
        </w:rPr>
        <w:t xml:space="preserve">Segundo: </w:t>
      </w:r>
      <w:r>
        <w:rPr>
          <w:rFonts w:ascii="Arial" w:eastAsia="Calibri" w:hAnsi="Arial" w:cs="Arial"/>
          <w:sz w:val="22"/>
          <w:szCs w:val="22"/>
        </w:rPr>
        <w:t>La modificación propuesta cumple con los requisitos establecidos en la LCSP, al contar con informe técnico favorable, justific</w:t>
      </w:r>
      <w:r>
        <w:rPr>
          <w:rFonts w:ascii="Arial" w:eastAsia="Calibri" w:hAnsi="Arial" w:cs="Arial"/>
          <w:sz w:val="22"/>
          <w:szCs w:val="22"/>
        </w:rPr>
        <w:t>ación detallada y disponibilidad presupuestaria acreditada mediante documento contable (AD nº 2.25.0.05595).</w:t>
      </w:r>
    </w:p>
    <w:p w:rsidR="009B4233" w:rsidRDefault="006B08B9">
      <w:pPr>
        <w:spacing w:after="277" w:line="228" w:lineRule="auto"/>
        <w:ind w:left="-15" w:firstLine="566"/>
        <w:jc w:val="both"/>
      </w:pPr>
      <w:r>
        <w:rPr>
          <w:rFonts w:ascii="Arial" w:eastAsia="Calibri" w:hAnsi="Arial" w:cs="Arial"/>
          <w:sz w:val="22"/>
          <w:szCs w:val="22"/>
        </w:rPr>
        <w:t>En base a los antecedentes de hecho y fundamentos de derecho expuestos, se emite la siguiente,</w:t>
      </w:r>
    </w:p>
    <w:p w:rsidR="009B4233" w:rsidRDefault="006B08B9">
      <w:pPr>
        <w:spacing w:after="246" w:line="249" w:lineRule="auto"/>
        <w:ind w:left="369" w:right="364"/>
        <w:jc w:val="center"/>
      </w:pPr>
      <w:r>
        <w:rPr>
          <w:rFonts w:ascii="Arial" w:eastAsia="Calibri" w:hAnsi="Arial" w:cs="Arial"/>
          <w:b/>
          <w:sz w:val="22"/>
          <w:szCs w:val="22"/>
        </w:rPr>
        <w:t>PROPUESTA DE RESOLUCIÓN:</w:t>
      </w:r>
    </w:p>
    <w:p w:rsidR="009B4233" w:rsidRDefault="006B08B9">
      <w:pPr>
        <w:spacing w:after="277" w:line="228" w:lineRule="auto"/>
        <w:ind w:left="-15" w:firstLine="566"/>
        <w:jc w:val="both"/>
      </w:pPr>
      <w:r>
        <w:rPr>
          <w:rFonts w:ascii="Arial" w:eastAsia="Calibri" w:hAnsi="Arial" w:cs="Arial"/>
          <w:sz w:val="22"/>
          <w:szCs w:val="22"/>
        </w:rPr>
        <w:t xml:space="preserve"> </w:t>
      </w:r>
      <w:r>
        <w:rPr>
          <w:rFonts w:ascii="Arial" w:eastAsia="Calibri" w:hAnsi="Arial" w:cs="Arial"/>
          <w:b/>
          <w:sz w:val="22"/>
          <w:szCs w:val="22"/>
        </w:rPr>
        <w:t>PRIMERO:</w:t>
      </w:r>
      <w:r>
        <w:rPr>
          <w:rFonts w:ascii="Arial" w:eastAsia="Calibri" w:hAnsi="Arial" w:cs="Arial"/>
          <w:sz w:val="22"/>
          <w:szCs w:val="22"/>
        </w:rPr>
        <w:t xml:space="preserve"> Aprobar los </w:t>
      </w:r>
      <w:r>
        <w:rPr>
          <w:rFonts w:ascii="Arial" w:eastAsia="Calibri" w:hAnsi="Arial" w:cs="Arial"/>
          <w:sz w:val="22"/>
          <w:szCs w:val="22"/>
        </w:rPr>
        <w:t>siguientes precios contradictorios propuestos por la Dirección facultativa e informados favorablemente por la Arquitecta municipal:</w:t>
      </w:r>
    </w:p>
    <w:p w:rsidR="009B4233" w:rsidRDefault="006B08B9">
      <w:pPr>
        <w:spacing w:after="119"/>
        <w:ind w:left="-5" w:right="3"/>
        <w:jc w:val="both"/>
        <w:rPr>
          <w:rFonts w:ascii="Arial" w:hAnsi="Arial" w:cs="Arial"/>
          <w:sz w:val="22"/>
          <w:szCs w:val="22"/>
        </w:rPr>
      </w:pPr>
      <w:r>
        <w:rPr>
          <w:rFonts w:ascii="Arial" w:hAnsi="Arial" w:cs="Arial"/>
          <w:sz w:val="22"/>
          <w:szCs w:val="22"/>
        </w:rPr>
        <w:t>PN_1: Retirada de la impermeabilización existente en trasdós de muros, incluyendo carga y transporte a vertedero.</w:t>
      </w:r>
    </w:p>
    <w:p w:rsidR="009B4233" w:rsidRDefault="006B08B9">
      <w:pPr>
        <w:spacing w:after="116" w:line="228" w:lineRule="auto"/>
        <w:ind w:left="-5"/>
        <w:jc w:val="both"/>
      </w:pPr>
      <w:r>
        <w:rPr>
          <w:rFonts w:ascii="Arial" w:eastAsia="Calibri" w:hAnsi="Arial" w:cs="Arial"/>
          <w:sz w:val="22"/>
          <w:szCs w:val="22"/>
        </w:rPr>
        <w:t>Motivo: De</w:t>
      </w:r>
      <w:r>
        <w:rPr>
          <w:rFonts w:ascii="Arial" w:eastAsia="Calibri" w:hAnsi="Arial" w:cs="Arial"/>
          <w:sz w:val="22"/>
          <w:szCs w:val="22"/>
        </w:rPr>
        <w:t>bido al mal estado y deterioro de la actual impermeabilización de los muros, se hace necesaria su retirada y correcta gestión.</w:t>
      </w:r>
    </w:p>
    <w:p w:rsidR="009B4233" w:rsidRDefault="006B08B9">
      <w:pPr>
        <w:spacing w:after="119"/>
        <w:ind w:left="-5" w:right="3"/>
        <w:jc w:val="both"/>
        <w:rPr>
          <w:rFonts w:ascii="Arial" w:hAnsi="Arial" w:cs="Arial"/>
          <w:sz w:val="22"/>
          <w:szCs w:val="22"/>
        </w:rPr>
      </w:pPr>
      <w:r>
        <w:rPr>
          <w:rFonts w:ascii="Arial" w:hAnsi="Arial" w:cs="Arial"/>
          <w:sz w:val="22"/>
          <w:szCs w:val="22"/>
        </w:rPr>
        <w:t>PN_2: Suministro e instalación de línea de trabajo, incluyendo desbroce de vegetación existente en la cabecera del talud.</w:t>
      </w:r>
    </w:p>
    <w:p w:rsidR="009B4233" w:rsidRDefault="006B08B9">
      <w:pPr>
        <w:spacing w:after="112" w:line="228" w:lineRule="auto"/>
        <w:ind w:left="-5"/>
        <w:jc w:val="both"/>
      </w:pPr>
      <w:r>
        <w:rPr>
          <w:rFonts w:ascii="Arial" w:eastAsia="Calibri" w:hAnsi="Arial" w:cs="Arial"/>
          <w:sz w:val="22"/>
          <w:szCs w:val="22"/>
        </w:rPr>
        <w:t>Motivo:</w:t>
      </w:r>
      <w:r>
        <w:rPr>
          <w:rFonts w:ascii="Arial" w:eastAsia="Calibri" w:hAnsi="Arial" w:cs="Arial"/>
          <w:sz w:val="22"/>
          <w:szCs w:val="22"/>
        </w:rPr>
        <w:t xml:space="preserve"> Para garantizar condiciones seguras de acceso y trabajo en la zona del talud.</w:t>
      </w:r>
    </w:p>
    <w:p w:rsidR="009B4233" w:rsidRDefault="006B08B9">
      <w:pPr>
        <w:spacing w:after="112"/>
        <w:ind w:left="-5" w:right="3"/>
        <w:jc w:val="both"/>
        <w:rPr>
          <w:rFonts w:ascii="Arial" w:hAnsi="Arial" w:cs="Arial"/>
          <w:sz w:val="22"/>
          <w:szCs w:val="22"/>
        </w:rPr>
      </w:pPr>
      <w:r>
        <w:rPr>
          <w:rFonts w:ascii="Arial" w:hAnsi="Arial" w:cs="Arial"/>
          <w:sz w:val="22"/>
          <w:szCs w:val="22"/>
        </w:rPr>
        <w:t>PN_3: Suministro e instalación de malla de triple torsión anclada a coronación y pie de talud.</w:t>
      </w:r>
    </w:p>
    <w:p w:rsidR="009B4233" w:rsidRDefault="006B08B9">
      <w:pPr>
        <w:spacing w:after="116" w:line="228" w:lineRule="auto"/>
        <w:ind w:left="-5"/>
        <w:jc w:val="both"/>
      </w:pPr>
      <w:r>
        <w:rPr>
          <w:rFonts w:ascii="Arial" w:eastAsia="Calibri" w:hAnsi="Arial" w:cs="Arial"/>
          <w:sz w:val="22"/>
          <w:szCs w:val="22"/>
        </w:rPr>
        <w:t>Motivo: Al evaluar el estado del terreno en la zona del talud, se ha observado que</w:t>
      </w:r>
      <w:r>
        <w:rPr>
          <w:rFonts w:ascii="Arial" w:eastAsia="Calibri" w:hAnsi="Arial" w:cs="Arial"/>
          <w:sz w:val="22"/>
          <w:szCs w:val="22"/>
        </w:rPr>
        <w:t xml:space="preserve"> este presenta inestabilidad en determinadas áreas. La instalación de la malla es necesaria para prevenir la caída de piedras y evitar posibles accidentes hacia la zona inferior, donde el personal trabaja en las tareas de cimentación.</w:t>
      </w:r>
    </w:p>
    <w:p w:rsidR="009B4233" w:rsidRDefault="006B08B9">
      <w:pPr>
        <w:spacing w:after="119"/>
        <w:ind w:left="-5" w:right="3"/>
        <w:jc w:val="both"/>
        <w:rPr>
          <w:rFonts w:ascii="Arial" w:hAnsi="Arial" w:cs="Arial"/>
          <w:sz w:val="22"/>
          <w:szCs w:val="22"/>
        </w:rPr>
      </w:pPr>
      <w:r>
        <w:rPr>
          <w:rFonts w:ascii="Arial" w:hAnsi="Arial" w:cs="Arial"/>
          <w:sz w:val="22"/>
          <w:szCs w:val="22"/>
        </w:rPr>
        <w:t>PN_4: Drenaje perimet</w:t>
      </w:r>
      <w:r>
        <w:rPr>
          <w:rFonts w:ascii="Arial" w:hAnsi="Arial" w:cs="Arial"/>
          <w:sz w:val="22"/>
          <w:szCs w:val="22"/>
        </w:rPr>
        <w:t>ral mediante tubo flexible de polietileno de alta densidad (PEAD/HDPE).</w:t>
      </w:r>
    </w:p>
    <w:p w:rsidR="009B4233" w:rsidRDefault="006B08B9">
      <w:pPr>
        <w:spacing w:after="277" w:line="228" w:lineRule="auto"/>
        <w:ind w:left="-5"/>
        <w:jc w:val="both"/>
      </w:pPr>
      <w:r>
        <w:rPr>
          <w:rFonts w:ascii="Arial" w:eastAsia="Calibri" w:hAnsi="Arial" w:cs="Arial"/>
          <w:sz w:val="22"/>
          <w:szCs w:val="22"/>
        </w:rPr>
        <w:t>Motivo: Aunque el tubo de drenaje aparece representado en los detalles constructivos del proyecto, no se encuentra valorado ni reflejado en las mediciones, por lo que es necesario inco</w:t>
      </w:r>
      <w:r>
        <w:rPr>
          <w:rFonts w:ascii="Arial" w:eastAsia="Calibri" w:hAnsi="Arial" w:cs="Arial"/>
          <w:sz w:val="22"/>
          <w:szCs w:val="22"/>
        </w:rPr>
        <w:t>rporarlo.</w:t>
      </w:r>
    </w:p>
    <w:p w:rsidR="009B4233" w:rsidRDefault="006B08B9">
      <w:pPr>
        <w:spacing w:after="121"/>
        <w:ind w:left="-5" w:right="3"/>
        <w:jc w:val="both"/>
        <w:rPr>
          <w:rFonts w:ascii="Arial" w:hAnsi="Arial" w:cs="Arial"/>
          <w:sz w:val="22"/>
          <w:szCs w:val="22"/>
        </w:rPr>
      </w:pPr>
      <w:r>
        <w:rPr>
          <w:rFonts w:ascii="Arial" w:hAnsi="Arial" w:cs="Arial"/>
          <w:sz w:val="22"/>
          <w:szCs w:val="22"/>
        </w:rPr>
        <w:t>PN_5: Lámina de protección frente al gas radón, mediante lámina de PVC URDIN SANI 1,2 mm no armada.</w:t>
      </w:r>
    </w:p>
    <w:p w:rsidR="009B4233" w:rsidRDefault="006B08B9">
      <w:pPr>
        <w:spacing w:line="228" w:lineRule="auto"/>
        <w:ind w:left="-5"/>
        <w:jc w:val="both"/>
      </w:pPr>
      <w:r>
        <w:rPr>
          <w:rFonts w:ascii="Arial" w:eastAsia="Calibri" w:hAnsi="Arial" w:cs="Arial"/>
          <w:sz w:val="22"/>
          <w:szCs w:val="22"/>
        </w:rPr>
        <w:t>Motivo: Al analizar las mediciones del proyecto, se ha detectado la ausencia de una solución para la protección frente al gas radón bajo la solera</w:t>
      </w:r>
      <w:r>
        <w:rPr>
          <w:rFonts w:ascii="Arial" w:eastAsia="Calibri" w:hAnsi="Arial" w:cs="Arial"/>
          <w:sz w:val="22"/>
          <w:szCs w:val="22"/>
        </w:rPr>
        <w:t xml:space="preserve"> de la planta sótano. Esta actuación es necesaria para cumplir con los requisitos del Código Técnico de la Edificación.</w:t>
      </w:r>
    </w:p>
    <w:p w:rsidR="009B4233" w:rsidRDefault="006B08B9">
      <w:pPr>
        <w:spacing w:after="502" w:line="249" w:lineRule="auto"/>
        <w:ind w:left="-2"/>
        <w:jc w:val="both"/>
      </w:pPr>
      <w:r>
        <w:rPr>
          <w:rFonts w:ascii="Arial" w:hAnsi="Arial" w:cs="Arial"/>
          <w:noProof/>
          <w:sz w:val="22"/>
          <w:szCs w:val="22"/>
          <w:lang w:eastAsia="es-ES" w:bidi="ar-SA"/>
        </w:rPr>
        <w:drawing>
          <wp:inline distT="0" distB="0" distL="0" distR="0">
            <wp:extent cx="5455923" cy="2225036"/>
            <wp:effectExtent l="0" t="0" r="0" b="3814"/>
            <wp:docPr id="86" name="Imagen 468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rcRect/>
                    <a:stretch>
                      <a:fillRect/>
                    </a:stretch>
                  </pic:blipFill>
                  <pic:spPr>
                    <a:xfrm>
                      <a:off x="0" y="0"/>
                      <a:ext cx="5455923" cy="2225036"/>
                    </a:xfrm>
                    <a:prstGeom prst="rect">
                      <a:avLst/>
                    </a:prstGeom>
                    <a:noFill/>
                    <a:ln>
                      <a:noFill/>
                      <a:prstDash/>
                    </a:ln>
                  </pic:spPr>
                </pic:pic>
              </a:graphicData>
            </a:graphic>
          </wp:inline>
        </w:drawing>
      </w:r>
    </w:p>
    <w:p w:rsidR="009B4233" w:rsidRDefault="006B08B9">
      <w:pPr>
        <w:spacing w:after="283"/>
        <w:ind w:firstLine="566"/>
        <w:jc w:val="both"/>
      </w:pPr>
      <w:r>
        <w:rPr>
          <w:rFonts w:ascii="Arial" w:eastAsia="Calibri" w:hAnsi="Arial" w:cs="Arial"/>
          <w:b/>
          <w:sz w:val="22"/>
          <w:szCs w:val="22"/>
        </w:rPr>
        <w:t xml:space="preserve">SEGUNDO: </w:t>
      </w:r>
      <w:r>
        <w:rPr>
          <w:rFonts w:ascii="Arial" w:eastAsia="Calibri" w:hAnsi="Arial" w:cs="Arial"/>
          <w:sz w:val="22"/>
          <w:szCs w:val="22"/>
        </w:rPr>
        <w:t xml:space="preserve">Aprobar el gasto por un importe total de 63.350,24 euros, correspondiente a los precios contradictorios descritos, con cargo </w:t>
      </w:r>
      <w:r>
        <w:rPr>
          <w:rFonts w:ascii="Arial" w:eastAsia="Calibri" w:hAnsi="Arial" w:cs="Arial"/>
          <w:sz w:val="22"/>
          <w:szCs w:val="22"/>
        </w:rPr>
        <w:t>a la aplicación presupuestaria 23100.60900 (AD 2.25.0.05595).</w:t>
      </w:r>
    </w:p>
    <w:p w:rsidR="009B4233" w:rsidRDefault="006B08B9">
      <w:pPr>
        <w:spacing w:after="490" w:line="228" w:lineRule="auto"/>
        <w:ind w:left="-15" w:firstLine="566"/>
        <w:jc w:val="both"/>
      </w:pPr>
      <w:r>
        <w:rPr>
          <w:rFonts w:ascii="Arial" w:eastAsia="Calibri" w:hAnsi="Arial" w:cs="Arial"/>
          <w:b/>
          <w:sz w:val="22"/>
          <w:szCs w:val="22"/>
        </w:rPr>
        <w:t xml:space="preserve">TERCERO: </w:t>
      </w:r>
      <w:r>
        <w:rPr>
          <w:rFonts w:ascii="Arial" w:eastAsia="Calibri" w:hAnsi="Arial" w:cs="Arial"/>
          <w:sz w:val="22"/>
          <w:szCs w:val="22"/>
        </w:rPr>
        <w:t>Dar traslado de la presente resolución a la empresa contratista PROYECON GALICIA,SA, y a la dirección facultativa de la obra.”</w:t>
      </w: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6B08B9">
      <w:pPr>
        <w:jc w:val="both"/>
        <w:rPr>
          <w:rFonts w:ascii="Arial" w:eastAsia="Times New Roman" w:hAnsi="Arial" w:cs="Arial"/>
          <w:b/>
          <w:color w:val="000000"/>
          <w:sz w:val="22"/>
          <w:szCs w:val="22"/>
          <w:lang w:eastAsia="es-ES"/>
        </w:rPr>
      </w:pPr>
      <w:r>
        <w:rPr>
          <w:rFonts w:ascii="Arial" w:eastAsia="Times New Roman" w:hAnsi="Arial" w:cs="Arial"/>
          <w:b/>
          <w:color w:val="000000"/>
          <w:sz w:val="22"/>
          <w:szCs w:val="22"/>
          <w:lang w:eastAsia="es-ES"/>
        </w:rPr>
        <w:t xml:space="preserve"> </w:t>
      </w:r>
    </w:p>
    <w:p w:rsidR="009B4233" w:rsidRDefault="009B4233">
      <w:pPr>
        <w:jc w:val="both"/>
        <w:rPr>
          <w:rFonts w:ascii="Arial" w:eastAsia="Times New Roman" w:hAnsi="Arial" w:cs="Arial"/>
          <w:b/>
          <w:color w:val="000000"/>
          <w:sz w:val="22"/>
          <w:szCs w:val="22"/>
          <w:lang w:eastAsia="es-ES"/>
        </w:rPr>
      </w:pPr>
    </w:p>
    <w:p w:rsidR="009B4233" w:rsidRDefault="009B4233">
      <w:pPr>
        <w:jc w:val="both"/>
        <w:rPr>
          <w:rFonts w:ascii="Arial" w:eastAsia="Times New Roman" w:hAnsi="Arial" w:cs="Arial"/>
          <w:b/>
          <w:color w:val="000000"/>
          <w:sz w:val="22"/>
          <w:szCs w:val="22"/>
          <w:lang w:eastAsia="es-ES"/>
        </w:rPr>
      </w:pPr>
    </w:p>
    <w:p w:rsidR="009B4233" w:rsidRDefault="009B4233">
      <w:pPr>
        <w:jc w:val="both"/>
        <w:rPr>
          <w:rFonts w:ascii="Arial" w:eastAsia="Times New Roman" w:hAnsi="Arial" w:cs="Arial"/>
          <w:b/>
          <w:color w:val="000000"/>
          <w:sz w:val="22"/>
          <w:szCs w:val="22"/>
          <w:lang w:eastAsia="es-ES"/>
        </w:rPr>
      </w:pPr>
    </w:p>
    <w:p w:rsidR="009B4233" w:rsidRDefault="009B4233">
      <w:pPr>
        <w:jc w:val="both"/>
        <w:rPr>
          <w:rFonts w:ascii="Arial" w:eastAsia="Times New Roman" w:hAnsi="Arial" w:cs="Arial"/>
          <w:b/>
          <w:color w:val="000000"/>
          <w:sz w:val="22"/>
          <w:szCs w:val="22"/>
          <w:lang w:eastAsia="es-ES"/>
        </w:rPr>
      </w:pPr>
    </w:p>
    <w:p w:rsidR="009B4233" w:rsidRDefault="009B4233">
      <w:pPr>
        <w:jc w:val="both"/>
        <w:rPr>
          <w:rFonts w:ascii="Arial" w:eastAsia="Times New Roman" w:hAnsi="Arial" w:cs="Arial"/>
          <w:b/>
          <w:color w:val="000000"/>
          <w:sz w:val="22"/>
          <w:szCs w:val="22"/>
          <w:lang w:eastAsia="es-ES"/>
        </w:rPr>
      </w:pPr>
    </w:p>
    <w:p w:rsidR="009B4233" w:rsidRDefault="009B4233">
      <w:pPr>
        <w:jc w:val="both"/>
        <w:rPr>
          <w:rFonts w:ascii="Arial" w:eastAsia="Times New Roman" w:hAnsi="Arial" w:cs="Arial"/>
          <w:b/>
          <w:color w:val="000000"/>
          <w:sz w:val="22"/>
          <w:szCs w:val="22"/>
          <w:lang w:eastAsia="es-ES"/>
        </w:rPr>
      </w:pPr>
    </w:p>
    <w:p w:rsidR="009B4233" w:rsidRDefault="009B4233">
      <w:pPr>
        <w:jc w:val="both"/>
        <w:rPr>
          <w:rFonts w:ascii="Arial" w:eastAsia="Times New Roman" w:hAnsi="Arial" w:cs="Arial"/>
          <w:b/>
          <w:color w:val="000000"/>
          <w:sz w:val="22"/>
          <w:szCs w:val="22"/>
          <w:lang w:eastAsia="es-ES"/>
        </w:rPr>
      </w:pPr>
    </w:p>
    <w:p w:rsidR="009B4233" w:rsidRDefault="009B4233">
      <w:pPr>
        <w:jc w:val="both"/>
        <w:rPr>
          <w:rFonts w:ascii="Arial" w:eastAsia="Times New Roman" w:hAnsi="Arial" w:cs="Arial"/>
          <w:b/>
          <w:color w:val="000000"/>
          <w:sz w:val="22"/>
          <w:szCs w:val="22"/>
          <w:lang w:eastAsia="es-ES"/>
        </w:rPr>
      </w:pPr>
    </w:p>
    <w:p w:rsidR="009B4233" w:rsidRDefault="009B4233">
      <w:pPr>
        <w:jc w:val="both"/>
        <w:rPr>
          <w:rFonts w:ascii="Arial" w:eastAsia="Times New Roman" w:hAnsi="Arial" w:cs="Arial"/>
          <w:b/>
          <w:color w:val="000000"/>
          <w:sz w:val="22"/>
          <w:szCs w:val="22"/>
          <w:lang w:eastAsia="es-ES"/>
        </w:rPr>
      </w:pPr>
    </w:p>
    <w:p w:rsidR="009B4233" w:rsidRDefault="009B4233">
      <w:pPr>
        <w:jc w:val="both"/>
        <w:rPr>
          <w:rFonts w:ascii="Arial" w:eastAsia="Times New Roman" w:hAnsi="Arial" w:cs="Arial"/>
          <w:b/>
          <w:color w:val="000000"/>
          <w:sz w:val="22"/>
          <w:szCs w:val="22"/>
          <w:lang w:eastAsia="es-ES"/>
        </w:rPr>
      </w:pPr>
    </w:p>
    <w:p w:rsidR="009B4233" w:rsidRDefault="009B4233">
      <w:pPr>
        <w:jc w:val="both"/>
        <w:rPr>
          <w:rFonts w:ascii="Arial" w:eastAsia="Times New Roman" w:hAnsi="Arial" w:cs="Arial"/>
          <w:b/>
          <w:color w:val="000000"/>
          <w:sz w:val="22"/>
          <w:szCs w:val="22"/>
          <w:lang w:eastAsia="es-ES"/>
        </w:rPr>
      </w:pPr>
    </w:p>
    <w:p w:rsidR="009B4233" w:rsidRDefault="009B4233">
      <w:pPr>
        <w:jc w:val="both"/>
        <w:rPr>
          <w:rFonts w:ascii="Arial" w:eastAsia="Times New Roman" w:hAnsi="Arial" w:cs="Arial"/>
          <w:b/>
          <w:color w:val="000000"/>
          <w:sz w:val="22"/>
          <w:szCs w:val="22"/>
          <w:lang w:eastAsia="es-ES"/>
        </w:rPr>
      </w:pPr>
    </w:p>
    <w:p w:rsidR="009B4233" w:rsidRDefault="009B4233">
      <w:pPr>
        <w:jc w:val="both"/>
        <w:rPr>
          <w:rFonts w:ascii="Arial" w:eastAsia="Times New Roman" w:hAnsi="Arial" w:cs="Arial"/>
          <w:b/>
          <w:color w:val="000000"/>
          <w:sz w:val="22"/>
          <w:szCs w:val="22"/>
          <w:lang w:eastAsia="es-ES"/>
        </w:rPr>
      </w:pPr>
    </w:p>
    <w:p w:rsidR="009B4233" w:rsidRDefault="009B4233">
      <w:pPr>
        <w:jc w:val="both"/>
        <w:rPr>
          <w:rFonts w:ascii="Arial" w:eastAsia="Times New Roman" w:hAnsi="Arial" w:cs="Arial"/>
          <w:b/>
          <w:color w:val="000000"/>
          <w:sz w:val="22"/>
          <w:szCs w:val="22"/>
          <w:lang w:eastAsia="es-ES"/>
        </w:rPr>
      </w:pPr>
    </w:p>
    <w:p w:rsidR="009B4233" w:rsidRDefault="009B4233">
      <w:pPr>
        <w:jc w:val="both"/>
        <w:rPr>
          <w:rFonts w:ascii="Arial" w:eastAsia="Times New Roman" w:hAnsi="Arial" w:cs="Arial"/>
          <w:b/>
          <w:color w:val="000000"/>
          <w:sz w:val="22"/>
          <w:szCs w:val="22"/>
          <w:lang w:eastAsia="es-ES"/>
        </w:rPr>
      </w:pPr>
    </w:p>
    <w:p w:rsidR="009B4233" w:rsidRDefault="009B4233">
      <w:pPr>
        <w:jc w:val="both"/>
        <w:rPr>
          <w:rFonts w:ascii="Arial" w:eastAsia="Times New Roman" w:hAnsi="Arial" w:cs="Arial"/>
          <w:b/>
          <w:color w:val="000000"/>
          <w:sz w:val="22"/>
          <w:szCs w:val="22"/>
          <w:lang w:eastAsia="es-ES"/>
        </w:rPr>
      </w:pPr>
    </w:p>
    <w:p w:rsidR="009B4233" w:rsidRDefault="009B4233">
      <w:pPr>
        <w:jc w:val="both"/>
        <w:rPr>
          <w:rFonts w:ascii="Arial" w:eastAsia="Times New Roman" w:hAnsi="Arial" w:cs="Arial"/>
          <w:b/>
          <w:color w:val="000000"/>
          <w:sz w:val="22"/>
          <w:szCs w:val="22"/>
          <w:lang w:eastAsia="es-ES"/>
        </w:rPr>
      </w:pPr>
    </w:p>
    <w:p w:rsidR="009B4233" w:rsidRDefault="009B4233">
      <w:pPr>
        <w:jc w:val="both"/>
        <w:rPr>
          <w:rFonts w:ascii="Arial" w:eastAsia="Times New Roman" w:hAnsi="Arial" w:cs="Arial"/>
          <w:b/>
          <w:color w:val="000000"/>
          <w:sz w:val="22"/>
          <w:szCs w:val="22"/>
          <w:lang w:eastAsia="es-ES"/>
        </w:rPr>
      </w:pPr>
    </w:p>
    <w:p w:rsidR="009B4233" w:rsidRDefault="009B4233">
      <w:pPr>
        <w:jc w:val="both"/>
        <w:rPr>
          <w:rFonts w:ascii="Arial" w:eastAsia="Times New Roman" w:hAnsi="Arial" w:cs="Arial"/>
          <w:b/>
          <w:color w:val="000000"/>
          <w:sz w:val="22"/>
          <w:szCs w:val="22"/>
          <w:lang w:eastAsia="es-ES"/>
        </w:rPr>
      </w:pPr>
    </w:p>
    <w:p w:rsidR="009B4233" w:rsidRDefault="009B4233">
      <w:pPr>
        <w:jc w:val="both"/>
        <w:rPr>
          <w:rFonts w:ascii="Arial" w:eastAsia="Times New Roman" w:hAnsi="Arial" w:cs="Arial"/>
          <w:b/>
          <w:color w:val="000000"/>
          <w:sz w:val="22"/>
          <w:szCs w:val="22"/>
          <w:lang w:eastAsia="es-ES"/>
        </w:rPr>
      </w:pPr>
    </w:p>
    <w:p w:rsidR="009B4233" w:rsidRDefault="009B4233">
      <w:pPr>
        <w:jc w:val="both"/>
        <w:rPr>
          <w:rFonts w:ascii="Arial" w:eastAsia="Times New Roman" w:hAnsi="Arial" w:cs="Arial"/>
          <w:b/>
          <w:color w:val="000000"/>
          <w:sz w:val="22"/>
          <w:szCs w:val="22"/>
          <w:lang w:eastAsia="es-ES"/>
        </w:rPr>
      </w:pPr>
    </w:p>
    <w:p w:rsidR="009B4233" w:rsidRDefault="009B4233">
      <w:pPr>
        <w:jc w:val="both"/>
        <w:rPr>
          <w:rFonts w:ascii="Arial" w:eastAsia="Times New Roman" w:hAnsi="Arial" w:cs="Arial"/>
          <w:b/>
          <w:color w:val="000000"/>
          <w:sz w:val="22"/>
          <w:szCs w:val="22"/>
          <w:lang w:eastAsia="es-ES"/>
        </w:rPr>
      </w:pPr>
    </w:p>
    <w:p w:rsidR="009B4233" w:rsidRDefault="009B4233">
      <w:pPr>
        <w:jc w:val="both"/>
        <w:rPr>
          <w:rFonts w:ascii="Arial" w:eastAsia="Times New Roman" w:hAnsi="Arial" w:cs="Arial"/>
          <w:b/>
          <w:color w:val="000000"/>
          <w:sz w:val="22"/>
          <w:szCs w:val="22"/>
          <w:lang w:eastAsia="es-ES"/>
        </w:rPr>
      </w:pPr>
    </w:p>
    <w:p w:rsidR="009B4233" w:rsidRDefault="009B4233">
      <w:pPr>
        <w:jc w:val="both"/>
        <w:rPr>
          <w:rFonts w:ascii="Arial" w:eastAsia="Times New Roman" w:hAnsi="Arial" w:cs="Arial"/>
          <w:b/>
          <w:color w:val="000000"/>
          <w:sz w:val="22"/>
          <w:szCs w:val="22"/>
          <w:lang w:eastAsia="es-ES"/>
        </w:rPr>
      </w:pPr>
    </w:p>
    <w:p w:rsidR="009B4233" w:rsidRDefault="009B4233">
      <w:pPr>
        <w:jc w:val="both"/>
        <w:rPr>
          <w:rFonts w:ascii="Arial" w:eastAsia="Times New Roman" w:hAnsi="Arial" w:cs="Arial"/>
          <w:b/>
          <w:color w:val="000000"/>
          <w:sz w:val="22"/>
          <w:szCs w:val="22"/>
          <w:lang w:eastAsia="es-ES"/>
        </w:rPr>
      </w:pPr>
    </w:p>
    <w:p w:rsidR="009B4233" w:rsidRDefault="009B4233">
      <w:pPr>
        <w:jc w:val="both"/>
        <w:rPr>
          <w:rFonts w:ascii="Arial" w:eastAsia="Times New Roman" w:hAnsi="Arial" w:cs="Arial"/>
          <w:b/>
          <w:color w:val="000000"/>
          <w:sz w:val="22"/>
          <w:szCs w:val="22"/>
          <w:lang w:eastAsia="es-ES"/>
        </w:rPr>
      </w:pPr>
    </w:p>
    <w:p w:rsidR="009B4233" w:rsidRDefault="009B4233">
      <w:pPr>
        <w:jc w:val="both"/>
        <w:rPr>
          <w:rFonts w:ascii="Arial" w:eastAsia="Times New Roman" w:hAnsi="Arial" w:cs="Arial"/>
          <w:b/>
          <w:color w:val="000000"/>
          <w:sz w:val="22"/>
          <w:szCs w:val="22"/>
          <w:lang w:eastAsia="es-ES"/>
        </w:rPr>
      </w:pPr>
    </w:p>
    <w:p w:rsidR="009B4233" w:rsidRDefault="009B4233">
      <w:pPr>
        <w:jc w:val="both"/>
        <w:rPr>
          <w:rFonts w:ascii="Arial" w:eastAsia="Times New Roman" w:hAnsi="Arial" w:cs="Arial"/>
          <w:b/>
          <w:color w:val="000000"/>
          <w:sz w:val="22"/>
          <w:szCs w:val="22"/>
          <w:lang w:eastAsia="es-ES"/>
        </w:rPr>
      </w:pPr>
    </w:p>
    <w:p w:rsidR="009B4233" w:rsidRDefault="009B4233">
      <w:pPr>
        <w:jc w:val="both"/>
        <w:rPr>
          <w:rFonts w:ascii="Arial" w:eastAsia="Times New Roman" w:hAnsi="Arial" w:cs="Arial"/>
          <w:b/>
          <w:color w:val="000000"/>
          <w:sz w:val="22"/>
          <w:szCs w:val="22"/>
          <w:lang w:eastAsia="es-ES"/>
        </w:rPr>
      </w:pPr>
    </w:p>
    <w:p w:rsidR="009B4233" w:rsidRDefault="006B08B9">
      <w:pPr>
        <w:jc w:val="both"/>
        <w:rPr>
          <w:rFonts w:ascii="Arial" w:eastAsia="Times New Roman" w:hAnsi="Arial" w:cs="Arial"/>
          <w:b/>
          <w:color w:val="000000"/>
          <w:sz w:val="22"/>
          <w:szCs w:val="22"/>
          <w:lang w:eastAsia="es-ES"/>
        </w:rPr>
      </w:pPr>
      <w:r>
        <w:rPr>
          <w:rFonts w:ascii="Arial" w:eastAsia="Times New Roman" w:hAnsi="Arial" w:cs="Arial"/>
          <w:b/>
          <w:color w:val="000000"/>
          <w:sz w:val="22"/>
          <w:szCs w:val="22"/>
          <w:lang w:eastAsia="es-ES"/>
        </w:rPr>
        <w:t xml:space="preserve"> Consta en el expediente </w:t>
      </w:r>
      <w:r>
        <w:rPr>
          <w:rFonts w:ascii="Arial" w:eastAsia="Times New Roman" w:hAnsi="Arial" w:cs="Arial"/>
          <w:b/>
          <w:color w:val="000000"/>
          <w:sz w:val="22"/>
          <w:szCs w:val="22"/>
          <w:lang w:eastAsia="es-ES"/>
        </w:rPr>
        <w:t>propuesta de la Alcaldesa-Presidenta, de fecha 03 de septiembre de 2025, cuyo tenor literal es el siguiente:</w:t>
      </w:r>
    </w:p>
    <w:p w:rsidR="009B4233" w:rsidRDefault="009B4233">
      <w:pPr>
        <w:jc w:val="both"/>
        <w:rPr>
          <w:rFonts w:ascii="Arial" w:eastAsia="Times New Roman" w:hAnsi="Arial" w:cs="Arial"/>
          <w:b/>
          <w:color w:val="000000"/>
          <w:sz w:val="22"/>
          <w:szCs w:val="22"/>
          <w:lang w:eastAsia="es-ES"/>
        </w:rPr>
      </w:pPr>
    </w:p>
    <w:p w:rsidR="009B4233" w:rsidRDefault="009B4233">
      <w:pPr>
        <w:jc w:val="both"/>
        <w:rPr>
          <w:rFonts w:ascii="Arial" w:eastAsia="Times New Roman" w:hAnsi="Arial" w:cs="Arial"/>
          <w:b/>
          <w:color w:val="000000"/>
          <w:sz w:val="22"/>
          <w:szCs w:val="22"/>
          <w:lang w:eastAsia="es-ES"/>
        </w:rPr>
      </w:pPr>
    </w:p>
    <w:p w:rsidR="009B4233" w:rsidRDefault="009B4233">
      <w:pPr>
        <w:spacing w:after="101"/>
        <w:rPr>
          <w:rFonts w:ascii="Arial" w:hAnsi="Arial" w:cs="Arial"/>
          <w:sz w:val="22"/>
          <w:szCs w:val="22"/>
        </w:rPr>
      </w:pPr>
    </w:p>
    <w:p w:rsidR="009B4233" w:rsidRDefault="006B08B9">
      <w:pPr>
        <w:pStyle w:val="Ttulo1"/>
        <w:ind w:left="369" w:right="361"/>
        <w:rPr>
          <w:rFonts w:ascii="Arial" w:hAnsi="Arial" w:cs="Arial"/>
          <w:sz w:val="22"/>
          <w:szCs w:val="22"/>
        </w:rPr>
      </w:pPr>
      <w:r>
        <w:rPr>
          <w:rFonts w:ascii="Arial" w:hAnsi="Arial" w:cs="Arial"/>
          <w:sz w:val="22"/>
          <w:szCs w:val="22"/>
        </w:rPr>
        <w:t>“PROPUESTA</w:t>
      </w:r>
    </w:p>
    <w:p w:rsidR="009B4233" w:rsidRDefault="006B08B9">
      <w:pPr>
        <w:spacing w:after="485"/>
        <w:ind w:left="-5" w:hanging="10"/>
        <w:jc w:val="both"/>
      </w:pPr>
      <w:r>
        <w:rPr>
          <w:rFonts w:ascii="Arial" w:eastAsia="Arial" w:hAnsi="Arial" w:cs="Arial"/>
          <w:sz w:val="22"/>
          <w:szCs w:val="22"/>
        </w:rPr>
        <w:t>La que suscribe, Dña. Mª Concepción Brito Núñez, Alcaldesa Presidenta del Ayuntamiento de la Villa de Candelaria, al amparo de lo dis</w:t>
      </w:r>
      <w:r>
        <w:rPr>
          <w:rFonts w:ascii="Arial" w:eastAsia="Arial" w:hAnsi="Arial" w:cs="Arial"/>
          <w:sz w:val="22"/>
          <w:szCs w:val="22"/>
        </w:rPr>
        <w:t>puesto en el Reglamento de Organización, Funcionamiento y Régimen Jurídico de las Entidades Locales, así como en la Ley 7/1985, de 2 de abril, Reguladora de las Bases de Régimen Local, tienen el honor de someter a la consideración del Ayuntamiento Pleno la</w:t>
      </w:r>
      <w:r>
        <w:rPr>
          <w:rFonts w:ascii="Arial" w:eastAsia="Arial" w:hAnsi="Arial" w:cs="Arial"/>
          <w:sz w:val="22"/>
          <w:szCs w:val="22"/>
        </w:rPr>
        <w:t xml:space="preserve"> siguiente propuesta:</w:t>
      </w:r>
    </w:p>
    <w:p w:rsidR="009B4233" w:rsidRDefault="006B08B9">
      <w:pPr>
        <w:pStyle w:val="Ttulo1"/>
        <w:ind w:left="369" w:right="363"/>
      </w:pPr>
      <w:r>
        <w:rPr>
          <w:rFonts w:ascii="Arial" w:eastAsia="Arial" w:hAnsi="Arial" w:cs="Arial"/>
          <w:b w:val="0"/>
          <w:sz w:val="22"/>
          <w:szCs w:val="22"/>
        </w:rPr>
        <w:t>“</w:t>
      </w:r>
      <w:r>
        <w:rPr>
          <w:rFonts w:ascii="Arial" w:hAnsi="Arial" w:cs="Arial"/>
          <w:sz w:val="22"/>
          <w:szCs w:val="22"/>
        </w:rPr>
        <w:t>INFORME JURÍDICO</w:t>
      </w:r>
    </w:p>
    <w:p w:rsidR="009B4233" w:rsidRDefault="006B08B9">
      <w:pPr>
        <w:ind w:left="-5" w:hanging="10"/>
        <w:jc w:val="both"/>
      </w:pPr>
      <w:r>
        <w:rPr>
          <w:rFonts w:ascii="Arial" w:eastAsia="Arial" w:hAnsi="Arial" w:cs="Arial"/>
          <w:b/>
          <w:sz w:val="22"/>
          <w:szCs w:val="22"/>
        </w:rPr>
        <w:t xml:space="preserve">Visto el expediente referenciado, la funcionaria Rosa Edelmira González Sabina (Decreto nº 2025-1939, de 19 de junio), que desempeña el puesto de trabajo de Técnico de Administración General, conformado por la </w:t>
      </w:r>
      <w:r>
        <w:rPr>
          <w:rFonts w:ascii="Arial" w:eastAsia="Arial" w:hAnsi="Arial" w:cs="Arial"/>
          <w:b/>
          <w:sz w:val="22"/>
          <w:szCs w:val="22"/>
        </w:rPr>
        <w:t>Secretaria Accidental. (Decreto nº 2025-1939, de 19 de junio) y fiscalizado favorablemente por la Interventora Accidental (Decreto nº 2289-2025, de 18 de julio), emite el siguiente informe:</w:t>
      </w:r>
      <w:r>
        <w:rPr>
          <w:rFonts w:ascii="Arial" w:eastAsia="Arial" w:hAnsi="Arial" w:cs="Arial"/>
          <w:sz w:val="22"/>
          <w:szCs w:val="22"/>
        </w:rPr>
        <w:t xml:space="preserve"> </w:t>
      </w:r>
    </w:p>
    <w:p w:rsidR="009B4233" w:rsidRDefault="009B4233">
      <w:pPr>
        <w:ind w:left="-5" w:hanging="10"/>
        <w:jc w:val="both"/>
        <w:rPr>
          <w:rFonts w:ascii="Arial" w:hAnsi="Arial" w:cs="Arial"/>
          <w:sz w:val="22"/>
          <w:szCs w:val="22"/>
        </w:rPr>
      </w:pPr>
    </w:p>
    <w:p w:rsidR="009B4233" w:rsidRDefault="006B08B9">
      <w:pPr>
        <w:pStyle w:val="Ttulo1"/>
        <w:spacing w:after="263"/>
        <w:ind w:left="369"/>
        <w:rPr>
          <w:rFonts w:ascii="Arial" w:hAnsi="Arial" w:cs="Arial"/>
          <w:sz w:val="22"/>
          <w:szCs w:val="22"/>
        </w:rPr>
      </w:pPr>
      <w:r>
        <w:rPr>
          <w:rFonts w:ascii="Arial" w:hAnsi="Arial" w:cs="Arial"/>
          <w:sz w:val="22"/>
          <w:szCs w:val="22"/>
        </w:rPr>
        <w:t xml:space="preserve">Antecedentes de hecho </w:t>
      </w:r>
    </w:p>
    <w:p w:rsidR="009B4233" w:rsidRDefault="006B08B9">
      <w:pPr>
        <w:spacing w:after="113"/>
        <w:ind w:left="-5" w:hanging="10"/>
        <w:jc w:val="both"/>
      </w:pPr>
      <w:r>
        <w:rPr>
          <w:rFonts w:ascii="Arial" w:eastAsia="Arial" w:hAnsi="Arial" w:cs="Arial"/>
          <w:b/>
          <w:sz w:val="22"/>
          <w:szCs w:val="22"/>
        </w:rPr>
        <w:t>Primero</w:t>
      </w:r>
      <w:r>
        <w:rPr>
          <w:rFonts w:ascii="Arial" w:eastAsia="Arial" w:hAnsi="Arial" w:cs="Arial"/>
          <w:sz w:val="22"/>
          <w:szCs w:val="22"/>
        </w:rPr>
        <w:t xml:space="preserve">:  Mediante Acuerdo del </w:t>
      </w:r>
      <w:r>
        <w:rPr>
          <w:rFonts w:ascii="Arial" w:eastAsia="Arial" w:hAnsi="Arial" w:cs="Arial"/>
          <w:sz w:val="22"/>
          <w:szCs w:val="22"/>
        </w:rPr>
        <w:t xml:space="preserve">Ayuntamiento Pleno en sesión extraordinaria celebrada el 13 de diciembre de 2024, se aprobó el expediente y los pliegos de cláusulas administrativas y de prescripciones técnicas, relativos al procedimiento de contratación para la </w:t>
      </w:r>
      <w:r>
        <w:rPr>
          <w:rFonts w:ascii="Arial" w:eastAsia="Arial" w:hAnsi="Arial" w:cs="Arial"/>
          <w:i/>
          <w:sz w:val="22"/>
          <w:szCs w:val="22"/>
        </w:rPr>
        <w:t>“Ejecución del Proyecto co</w:t>
      </w:r>
      <w:r>
        <w:rPr>
          <w:rFonts w:ascii="Arial" w:eastAsia="Arial" w:hAnsi="Arial" w:cs="Arial"/>
          <w:i/>
          <w:sz w:val="22"/>
          <w:szCs w:val="22"/>
        </w:rPr>
        <w:t>nstructivo de la primera fase del Centro de Mayores de Barranco Hondo”</w:t>
      </w:r>
      <w:r>
        <w:rPr>
          <w:rFonts w:ascii="Arial" w:eastAsia="Arial" w:hAnsi="Arial" w:cs="Arial"/>
          <w:sz w:val="22"/>
          <w:szCs w:val="22"/>
        </w:rPr>
        <w:t>, sito en C/ Agustín Ramos Ramos nº 2, C/ Álvaro Pena Ramos y Paseo Florentín Hernández Pérez, Urbanización Rubens Marichal, Barranco Hondo (T.M. de Candelaria), mediante procedimiento a</w:t>
      </w:r>
      <w:r>
        <w:rPr>
          <w:rFonts w:ascii="Arial" w:eastAsia="Arial" w:hAnsi="Arial" w:cs="Arial"/>
          <w:sz w:val="22"/>
          <w:szCs w:val="22"/>
        </w:rPr>
        <w:t>bierto, tramitación ordinaria y aplicación de varios criterios de adjudicación.</w:t>
      </w:r>
    </w:p>
    <w:p w:rsidR="009B4233" w:rsidRDefault="006B08B9">
      <w:pPr>
        <w:spacing w:after="245"/>
        <w:ind w:left="-5" w:hanging="10"/>
        <w:jc w:val="both"/>
      </w:pPr>
      <w:r>
        <w:rPr>
          <w:rFonts w:ascii="Arial" w:eastAsia="Arial" w:hAnsi="Arial" w:cs="Arial"/>
          <w:b/>
          <w:sz w:val="22"/>
          <w:szCs w:val="22"/>
        </w:rPr>
        <w:t xml:space="preserve">Segundo: </w:t>
      </w:r>
      <w:r>
        <w:rPr>
          <w:rFonts w:ascii="Arial" w:eastAsia="Arial" w:hAnsi="Arial" w:cs="Arial"/>
          <w:sz w:val="22"/>
          <w:szCs w:val="22"/>
        </w:rPr>
        <w:t xml:space="preserve">Mediante Acuerdo del Ayuntamiento Pleno en sesión extraordinaria, de fecha 19 de febrero de 2025, se acordó la adjudicación del contrato de la obra de referencia a la </w:t>
      </w:r>
      <w:r>
        <w:rPr>
          <w:rFonts w:ascii="Arial" w:eastAsia="Arial" w:hAnsi="Arial" w:cs="Arial"/>
          <w:sz w:val="22"/>
          <w:szCs w:val="22"/>
        </w:rPr>
        <w:t xml:space="preserve">empresa PROYECON GALICIA,SA, con CIF A32032039, por un importe de 4.885.885,00 euros, incluido IGIC, desglosado de a siguiente forma: </w:t>
      </w:r>
    </w:p>
    <w:p w:rsidR="009B4233" w:rsidRDefault="006B08B9">
      <w:pPr>
        <w:widowControl/>
        <w:numPr>
          <w:ilvl w:val="0"/>
          <w:numId w:val="80"/>
        </w:numPr>
        <w:suppressAutoHyphens w:val="0"/>
        <w:ind w:hanging="360"/>
        <w:jc w:val="both"/>
        <w:textAlignment w:val="auto"/>
      </w:pPr>
      <w:r>
        <w:rPr>
          <w:rFonts w:ascii="Arial" w:eastAsia="Arial" w:hAnsi="Arial" w:cs="Arial"/>
          <w:i/>
          <w:sz w:val="22"/>
          <w:szCs w:val="22"/>
        </w:rPr>
        <w:t>Obra:</w:t>
      </w:r>
      <w:r>
        <w:rPr>
          <w:rFonts w:ascii="Arial" w:eastAsia="Arial" w:hAnsi="Arial" w:cs="Arial"/>
          <w:sz w:val="22"/>
          <w:szCs w:val="22"/>
        </w:rPr>
        <w:t xml:space="preserve"> 4.606.885,00 euros, con 0% en concepto de IGIC por aplicación de la exención prevista en el art. 52. j. Ley 4/2012,</w:t>
      </w:r>
      <w:r>
        <w:rPr>
          <w:rFonts w:ascii="Arial" w:eastAsia="Arial" w:hAnsi="Arial" w:cs="Arial"/>
          <w:sz w:val="22"/>
          <w:szCs w:val="22"/>
        </w:rPr>
        <w:t xml:space="preserve"> de 25 de junio, de medidas administrativas y fiscales).</w:t>
      </w:r>
    </w:p>
    <w:p w:rsidR="009B4233" w:rsidRDefault="006B08B9">
      <w:pPr>
        <w:widowControl/>
        <w:numPr>
          <w:ilvl w:val="0"/>
          <w:numId w:val="80"/>
        </w:numPr>
        <w:suppressAutoHyphens w:val="0"/>
        <w:spacing w:after="274"/>
        <w:ind w:hanging="360"/>
        <w:jc w:val="both"/>
        <w:textAlignment w:val="auto"/>
      </w:pPr>
      <w:r>
        <w:rPr>
          <w:rFonts w:ascii="Arial" w:eastAsia="Arial" w:hAnsi="Arial" w:cs="Arial"/>
          <w:i/>
          <w:sz w:val="22"/>
          <w:szCs w:val="22"/>
        </w:rPr>
        <w:t>Equipamiento:</w:t>
      </w:r>
      <w:r>
        <w:rPr>
          <w:rFonts w:ascii="Arial" w:eastAsia="Arial" w:hAnsi="Arial" w:cs="Arial"/>
          <w:sz w:val="22"/>
          <w:szCs w:val="22"/>
        </w:rPr>
        <w:t xml:space="preserve"> 279.000,00 euros, más la cantidad de 19.530,00 euros en concepto de IGIC.</w:t>
      </w:r>
    </w:p>
    <w:p w:rsidR="009B4233" w:rsidRDefault="006B08B9">
      <w:pPr>
        <w:spacing w:after="274"/>
        <w:ind w:left="-5" w:hanging="10"/>
        <w:jc w:val="both"/>
      </w:pPr>
      <w:r>
        <w:rPr>
          <w:rFonts w:ascii="Arial" w:eastAsia="Arial" w:hAnsi="Arial" w:cs="Arial"/>
          <w:sz w:val="22"/>
          <w:szCs w:val="22"/>
        </w:rPr>
        <w:t>El contrato administrativo se formalizó el 24 de febrero de 2025.</w:t>
      </w:r>
    </w:p>
    <w:p w:rsidR="009B4233" w:rsidRDefault="006B08B9">
      <w:pPr>
        <w:spacing w:after="274"/>
        <w:ind w:left="-5" w:hanging="10"/>
        <w:jc w:val="both"/>
      </w:pPr>
      <w:r>
        <w:rPr>
          <w:rFonts w:ascii="Arial" w:eastAsia="Arial" w:hAnsi="Arial" w:cs="Arial"/>
          <w:b/>
          <w:sz w:val="22"/>
          <w:szCs w:val="22"/>
        </w:rPr>
        <w:t xml:space="preserve">Tercero: </w:t>
      </w:r>
      <w:r>
        <w:rPr>
          <w:rFonts w:ascii="Arial" w:eastAsia="Arial" w:hAnsi="Arial" w:cs="Arial"/>
          <w:sz w:val="22"/>
          <w:szCs w:val="22"/>
        </w:rPr>
        <w:t>Con</w:t>
      </w:r>
      <w:r>
        <w:rPr>
          <w:rFonts w:ascii="Arial" w:eastAsia="Arial" w:hAnsi="Arial" w:cs="Arial"/>
          <w:b/>
          <w:sz w:val="22"/>
          <w:szCs w:val="22"/>
        </w:rPr>
        <w:t xml:space="preserve"> </w:t>
      </w:r>
      <w:r>
        <w:rPr>
          <w:rFonts w:ascii="Arial" w:eastAsia="Arial" w:hAnsi="Arial" w:cs="Arial"/>
          <w:sz w:val="22"/>
          <w:szCs w:val="22"/>
        </w:rPr>
        <w:t>fecha 22 de julio de 2025 y regi</w:t>
      </w:r>
      <w:r>
        <w:rPr>
          <w:rFonts w:ascii="Arial" w:eastAsia="Arial" w:hAnsi="Arial" w:cs="Arial"/>
          <w:sz w:val="22"/>
          <w:szCs w:val="22"/>
        </w:rPr>
        <w:t>stro de entrada nº 6295, se presenta por la dirección facultativa de la obra solicitud relativa a la aprobación de nuevos precios contradictorios.</w:t>
      </w:r>
    </w:p>
    <w:p w:rsidR="009B4233" w:rsidRDefault="006B08B9">
      <w:pPr>
        <w:spacing w:after="811"/>
        <w:ind w:left="-5" w:hanging="10"/>
        <w:jc w:val="both"/>
      </w:pPr>
      <w:r>
        <w:rPr>
          <w:rFonts w:ascii="Arial" w:eastAsia="Arial" w:hAnsi="Arial" w:cs="Arial"/>
          <w:b/>
          <w:sz w:val="22"/>
          <w:szCs w:val="22"/>
        </w:rPr>
        <w:t xml:space="preserve">Cuarto: </w:t>
      </w:r>
      <w:r>
        <w:rPr>
          <w:rFonts w:ascii="Arial" w:eastAsia="Arial" w:hAnsi="Arial" w:cs="Arial"/>
          <w:sz w:val="22"/>
          <w:szCs w:val="22"/>
        </w:rPr>
        <w:t>Consta informe técnico emitido por la Arquitecta municipal de fecha 5 de agosto de 2025, del siguient</w:t>
      </w:r>
      <w:r>
        <w:rPr>
          <w:rFonts w:ascii="Arial" w:eastAsia="Arial" w:hAnsi="Arial" w:cs="Arial"/>
          <w:sz w:val="22"/>
          <w:szCs w:val="22"/>
        </w:rPr>
        <w:t>e tenor literal:</w:t>
      </w:r>
    </w:p>
    <w:p w:rsidR="009B4233" w:rsidRDefault="006B08B9">
      <w:pPr>
        <w:spacing w:after="504"/>
        <w:jc w:val="center"/>
      </w:pPr>
      <w:r>
        <w:rPr>
          <w:rFonts w:ascii="Arial" w:eastAsia="Arial" w:hAnsi="Arial" w:cs="Arial"/>
          <w:b/>
          <w:i/>
          <w:sz w:val="22"/>
          <w:szCs w:val="22"/>
        </w:rPr>
        <w:t xml:space="preserve">“PRECIOS CONTRADICTORIOS OBRA DEL CENTRO DE MAYORES DE BARRANCO HONDO </w:t>
      </w:r>
    </w:p>
    <w:p w:rsidR="009B4233" w:rsidRDefault="006B08B9">
      <w:pPr>
        <w:spacing w:after="245"/>
        <w:ind w:left="-5" w:right="3" w:hanging="10"/>
        <w:jc w:val="both"/>
      </w:pPr>
      <w:r>
        <w:rPr>
          <w:rFonts w:ascii="Arial" w:eastAsia="Arial" w:hAnsi="Arial" w:cs="Arial"/>
          <w:i/>
          <w:sz w:val="22"/>
          <w:szCs w:val="22"/>
        </w:rPr>
        <w:t>Visto el expediente antedicho, Nayra Guzmán Hernández, arquitecta municipal, emite el siguiente informe:</w:t>
      </w:r>
    </w:p>
    <w:p w:rsidR="009B4233" w:rsidRDefault="006B08B9">
      <w:pPr>
        <w:spacing w:after="242"/>
        <w:ind w:left="-5" w:right="3" w:hanging="10"/>
        <w:jc w:val="both"/>
      </w:pPr>
      <w:r>
        <w:rPr>
          <w:rFonts w:ascii="Arial" w:eastAsia="Arial" w:hAnsi="Arial" w:cs="Arial"/>
          <w:i/>
          <w:sz w:val="22"/>
          <w:szCs w:val="22"/>
        </w:rPr>
        <w:t xml:space="preserve">                                                           ANTE</w:t>
      </w:r>
      <w:r>
        <w:rPr>
          <w:rFonts w:ascii="Arial" w:eastAsia="Arial" w:hAnsi="Arial" w:cs="Arial"/>
          <w:i/>
          <w:sz w:val="22"/>
          <w:szCs w:val="22"/>
        </w:rPr>
        <w:t>CEDENTES</w:t>
      </w:r>
    </w:p>
    <w:p w:rsidR="009B4233" w:rsidRDefault="006B08B9">
      <w:pPr>
        <w:spacing w:after="5"/>
        <w:ind w:left="-5" w:right="3" w:hanging="10"/>
        <w:jc w:val="both"/>
      </w:pPr>
      <w:r>
        <w:rPr>
          <w:rFonts w:ascii="Arial" w:eastAsia="Arial" w:hAnsi="Arial" w:cs="Arial"/>
          <w:i/>
          <w:sz w:val="22"/>
          <w:szCs w:val="22"/>
        </w:rPr>
        <w:t>Empresa Adjudicataria: “PROYECON GALICIA, SA” CIF A32032039</w:t>
      </w:r>
    </w:p>
    <w:p w:rsidR="009B4233" w:rsidRDefault="006B08B9">
      <w:pPr>
        <w:spacing w:after="5"/>
        <w:ind w:left="-5" w:right="3" w:hanging="10"/>
        <w:jc w:val="both"/>
      </w:pPr>
      <w:r>
        <w:rPr>
          <w:rFonts w:ascii="Arial" w:eastAsia="Arial" w:hAnsi="Arial" w:cs="Arial"/>
          <w:i/>
          <w:sz w:val="22"/>
          <w:szCs w:val="22"/>
        </w:rPr>
        <w:t xml:space="preserve">Presupuesto Adjudicación: 4.885.885,00 EUROS, desglosado de la siguiente manera: </w:t>
      </w:r>
    </w:p>
    <w:p w:rsidR="009B4233" w:rsidRDefault="006B08B9">
      <w:pPr>
        <w:spacing w:after="5"/>
        <w:ind w:left="-5" w:right="3" w:hanging="10"/>
        <w:jc w:val="both"/>
      </w:pPr>
      <w:r>
        <w:rPr>
          <w:rFonts w:ascii="Arial" w:eastAsia="Arial" w:hAnsi="Arial" w:cs="Arial"/>
          <w:i/>
          <w:sz w:val="22"/>
          <w:szCs w:val="22"/>
        </w:rPr>
        <w:t>4.606.885,0 € de obra con IGIC 0, más 279.000,00 € de Equipamiento con 19.530,00 € en concepto de IGIC.</w:t>
      </w:r>
    </w:p>
    <w:p w:rsidR="009B4233" w:rsidRDefault="006B08B9">
      <w:pPr>
        <w:spacing w:after="5"/>
        <w:ind w:left="-5" w:right="3" w:hanging="10"/>
        <w:jc w:val="both"/>
      </w:pPr>
      <w:r>
        <w:rPr>
          <w:rFonts w:ascii="Arial" w:eastAsia="Arial" w:hAnsi="Arial" w:cs="Arial"/>
          <w:i/>
          <w:sz w:val="22"/>
          <w:szCs w:val="22"/>
        </w:rPr>
        <w:t>Adjudicación: Acuerdo de Pleno de 19 de febrero de 2025</w:t>
      </w:r>
    </w:p>
    <w:p w:rsidR="009B4233" w:rsidRDefault="006B08B9">
      <w:pPr>
        <w:spacing w:after="5"/>
        <w:ind w:left="-5" w:right="3" w:hanging="10"/>
        <w:jc w:val="both"/>
      </w:pPr>
      <w:r>
        <w:rPr>
          <w:rFonts w:ascii="Arial" w:eastAsia="Arial" w:hAnsi="Arial" w:cs="Arial"/>
          <w:i/>
          <w:sz w:val="22"/>
          <w:szCs w:val="22"/>
        </w:rPr>
        <w:t>Plazo de Ejecución: Treinta y Seis (36) Meses</w:t>
      </w:r>
    </w:p>
    <w:p w:rsidR="009B4233" w:rsidRDefault="006B08B9">
      <w:pPr>
        <w:spacing w:after="5"/>
        <w:ind w:left="-5" w:right="3" w:hanging="10"/>
        <w:jc w:val="both"/>
      </w:pPr>
      <w:r>
        <w:rPr>
          <w:rFonts w:ascii="Arial" w:eastAsia="Arial" w:hAnsi="Arial" w:cs="Arial"/>
          <w:i/>
          <w:sz w:val="22"/>
          <w:szCs w:val="22"/>
        </w:rPr>
        <w:t>Plazo de garantía: Cinco (5) Años</w:t>
      </w:r>
    </w:p>
    <w:p w:rsidR="009B4233" w:rsidRDefault="006B08B9">
      <w:pPr>
        <w:spacing w:after="245"/>
        <w:ind w:left="-5" w:right="1872" w:hanging="10"/>
        <w:jc w:val="both"/>
      </w:pPr>
      <w:r>
        <w:rPr>
          <w:rFonts w:ascii="Arial" w:eastAsia="Arial" w:hAnsi="Arial" w:cs="Arial"/>
          <w:i/>
          <w:sz w:val="22"/>
          <w:szCs w:val="22"/>
        </w:rPr>
        <w:t>Mejoras al Proyecto: 19.946 € Puntos de recarga vehículos eléctricos Acta de replanteo de 24 de marzo de 2025</w:t>
      </w:r>
    </w:p>
    <w:p w:rsidR="009B4233" w:rsidRDefault="006B08B9">
      <w:pPr>
        <w:pStyle w:val="Ttulo1"/>
        <w:spacing w:after="233"/>
        <w:ind w:right="3"/>
      </w:pPr>
      <w:r>
        <w:rPr>
          <w:rFonts w:ascii="Arial" w:eastAsia="Arial" w:hAnsi="Arial" w:cs="Arial"/>
          <w:b w:val="0"/>
          <w:i/>
          <w:sz w:val="22"/>
          <w:szCs w:val="22"/>
        </w:rPr>
        <w:t>INFORME</w:t>
      </w:r>
    </w:p>
    <w:p w:rsidR="009B4233" w:rsidRDefault="006B08B9">
      <w:pPr>
        <w:spacing w:after="245"/>
        <w:ind w:left="-5" w:right="3" w:hanging="10"/>
        <w:jc w:val="both"/>
      </w:pPr>
      <w:r>
        <w:rPr>
          <w:rFonts w:ascii="Arial" w:eastAsia="Arial" w:hAnsi="Arial" w:cs="Arial"/>
          <w:i/>
          <w:sz w:val="22"/>
          <w:szCs w:val="22"/>
        </w:rPr>
        <w:t xml:space="preserve">A </w:t>
      </w:r>
      <w:r>
        <w:rPr>
          <w:rFonts w:ascii="Arial" w:eastAsia="Arial" w:hAnsi="Arial" w:cs="Arial"/>
          <w:i/>
          <w:sz w:val="22"/>
          <w:szCs w:val="22"/>
        </w:rPr>
        <w:t>la vista del informe emitido por la Dirección Facultativa de la Obra, presentado con fecha 22 de julio y registro 2025-E-RE-6295, en la que se informa sobre la necesidad de incorporación precios contradictorios:</w:t>
      </w:r>
    </w:p>
    <w:p w:rsidR="009B4233" w:rsidRDefault="006B08B9">
      <w:pPr>
        <w:spacing w:after="5"/>
        <w:ind w:left="-5" w:right="3" w:hanging="10"/>
        <w:jc w:val="both"/>
      </w:pPr>
      <w:r>
        <w:rPr>
          <w:rFonts w:ascii="Arial" w:eastAsia="Arial" w:hAnsi="Arial" w:cs="Arial"/>
          <w:i/>
          <w:sz w:val="22"/>
          <w:szCs w:val="22"/>
        </w:rPr>
        <w:t>Durante las visitas realizadas a la obra por</w:t>
      </w:r>
      <w:r>
        <w:rPr>
          <w:rFonts w:ascii="Arial" w:eastAsia="Arial" w:hAnsi="Arial" w:cs="Arial"/>
          <w:i/>
          <w:sz w:val="22"/>
          <w:szCs w:val="22"/>
        </w:rPr>
        <w:t xml:space="preserve"> parte de esta Dirección Facultativa, y debido a necesidades surgidas para el correcto desarrollo de los trabajos, se han solicitado a la empresa constructora la ejecución de una serie de unidades de obra no contempladas ni valoradas en el presupuesto del </w:t>
      </w:r>
      <w:r>
        <w:rPr>
          <w:rFonts w:ascii="Arial" w:eastAsia="Arial" w:hAnsi="Arial" w:cs="Arial"/>
          <w:i/>
          <w:sz w:val="22"/>
          <w:szCs w:val="22"/>
        </w:rPr>
        <w:t>proyecto.</w:t>
      </w:r>
    </w:p>
    <w:p w:rsidR="009B4233" w:rsidRDefault="006B08B9">
      <w:pPr>
        <w:spacing w:after="5"/>
        <w:ind w:left="-5" w:right="3" w:hanging="10"/>
        <w:jc w:val="both"/>
      </w:pPr>
      <w:r>
        <w:rPr>
          <w:rFonts w:ascii="Arial" w:eastAsia="Arial" w:hAnsi="Arial" w:cs="Arial"/>
          <w:i/>
          <w:sz w:val="22"/>
          <w:szCs w:val="22"/>
        </w:rPr>
        <w:t>En el transcurso de la obra, y al revisar con mayor detalle las mediciones del proyecto, se ha confirmado que estas unidades no estaban reflejadas en el presupuesto inicial, a pesar de ser necesarias para garantizar la adecuada ejecución de los t</w:t>
      </w:r>
      <w:r>
        <w:rPr>
          <w:rFonts w:ascii="Arial" w:eastAsia="Arial" w:hAnsi="Arial" w:cs="Arial"/>
          <w:i/>
          <w:sz w:val="22"/>
          <w:szCs w:val="22"/>
        </w:rPr>
        <w:t>rabajos. Por ello, se solicita a la empresa constructora que realice la correspondiente cuantificación y valoración económica de dichas unidades.</w:t>
      </w:r>
    </w:p>
    <w:p w:rsidR="009B4233" w:rsidRDefault="006B08B9">
      <w:pPr>
        <w:spacing w:after="245"/>
        <w:ind w:left="-5" w:right="3" w:hanging="10"/>
        <w:jc w:val="both"/>
      </w:pPr>
      <w:r>
        <w:rPr>
          <w:rFonts w:ascii="Arial" w:eastAsia="Arial" w:hAnsi="Arial" w:cs="Arial"/>
          <w:i/>
          <w:sz w:val="22"/>
          <w:szCs w:val="22"/>
        </w:rPr>
        <w:t>Como anexo al presente documento, se incorpora un cuadro detallado con la medición y valoración económica de c</w:t>
      </w:r>
      <w:r>
        <w:rPr>
          <w:rFonts w:ascii="Arial" w:eastAsia="Arial" w:hAnsi="Arial" w:cs="Arial"/>
          <w:i/>
          <w:sz w:val="22"/>
          <w:szCs w:val="22"/>
        </w:rPr>
        <w:t>ada unidad, junto con la justificación técnica correspondiente: Relación de unidades nuevas solicitadas:</w:t>
      </w:r>
    </w:p>
    <w:p w:rsidR="009B4233" w:rsidRDefault="006B08B9">
      <w:pPr>
        <w:spacing w:after="3"/>
        <w:ind w:left="-5" w:hanging="10"/>
      </w:pPr>
      <w:r>
        <w:rPr>
          <w:rFonts w:ascii="Arial" w:eastAsia="Arial" w:hAnsi="Arial" w:cs="Arial"/>
          <w:b/>
          <w:i/>
          <w:sz w:val="22"/>
          <w:szCs w:val="22"/>
        </w:rPr>
        <w:t>PN_1: Retirada de la impermeabilización existente en trasdós de muros, incluyendo carga y transporte a vertedero.</w:t>
      </w:r>
    </w:p>
    <w:p w:rsidR="009B4233" w:rsidRDefault="006B08B9">
      <w:pPr>
        <w:spacing w:after="245"/>
        <w:ind w:left="-5" w:right="3" w:hanging="10"/>
        <w:jc w:val="both"/>
      </w:pPr>
      <w:r>
        <w:rPr>
          <w:rFonts w:ascii="Arial" w:eastAsia="Arial" w:hAnsi="Arial" w:cs="Arial"/>
          <w:i/>
          <w:sz w:val="22"/>
          <w:szCs w:val="22"/>
        </w:rPr>
        <w:t>Motivo: Debido al mal estado y deteri</w:t>
      </w:r>
      <w:r>
        <w:rPr>
          <w:rFonts w:ascii="Arial" w:eastAsia="Arial" w:hAnsi="Arial" w:cs="Arial"/>
          <w:i/>
          <w:sz w:val="22"/>
          <w:szCs w:val="22"/>
        </w:rPr>
        <w:t>oro de la actual impermeabilización de los muros, se hace necesaria su retirada y correcta gestión.</w:t>
      </w:r>
    </w:p>
    <w:p w:rsidR="009B4233" w:rsidRDefault="006B08B9">
      <w:pPr>
        <w:spacing w:after="3"/>
        <w:ind w:left="-5" w:hanging="10"/>
      </w:pPr>
      <w:r>
        <w:rPr>
          <w:rFonts w:ascii="Arial" w:eastAsia="Arial" w:hAnsi="Arial" w:cs="Arial"/>
          <w:b/>
          <w:i/>
          <w:sz w:val="22"/>
          <w:szCs w:val="22"/>
        </w:rPr>
        <w:t>PN_2: Suministro e instalación de línea de trabajo, incluyendo desbroce de vegetación existente en la cabecera del talud.</w:t>
      </w:r>
    </w:p>
    <w:p w:rsidR="009B4233" w:rsidRDefault="006B08B9">
      <w:pPr>
        <w:spacing w:after="242"/>
        <w:ind w:left="-5" w:right="3" w:hanging="10"/>
        <w:jc w:val="both"/>
      </w:pPr>
      <w:r>
        <w:rPr>
          <w:rFonts w:ascii="Arial" w:eastAsia="Arial" w:hAnsi="Arial" w:cs="Arial"/>
          <w:i/>
          <w:sz w:val="22"/>
          <w:szCs w:val="22"/>
        </w:rPr>
        <w:t>Motivo: Para garantizar condicione</w:t>
      </w:r>
      <w:r>
        <w:rPr>
          <w:rFonts w:ascii="Arial" w:eastAsia="Arial" w:hAnsi="Arial" w:cs="Arial"/>
          <w:i/>
          <w:sz w:val="22"/>
          <w:szCs w:val="22"/>
        </w:rPr>
        <w:t>s seguras de acceso y trabajo en la zona del talud.</w:t>
      </w:r>
    </w:p>
    <w:p w:rsidR="009B4233" w:rsidRDefault="006B08B9">
      <w:pPr>
        <w:spacing w:after="3"/>
        <w:ind w:left="-5" w:hanging="10"/>
      </w:pPr>
      <w:r>
        <w:rPr>
          <w:rFonts w:ascii="Arial" w:eastAsia="Arial" w:hAnsi="Arial" w:cs="Arial"/>
          <w:b/>
          <w:i/>
          <w:sz w:val="22"/>
          <w:szCs w:val="22"/>
        </w:rPr>
        <w:t>PN_3: Suministro e instalación de malla de triple torsión anclada a coronación y pie de talud.</w:t>
      </w:r>
    </w:p>
    <w:p w:rsidR="009B4233" w:rsidRDefault="006B08B9">
      <w:pPr>
        <w:spacing w:after="245"/>
        <w:ind w:left="-5" w:right="3" w:hanging="10"/>
        <w:jc w:val="both"/>
      </w:pPr>
      <w:r>
        <w:rPr>
          <w:rFonts w:ascii="Arial" w:eastAsia="Arial" w:hAnsi="Arial" w:cs="Arial"/>
          <w:i/>
          <w:sz w:val="22"/>
          <w:szCs w:val="22"/>
        </w:rPr>
        <w:t>Motivo: Al evaluar el estado del terreno en la zona del talud, se ha observado que este presenta inestabilida</w:t>
      </w:r>
      <w:r>
        <w:rPr>
          <w:rFonts w:ascii="Arial" w:eastAsia="Arial" w:hAnsi="Arial" w:cs="Arial"/>
          <w:i/>
          <w:sz w:val="22"/>
          <w:szCs w:val="22"/>
        </w:rPr>
        <w:t>d en determinadas áreas. La instalación de la malla es necesaria para prevenir la caída de piedras y evitar posibles accidentes hacia la zona inferior, donde el personal trabaja en las tareas de cimentación.</w:t>
      </w:r>
    </w:p>
    <w:p w:rsidR="009B4233" w:rsidRDefault="006B08B9">
      <w:pPr>
        <w:spacing w:after="3"/>
        <w:ind w:left="-5" w:hanging="10"/>
      </w:pPr>
      <w:r>
        <w:rPr>
          <w:rFonts w:ascii="Arial" w:eastAsia="Arial" w:hAnsi="Arial" w:cs="Arial"/>
          <w:b/>
          <w:i/>
          <w:sz w:val="22"/>
          <w:szCs w:val="22"/>
        </w:rPr>
        <w:t xml:space="preserve">PN_4: Drenaje perimetral mediante tubo flexible </w:t>
      </w:r>
      <w:r>
        <w:rPr>
          <w:rFonts w:ascii="Arial" w:eastAsia="Arial" w:hAnsi="Arial" w:cs="Arial"/>
          <w:b/>
          <w:i/>
          <w:sz w:val="22"/>
          <w:szCs w:val="22"/>
        </w:rPr>
        <w:t>de polietileno de alta densidad (PEAD/HDPE).</w:t>
      </w:r>
    </w:p>
    <w:p w:rsidR="009B4233" w:rsidRDefault="006B08B9">
      <w:pPr>
        <w:spacing w:after="245"/>
        <w:ind w:left="-5" w:right="3" w:hanging="10"/>
        <w:jc w:val="both"/>
      </w:pPr>
      <w:r>
        <w:rPr>
          <w:rFonts w:ascii="Arial" w:eastAsia="Arial" w:hAnsi="Arial" w:cs="Arial"/>
          <w:i/>
          <w:sz w:val="22"/>
          <w:szCs w:val="22"/>
        </w:rPr>
        <w:t>Motivo: Aunque el tubo de drenaje aparece representado en los detalles constructivos del proyecto, no se encuentra valorado ni reflejado en las mediciones, por lo que es necesario incorporarlo.</w:t>
      </w:r>
    </w:p>
    <w:p w:rsidR="009B4233" w:rsidRDefault="006B08B9">
      <w:pPr>
        <w:spacing w:after="3"/>
        <w:ind w:left="-5" w:hanging="10"/>
      </w:pPr>
      <w:r>
        <w:rPr>
          <w:rFonts w:ascii="Arial" w:eastAsia="Arial" w:hAnsi="Arial" w:cs="Arial"/>
          <w:b/>
          <w:i/>
          <w:sz w:val="22"/>
          <w:szCs w:val="22"/>
        </w:rPr>
        <w:t>PN_5: Lámina de p</w:t>
      </w:r>
      <w:r>
        <w:rPr>
          <w:rFonts w:ascii="Arial" w:eastAsia="Arial" w:hAnsi="Arial" w:cs="Arial"/>
          <w:b/>
          <w:i/>
          <w:sz w:val="22"/>
          <w:szCs w:val="22"/>
        </w:rPr>
        <w:t>rotección frente al gas radón, mediante lámina de PVC URDIN SANI 1,2 mm no armada.</w:t>
      </w:r>
    </w:p>
    <w:p w:rsidR="009B4233" w:rsidRDefault="006B08B9">
      <w:pPr>
        <w:spacing w:after="5"/>
        <w:ind w:left="-5" w:right="3" w:hanging="10"/>
        <w:jc w:val="both"/>
      </w:pPr>
      <w:r>
        <w:rPr>
          <w:rFonts w:ascii="Arial" w:eastAsia="Arial" w:hAnsi="Arial" w:cs="Arial"/>
          <w:i/>
          <w:sz w:val="22"/>
          <w:szCs w:val="22"/>
        </w:rPr>
        <w:t xml:space="preserve">Motivo: Al analizar las mediciones del proyecto, se ha detectado la ausencia de una solución para la protección frente al gas radón bajo la solera de la planta sótano. Esta </w:t>
      </w:r>
      <w:r>
        <w:rPr>
          <w:rFonts w:ascii="Arial" w:eastAsia="Arial" w:hAnsi="Arial" w:cs="Arial"/>
          <w:i/>
          <w:sz w:val="22"/>
          <w:szCs w:val="22"/>
        </w:rPr>
        <w:t>actuación es necesaria para cumplir con los requisitos del Código Técnico de la Edificación.</w:t>
      </w:r>
    </w:p>
    <w:p w:rsidR="009B4233" w:rsidRDefault="006B08B9">
      <w:pPr>
        <w:spacing w:after="263"/>
        <w:ind w:left="-2"/>
      </w:pPr>
      <w:r>
        <w:rPr>
          <w:rFonts w:ascii="Arial" w:hAnsi="Arial" w:cs="Arial"/>
          <w:noProof/>
          <w:sz w:val="22"/>
          <w:szCs w:val="22"/>
          <w:lang w:eastAsia="es-ES" w:bidi="ar-SA"/>
        </w:rPr>
        <w:drawing>
          <wp:inline distT="0" distB="0" distL="0" distR="0">
            <wp:extent cx="5455923" cy="2225036"/>
            <wp:effectExtent l="0" t="0" r="0" b="3814"/>
            <wp:docPr id="87" name="Imagen 468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rcRect/>
                    <a:stretch>
                      <a:fillRect/>
                    </a:stretch>
                  </pic:blipFill>
                  <pic:spPr>
                    <a:xfrm>
                      <a:off x="0" y="0"/>
                      <a:ext cx="5455923" cy="2225036"/>
                    </a:xfrm>
                    <a:prstGeom prst="rect">
                      <a:avLst/>
                    </a:prstGeom>
                    <a:noFill/>
                    <a:ln>
                      <a:noFill/>
                      <a:prstDash/>
                    </a:ln>
                  </pic:spPr>
                </pic:pic>
              </a:graphicData>
            </a:graphic>
          </wp:inline>
        </w:drawing>
      </w:r>
    </w:p>
    <w:p w:rsidR="009B4233" w:rsidRDefault="006B08B9">
      <w:pPr>
        <w:pStyle w:val="Ttulo1"/>
        <w:spacing w:after="233"/>
        <w:ind w:right="4"/>
      </w:pPr>
      <w:r>
        <w:rPr>
          <w:rFonts w:ascii="Arial" w:eastAsia="Arial" w:hAnsi="Arial" w:cs="Arial"/>
          <w:b w:val="0"/>
          <w:i/>
          <w:sz w:val="22"/>
          <w:szCs w:val="22"/>
        </w:rPr>
        <w:t>CONCLUSIONES</w:t>
      </w:r>
    </w:p>
    <w:p w:rsidR="009B4233" w:rsidRDefault="006B08B9">
      <w:pPr>
        <w:spacing w:after="245"/>
        <w:ind w:left="-5" w:right="3" w:hanging="10"/>
        <w:jc w:val="both"/>
      </w:pPr>
      <w:r>
        <w:rPr>
          <w:rFonts w:ascii="Arial" w:eastAsia="Arial" w:hAnsi="Arial" w:cs="Arial"/>
          <w:i/>
          <w:sz w:val="22"/>
          <w:szCs w:val="22"/>
        </w:rPr>
        <w:t>El incremento de Importe de ejecución por contrata del conjunto de los 5 nuevos precios es de 63.350,24 €. lo que supone un incremento del 1,29 % so</w:t>
      </w:r>
      <w:r>
        <w:rPr>
          <w:rFonts w:ascii="Arial" w:eastAsia="Arial" w:hAnsi="Arial" w:cs="Arial"/>
          <w:i/>
          <w:sz w:val="22"/>
          <w:szCs w:val="22"/>
        </w:rPr>
        <w:t>bre el presupuesto de adjudicación del contrato, menor del 3% al que limita el artículo 242.4.c) de la Ley 9/2017 de Contratos del Sector Público.”</w:t>
      </w:r>
    </w:p>
    <w:p w:rsidR="009B4233" w:rsidRDefault="006B08B9">
      <w:pPr>
        <w:spacing w:after="274"/>
        <w:ind w:left="-5" w:hanging="10"/>
        <w:jc w:val="both"/>
      </w:pPr>
      <w:r>
        <w:rPr>
          <w:rFonts w:ascii="Arial" w:eastAsia="Arial" w:hAnsi="Arial" w:cs="Arial"/>
          <w:b/>
          <w:sz w:val="22"/>
          <w:szCs w:val="22"/>
        </w:rPr>
        <w:t xml:space="preserve">Quinto: </w:t>
      </w:r>
      <w:r>
        <w:rPr>
          <w:rFonts w:ascii="Arial" w:eastAsia="Arial" w:hAnsi="Arial" w:cs="Arial"/>
          <w:sz w:val="22"/>
          <w:szCs w:val="22"/>
        </w:rPr>
        <w:t>Consta en el expediente documento contable AD nº 2.25.0.05595, por importe de 63.350,24 euros, corre</w:t>
      </w:r>
      <w:r>
        <w:rPr>
          <w:rFonts w:ascii="Arial" w:eastAsia="Arial" w:hAnsi="Arial" w:cs="Arial"/>
          <w:sz w:val="22"/>
          <w:szCs w:val="22"/>
        </w:rPr>
        <w:t xml:space="preserve">spondiente a la aprobación de los precios contradictorios propuestos por la dirección facultativa e informados favorablemente por la Arquitecta municipal. </w:t>
      </w:r>
    </w:p>
    <w:p w:rsidR="009B4233" w:rsidRDefault="006B08B9">
      <w:pPr>
        <w:pStyle w:val="Ttulo2"/>
        <w:spacing w:after="263"/>
        <w:ind w:left="369" w:right="2"/>
        <w:jc w:val="center"/>
        <w:rPr>
          <w:rFonts w:ascii="Arial" w:hAnsi="Arial" w:cs="Arial"/>
          <w:sz w:val="22"/>
          <w:szCs w:val="22"/>
        </w:rPr>
      </w:pPr>
      <w:r>
        <w:rPr>
          <w:rFonts w:ascii="Arial" w:hAnsi="Arial" w:cs="Arial"/>
          <w:sz w:val="22"/>
          <w:szCs w:val="22"/>
        </w:rPr>
        <w:t>Fundamentos de derecho</w:t>
      </w:r>
    </w:p>
    <w:p w:rsidR="009B4233" w:rsidRDefault="006B08B9">
      <w:pPr>
        <w:spacing w:after="274"/>
        <w:ind w:left="-5" w:hanging="10"/>
        <w:jc w:val="both"/>
      </w:pPr>
      <w:r>
        <w:rPr>
          <w:rFonts w:ascii="Arial" w:eastAsia="Arial" w:hAnsi="Arial" w:cs="Arial"/>
          <w:b/>
          <w:sz w:val="22"/>
          <w:szCs w:val="22"/>
        </w:rPr>
        <w:t xml:space="preserve">Primero: </w:t>
      </w:r>
      <w:r>
        <w:rPr>
          <w:rFonts w:ascii="Arial" w:eastAsia="Arial" w:hAnsi="Arial" w:cs="Arial"/>
          <w:sz w:val="22"/>
          <w:szCs w:val="22"/>
        </w:rPr>
        <w:t>El art. 242 de la Ley 9/2017 de Contratos del Sector Público, relati</w:t>
      </w:r>
      <w:r>
        <w:rPr>
          <w:rFonts w:ascii="Arial" w:eastAsia="Arial" w:hAnsi="Arial" w:cs="Arial"/>
          <w:sz w:val="22"/>
          <w:szCs w:val="22"/>
        </w:rPr>
        <w:t xml:space="preserve">vo a la modificación del contrato de obras dispone que: </w:t>
      </w:r>
    </w:p>
    <w:p w:rsidR="009B4233" w:rsidRDefault="006B08B9">
      <w:pPr>
        <w:widowControl/>
        <w:numPr>
          <w:ilvl w:val="0"/>
          <w:numId w:val="81"/>
        </w:numPr>
        <w:suppressAutoHyphens w:val="0"/>
        <w:spacing w:after="5"/>
        <w:ind w:right="3" w:firstLine="360"/>
        <w:jc w:val="both"/>
        <w:textAlignment w:val="auto"/>
      </w:pPr>
      <w:r>
        <w:rPr>
          <w:rFonts w:ascii="Arial" w:eastAsia="Arial" w:hAnsi="Arial" w:cs="Arial"/>
          <w:i/>
          <w:sz w:val="22"/>
          <w:szCs w:val="22"/>
        </w:rPr>
        <w:t xml:space="preserve">Serán obligatorias para el contratista las modificaciones del contrato de obras que se acuerden de conformidad con lo establecido en el artículo 206. En caso de que la modificación suponga supresión </w:t>
      </w:r>
      <w:r>
        <w:rPr>
          <w:rFonts w:ascii="Arial" w:eastAsia="Arial" w:hAnsi="Arial" w:cs="Arial"/>
          <w:i/>
          <w:sz w:val="22"/>
          <w:szCs w:val="22"/>
        </w:rPr>
        <w:t>o reducción de unidades de obra, el contratista no tendrá derecho a reclamar indemnización alguna.</w:t>
      </w:r>
    </w:p>
    <w:p w:rsidR="009B4233" w:rsidRDefault="006B08B9">
      <w:pPr>
        <w:widowControl/>
        <w:numPr>
          <w:ilvl w:val="0"/>
          <w:numId w:val="81"/>
        </w:numPr>
        <w:suppressAutoHyphens w:val="0"/>
        <w:spacing w:after="5"/>
        <w:ind w:right="3" w:firstLine="360"/>
        <w:jc w:val="both"/>
        <w:textAlignment w:val="auto"/>
      </w:pPr>
      <w:r>
        <w:rPr>
          <w:rFonts w:ascii="Arial" w:eastAsia="Arial" w:hAnsi="Arial" w:cs="Arial"/>
          <w:i/>
          <w:sz w:val="22"/>
          <w:szCs w:val="22"/>
        </w:rPr>
        <w:t>Cuando las modificaciones supongan la introducción de unidades de obra no previstas en el proyecto o cuyas características difieran de las fijadas en este, y</w:t>
      </w:r>
      <w:r>
        <w:rPr>
          <w:rFonts w:ascii="Arial" w:eastAsia="Arial" w:hAnsi="Arial" w:cs="Arial"/>
          <w:i/>
          <w:sz w:val="22"/>
          <w:szCs w:val="22"/>
        </w:rPr>
        <w:t xml:space="preserve"> no sea necesario realizar una nueva licitación, los precios aplicables a las mismas serán fijados por la Administración, previa audiencia del contratista por plazo mínimo de tres días hábiles. Cuando el contratista no aceptase los precios fijados, el órga</w:t>
      </w:r>
      <w:r>
        <w:rPr>
          <w:rFonts w:ascii="Arial" w:eastAsia="Arial" w:hAnsi="Arial" w:cs="Arial"/>
          <w:i/>
          <w:sz w:val="22"/>
          <w:szCs w:val="22"/>
        </w:rPr>
        <w:t>no de contratación podrá contratarlas con otro empresario en los mismos precios que hubiese fijado, ejecutarlas directamente u optar por la resolución del contrato conforme al artículo 211 de esta Ley. …..</w:t>
      </w:r>
    </w:p>
    <w:p w:rsidR="009B4233" w:rsidRDefault="006B08B9">
      <w:pPr>
        <w:spacing w:after="5"/>
        <w:ind w:left="-15" w:right="3" w:firstLine="356"/>
        <w:jc w:val="both"/>
      </w:pPr>
      <w:r>
        <w:rPr>
          <w:rFonts w:ascii="Arial" w:eastAsia="Arial" w:hAnsi="Arial" w:cs="Arial"/>
          <w:i/>
          <w:sz w:val="22"/>
          <w:szCs w:val="22"/>
        </w:rPr>
        <w:t xml:space="preserve">4. Cuando el Director facultativo de la obra </w:t>
      </w:r>
      <w:r>
        <w:rPr>
          <w:rFonts w:ascii="Arial" w:eastAsia="Arial" w:hAnsi="Arial" w:cs="Arial"/>
          <w:i/>
          <w:sz w:val="22"/>
          <w:szCs w:val="22"/>
        </w:rPr>
        <w:t>considere necesaria una modificación del proyecto y se cumplan los requisitos que a tal efecto regula esta Ley, recabará del órgano de contratación autorización para iniciar el correspondiente expediente, que se sustanciará con las siguientes actuaciones:</w:t>
      </w:r>
    </w:p>
    <w:p w:rsidR="009B4233" w:rsidRDefault="006B08B9">
      <w:pPr>
        <w:widowControl/>
        <w:numPr>
          <w:ilvl w:val="0"/>
          <w:numId w:val="82"/>
        </w:numPr>
        <w:suppressAutoHyphens w:val="0"/>
        <w:spacing w:after="5"/>
        <w:ind w:right="3" w:hanging="288"/>
        <w:jc w:val="both"/>
        <w:textAlignment w:val="auto"/>
      </w:pPr>
      <w:r>
        <w:rPr>
          <w:rFonts w:ascii="Arial" w:eastAsia="Arial" w:hAnsi="Arial" w:cs="Arial"/>
          <w:i/>
          <w:sz w:val="22"/>
          <w:szCs w:val="22"/>
        </w:rPr>
        <w:t>Redacción de la modificación del proyecto y aprobación técnica de la misma.</w:t>
      </w:r>
    </w:p>
    <w:p w:rsidR="009B4233" w:rsidRDefault="006B08B9">
      <w:pPr>
        <w:widowControl/>
        <w:numPr>
          <w:ilvl w:val="0"/>
          <w:numId w:val="82"/>
        </w:numPr>
        <w:suppressAutoHyphens w:val="0"/>
        <w:spacing w:after="5"/>
        <w:ind w:right="3" w:hanging="288"/>
        <w:jc w:val="both"/>
        <w:textAlignment w:val="auto"/>
      </w:pPr>
      <w:r>
        <w:rPr>
          <w:rFonts w:ascii="Arial" w:eastAsia="Arial" w:hAnsi="Arial" w:cs="Arial"/>
          <w:i/>
          <w:sz w:val="22"/>
          <w:szCs w:val="22"/>
        </w:rPr>
        <w:t>Audiencia del contratista y del redactor del proyecto, por plazo mínimo de tres días.</w:t>
      </w:r>
    </w:p>
    <w:p w:rsidR="009B4233" w:rsidRDefault="006B08B9">
      <w:pPr>
        <w:widowControl/>
        <w:numPr>
          <w:ilvl w:val="0"/>
          <w:numId w:val="82"/>
        </w:numPr>
        <w:suppressAutoHyphens w:val="0"/>
        <w:spacing w:after="5"/>
        <w:ind w:right="3" w:hanging="288"/>
        <w:jc w:val="both"/>
        <w:textAlignment w:val="auto"/>
      </w:pPr>
      <w:r>
        <w:rPr>
          <w:rFonts w:ascii="Arial" w:eastAsia="Arial" w:hAnsi="Arial" w:cs="Arial"/>
          <w:i/>
          <w:sz w:val="22"/>
          <w:szCs w:val="22"/>
        </w:rPr>
        <w:t xml:space="preserve">Aprobación del expediente por el órgano de contratación, así como de los gastos </w:t>
      </w:r>
    </w:p>
    <w:p w:rsidR="009B4233" w:rsidRDefault="006B08B9">
      <w:pPr>
        <w:spacing w:after="5"/>
        <w:ind w:left="-5" w:right="3" w:hanging="10"/>
        <w:jc w:val="both"/>
      </w:pPr>
      <w:r>
        <w:rPr>
          <w:rFonts w:ascii="Arial" w:eastAsia="Arial" w:hAnsi="Arial" w:cs="Arial"/>
          <w:i/>
          <w:sz w:val="22"/>
          <w:szCs w:val="22"/>
        </w:rPr>
        <w:t>complementari</w:t>
      </w:r>
      <w:r>
        <w:rPr>
          <w:rFonts w:ascii="Arial" w:eastAsia="Arial" w:hAnsi="Arial" w:cs="Arial"/>
          <w:i/>
          <w:sz w:val="22"/>
          <w:szCs w:val="22"/>
        </w:rPr>
        <w:t>os precisos.</w:t>
      </w:r>
    </w:p>
    <w:p w:rsidR="009B4233" w:rsidRDefault="006B08B9">
      <w:pPr>
        <w:spacing w:after="5"/>
        <w:ind w:left="366" w:right="3" w:hanging="10"/>
        <w:jc w:val="both"/>
      </w:pPr>
      <w:r>
        <w:rPr>
          <w:rFonts w:ascii="Arial" w:eastAsia="Arial" w:hAnsi="Arial" w:cs="Arial"/>
          <w:i/>
          <w:sz w:val="22"/>
          <w:szCs w:val="22"/>
        </w:rPr>
        <w:t>No obstante, no tendrán la consideración de modificaciones:</w:t>
      </w:r>
    </w:p>
    <w:p w:rsidR="009B4233" w:rsidRDefault="006B08B9">
      <w:pPr>
        <w:spacing w:after="5"/>
        <w:ind w:left="370" w:right="3" w:hanging="10"/>
        <w:jc w:val="both"/>
      </w:pPr>
      <w:r>
        <w:rPr>
          <w:rFonts w:ascii="Arial" w:eastAsia="Arial" w:hAnsi="Arial" w:cs="Arial"/>
          <w:i/>
          <w:sz w:val="22"/>
          <w:szCs w:val="22"/>
        </w:rPr>
        <w:t>…..</w:t>
      </w:r>
    </w:p>
    <w:p w:rsidR="009B4233" w:rsidRDefault="006B08B9">
      <w:pPr>
        <w:spacing w:after="5"/>
        <w:ind w:left="-15" w:right="3" w:firstLine="360"/>
        <w:jc w:val="both"/>
      </w:pPr>
      <w:r>
        <w:rPr>
          <w:rFonts w:ascii="Arial" w:eastAsia="Arial" w:hAnsi="Arial" w:cs="Arial"/>
          <w:i/>
          <w:sz w:val="22"/>
          <w:szCs w:val="22"/>
        </w:rPr>
        <w:t>ii. La inclusión de precios nuevos, fijados contradictoriamente por los procedimientos establecidos en esta Ley y en sus normas de desarrollo, siempre que no supongan incremento d</w:t>
      </w:r>
      <w:r>
        <w:rPr>
          <w:rFonts w:ascii="Arial" w:eastAsia="Arial" w:hAnsi="Arial" w:cs="Arial"/>
          <w:i/>
          <w:sz w:val="22"/>
          <w:szCs w:val="22"/>
        </w:rPr>
        <w:t>el precio global del contrato ni afecten a unidades de obra que en su conjunto exceda del 3 por ciento del presupuesto primitivo del mismo.</w:t>
      </w:r>
    </w:p>
    <w:p w:rsidR="009B4233" w:rsidRDefault="006B08B9">
      <w:pPr>
        <w:spacing w:after="242"/>
        <w:ind w:left="370" w:right="3" w:hanging="10"/>
        <w:jc w:val="both"/>
      </w:pPr>
      <w:r>
        <w:rPr>
          <w:rFonts w:ascii="Arial" w:eastAsia="Arial" w:hAnsi="Arial" w:cs="Arial"/>
          <w:i/>
          <w:sz w:val="22"/>
          <w:szCs w:val="22"/>
        </w:rPr>
        <w:t>…….”</w:t>
      </w:r>
    </w:p>
    <w:p w:rsidR="009B4233" w:rsidRDefault="006B08B9">
      <w:pPr>
        <w:spacing w:after="245"/>
        <w:ind w:left="-15" w:firstLine="360"/>
        <w:jc w:val="both"/>
      </w:pPr>
      <w:r>
        <w:rPr>
          <w:rFonts w:ascii="Arial" w:eastAsia="Arial" w:hAnsi="Arial" w:cs="Arial"/>
          <w:b/>
          <w:sz w:val="22"/>
          <w:szCs w:val="22"/>
        </w:rPr>
        <w:t xml:space="preserve">Segundo: </w:t>
      </w:r>
      <w:r>
        <w:rPr>
          <w:rFonts w:ascii="Arial" w:eastAsia="Arial" w:hAnsi="Arial" w:cs="Arial"/>
          <w:sz w:val="22"/>
          <w:szCs w:val="22"/>
        </w:rPr>
        <w:t>La modificación propuesta cumple con los requisitos establecidos en la LCSP, al contar con informe téc</w:t>
      </w:r>
      <w:r>
        <w:rPr>
          <w:rFonts w:ascii="Arial" w:eastAsia="Arial" w:hAnsi="Arial" w:cs="Arial"/>
          <w:sz w:val="22"/>
          <w:szCs w:val="22"/>
        </w:rPr>
        <w:t>nico favorable, justificación detallada y disponibilidad presupuestaria acreditada mediante documento contable ( AD nº 2.25.0.05595 ).</w:t>
      </w:r>
    </w:p>
    <w:p w:rsidR="009B4233" w:rsidRDefault="006B08B9">
      <w:pPr>
        <w:spacing w:after="274"/>
        <w:ind w:left="-15" w:firstLine="566"/>
        <w:jc w:val="both"/>
        <w:rPr>
          <w:rFonts w:ascii="Arial" w:eastAsia="Arial" w:hAnsi="Arial" w:cs="Arial"/>
          <w:sz w:val="22"/>
          <w:szCs w:val="22"/>
        </w:rPr>
      </w:pPr>
      <w:r>
        <w:rPr>
          <w:rFonts w:ascii="Arial" w:eastAsia="Arial" w:hAnsi="Arial" w:cs="Arial"/>
          <w:sz w:val="22"/>
          <w:szCs w:val="22"/>
        </w:rPr>
        <w:t>En base a los antecedentes de hecho y fundamentos de derecho expuestos, se emite la siguiente,</w:t>
      </w:r>
    </w:p>
    <w:p w:rsidR="009B4233" w:rsidRDefault="009B4233">
      <w:pPr>
        <w:spacing w:after="274"/>
        <w:ind w:left="-15" w:firstLine="566"/>
        <w:jc w:val="both"/>
        <w:rPr>
          <w:rFonts w:ascii="Arial" w:hAnsi="Arial" w:cs="Arial"/>
          <w:sz w:val="22"/>
          <w:szCs w:val="22"/>
        </w:rPr>
      </w:pPr>
    </w:p>
    <w:p w:rsidR="009B4233" w:rsidRDefault="009B4233">
      <w:pPr>
        <w:spacing w:after="263"/>
        <w:ind w:left="369" w:right="364" w:hanging="10"/>
        <w:jc w:val="center"/>
        <w:rPr>
          <w:rFonts w:ascii="Arial" w:eastAsia="Arial" w:hAnsi="Arial" w:cs="Arial"/>
          <w:b/>
          <w:sz w:val="22"/>
          <w:szCs w:val="22"/>
        </w:rPr>
      </w:pPr>
    </w:p>
    <w:p w:rsidR="009B4233" w:rsidRDefault="009B4233">
      <w:pPr>
        <w:spacing w:after="263"/>
        <w:ind w:left="369" w:right="364" w:hanging="10"/>
        <w:jc w:val="center"/>
        <w:rPr>
          <w:rFonts w:ascii="Arial" w:eastAsia="Arial" w:hAnsi="Arial" w:cs="Arial"/>
          <w:b/>
          <w:sz w:val="22"/>
          <w:szCs w:val="22"/>
        </w:rPr>
      </w:pPr>
    </w:p>
    <w:p w:rsidR="009B4233" w:rsidRDefault="009B4233">
      <w:pPr>
        <w:spacing w:after="263"/>
        <w:ind w:left="369" w:right="364" w:hanging="10"/>
        <w:jc w:val="center"/>
        <w:rPr>
          <w:rFonts w:ascii="Arial" w:eastAsia="Arial" w:hAnsi="Arial" w:cs="Arial"/>
          <w:b/>
          <w:sz w:val="22"/>
          <w:szCs w:val="22"/>
        </w:rPr>
      </w:pPr>
    </w:p>
    <w:p w:rsidR="009B4233" w:rsidRDefault="009B4233">
      <w:pPr>
        <w:spacing w:after="263"/>
        <w:ind w:left="369" w:right="364" w:hanging="10"/>
        <w:jc w:val="center"/>
        <w:rPr>
          <w:rFonts w:ascii="Arial" w:eastAsia="Arial" w:hAnsi="Arial" w:cs="Arial"/>
          <w:b/>
          <w:sz w:val="22"/>
          <w:szCs w:val="22"/>
        </w:rPr>
      </w:pPr>
    </w:p>
    <w:p w:rsidR="009B4233" w:rsidRDefault="009B4233">
      <w:pPr>
        <w:spacing w:after="263"/>
        <w:ind w:left="369" w:right="364" w:hanging="10"/>
        <w:jc w:val="center"/>
        <w:rPr>
          <w:rFonts w:ascii="Arial" w:eastAsia="Arial" w:hAnsi="Arial" w:cs="Arial"/>
          <w:b/>
          <w:sz w:val="22"/>
          <w:szCs w:val="22"/>
        </w:rPr>
      </w:pPr>
    </w:p>
    <w:p w:rsidR="009B4233" w:rsidRDefault="009B4233">
      <w:pPr>
        <w:spacing w:after="263"/>
        <w:ind w:left="369" w:right="364" w:hanging="10"/>
        <w:jc w:val="center"/>
        <w:rPr>
          <w:rFonts w:ascii="Arial" w:eastAsia="Arial" w:hAnsi="Arial" w:cs="Arial"/>
          <w:b/>
          <w:sz w:val="22"/>
          <w:szCs w:val="22"/>
        </w:rPr>
      </w:pPr>
    </w:p>
    <w:p w:rsidR="009B4233" w:rsidRDefault="009B4233">
      <w:pPr>
        <w:spacing w:after="263"/>
        <w:ind w:left="369" w:right="364" w:hanging="10"/>
        <w:jc w:val="center"/>
        <w:rPr>
          <w:rFonts w:ascii="Arial" w:eastAsia="Arial" w:hAnsi="Arial" w:cs="Arial"/>
          <w:b/>
          <w:sz w:val="22"/>
          <w:szCs w:val="22"/>
        </w:rPr>
      </w:pPr>
    </w:p>
    <w:p w:rsidR="009B4233" w:rsidRDefault="006B08B9">
      <w:pPr>
        <w:spacing w:after="263"/>
        <w:ind w:left="369" w:right="364" w:hanging="10"/>
        <w:jc w:val="center"/>
      </w:pPr>
      <w:r>
        <w:rPr>
          <w:rFonts w:ascii="Arial" w:eastAsia="Arial" w:hAnsi="Arial" w:cs="Arial"/>
          <w:b/>
          <w:sz w:val="22"/>
          <w:szCs w:val="22"/>
        </w:rPr>
        <w:t xml:space="preserve">PROPUESTA DE </w:t>
      </w:r>
      <w:r>
        <w:rPr>
          <w:rFonts w:ascii="Arial" w:eastAsia="Arial" w:hAnsi="Arial" w:cs="Arial"/>
          <w:b/>
          <w:sz w:val="22"/>
          <w:szCs w:val="22"/>
        </w:rPr>
        <w:t>RESOLUCIÓN:</w:t>
      </w:r>
    </w:p>
    <w:p w:rsidR="009B4233" w:rsidRDefault="006B08B9">
      <w:pPr>
        <w:spacing w:after="274"/>
        <w:ind w:left="-15" w:firstLine="566"/>
        <w:jc w:val="both"/>
      </w:pPr>
      <w:r>
        <w:rPr>
          <w:rFonts w:ascii="Arial" w:eastAsia="Arial" w:hAnsi="Arial" w:cs="Arial"/>
          <w:sz w:val="22"/>
          <w:szCs w:val="22"/>
        </w:rPr>
        <w:t xml:space="preserve"> </w:t>
      </w:r>
      <w:r>
        <w:rPr>
          <w:rFonts w:ascii="Arial" w:eastAsia="Arial" w:hAnsi="Arial" w:cs="Arial"/>
          <w:b/>
          <w:sz w:val="22"/>
          <w:szCs w:val="22"/>
        </w:rPr>
        <w:t>PRIMERO:</w:t>
      </w:r>
      <w:r>
        <w:rPr>
          <w:rFonts w:ascii="Arial" w:eastAsia="Arial" w:hAnsi="Arial" w:cs="Arial"/>
          <w:sz w:val="22"/>
          <w:szCs w:val="22"/>
        </w:rPr>
        <w:t xml:space="preserve"> Aprobar los siguientes precios contradictorios propuestos por la Dirección facultativa e informados favorablemente por la Arquitecta municipal:</w:t>
      </w:r>
    </w:p>
    <w:p w:rsidR="009B4233" w:rsidRDefault="006B08B9">
      <w:pPr>
        <w:spacing w:after="113"/>
        <w:ind w:left="-5" w:right="3" w:hanging="10"/>
        <w:jc w:val="both"/>
      </w:pPr>
      <w:r>
        <w:rPr>
          <w:rFonts w:ascii="Arial" w:eastAsia="Arial" w:hAnsi="Arial" w:cs="Arial"/>
          <w:i/>
          <w:sz w:val="22"/>
          <w:szCs w:val="22"/>
        </w:rPr>
        <w:t xml:space="preserve">PN_1: Retirada de la impermeabilización existente en trasdós de muros, incluyendo carga y </w:t>
      </w:r>
      <w:r>
        <w:rPr>
          <w:rFonts w:ascii="Arial" w:eastAsia="Arial" w:hAnsi="Arial" w:cs="Arial"/>
          <w:i/>
          <w:sz w:val="22"/>
          <w:szCs w:val="22"/>
        </w:rPr>
        <w:t>transporte a vertedero.</w:t>
      </w:r>
    </w:p>
    <w:p w:rsidR="009B4233" w:rsidRDefault="006B08B9">
      <w:pPr>
        <w:spacing w:after="113"/>
        <w:ind w:left="-5" w:hanging="10"/>
        <w:jc w:val="both"/>
      </w:pPr>
      <w:r>
        <w:rPr>
          <w:rFonts w:ascii="Arial" w:eastAsia="Arial" w:hAnsi="Arial" w:cs="Arial"/>
          <w:sz w:val="22"/>
          <w:szCs w:val="22"/>
        </w:rPr>
        <w:t>Motivo: Debido al mal estado y deterioro de la actual impermeabilización de los muros, se hace necesaria su retirada y correcta gestión.</w:t>
      </w:r>
    </w:p>
    <w:p w:rsidR="009B4233" w:rsidRDefault="006B08B9">
      <w:pPr>
        <w:spacing w:after="113"/>
        <w:ind w:left="-5" w:right="3" w:hanging="10"/>
        <w:jc w:val="both"/>
      </w:pPr>
      <w:r>
        <w:rPr>
          <w:rFonts w:ascii="Arial" w:eastAsia="Arial" w:hAnsi="Arial" w:cs="Arial"/>
          <w:i/>
          <w:sz w:val="22"/>
          <w:szCs w:val="22"/>
        </w:rPr>
        <w:t>PN_2: Suministro e instalación de línea de trabajo, incluyendo desbroce de vegetación existente</w:t>
      </w:r>
      <w:r>
        <w:rPr>
          <w:rFonts w:ascii="Arial" w:eastAsia="Arial" w:hAnsi="Arial" w:cs="Arial"/>
          <w:i/>
          <w:sz w:val="22"/>
          <w:szCs w:val="22"/>
        </w:rPr>
        <w:t xml:space="preserve"> en la cabecera del talud.</w:t>
      </w:r>
    </w:p>
    <w:p w:rsidR="009B4233" w:rsidRDefault="006B08B9">
      <w:pPr>
        <w:spacing w:after="108"/>
        <w:ind w:left="-5" w:hanging="10"/>
        <w:jc w:val="both"/>
      </w:pPr>
      <w:r>
        <w:rPr>
          <w:rFonts w:ascii="Arial" w:eastAsia="Arial" w:hAnsi="Arial" w:cs="Arial"/>
          <w:sz w:val="22"/>
          <w:szCs w:val="22"/>
        </w:rPr>
        <w:t>Motivo: Para garantizar condiciones seguras de acceso y trabajo en la zona del talud.</w:t>
      </w:r>
    </w:p>
    <w:p w:rsidR="009B4233" w:rsidRDefault="006B08B9">
      <w:pPr>
        <w:spacing w:after="110"/>
        <w:ind w:left="-5" w:right="3" w:hanging="10"/>
        <w:jc w:val="both"/>
      </w:pPr>
      <w:r>
        <w:rPr>
          <w:rFonts w:ascii="Arial" w:eastAsia="Arial" w:hAnsi="Arial" w:cs="Arial"/>
          <w:i/>
          <w:sz w:val="22"/>
          <w:szCs w:val="22"/>
        </w:rPr>
        <w:t>PN_3: Suministro e instalación de malla de triple torsión anclada a coronación y pie de talud.</w:t>
      </w:r>
    </w:p>
    <w:p w:rsidR="009B4233" w:rsidRDefault="006B08B9">
      <w:pPr>
        <w:spacing w:after="113"/>
        <w:ind w:left="-5" w:hanging="10"/>
        <w:jc w:val="both"/>
      </w:pPr>
      <w:r>
        <w:rPr>
          <w:rFonts w:ascii="Arial" w:eastAsia="Arial" w:hAnsi="Arial" w:cs="Arial"/>
          <w:sz w:val="22"/>
          <w:szCs w:val="22"/>
        </w:rPr>
        <w:t>Motivo: Al evaluar el estado del terreno en la z</w:t>
      </w:r>
      <w:r>
        <w:rPr>
          <w:rFonts w:ascii="Arial" w:eastAsia="Arial" w:hAnsi="Arial" w:cs="Arial"/>
          <w:sz w:val="22"/>
          <w:szCs w:val="22"/>
        </w:rPr>
        <w:t xml:space="preserve">ona del talud, se ha observado que este presenta inestabilidad en determinadas áreas. La instalación de la malla es necesaria para prevenir la caída de piedras y evitar posibles accidentes hacia la zona inferior, donde el personal trabaja en las tareas de </w:t>
      </w:r>
      <w:r>
        <w:rPr>
          <w:rFonts w:ascii="Arial" w:eastAsia="Arial" w:hAnsi="Arial" w:cs="Arial"/>
          <w:sz w:val="22"/>
          <w:szCs w:val="22"/>
        </w:rPr>
        <w:t>cimentación.</w:t>
      </w:r>
    </w:p>
    <w:p w:rsidR="009B4233" w:rsidRDefault="006B08B9">
      <w:pPr>
        <w:spacing w:after="108"/>
        <w:ind w:left="-5" w:right="3" w:hanging="10"/>
        <w:jc w:val="both"/>
      </w:pPr>
      <w:r>
        <w:rPr>
          <w:rFonts w:ascii="Arial" w:eastAsia="Arial" w:hAnsi="Arial" w:cs="Arial"/>
          <w:i/>
          <w:sz w:val="22"/>
          <w:szCs w:val="22"/>
        </w:rPr>
        <w:t>PN_4: Drenaje perimetral mediante tubo flexible de polietileno de alta densidad (PEAD/HDPE).</w:t>
      </w:r>
    </w:p>
    <w:p w:rsidR="009B4233" w:rsidRDefault="006B08B9">
      <w:pPr>
        <w:spacing w:after="485"/>
        <w:ind w:left="-5" w:hanging="10"/>
        <w:jc w:val="both"/>
      </w:pPr>
      <w:r>
        <w:rPr>
          <w:rFonts w:ascii="Arial" w:eastAsia="Arial" w:hAnsi="Arial" w:cs="Arial"/>
          <w:sz w:val="22"/>
          <w:szCs w:val="22"/>
        </w:rPr>
        <w:t xml:space="preserve">Motivo: Aunque el tubo de drenaje aparece representado en los detalles constructivos del proyecto, no se encuentra valorado ni reflejado en las </w:t>
      </w:r>
      <w:r>
        <w:rPr>
          <w:rFonts w:ascii="Arial" w:eastAsia="Arial" w:hAnsi="Arial" w:cs="Arial"/>
          <w:sz w:val="22"/>
          <w:szCs w:val="22"/>
        </w:rPr>
        <w:t>mediciones, por lo que es necesario incorporarlo.</w:t>
      </w:r>
    </w:p>
    <w:p w:rsidR="009B4233" w:rsidRDefault="006B08B9">
      <w:pPr>
        <w:spacing w:after="111"/>
        <w:ind w:left="-5" w:right="3" w:hanging="10"/>
        <w:jc w:val="both"/>
      </w:pPr>
      <w:r>
        <w:rPr>
          <w:rFonts w:ascii="Arial" w:eastAsia="Arial" w:hAnsi="Arial" w:cs="Arial"/>
          <w:i/>
          <w:sz w:val="22"/>
          <w:szCs w:val="22"/>
        </w:rPr>
        <w:t>PN_5: Lámina de protección frente al gas radón, mediante lámina de PVC URDIN SANI 1,2 mm no armada.</w:t>
      </w:r>
    </w:p>
    <w:p w:rsidR="009B4233" w:rsidRDefault="006B08B9">
      <w:pPr>
        <w:ind w:left="-5" w:hanging="10"/>
        <w:jc w:val="both"/>
      </w:pPr>
      <w:r>
        <w:rPr>
          <w:rFonts w:ascii="Arial" w:eastAsia="Arial" w:hAnsi="Arial" w:cs="Arial"/>
          <w:sz w:val="22"/>
          <w:szCs w:val="22"/>
        </w:rPr>
        <w:t>Motivo: Al analizar las mediciones del proyecto, se ha detectado la ausencia de una solución para la prote</w:t>
      </w:r>
      <w:r>
        <w:rPr>
          <w:rFonts w:ascii="Arial" w:eastAsia="Arial" w:hAnsi="Arial" w:cs="Arial"/>
          <w:sz w:val="22"/>
          <w:szCs w:val="22"/>
        </w:rPr>
        <w:t>cción frente al gas radón bajo la solera de la planta sótano. Esta actuación es necesaria para cumplir con los requisitos del Código Técnico de la Edificación.</w:t>
      </w:r>
    </w:p>
    <w:p w:rsidR="009B4233" w:rsidRDefault="006B08B9">
      <w:pPr>
        <w:spacing w:after="503"/>
        <w:ind w:left="-2"/>
      </w:pPr>
      <w:r>
        <w:rPr>
          <w:rFonts w:ascii="Arial" w:hAnsi="Arial" w:cs="Arial"/>
          <w:noProof/>
          <w:sz w:val="22"/>
          <w:szCs w:val="22"/>
          <w:lang w:eastAsia="es-ES" w:bidi="ar-SA"/>
        </w:rPr>
        <w:drawing>
          <wp:inline distT="0" distB="0" distL="0" distR="0">
            <wp:extent cx="5455923" cy="2225036"/>
            <wp:effectExtent l="0" t="0" r="0" b="3814"/>
            <wp:docPr id="88" name="Imagen 468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rcRect/>
                    <a:stretch>
                      <a:fillRect/>
                    </a:stretch>
                  </pic:blipFill>
                  <pic:spPr>
                    <a:xfrm>
                      <a:off x="0" y="0"/>
                      <a:ext cx="5455923" cy="2225036"/>
                    </a:xfrm>
                    <a:prstGeom prst="rect">
                      <a:avLst/>
                    </a:prstGeom>
                    <a:noFill/>
                    <a:ln>
                      <a:noFill/>
                      <a:prstDash/>
                    </a:ln>
                  </pic:spPr>
                </pic:pic>
              </a:graphicData>
            </a:graphic>
          </wp:inline>
        </w:drawing>
      </w:r>
    </w:p>
    <w:p w:rsidR="009B4233" w:rsidRDefault="006B08B9">
      <w:pPr>
        <w:spacing w:after="274"/>
        <w:ind w:left="-15" w:firstLine="566"/>
        <w:jc w:val="both"/>
      </w:pPr>
      <w:r>
        <w:rPr>
          <w:rFonts w:ascii="Arial" w:eastAsia="Arial" w:hAnsi="Arial" w:cs="Arial"/>
          <w:b/>
          <w:sz w:val="22"/>
          <w:szCs w:val="22"/>
        </w:rPr>
        <w:t xml:space="preserve">SEGUNDO: </w:t>
      </w:r>
      <w:r>
        <w:rPr>
          <w:rFonts w:ascii="Arial" w:eastAsia="Arial" w:hAnsi="Arial" w:cs="Arial"/>
          <w:sz w:val="22"/>
          <w:szCs w:val="22"/>
        </w:rPr>
        <w:t xml:space="preserve">Aprobar el gasto por un importe total de 63.350,24 euros, correspondiente a los </w:t>
      </w:r>
      <w:r>
        <w:rPr>
          <w:rFonts w:ascii="Arial" w:eastAsia="Arial" w:hAnsi="Arial" w:cs="Arial"/>
          <w:sz w:val="22"/>
          <w:szCs w:val="22"/>
        </w:rPr>
        <w:t>precios contradictorios descritos, con cargo a la aplicación presupuestaria 23100.60900 (AD 2.25.0.05595).</w:t>
      </w:r>
    </w:p>
    <w:p w:rsidR="009B4233" w:rsidRDefault="006B08B9">
      <w:pPr>
        <w:spacing w:after="859"/>
        <w:ind w:left="-15" w:firstLine="566"/>
        <w:jc w:val="both"/>
      </w:pPr>
      <w:r>
        <w:rPr>
          <w:rFonts w:ascii="Arial" w:eastAsia="Arial" w:hAnsi="Arial" w:cs="Arial"/>
          <w:b/>
          <w:sz w:val="22"/>
          <w:szCs w:val="22"/>
        </w:rPr>
        <w:t xml:space="preserve">TERCERO: </w:t>
      </w:r>
      <w:r>
        <w:rPr>
          <w:rFonts w:ascii="Arial" w:eastAsia="Arial" w:hAnsi="Arial" w:cs="Arial"/>
          <w:sz w:val="22"/>
          <w:szCs w:val="22"/>
        </w:rPr>
        <w:t>Dar traslado de la presente resolución a la empresa contratista PROYECON GALICIA,SA, y a la dirección facultativa de la obra.”</w:t>
      </w:r>
    </w:p>
    <w:p w:rsidR="009B4233" w:rsidRDefault="006B08B9">
      <w:pPr>
        <w:spacing w:after="473"/>
        <w:ind w:left="109"/>
        <w:jc w:val="center"/>
      </w:pPr>
      <w:r>
        <w:rPr>
          <w:rFonts w:ascii="Arial" w:eastAsia="Arial" w:hAnsi="Arial" w:cs="Arial"/>
          <w:sz w:val="22"/>
          <w:szCs w:val="22"/>
        </w:rPr>
        <w:t xml:space="preserve">En virtud de </w:t>
      </w:r>
      <w:r>
        <w:rPr>
          <w:rFonts w:ascii="Arial" w:eastAsia="Arial" w:hAnsi="Arial" w:cs="Arial"/>
          <w:sz w:val="22"/>
          <w:szCs w:val="22"/>
        </w:rPr>
        <w:t xml:space="preserve">lo expuesto se somete al </w:t>
      </w:r>
      <w:r>
        <w:rPr>
          <w:rFonts w:ascii="Arial" w:eastAsia="Arial" w:hAnsi="Arial" w:cs="Arial"/>
          <w:b/>
          <w:sz w:val="22"/>
          <w:szCs w:val="22"/>
        </w:rPr>
        <w:t xml:space="preserve">Pleno </w:t>
      </w:r>
      <w:r>
        <w:rPr>
          <w:rFonts w:ascii="Arial" w:eastAsia="Arial" w:hAnsi="Arial" w:cs="Arial"/>
          <w:sz w:val="22"/>
          <w:szCs w:val="22"/>
        </w:rPr>
        <w:t>la siguiente propuesta de acuerdo:</w:t>
      </w:r>
    </w:p>
    <w:p w:rsidR="009B4233" w:rsidRDefault="006B08B9">
      <w:pPr>
        <w:pStyle w:val="Ttulo2"/>
        <w:ind w:left="369" w:right="364"/>
        <w:jc w:val="center"/>
        <w:rPr>
          <w:rFonts w:ascii="Arial" w:hAnsi="Arial" w:cs="Arial"/>
          <w:sz w:val="22"/>
          <w:szCs w:val="22"/>
        </w:rPr>
      </w:pPr>
      <w:r>
        <w:rPr>
          <w:rFonts w:ascii="Arial" w:hAnsi="Arial" w:cs="Arial"/>
          <w:sz w:val="22"/>
          <w:szCs w:val="22"/>
        </w:rPr>
        <w:t>PROPUESTA DE ACUERDO</w:t>
      </w:r>
    </w:p>
    <w:p w:rsidR="009B4233" w:rsidRDefault="006B08B9">
      <w:pPr>
        <w:spacing w:after="274"/>
        <w:ind w:left="-15" w:firstLine="566"/>
        <w:jc w:val="both"/>
      </w:pPr>
      <w:r>
        <w:rPr>
          <w:rFonts w:ascii="Arial" w:eastAsia="Arial" w:hAnsi="Arial" w:cs="Arial"/>
          <w:b/>
          <w:sz w:val="22"/>
          <w:szCs w:val="22"/>
        </w:rPr>
        <w:t>PRIMERO:</w:t>
      </w:r>
      <w:r>
        <w:rPr>
          <w:rFonts w:ascii="Arial" w:eastAsia="Arial" w:hAnsi="Arial" w:cs="Arial"/>
          <w:sz w:val="22"/>
          <w:szCs w:val="22"/>
        </w:rPr>
        <w:t xml:space="preserve"> Aprobar los siguientes precios contradictorios propuestos por la Dirección facultativa e informados favorablemente por la Arquitecta municipal:</w:t>
      </w:r>
    </w:p>
    <w:p w:rsidR="009B4233" w:rsidRDefault="006B08B9">
      <w:pPr>
        <w:spacing w:after="113"/>
        <w:ind w:left="-5" w:right="3" w:hanging="10"/>
        <w:jc w:val="both"/>
      </w:pPr>
      <w:r>
        <w:rPr>
          <w:rFonts w:ascii="Arial" w:eastAsia="Arial" w:hAnsi="Arial" w:cs="Arial"/>
          <w:i/>
          <w:sz w:val="22"/>
          <w:szCs w:val="22"/>
        </w:rPr>
        <w:t>PN_1: Retirada d</w:t>
      </w:r>
      <w:r>
        <w:rPr>
          <w:rFonts w:ascii="Arial" w:eastAsia="Arial" w:hAnsi="Arial" w:cs="Arial"/>
          <w:i/>
          <w:sz w:val="22"/>
          <w:szCs w:val="22"/>
        </w:rPr>
        <w:t>e la impermeabilización existente en trasdós de muros, incluyendo carga y transporte a vertedero.</w:t>
      </w:r>
    </w:p>
    <w:p w:rsidR="009B4233" w:rsidRDefault="006B08B9">
      <w:pPr>
        <w:spacing w:after="113"/>
        <w:ind w:left="-5" w:hanging="10"/>
        <w:jc w:val="both"/>
      </w:pPr>
      <w:r>
        <w:rPr>
          <w:rFonts w:ascii="Arial" w:eastAsia="Arial" w:hAnsi="Arial" w:cs="Arial"/>
          <w:sz w:val="22"/>
          <w:szCs w:val="22"/>
        </w:rPr>
        <w:t>Motivo: Debido al mal estado y deterioro de la actual impermeabilización de los muros, se hace necesaria su retirada y correcta gestión.</w:t>
      </w:r>
    </w:p>
    <w:p w:rsidR="009B4233" w:rsidRDefault="006B08B9">
      <w:pPr>
        <w:spacing w:after="113"/>
        <w:ind w:left="-5" w:right="3" w:hanging="10"/>
        <w:jc w:val="both"/>
      </w:pPr>
      <w:r>
        <w:rPr>
          <w:rFonts w:ascii="Arial" w:eastAsia="Arial" w:hAnsi="Arial" w:cs="Arial"/>
          <w:i/>
          <w:sz w:val="22"/>
          <w:szCs w:val="22"/>
        </w:rPr>
        <w:t>PN_2: Suministro e in</w:t>
      </w:r>
      <w:r>
        <w:rPr>
          <w:rFonts w:ascii="Arial" w:eastAsia="Arial" w:hAnsi="Arial" w:cs="Arial"/>
          <w:i/>
          <w:sz w:val="22"/>
          <w:szCs w:val="22"/>
        </w:rPr>
        <w:t>stalación de línea de trabajo, incluyendo desbroce de vegetación existente en la cabecera del talud.</w:t>
      </w:r>
    </w:p>
    <w:p w:rsidR="009B4233" w:rsidRDefault="006B08B9">
      <w:pPr>
        <w:spacing w:after="274"/>
        <w:ind w:left="-5" w:hanging="10"/>
        <w:jc w:val="both"/>
      </w:pPr>
      <w:r>
        <w:rPr>
          <w:rFonts w:ascii="Arial" w:eastAsia="Arial" w:hAnsi="Arial" w:cs="Arial"/>
          <w:sz w:val="22"/>
          <w:szCs w:val="22"/>
        </w:rPr>
        <w:t>Motivo: Para garantizar condiciones seguras de acceso y trabajo en la zona del talud.</w:t>
      </w:r>
    </w:p>
    <w:p w:rsidR="009B4233" w:rsidRDefault="006B08B9">
      <w:pPr>
        <w:spacing w:after="108"/>
        <w:ind w:left="-5" w:right="3" w:hanging="10"/>
        <w:jc w:val="both"/>
      </w:pPr>
      <w:r>
        <w:rPr>
          <w:rFonts w:ascii="Arial" w:eastAsia="Arial" w:hAnsi="Arial" w:cs="Arial"/>
          <w:i/>
          <w:sz w:val="22"/>
          <w:szCs w:val="22"/>
        </w:rPr>
        <w:t>PN_3: Suministro e instalación de malla de triple torsión anclada a c</w:t>
      </w:r>
      <w:r>
        <w:rPr>
          <w:rFonts w:ascii="Arial" w:eastAsia="Arial" w:hAnsi="Arial" w:cs="Arial"/>
          <w:i/>
          <w:sz w:val="22"/>
          <w:szCs w:val="22"/>
        </w:rPr>
        <w:t>oronación y pie de talud.</w:t>
      </w:r>
    </w:p>
    <w:p w:rsidR="009B4233" w:rsidRDefault="006B08B9">
      <w:pPr>
        <w:spacing w:after="111"/>
        <w:ind w:left="-5" w:hanging="10"/>
        <w:jc w:val="both"/>
      </w:pPr>
      <w:r>
        <w:rPr>
          <w:rFonts w:ascii="Arial" w:eastAsia="Arial" w:hAnsi="Arial" w:cs="Arial"/>
          <w:sz w:val="22"/>
          <w:szCs w:val="22"/>
        </w:rPr>
        <w:t>Motivo: Al evaluar el estado del terreno en la zona del talud, se ha observado que este presenta inestabilidad en determinadas áreas. La instalación de la malla es necesaria para prevenir la caída de piedras y evitar posibles acci</w:t>
      </w:r>
      <w:r>
        <w:rPr>
          <w:rFonts w:ascii="Arial" w:eastAsia="Arial" w:hAnsi="Arial" w:cs="Arial"/>
          <w:sz w:val="22"/>
          <w:szCs w:val="22"/>
        </w:rPr>
        <w:t>dentes hacia la zona inferior, donde el personal trabaja en las tareas de cimentación.</w:t>
      </w:r>
    </w:p>
    <w:p w:rsidR="009B4233" w:rsidRDefault="006B08B9">
      <w:pPr>
        <w:spacing w:after="111"/>
        <w:ind w:left="-5" w:right="3" w:hanging="10"/>
        <w:jc w:val="both"/>
      </w:pPr>
      <w:r>
        <w:rPr>
          <w:rFonts w:ascii="Arial" w:eastAsia="Arial" w:hAnsi="Arial" w:cs="Arial"/>
          <w:i/>
          <w:sz w:val="22"/>
          <w:szCs w:val="22"/>
        </w:rPr>
        <w:t>PN_4: Drenaje perimetral mediante tubo flexible de polietileno de alta densidad (PEAD/HDPE).</w:t>
      </w:r>
    </w:p>
    <w:p w:rsidR="009B4233" w:rsidRDefault="006B08B9">
      <w:pPr>
        <w:spacing w:after="485"/>
        <w:ind w:left="-5" w:hanging="10"/>
        <w:jc w:val="both"/>
      </w:pPr>
      <w:r>
        <w:rPr>
          <w:rFonts w:ascii="Arial" w:eastAsia="Arial" w:hAnsi="Arial" w:cs="Arial"/>
          <w:sz w:val="22"/>
          <w:szCs w:val="22"/>
        </w:rPr>
        <w:t>Motivo: Aunque el tubo de drenaje aparece representado en los detalles const</w:t>
      </w:r>
      <w:r>
        <w:rPr>
          <w:rFonts w:ascii="Arial" w:eastAsia="Arial" w:hAnsi="Arial" w:cs="Arial"/>
          <w:sz w:val="22"/>
          <w:szCs w:val="22"/>
        </w:rPr>
        <w:t>ructivos del proyecto, no se encuentra valorado ni reflejado en las mediciones, por lo que es necesario incorporarlo.</w:t>
      </w:r>
    </w:p>
    <w:p w:rsidR="009B4233" w:rsidRDefault="006B08B9">
      <w:pPr>
        <w:spacing w:after="111"/>
        <w:ind w:left="-5" w:right="3" w:hanging="10"/>
        <w:jc w:val="both"/>
      </w:pPr>
      <w:r>
        <w:rPr>
          <w:rFonts w:ascii="Arial" w:eastAsia="Arial" w:hAnsi="Arial" w:cs="Arial"/>
          <w:i/>
          <w:sz w:val="22"/>
          <w:szCs w:val="22"/>
        </w:rPr>
        <w:t>PN_5: Lámina de protección frente al gas radón, mediante lámina de PVC URDIN SANI 1,2 mm no armada.</w:t>
      </w:r>
    </w:p>
    <w:p w:rsidR="009B4233" w:rsidRDefault="006B08B9">
      <w:pPr>
        <w:ind w:left="-5" w:hanging="10"/>
        <w:jc w:val="both"/>
      </w:pPr>
      <w:r>
        <w:rPr>
          <w:rFonts w:ascii="Arial" w:eastAsia="Arial" w:hAnsi="Arial" w:cs="Arial"/>
          <w:sz w:val="22"/>
          <w:szCs w:val="22"/>
        </w:rPr>
        <w:t>Motivo: Al analizar las mediciones del</w:t>
      </w:r>
      <w:r>
        <w:rPr>
          <w:rFonts w:ascii="Arial" w:eastAsia="Arial" w:hAnsi="Arial" w:cs="Arial"/>
          <w:sz w:val="22"/>
          <w:szCs w:val="22"/>
        </w:rPr>
        <w:t xml:space="preserve"> proyecto, se ha detectado la ausencia de una solución para la protección frente al gas radón bajo la solera de la planta sótano. Esta actuación es necesaria para cumplir con los requisitos del Código Técnico de la Edificación.</w:t>
      </w:r>
    </w:p>
    <w:p w:rsidR="009B4233" w:rsidRDefault="006B08B9">
      <w:pPr>
        <w:spacing w:after="503"/>
        <w:ind w:left="-2"/>
      </w:pPr>
      <w:r>
        <w:rPr>
          <w:rFonts w:ascii="Arial" w:hAnsi="Arial" w:cs="Arial"/>
          <w:noProof/>
          <w:sz w:val="22"/>
          <w:szCs w:val="22"/>
          <w:lang w:eastAsia="es-ES" w:bidi="ar-SA"/>
        </w:rPr>
        <w:drawing>
          <wp:inline distT="0" distB="0" distL="0" distR="0">
            <wp:extent cx="5455923" cy="2225036"/>
            <wp:effectExtent l="0" t="0" r="0" b="3814"/>
            <wp:docPr id="89" name="Imagen 468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rcRect/>
                    <a:stretch>
                      <a:fillRect/>
                    </a:stretch>
                  </pic:blipFill>
                  <pic:spPr>
                    <a:xfrm>
                      <a:off x="0" y="0"/>
                      <a:ext cx="5455923" cy="2225036"/>
                    </a:xfrm>
                    <a:prstGeom prst="rect">
                      <a:avLst/>
                    </a:prstGeom>
                    <a:noFill/>
                    <a:ln>
                      <a:noFill/>
                      <a:prstDash/>
                    </a:ln>
                  </pic:spPr>
                </pic:pic>
              </a:graphicData>
            </a:graphic>
          </wp:inline>
        </w:drawing>
      </w:r>
    </w:p>
    <w:p w:rsidR="009B4233" w:rsidRDefault="006B08B9">
      <w:pPr>
        <w:spacing w:after="274"/>
        <w:ind w:left="-15" w:firstLine="566"/>
        <w:jc w:val="both"/>
      </w:pPr>
      <w:r>
        <w:rPr>
          <w:rFonts w:ascii="Arial" w:eastAsia="Arial" w:hAnsi="Arial" w:cs="Arial"/>
          <w:b/>
          <w:sz w:val="22"/>
          <w:szCs w:val="22"/>
        </w:rPr>
        <w:t xml:space="preserve">SEGUNDO: </w:t>
      </w:r>
      <w:r>
        <w:rPr>
          <w:rFonts w:ascii="Arial" w:eastAsia="Arial" w:hAnsi="Arial" w:cs="Arial"/>
          <w:sz w:val="22"/>
          <w:szCs w:val="22"/>
        </w:rPr>
        <w:t xml:space="preserve">Aprobar el gasto </w:t>
      </w:r>
      <w:r>
        <w:rPr>
          <w:rFonts w:ascii="Arial" w:eastAsia="Arial" w:hAnsi="Arial" w:cs="Arial"/>
          <w:sz w:val="22"/>
          <w:szCs w:val="22"/>
        </w:rPr>
        <w:t xml:space="preserve">por un importe total de 63.350,24 euros, correspondiente a los precios contradictorios descritos, con cargo a la aplicación </w:t>
      </w:r>
      <w:r>
        <w:rPr>
          <w:rFonts w:ascii="Arial" w:eastAsia="Arial" w:hAnsi="Arial" w:cs="Arial"/>
          <w:b/>
          <w:sz w:val="22"/>
          <w:szCs w:val="22"/>
        </w:rPr>
        <w:t>presupuestaria</w:t>
      </w:r>
      <w:r>
        <w:rPr>
          <w:rFonts w:ascii="Arial" w:eastAsia="Arial" w:hAnsi="Arial" w:cs="Arial"/>
          <w:sz w:val="22"/>
          <w:szCs w:val="22"/>
        </w:rPr>
        <w:t xml:space="preserve"> 23100.60900 (AD 2.25.0.05595).</w:t>
      </w:r>
    </w:p>
    <w:p w:rsidR="009B4233" w:rsidRDefault="006B08B9">
      <w:pPr>
        <w:spacing w:after="274"/>
        <w:ind w:left="-15" w:firstLine="566"/>
        <w:jc w:val="both"/>
      </w:pPr>
      <w:r>
        <w:rPr>
          <w:rFonts w:ascii="Arial" w:eastAsia="Arial" w:hAnsi="Arial" w:cs="Arial"/>
          <w:b/>
          <w:sz w:val="22"/>
          <w:szCs w:val="22"/>
        </w:rPr>
        <w:t xml:space="preserve">TERCERO: </w:t>
      </w:r>
      <w:r>
        <w:rPr>
          <w:rFonts w:ascii="Arial" w:eastAsia="Arial" w:hAnsi="Arial" w:cs="Arial"/>
          <w:sz w:val="22"/>
          <w:szCs w:val="22"/>
        </w:rPr>
        <w:t xml:space="preserve">Dar traslado de la presente resolución a la empresa contratista PROYECON </w:t>
      </w:r>
      <w:r>
        <w:rPr>
          <w:rFonts w:ascii="Arial" w:eastAsia="Arial" w:hAnsi="Arial" w:cs="Arial"/>
          <w:sz w:val="22"/>
          <w:szCs w:val="22"/>
        </w:rPr>
        <w:t>GALICIA,SA, y a la dirección facultativa de la obra.”</w:t>
      </w:r>
    </w:p>
    <w:p w:rsidR="009B4233" w:rsidRDefault="009B4233">
      <w:pPr>
        <w:jc w:val="both"/>
        <w:rPr>
          <w:rFonts w:ascii="Arial" w:eastAsia="Times New Roman" w:hAnsi="Arial" w:cs="Arial"/>
          <w:b/>
          <w:color w:val="000000"/>
          <w:sz w:val="22"/>
          <w:szCs w:val="22"/>
          <w:lang w:eastAsia="es-ES"/>
        </w:rPr>
      </w:pPr>
    </w:p>
    <w:p w:rsidR="009B4233" w:rsidRDefault="009B4233">
      <w:pPr>
        <w:jc w:val="both"/>
        <w:rPr>
          <w:rFonts w:ascii="Arial" w:eastAsia="Times New Roman" w:hAnsi="Arial" w:cs="Arial"/>
          <w:b/>
          <w:color w:val="000000"/>
          <w:sz w:val="22"/>
          <w:szCs w:val="22"/>
          <w:lang w:eastAsia="es-ES"/>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6B08B9">
      <w:pPr>
        <w:jc w:val="both"/>
        <w:rPr>
          <w:rFonts w:ascii="Arial" w:hAnsi="Arial" w:cs="Arial"/>
          <w:b/>
          <w:sz w:val="22"/>
          <w:szCs w:val="22"/>
        </w:rPr>
      </w:pPr>
      <w:r>
        <w:rPr>
          <w:rFonts w:ascii="Arial" w:hAnsi="Arial" w:cs="Arial"/>
          <w:b/>
          <w:sz w:val="22"/>
          <w:szCs w:val="22"/>
        </w:rPr>
        <w:t>DICTAMEN DE LA COMISIÓN INFORMATIVA DE P.G. URBANÍSTICA Y AMBIENTAL, OBRAS y SERVICIOS PÚBLICOS DE 22 DE SEPTIEMBRE DE 2025.</w:t>
      </w:r>
    </w:p>
    <w:p w:rsidR="009B4233" w:rsidRDefault="009B4233">
      <w:pPr>
        <w:pStyle w:val="Textoindependiente"/>
        <w:jc w:val="both"/>
        <w:rPr>
          <w:rFonts w:cs="Arial"/>
          <w:b/>
          <w:szCs w:val="22"/>
        </w:rPr>
      </w:pPr>
    </w:p>
    <w:p w:rsidR="009B4233" w:rsidRDefault="006B08B9">
      <w:pPr>
        <w:rPr>
          <w:rFonts w:ascii="Arial" w:hAnsi="Arial" w:cs="Arial"/>
          <w:sz w:val="22"/>
          <w:szCs w:val="22"/>
        </w:rPr>
      </w:pPr>
      <w:r>
        <w:rPr>
          <w:rFonts w:ascii="Arial" w:hAnsi="Arial" w:cs="Arial"/>
          <w:sz w:val="22"/>
          <w:szCs w:val="22"/>
        </w:rPr>
        <w:t>Votos a favor: 5.</w:t>
      </w:r>
    </w:p>
    <w:p w:rsidR="009B4233" w:rsidRDefault="009B4233">
      <w:pPr>
        <w:jc w:val="both"/>
        <w:rPr>
          <w:rFonts w:ascii="Arial" w:hAnsi="Arial" w:cs="Arial"/>
          <w:sz w:val="22"/>
          <w:szCs w:val="22"/>
        </w:rPr>
      </w:pPr>
    </w:p>
    <w:p w:rsidR="009B4233" w:rsidRDefault="006B08B9">
      <w:pPr>
        <w:jc w:val="both"/>
        <w:rPr>
          <w:rFonts w:ascii="Arial" w:hAnsi="Arial" w:cs="Arial"/>
          <w:sz w:val="22"/>
          <w:szCs w:val="22"/>
        </w:rPr>
      </w:pPr>
      <w:r>
        <w:rPr>
          <w:rFonts w:ascii="Arial" w:hAnsi="Arial" w:cs="Arial"/>
          <w:sz w:val="22"/>
          <w:szCs w:val="22"/>
        </w:rPr>
        <w:t xml:space="preserve">Los 4 concejales del Grupo </w:t>
      </w:r>
      <w:r>
        <w:rPr>
          <w:rFonts w:ascii="Arial" w:hAnsi="Arial" w:cs="Arial"/>
          <w:sz w:val="22"/>
          <w:szCs w:val="22"/>
        </w:rPr>
        <w:t xml:space="preserve">Socialista: D. Reinaldo José Triviño Blanco, Don Jorge Baute Delgado, Doña Margarita Eva Tendero Barroso y Doña Mónica Montserrat Yanes Delgado. </w:t>
      </w:r>
    </w:p>
    <w:p w:rsidR="009B4233" w:rsidRDefault="009B4233">
      <w:pPr>
        <w:jc w:val="both"/>
        <w:rPr>
          <w:rFonts w:ascii="Arial" w:hAnsi="Arial" w:cs="Arial"/>
          <w:sz w:val="22"/>
          <w:szCs w:val="22"/>
        </w:rPr>
      </w:pPr>
    </w:p>
    <w:p w:rsidR="009B4233" w:rsidRDefault="006B08B9">
      <w:pPr>
        <w:jc w:val="both"/>
        <w:rPr>
          <w:rFonts w:ascii="Arial" w:hAnsi="Arial" w:cs="Arial"/>
          <w:sz w:val="22"/>
          <w:szCs w:val="22"/>
        </w:rPr>
      </w:pPr>
      <w:r>
        <w:rPr>
          <w:rFonts w:ascii="Arial" w:hAnsi="Arial" w:cs="Arial"/>
          <w:sz w:val="22"/>
          <w:szCs w:val="22"/>
        </w:rPr>
        <w:t>1 del concejal del Grupo Mixto (USP): Doña Violeta López Jiménez.</w:t>
      </w:r>
    </w:p>
    <w:p w:rsidR="009B4233" w:rsidRDefault="009B4233">
      <w:pPr>
        <w:jc w:val="both"/>
        <w:rPr>
          <w:rFonts w:ascii="Arial" w:hAnsi="Arial" w:cs="Arial"/>
          <w:sz w:val="22"/>
          <w:szCs w:val="22"/>
        </w:rPr>
      </w:pPr>
    </w:p>
    <w:p w:rsidR="009B4233" w:rsidRDefault="006B08B9">
      <w:pPr>
        <w:jc w:val="both"/>
        <w:rPr>
          <w:rFonts w:ascii="Arial" w:hAnsi="Arial" w:cs="Arial"/>
          <w:sz w:val="22"/>
          <w:szCs w:val="22"/>
        </w:rPr>
      </w:pPr>
      <w:r>
        <w:rPr>
          <w:rFonts w:ascii="Arial" w:hAnsi="Arial" w:cs="Arial"/>
          <w:sz w:val="22"/>
          <w:szCs w:val="22"/>
        </w:rPr>
        <w:t>Votos en contra: 0.</w:t>
      </w:r>
    </w:p>
    <w:p w:rsidR="009B4233" w:rsidRDefault="009B4233">
      <w:pPr>
        <w:jc w:val="both"/>
        <w:rPr>
          <w:rFonts w:ascii="Arial" w:hAnsi="Arial" w:cs="Arial"/>
          <w:sz w:val="22"/>
          <w:szCs w:val="22"/>
        </w:rPr>
      </w:pPr>
    </w:p>
    <w:p w:rsidR="009B4233" w:rsidRDefault="009B4233">
      <w:pPr>
        <w:jc w:val="both"/>
        <w:rPr>
          <w:rFonts w:ascii="Arial" w:hAnsi="Arial" w:cs="Arial"/>
          <w:sz w:val="22"/>
          <w:szCs w:val="22"/>
        </w:rPr>
      </w:pPr>
    </w:p>
    <w:p w:rsidR="009B4233" w:rsidRDefault="006B08B9">
      <w:pPr>
        <w:jc w:val="both"/>
        <w:rPr>
          <w:rFonts w:ascii="Arial" w:hAnsi="Arial" w:cs="Arial"/>
          <w:sz w:val="22"/>
          <w:szCs w:val="22"/>
        </w:rPr>
      </w:pPr>
      <w:r>
        <w:rPr>
          <w:rFonts w:ascii="Arial" w:hAnsi="Arial" w:cs="Arial"/>
          <w:sz w:val="22"/>
          <w:szCs w:val="22"/>
        </w:rPr>
        <w:t>Abstenciones: 1.</w:t>
      </w:r>
    </w:p>
    <w:p w:rsidR="009B4233" w:rsidRDefault="009B4233">
      <w:pPr>
        <w:rPr>
          <w:rFonts w:ascii="Arial" w:hAnsi="Arial" w:cs="Arial"/>
          <w:sz w:val="22"/>
          <w:szCs w:val="22"/>
        </w:rPr>
      </w:pPr>
    </w:p>
    <w:p w:rsidR="009B4233" w:rsidRDefault="006B08B9">
      <w:pPr>
        <w:jc w:val="both"/>
        <w:rPr>
          <w:rFonts w:ascii="Arial" w:hAnsi="Arial" w:cs="Arial"/>
          <w:sz w:val="22"/>
          <w:szCs w:val="22"/>
        </w:rPr>
      </w:pPr>
      <w:r>
        <w:rPr>
          <w:rFonts w:ascii="Arial" w:hAnsi="Arial" w:cs="Arial"/>
          <w:sz w:val="22"/>
          <w:szCs w:val="22"/>
        </w:rPr>
        <w:t xml:space="preserve">1 </w:t>
      </w:r>
      <w:r>
        <w:rPr>
          <w:rFonts w:ascii="Arial" w:hAnsi="Arial" w:cs="Arial"/>
          <w:sz w:val="22"/>
          <w:szCs w:val="22"/>
        </w:rPr>
        <w:t>concejal del Grupo Popular: D. Jacobo López Fariña.</w:t>
      </w:r>
    </w:p>
    <w:p w:rsidR="009B4233" w:rsidRDefault="009B4233">
      <w:pPr>
        <w:jc w:val="both"/>
        <w:rPr>
          <w:rFonts w:ascii="Arial" w:hAnsi="Arial" w:cs="Arial"/>
          <w:sz w:val="22"/>
          <w:szCs w:val="22"/>
        </w:rPr>
      </w:pPr>
    </w:p>
    <w:p w:rsidR="009B4233" w:rsidRDefault="009B4233">
      <w:pPr>
        <w:pStyle w:val="Textoindependiente"/>
        <w:jc w:val="both"/>
        <w:rPr>
          <w:rFonts w:cs="Arial"/>
          <w:szCs w:val="22"/>
        </w:rPr>
      </w:pPr>
    </w:p>
    <w:p w:rsidR="009B4233" w:rsidRDefault="006B08B9">
      <w:pPr>
        <w:pStyle w:val="Textoindependiente"/>
        <w:jc w:val="both"/>
        <w:rPr>
          <w:rFonts w:cs="Arial"/>
          <w:b/>
          <w:szCs w:val="22"/>
        </w:rPr>
      </w:pPr>
      <w:r>
        <w:rPr>
          <w:rFonts w:cs="Arial"/>
          <w:b/>
          <w:szCs w:val="22"/>
        </w:rPr>
        <w:t>JUNTA DE PORTAVOCES DE 25 DE SEPTIEMBRE DE 2025.</w:t>
      </w:r>
    </w:p>
    <w:p w:rsidR="009B4233" w:rsidRDefault="006B08B9">
      <w:pPr>
        <w:pStyle w:val="Textoindependiente"/>
        <w:jc w:val="both"/>
        <w:rPr>
          <w:rFonts w:cs="Arial"/>
          <w:szCs w:val="22"/>
        </w:rPr>
      </w:pPr>
      <w:r>
        <w:rPr>
          <w:rFonts w:cs="Arial"/>
          <w:szCs w:val="22"/>
        </w:rPr>
        <w:t>Quedó oída.</w:t>
      </w:r>
    </w:p>
    <w:p w:rsidR="009B4233" w:rsidRDefault="009B4233">
      <w:pPr>
        <w:rPr>
          <w:rFonts w:ascii="Arial" w:hAnsi="Arial" w:cs="Arial"/>
          <w:sz w:val="22"/>
          <w:szCs w:val="22"/>
        </w:rPr>
      </w:pPr>
    </w:p>
    <w:p w:rsidR="009B4233" w:rsidRDefault="009B4233">
      <w:pPr>
        <w:rPr>
          <w:rFonts w:ascii="Arial" w:hAnsi="Arial" w:cs="Arial"/>
          <w:sz w:val="22"/>
          <w:szCs w:val="22"/>
        </w:rPr>
      </w:pPr>
    </w:p>
    <w:p w:rsidR="009B4233" w:rsidRDefault="006B08B9">
      <w:r>
        <w:rPr>
          <w:rFonts w:ascii="Arial" w:hAnsi="Arial" w:cs="Arial"/>
          <w:b/>
          <w:sz w:val="22"/>
          <w:szCs w:val="22"/>
        </w:rPr>
        <w:t>VOTACIÓN EN EL PLENO DE 25 DE SEPTIEMBRE DE 2025.</w:t>
      </w:r>
    </w:p>
    <w:p w:rsidR="009B4233" w:rsidRDefault="009B4233">
      <w:pPr>
        <w:ind w:firstLine="709"/>
        <w:jc w:val="both"/>
        <w:rPr>
          <w:rFonts w:ascii="Arial" w:hAnsi="Arial" w:cs="Arial"/>
          <w:sz w:val="22"/>
          <w:szCs w:val="22"/>
        </w:rPr>
      </w:pPr>
    </w:p>
    <w:p w:rsidR="009B4233" w:rsidRDefault="006B08B9">
      <w:pPr>
        <w:ind w:firstLine="709"/>
        <w:jc w:val="both"/>
        <w:rPr>
          <w:rFonts w:ascii="Arial" w:hAnsi="Arial" w:cs="Arial"/>
          <w:sz w:val="22"/>
          <w:szCs w:val="22"/>
        </w:rPr>
      </w:pPr>
      <w:r>
        <w:rPr>
          <w:rFonts w:ascii="Arial" w:hAnsi="Arial" w:cs="Arial"/>
          <w:sz w:val="22"/>
          <w:szCs w:val="22"/>
        </w:rPr>
        <w:t>Votos a favor: La unanimidad de los 20 concejales presentes:</w:t>
      </w:r>
    </w:p>
    <w:p w:rsidR="009B4233" w:rsidRDefault="009B4233">
      <w:pPr>
        <w:jc w:val="both"/>
        <w:rPr>
          <w:rFonts w:ascii="Arial" w:hAnsi="Arial" w:cs="Arial"/>
          <w:sz w:val="22"/>
          <w:szCs w:val="22"/>
        </w:rPr>
      </w:pPr>
    </w:p>
    <w:p w:rsidR="009B4233" w:rsidRDefault="006B08B9">
      <w:pPr>
        <w:ind w:firstLine="709"/>
        <w:jc w:val="both"/>
        <w:rPr>
          <w:rFonts w:ascii="Arial" w:hAnsi="Arial" w:cs="Arial"/>
          <w:sz w:val="22"/>
          <w:szCs w:val="22"/>
        </w:rPr>
      </w:pPr>
      <w:r>
        <w:rPr>
          <w:rFonts w:ascii="Arial" w:hAnsi="Arial" w:cs="Arial"/>
          <w:sz w:val="22"/>
          <w:szCs w:val="22"/>
        </w:rPr>
        <w:t>11 concejales del Grupo So</w:t>
      </w:r>
      <w:r>
        <w:rPr>
          <w:rFonts w:ascii="Arial" w:hAnsi="Arial" w:cs="Arial"/>
          <w:sz w:val="22"/>
          <w:szCs w:val="22"/>
        </w:rPr>
        <w:t>cialista: Doña María Concepción Brito Núñez, Don Jorge Baute Delgado, Don José Francisco Pinto Ramos, Doña Olivia Concepción Pérez Díaz, Don Reinaldo José Triviño Blanco, Don Manuel Alberto González Pestano, Doña Margarita Eva Tendero Barroso, Don Airam Pé</w:t>
      </w:r>
      <w:r>
        <w:rPr>
          <w:rFonts w:ascii="Arial" w:hAnsi="Arial" w:cs="Arial"/>
          <w:sz w:val="22"/>
          <w:szCs w:val="22"/>
        </w:rPr>
        <w:t xml:space="preserve">rez Chinea, Doña María del Carmen Clemente Díaz, Don Olegario Francisco Alonso Bello, Doña Mónica Monserrat Yanes Delgado. </w:t>
      </w:r>
    </w:p>
    <w:p w:rsidR="009B4233" w:rsidRDefault="009B4233">
      <w:pPr>
        <w:jc w:val="both"/>
        <w:rPr>
          <w:rFonts w:ascii="Arial" w:hAnsi="Arial" w:cs="Arial"/>
          <w:sz w:val="22"/>
          <w:szCs w:val="22"/>
        </w:rPr>
      </w:pPr>
    </w:p>
    <w:p w:rsidR="009B4233" w:rsidRDefault="006B08B9">
      <w:pPr>
        <w:ind w:firstLine="709"/>
        <w:jc w:val="both"/>
        <w:rPr>
          <w:rFonts w:ascii="Arial" w:hAnsi="Arial" w:cs="Arial"/>
          <w:sz w:val="22"/>
          <w:szCs w:val="22"/>
        </w:rPr>
      </w:pPr>
      <w:r>
        <w:rPr>
          <w:rFonts w:ascii="Arial" w:hAnsi="Arial" w:cs="Arial"/>
          <w:sz w:val="22"/>
          <w:szCs w:val="22"/>
        </w:rPr>
        <w:t>5 concejales del Grupo Popular: Don Jacobo López Fariña, Don Miguel Eduardo Hernández Chitty, Doña María Carlota Díaz González, Don</w:t>
      </w:r>
      <w:r>
        <w:rPr>
          <w:rFonts w:ascii="Arial" w:hAnsi="Arial" w:cs="Arial"/>
          <w:sz w:val="22"/>
          <w:szCs w:val="22"/>
        </w:rPr>
        <w:t xml:space="preserve"> José Daniel Sosa González, y Doña Shaila Castellano Batista. </w:t>
      </w:r>
    </w:p>
    <w:p w:rsidR="009B4233" w:rsidRDefault="009B4233">
      <w:pPr>
        <w:jc w:val="both"/>
        <w:rPr>
          <w:rFonts w:ascii="Arial" w:hAnsi="Arial" w:cs="Arial"/>
          <w:sz w:val="22"/>
          <w:szCs w:val="22"/>
        </w:rPr>
      </w:pPr>
    </w:p>
    <w:p w:rsidR="009B4233" w:rsidRDefault="006B08B9">
      <w:pPr>
        <w:ind w:firstLine="709"/>
        <w:jc w:val="both"/>
      </w:pPr>
      <w:r>
        <w:rPr>
          <w:rFonts w:ascii="Arial" w:hAnsi="Arial" w:cs="Arial"/>
          <w:sz w:val="22"/>
          <w:szCs w:val="22"/>
        </w:rPr>
        <w:t>4 concejales del Grupo Mixto: Doña Ángela Cruz Perera Armas y Don José Yeray Padilla Cruz (CC), Don José Tortosa Pallarés (VOX) y Doña Violeta López Jiménez (USP).</w:t>
      </w:r>
    </w:p>
    <w:p w:rsidR="009B4233" w:rsidRDefault="006B08B9">
      <w:pPr>
        <w:jc w:val="both"/>
        <w:rPr>
          <w:rFonts w:ascii="Arial" w:hAnsi="Arial" w:cs="Arial"/>
          <w:b/>
          <w:sz w:val="22"/>
          <w:szCs w:val="22"/>
        </w:rPr>
      </w:pPr>
      <w:r>
        <w:rPr>
          <w:rFonts w:ascii="Arial" w:hAnsi="Arial" w:cs="Arial"/>
          <w:b/>
          <w:sz w:val="22"/>
          <w:szCs w:val="22"/>
        </w:rPr>
        <w:t xml:space="preserve">                          </w:t>
      </w:r>
    </w:p>
    <w:p w:rsidR="009B4233" w:rsidRDefault="009B4233">
      <w:pPr>
        <w:pStyle w:val="Textoindependiente"/>
        <w:ind w:left="709" w:firstLine="709"/>
        <w:rPr>
          <w:rFonts w:cs="Arial"/>
          <w:b/>
          <w:szCs w:val="22"/>
        </w:rPr>
      </w:pPr>
    </w:p>
    <w:p w:rsidR="009B4233" w:rsidRDefault="009B4233">
      <w:pPr>
        <w:rPr>
          <w:rFonts w:ascii="Arial" w:hAnsi="Arial" w:cs="Arial"/>
          <w:b/>
          <w:sz w:val="22"/>
          <w:szCs w:val="22"/>
        </w:rPr>
      </w:pPr>
    </w:p>
    <w:p w:rsidR="009B4233" w:rsidRDefault="009B4233">
      <w:pPr>
        <w:pStyle w:val="Textoindependiente"/>
        <w:ind w:left="709" w:firstLine="709"/>
        <w:rPr>
          <w:rFonts w:cs="Arial"/>
          <w:b/>
          <w:szCs w:val="22"/>
        </w:rPr>
      </w:pPr>
    </w:p>
    <w:p w:rsidR="009B4233" w:rsidRDefault="009B4233">
      <w:pPr>
        <w:pStyle w:val="Textoindependiente"/>
        <w:ind w:left="709" w:firstLine="709"/>
        <w:rPr>
          <w:rFonts w:cs="Arial"/>
          <w:b/>
          <w:szCs w:val="22"/>
        </w:rPr>
      </w:pPr>
    </w:p>
    <w:p w:rsidR="009B4233" w:rsidRDefault="009B4233">
      <w:pPr>
        <w:pStyle w:val="Textoindependiente"/>
        <w:ind w:left="709" w:firstLine="709"/>
        <w:rPr>
          <w:rFonts w:cs="Arial"/>
          <w:b/>
          <w:szCs w:val="22"/>
        </w:rPr>
      </w:pPr>
    </w:p>
    <w:p w:rsidR="009B4233" w:rsidRDefault="009B4233">
      <w:pPr>
        <w:pStyle w:val="Textoindependiente"/>
        <w:ind w:left="709" w:firstLine="709"/>
        <w:rPr>
          <w:rFonts w:cs="Arial"/>
          <w:b/>
          <w:szCs w:val="22"/>
        </w:rPr>
      </w:pPr>
    </w:p>
    <w:p w:rsidR="009B4233" w:rsidRDefault="009B4233">
      <w:pPr>
        <w:pStyle w:val="Textoindependiente"/>
        <w:ind w:left="709" w:firstLine="709"/>
        <w:rPr>
          <w:rFonts w:cs="Arial"/>
          <w:b/>
          <w:szCs w:val="22"/>
        </w:rPr>
      </w:pPr>
    </w:p>
    <w:p w:rsidR="009B4233" w:rsidRDefault="006B08B9">
      <w:pPr>
        <w:pStyle w:val="Textoindependiente"/>
        <w:ind w:left="709" w:firstLine="709"/>
        <w:rPr>
          <w:rFonts w:cs="Arial"/>
          <w:b/>
          <w:szCs w:val="22"/>
        </w:rPr>
      </w:pPr>
      <w:r>
        <w:rPr>
          <w:rFonts w:cs="Arial"/>
          <w:b/>
          <w:szCs w:val="22"/>
        </w:rPr>
        <w:t>ACUERDO DEL PLENO DE 25 DE SEPTIEMBRE DE 2025.</w:t>
      </w:r>
    </w:p>
    <w:p w:rsidR="009B4233" w:rsidRDefault="009B4233">
      <w:pPr>
        <w:jc w:val="both"/>
        <w:rPr>
          <w:rFonts w:ascii="Arial" w:hAnsi="Arial" w:cs="Arial"/>
          <w:b/>
          <w:sz w:val="22"/>
          <w:szCs w:val="22"/>
        </w:rPr>
      </w:pPr>
    </w:p>
    <w:p w:rsidR="009B4233" w:rsidRDefault="006B08B9">
      <w:pPr>
        <w:spacing w:after="274"/>
        <w:ind w:left="-15" w:firstLine="566"/>
        <w:jc w:val="both"/>
      </w:pPr>
      <w:r>
        <w:rPr>
          <w:rFonts w:ascii="Arial" w:eastAsia="Arial" w:hAnsi="Arial" w:cs="Arial"/>
          <w:b/>
          <w:sz w:val="22"/>
          <w:szCs w:val="22"/>
        </w:rPr>
        <w:t>PRIMERO: Aprobar los siguientes precios contradictorios propuestos por la Dirección facultativa e informados favorablemente por la Arquitecta municipal:</w:t>
      </w:r>
    </w:p>
    <w:p w:rsidR="009B4233" w:rsidRDefault="006B08B9">
      <w:pPr>
        <w:spacing w:after="113"/>
        <w:ind w:left="-5" w:right="3" w:hanging="10"/>
        <w:jc w:val="both"/>
      </w:pPr>
      <w:r>
        <w:rPr>
          <w:rFonts w:ascii="Arial" w:eastAsia="Arial" w:hAnsi="Arial" w:cs="Arial"/>
          <w:b/>
          <w:i/>
          <w:sz w:val="22"/>
          <w:szCs w:val="22"/>
        </w:rPr>
        <w:t>PN_1: Retirada de la impermeabilización existente</w:t>
      </w:r>
      <w:r>
        <w:rPr>
          <w:rFonts w:ascii="Arial" w:eastAsia="Arial" w:hAnsi="Arial" w:cs="Arial"/>
          <w:b/>
          <w:i/>
          <w:sz w:val="22"/>
          <w:szCs w:val="22"/>
        </w:rPr>
        <w:t xml:space="preserve"> en trasdós de muros, incluyendo carga y transporte a vertedero.</w:t>
      </w:r>
    </w:p>
    <w:p w:rsidR="009B4233" w:rsidRDefault="006B08B9">
      <w:pPr>
        <w:spacing w:after="113"/>
        <w:ind w:left="-5" w:hanging="10"/>
        <w:jc w:val="both"/>
      </w:pPr>
      <w:r>
        <w:rPr>
          <w:rFonts w:ascii="Arial" w:eastAsia="Arial" w:hAnsi="Arial" w:cs="Arial"/>
          <w:b/>
          <w:sz w:val="22"/>
          <w:szCs w:val="22"/>
        </w:rPr>
        <w:t>Motivo: Debido al mal estado y deterioro de la actual impermeabilización de los muros, se hace necesaria su retirada y correcta gestión.</w:t>
      </w:r>
    </w:p>
    <w:p w:rsidR="009B4233" w:rsidRDefault="006B08B9">
      <w:pPr>
        <w:spacing w:after="113"/>
        <w:ind w:left="-5" w:right="3" w:hanging="10"/>
        <w:jc w:val="both"/>
      </w:pPr>
      <w:r>
        <w:rPr>
          <w:rFonts w:ascii="Arial" w:eastAsia="Arial" w:hAnsi="Arial" w:cs="Arial"/>
          <w:b/>
          <w:i/>
          <w:sz w:val="22"/>
          <w:szCs w:val="22"/>
        </w:rPr>
        <w:t xml:space="preserve">PN_2: Suministro e instalación de línea de trabajo, </w:t>
      </w:r>
      <w:r>
        <w:rPr>
          <w:rFonts w:ascii="Arial" w:eastAsia="Arial" w:hAnsi="Arial" w:cs="Arial"/>
          <w:b/>
          <w:i/>
          <w:sz w:val="22"/>
          <w:szCs w:val="22"/>
        </w:rPr>
        <w:t>incluyendo desbroce de vegetación existente en la cabecera del talud.</w:t>
      </w:r>
    </w:p>
    <w:p w:rsidR="009B4233" w:rsidRDefault="006B08B9">
      <w:pPr>
        <w:spacing w:after="274"/>
        <w:ind w:left="-5" w:hanging="10"/>
        <w:jc w:val="both"/>
      </w:pPr>
      <w:r>
        <w:rPr>
          <w:rFonts w:ascii="Arial" w:eastAsia="Arial" w:hAnsi="Arial" w:cs="Arial"/>
          <w:b/>
          <w:sz w:val="22"/>
          <w:szCs w:val="22"/>
        </w:rPr>
        <w:t>Motivo: Para garantizar condiciones seguras de acceso y trabajo en la zona del talud.</w:t>
      </w:r>
    </w:p>
    <w:p w:rsidR="009B4233" w:rsidRDefault="006B08B9">
      <w:pPr>
        <w:spacing w:after="108"/>
        <w:ind w:left="-5" w:right="3" w:hanging="10"/>
        <w:jc w:val="both"/>
      </w:pPr>
      <w:r>
        <w:rPr>
          <w:rFonts w:ascii="Arial" w:eastAsia="Arial" w:hAnsi="Arial" w:cs="Arial"/>
          <w:b/>
          <w:i/>
          <w:sz w:val="22"/>
          <w:szCs w:val="22"/>
        </w:rPr>
        <w:t>PN_3: Suministro e instalación de malla de triple torsión anclada a coronación y pie de talud.</w:t>
      </w:r>
    </w:p>
    <w:p w:rsidR="009B4233" w:rsidRDefault="006B08B9">
      <w:pPr>
        <w:spacing w:after="111"/>
        <w:ind w:left="-5" w:hanging="10"/>
        <w:jc w:val="both"/>
      </w:pPr>
      <w:r>
        <w:rPr>
          <w:rFonts w:ascii="Arial" w:eastAsia="Arial" w:hAnsi="Arial" w:cs="Arial"/>
          <w:b/>
          <w:sz w:val="22"/>
          <w:szCs w:val="22"/>
        </w:rPr>
        <w:t>Motiv</w:t>
      </w:r>
      <w:r>
        <w:rPr>
          <w:rFonts w:ascii="Arial" w:eastAsia="Arial" w:hAnsi="Arial" w:cs="Arial"/>
          <w:b/>
          <w:sz w:val="22"/>
          <w:szCs w:val="22"/>
        </w:rPr>
        <w:t xml:space="preserve">o: Al evaluar el estado del terreno en la zona del talud, se ha observado que este presenta inestabilidad en determinadas áreas. La instalación de la malla es necesaria para prevenir la caída de piedras y evitar posibles accidentes hacia la zona inferior, </w:t>
      </w:r>
      <w:r>
        <w:rPr>
          <w:rFonts w:ascii="Arial" w:eastAsia="Arial" w:hAnsi="Arial" w:cs="Arial"/>
          <w:b/>
          <w:sz w:val="22"/>
          <w:szCs w:val="22"/>
        </w:rPr>
        <w:t>donde el personal trabaja en las tareas de cimentación.</w:t>
      </w:r>
    </w:p>
    <w:p w:rsidR="009B4233" w:rsidRDefault="006B08B9">
      <w:pPr>
        <w:spacing w:after="111"/>
        <w:ind w:left="-5" w:right="3" w:hanging="10"/>
        <w:jc w:val="both"/>
      </w:pPr>
      <w:r>
        <w:rPr>
          <w:rFonts w:ascii="Arial" w:eastAsia="Arial" w:hAnsi="Arial" w:cs="Arial"/>
          <w:b/>
          <w:i/>
          <w:sz w:val="22"/>
          <w:szCs w:val="22"/>
        </w:rPr>
        <w:t>PN_4: Drenaje perimetral mediante tubo flexible de polietileno de alta densidad (PEAD/HDPE).</w:t>
      </w:r>
    </w:p>
    <w:p w:rsidR="009B4233" w:rsidRDefault="006B08B9">
      <w:pPr>
        <w:spacing w:after="485"/>
        <w:ind w:left="-5" w:hanging="10"/>
        <w:jc w:val="both"/>
      </w:pPr>
      <w:r>
        <w:rPr>
          <w:rFonts w:ascii="Arial" w:eastAsia="Arial" w:hAnsi="Arial" w:cs="Arial"/>
          <w:b/>
          <w:sz w:val="22"/>
          <w:szCs w:val="22"/>
        </w:rPr>
        <w:t>Motivo: Aunque el tubo de drenaje aparece representado en los detalles constructivos del proyecto, no se en</w:t>
      </w:r>
      <w:r>
        <w:rPr>
          <w:rFonts w:ascii="Arial" w:eastAsia="Arial" w:hAnsi="Arial" w:cs="Arial"/>
          <w:b/>
          <w:sz w:val="22"/>
          <w:szCs w:val="22"/>
        </w:rPr>
        <w:t>cuentra valorado ni reflejado en las mediciones, por lo que es necesario incorporarlo.</w:t>
      </w:r>
    </w:p>
    <w:p w:rsidR="009B4233" w:rsidRDefault="006B08B9">
      <w:pPr>
        <w:spacing w:after="111"/>
        <w:ind w:left="-5" w:right="3" w:hanging="10"/>
        <w:jc w:val="both"/>
      </w:pPr>
      <w:r>
        <w:rPr>
          <w:rFonts w:ascii="Arial" w:eastAsia="Arial" w:hAnsi="Arial" w:cs="Arial"/>
          <w:b/>
          <w:i/>
          <w:sz w:val="22"/>
          <w:szCs w:val="22"/>
        </w:rPr>
        <w:t>PN_5: Lámina de protección frente al gas radón, mediante lámina de PVC URDIN SANI 1,2 mm no armada.</w:t>
      </w:r>
    </w:p>
    <w:p w:rsidR="009B4233" w:rsidRDefault="006B08B9">
      <w:pPr>
        <w:ind w:left="-5" w:hanging="10"/>
        <w:jc w:val="both"/>
      </w:pPr>
      <w:r>
        <w:rPr>
          <w:rFonts w:ascii="Arial" w:eastAsia="Arial" w:hAnsi="Arial" w:cs="Arial"/>
          <w:b/>
          <w:sz w:val="22"/>
          <w:szCs w:val="22"/>
        </w:rPr>
        <w:t>Motivo: Al analizar las mediciones del proyecto, se ha detectado la a</w:t>
      </w:r>
      <w:r>
        <w:rPr>
          <w:rFonts w:ascii="Arial" w:eastAsia="Arial" w:hAnsi="Arial" w:cs="Arial"/>
          <w:b/>
          <w:sz w:val="22"/>
          <w:szCs w:val="22"/>
        </w:rPr>
        <w:t>usencia de una solución para la protección frente al gas radón bajo la solera de la planta sótano. Esta actuación es necesaria para cumplir con los requisitos del Código Técnico de la Edificación.</w:t>
      </w:r>
    </w:p>
    <w:p w:rsidR="009B4233" w:rsidRDefault="006B08B9">
      <w:pPr>
        <w:spacing w:after="503"/>
        <w:ind w:left="-2"/>
      </w:pPr>
      <w:r>
        <w:rPr>
          <w:rFonts w:ascii="Arial" w:hAnsi="Arial" w:cs="Arial"/>
          <w:b/>
          <w:noProof/>
          <w:sz w:val="22"/>
          <w:szCs w:val="22"/>
          <w:lang w:eastAsia="es-ES" w:bidi="ar-SA"/>
        </w:rPr>
        <w:drawing>
          <wp:inline distT="0" distB="0" distL="0" distR="0">
            <wp:extent cx="5455923" cy="2225036"/>
            <wp:effectExtent l="0" t="0" r="0" b="3814"/>
            <wp:docPr id="90" name="Imagen 468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rcRect/>
                    <a:stretch>
                      <a:fillRect/>
                    </a:stretch>
                  </pic:blipFill>
                  <pic:spPr>
                    <a:xfrm>
                      <a:off x="0" y="0"/>
                      <a:ext cx="5455923" cy="2225036"/>
                    </a:xfrm>
                    <a:prstGeom prst="rect">
                      <a:avLst/>
                    </a:prstGeom>
                    <a:noFill/>
                    <a:ln>
                      <a:noFill/>
                      <a:prstDash/>
                    </a:ln>
                  </pic:spPr>
                </pic:pic>
              </a:graphicData>
            </a:graphic>
          </wp:inline>
        </w:drawing>
      </w:r>
    </w:p>
    <w:p w:rsidR="009B4233" w:rsidRDefault="006B08B9">
      <w:pPr>
        <w:spacing w:after="274"/>
        <w:ind w:left="-15" w:firstLine="566"/>
        <w:jc w:val="both"/>
      </w:pPr>
      <w:r>
        <w:rPr>
          <w:rFonts w:ascii="Arial" w:eastAsia="Arial" w:hAnsi="Arial" w:cs="Arial"/>
          <w:b/>
          <w:sz w:val="22"/>
          <w:szCs w:val="22"/>
        </w:rPr>
        <w:t>SEGUNDO: Aprobar el gasto por un importe total de 63.350,</w:t>
      </w:r>
      <w:r>
        <w:rPr>
          <w:rFonts w:ascii="Arial" w:eastAsia="Arial" w:hAnsi="Arial" w:cs="Arial"/>
          <w:b/>
          <w:sz w:val="22"/>
          <w:szCs w:val="22"/>
        </w:rPr>
        <w:t>24 euros, correspondiente a los precios contradictorios descritos, con cargo a la aplicación presupuestaria 23100.60900 (AD 2.25.0.05595).</w:t>
      </w:r>
    </w:p>
    <w:p w:rsidR="009B4233" w:rsidRDefault="006B08B9">
      <w:pPr>
        <w:spacing w:after="274"/>
        <w:ind w:left="-15" w:firstLine="566"/>
        <w:jc w:val="both"/>
      </w:pPr>
      <w:r>
        <w:rPr>
          <w:rFonts w:ascii="Arial" w:eastAsia="Arial" w:hAnsi="Arial" w:cs="Arial"/>
          <w:b/>
          <w:sz w:val="22"/>
          <w:szCs w:val="22"/>
        </w:rPr>
        <w:t>TERCERO: Dar traslado de la presente resolución a la empresa contratista PROYECON GALICIA,SA, y a la dirección facult</w:t>
      </w:r>
      <w:r>
        <w:rPr>
          <w:rFonts w:ascii="Arial" w:eastAsia="Arial" w:hAnsi="Arial" w:cs="Arial"/>
          <w:b/>
          <w:sz w:val="22"/>
          <w:szCs w:val="22"/>
        </w:rPr>
        <w:t>ativa de la obra.</w:t>
      </w:r>
    </w:p>
    <w:p w:rsidR="009B4233" w:rsidRDefault="009B4233">
      <w:pPr>
        <w:ind w:firstLine="709"/>
        <w:jc w:val="both"/>
        <w:rPr>
          <w:rFonts w:ascii="Arial" w:hAnsi="Arial" w:cs="Arial"/>
          <w:b/>
          <w:sz w:val="22"/>
          <w:szCs w:val="22"/>
        </w:rPr>
      </w:pPr>
    </w:p>
    <w:p w:rsidR="009B4233" w:rsidRDefault="009B4233">
      <w:pPr>
        <w:pStyle w:val="Standard"/>
        <w:jc w:val="both"/>
        <w:rPr>
          <w:rFonts w:ascii="Arial" w:hAnsi="Arial" w:cs="Arial"/>
          <w:b/>
          <w:sz w:val="22"/>
          <w:szCs w:val="22"/>
          <w:u w:val="single"/>
        </w:rPr>
      </w:pPr>
    </w:p>
    <w:p w:rsidR="009B4233" w:rsidRDefault="009B4233">
      <w:pPr>
        <w:pStyle w:val="Standard"/>
        <w:jc w:val="both"/>
        <w:rPr>
          <w:rFonts w:ascii="Arial" w:hAnsi="Arial" w:cs="Arial"/>
          <w:b/>
          <w:sz w:val="22"/>
          <w:szCs w:val="22"/>
          <w:u w:val="single"/>
        </w:rPr>
      </w:pPr>
    </w:p>
    <w:p w:rsidR="009B4233" w:rsidRDefault="009B4233">
      <w:pPr>
        <w:pStyle w:val="Standard"/>
        <w:jc w:val="both"/>
        <w:rPr>
          <w:rFonts w:ascii="Arial" w:hAnsi="Arial" w:cs="Arial"/>
          <w:b/>
          <w:sz w:val="22"/>
          <w:szCs w:val="22"/>
          <w:u w:val="single"/>
        </w:rPr>
      </w:pPr>
    </w:p>
    <w:p w:rsidR="009B4233" w:rsidRDefault="006B08B9">
      <w:pPr>
        <w:jc w:val="both"/>
        <w:rPr>
          <w:rFonts w:ascii="Arial" w:hAnsi="Arial" w:cs="Arial"/>
          <w:b/>
        </w:rPr>
      </w:pPr>
      <w:r>
        <w:rPr>
          <w:rFonts w:ascii="Arial" w:hAnsi="Arial" w:cs="Arial"/>
          <w:b/>
        </w:rPr>
        <w:t>9.- Expediente 9445/2024. Propuesta de la Alcaldesa-Presidenta al pleno de fecha de 17 de septiembre de 2025 de dar conformidad al acuerdo del Consejo de Gobierno Insular del Cabildo de Tenerife de reajuste de anualidades de la financ</w:t>
      </w:r>
      <w:r>
        <w:rPr>
          <w:rFonts w:ascii="Arial" w:hAnsi="Arial" w:cs="Arial"/>
          <w:b/>
        </w:rPr>
        <w:t>iación del proyecto de ejecución "Auditorio de Candelaria"</w:t>
      </w:r>
    </w:p>
    <w:p w:rsidR="009B4233" w:rsidRDefault="009B4233">
      <w:pPr>
        <w:jc w:val="both"/>
        <w:rPr>
          <w:rFonts w:ascii="Arial" w:hAnsi="Arial" w:cs="Arial"/>
          <w:color w:val="2F3E4D"/>
          <w:shd w:val="clear" w:color="auto" w:fill="F5F7F9"/>
        </w:rPr>
      </w:pPr>
    </w:p>
    <w:p w:rsidR="009B4233" w:rsidRDefault="009B4233">
      <w:pPr>
        <w:jc w:val="both"/>
        <w:rPr>
          <w:rFonts w:ascii="Arial" w:hAnsi="Arial" w:cs="Arial"/>
          <w:color w:val="2F3E4D"/>
          <w:sz w:val="22"/>
          <w:szCs w:val="22"/>
          <w:shd w:val="clear" w:color="auto" w:fill="F5F7F9"/>
        </w:rPr>
      </w:pPr>
    </w:p>
    <w:p w:rsidR="009B4233" w:rsidRDefault="006B08B9">
      <w:pPr>
        <w:pStyle w:val="Textoindependiente"/>
        <w:jc w:val="both"/>
      </w:pPr>
      <w:r>
        <w:rPr>
          <w:rFonts w:cs="Arial"/>
          <w:b/>
          <w:bCs/>
          <w:szCs w:val="22"/>
        </w:rPr>
        <w:t xml:space="preserve">    Consta en el expediente informe jurídico emitido por </w:t>
      </w:r>
      <w:r>
        <w:rPr>
          <w:rFonts w:cs="Arial"/>
          <w:b/>
          <w:szCs w:val="22"/>
        </w:rPr>
        <w:t>Doña Olga Fernández Méndez-Bencomo</w:t>
      </w:r>
      <w:r>
        <w:rPr>
          <w:rFonts w:cs="Arial"/>
          <w:b/>
          <w:bCs/>
          <w:szCs w:val="22"/>
        </w:rPr>
        <w:t xml:space="preserve">, </w:t>
      </w:r>
      <w:r>
        <w:rPr>
          <w:rFonts w:cs="Arial"/>
          <w:b/>
          <w:szCs w:val="22"/>
        </w:rPr>
        <w:t xml:space="preserve">que desempeña el puesto de trabajo de Técnica Jurista, de 17 de septiembre de 2025, debidamente </w:t>
      </w:r>
      <w:r>
        <w:rPr>
          <w:rFonts w:cs="Arial"/>
          <w:b/>
          <w:szCs w:val="22"/>
        </w:rPr>
        <w:t xml:space="preserve">conformado por D. Octavio Manuel Fernández Hernández, Secretario General y fiscalizado favorablemente por D. Nicolás Rojo Garnica, </w:t>
      </w:r>
      <w:r>
        <w:rPr>
          <w:rFonts w:cs="Arial"/>
          <w:b/>
          <w:bCs/>
          <w:szCs w:val="22"/>
        </w:rPr>
        <w:t>de fecha 17 de septiembre de 2025, del siguiente tenor literal:</w:t>
      </w:r>
    </w:p>
    <w:p w:rsidR="009B4233" w:rsidRDefault="009B4233">
      <w:pPr>
        <w:pStyle w:val="Textoindependiente"/>
        <w:jc w:val="both"/>
        <w:rPr>
          <w:rFonts w:cs="Arial"/>
          <w:b/>
          <w:bCs/>
          <w:szCs w:val="22"/>
        </w:rPr>
      </w:pPr>
    </w:p>
    <w:p w:rsidR="009B4233" w:rsidRDefault="009B4233">
      <w:pPr>
        <w:jc w:val="both"/>
        <w:rPr>
          <w:rFonts w:ascii="Arial" w:hAnsi="Arial" w:cs="Arial"/>
          <w:color w:val="2F3E4D"/>
          <w:sz w:val="22"/>
          <w:szCs w:val="22"/>
          <w:shd w:val="clear" w:color="auto" w:fill="F5F7F9"/>
        </w:rPr>
      </w:pPr>
    </w:p>
    <w:p w:rsidR="009B4233" w:rsidRDefault="006B08B9">
      <w:pPr>
        <w:pStyle w:val="Ttulo1"/>
      </w:pPr>
      <w:r>
        <w:rPr>
          <w:rFonts w:ascii="Arial" w:hAnsi="Arial" w:cs="Arial"/>
          <w:b w:val="0"/>
          <w:sz w:val="22"/>
          <w:szCs w:val="22"/>
        </w:rPr>
        <w:t xml:space="preserve"> </w:t>
      </w:r>
      <w:r>
        <w:rPr>
          <w:rFonts w:ascii="Arial" w:hAnsi="Arial" w:cs="Arial"/>
          <w:sz w:val="22"/>
          <w:szCs w:val="22"/>
        </w:rPr>
        <w:t>“INFORME JURIDICO</w:t>
      </w:r>
    </w:p>
    <w:p w:rsidR="009B4233" w:rsidRDefault="006B08B9">
      <w:pPr>
        <w:spacing w:after="511" w:line="218" w:lineRule="auto"/>
        <w:ind w:left="11"/>
        <w:jc w:val="both"/>
        <w:rPr>
          <w:rFonts w:ascii="Arial" w:hAnsi="Arial" w:cs="Arial"/>
          <w:sz w:val="22"/>
          <w:szCs w:val="22"/>
        </w:rPr>
      </w:pPr>
      <w:r>
        <w:rPr>
          <w:rFonts w:ascii="Arial" w:hAnsi="Arial" w:cs="Arial"/>
          <w:sz w:val="22"/>
          <w:szCs w:val="22"/>
        </w:rPr>
        <w:t xml:space="preserve"> La Técnico de Administración General, </w:t>
      </w:r>
      <w:r>
        <w:rPr>
          <w:rFonts w:ascii="Arial" w:hAnsi="Arial" w:cs="Arial"/>
          <w:sz w:val="22"/>
          <w:szCs w:val="22"/>
        </w:rPr>
        <w:t>Olga Fernández Méndez-Bencomo, en el expediente anteriormente indicado emite el siguiente informe, debidamente conformado por el Secretario General Octavio Manuel Fernández Hernández y fiscalizado por el interventor municipal:</w:t>
      </w:r>
    </w:p>
    <w:p w:rsidR="009B4233" w:rsidRDefault="006B08B9">
      <w:pPr>
        <w:spacing w:after="452" w:line="264" w:lineRule="auto"/>
        <w:ind w:left="25"/>
        <w:jc w:val="center"/>
      </w:pPr>
      <w:r>
        <w:rPr>
          <w:rFonts w:ascii="Arial" w:eastAsia="Calibri" w:hAnsi="Arial" w:cs="Arial"/>
          <w:b/>
          <w:sz w:val="22"/>
          <w:szCs w:val="22"/>
          <w:u w:val="single" w:color="000000"/>
        </w:rPr>
        <w:t>I.ANTECEDENTES:</w:t>
      </w:r>
    </w:p>
    <w:p w:rsidR="009B4233" w:rsidRDefault="006B08B9">
      <w:pPr>
        <w:spacing w:after="30" w:line="218" w:lineRule="auto"/>
        <w:ind w:left="11"/>
        <w:jc w:val="both"/>
        <w:rPr>
          <w:rFonts w:ascii="Arial" w:hAnsi="Arial" w:cs="Arial"/>
          <w:sz w:val="22"/>
          <w:szCs w:val="22"/>
        </w:rPr>
      </w:pPr>
      <w:r>
        <w:rPr>
          <w:rFonts w:ascii="Arial" w:hAnsi="Arial" w:cs="Arial"/>
          <w:sz w:val="22"/>
          <w:szCs w:val="22"/>
        </w:rPr>
        <w:t>Visto el expe</w:t>
      </w:r>
      <w:r>
        <w:rPr>
          <w:rFonts w:ascii="Arial" w:hAnsi="Arial" w:cs="Arial"/>
          <w:sz w:val="22"/>
          <w:szCs w:val="22"/>
        </w:rPr>
        <w:t xml:space="preserve">diente núm: 9445/2024 relativo a la financiación de la actuación denominada </w:t>
      </w:r>
    </w:p>
    <w:p w:rsidR="009B4233" w:rsidRDefault="006B08B9">
      <w:pPr>
        <w:spacing w:after="119" w:line="218" w:lineRule="auto"/>
        <w:ind w:left="11"/>
        <w:jc w:val="both"/>
        <w:rPr>
          <w:rFonts w:ascii="Arial" w:hAnsi="Arial" w:cs="Arial"/>
          <w:sz w:val="22"/>
          <w:szCs w:val="22"/>
        </w:rPr>
      </w:pPr>
      <w:r>
        <w:rPr>
          <w:rFonts w:ascii="Arial" w:hAnsi="Arial" w:cs="Arial"/>
          <w:sz w:val="22"/>
          <w:szCs w:val="22"/>
        </w:rPr>
        <w:t>“Auditorio Municipal”, en el término municipal de Candelaria, dentro del marco del “Plan de Infraestructuras Culturales 2016-2029”, se informa lo siguiente</w:t>
      </w:r>
    </w:p>
    <w:p w:rsidR="009B4233" w:rsidRDefault="006B08B9">
      <w:pPr>
        <w:spacing w:after="30" w:line="218" w:lineRule="auto"/>
        <w:ind w:left="11"/>
        <w:jc w:val="both"/>
        <w:rPr>
          <w:rFonts w:ascii="Arial" w:hAnsi="Arial" w:cs="Arial"/>
          <w:sz w:val="22"/>
          <w:szCs w:val="22"/>
        </w:rPr>
      </w:pPr>
      <w:r>
        <w:rPr>
          <w:rFonts w:ascii="Arial" w:hAnsi="Arial" w:cs="Arial"/>
          <w:sz w:val="22"/>
          <w:szCs w:val="22"/>
        </w:rPr>
        <w:t>Visto que con fecha 15/</w:t>
      </w:r>
      <w:r>
        <w:rPr>
          <w:rFonts w:ascii="Arial" w:hAnsi="Arial" w:cs="Arial"/>
          <w:sz w:val="22"/>
          <w:szCs w:val="22"/>
        </w:rPr>
        <w:t xml:space="preserve">09/2025 y registro de entrada 2025-E-RC-8587 se notificó a este </w:t>
      </w:r>
    </w:p>
    <w:p w:rsidR="009B4233" w:rsidRDefault="006B08B9">
      <w:pPr>
        <w:spacing w:after="475" w:line="218" w:lineRule="auto"/>
        <w:ind w:left="16"/>
        <w:jc w:val="both"/>
        <w:rPr>
          <w:rFonts w:ascii="Arial" w:hAnsi="Arial" w:cs="Arial"/>
          <w:sz w:val="22"/>
          <w:szCs w:val="22"/>
        </w:rPr>
      </w:pPr>
      <w:r>
        <w:rPr>
          <w:rFonts w:ascii="Arial" w:hAnsi="Arial" w:cs="Arial"/>
          <w:sz w:val="22"/>
          <w:szCs w:val="22"/>
        </w:rPr>
        <w:t>Ayuntamiento la resolución adoptada por el Consejo de Gobierno Insular del Cabildo de Tenerife en sesión ordinaria celebrada el día 10 de septiembre 2025 del siguiente tenor literal:</w:t>
      </w:r>
    </w:p>
    <w:p w:rsidR="009B4233" w:rsidRDefault="006B08B9">
      <w:pPr>
        <w:spacing w:after="222" w:line="244" w:lineRule="auto"/>
        <w:ind w:left="-5"/>
        <w:jc w:val="both"/>
      </w:pPr>
      <w:r>
        <w:rPr>
          <w:rFonts w:ascii="Arial" w:eastAsia="Calibri" w:hAnsi="Arial" w:cs="Arial"/>
          <w:b/>
          <w:sz w:val="22"/>
          <w:szCs w:val="22"/>
        </w:rPr>
        <w:t>“ …“Asun</w:t>
      </w:r>
      <w:r>
        <w:rPr>
          <w:rFonts w:ascii="Arial" w:eastAsia="Calibri" w:hAnsi="Arial" w:cs="Arial"/>
          <w:b/>
          <w:sz w:val="22"/>
          <w:szCs w:val="22"/>
        </w:rPr>
        <w:t>to:  11 - Reajuste de anualidades de la actuación “Auditorio Municipal” en el término municipal de Candelaria, incluida en el Plan de Infraestructuras Culturales 2016-2029.</w:t>
      </w:r>
      <w:r>
        <w:rPr>
          <w:rFonts w:ascii="Arial" w:hAnsi="Arial" w:cs="Arial"/>
          <w:sz w:val="22"/>
          <w:szCs w:val="22"/>
        </w:rPr>
        <w:t xml:space="preserve"> </w:t>
      </w:r>
    </w:p>
    <w:p w:rsidR="009B4233" w:rsidRDefault="006B08B9">
      <w:pPr>
        <w:ind w:left="5" w:right="46"/>
        <w:jc w:val="both"/>
      </w:pPr>
      <w:r>
        <w:rPr>
          <w:rFonts w:ascii="Arial" w:hAnsi="Arial" w:cs="Arial"/>
          <w:sz w:val="22"/>
          <w:szCs w:val="22"/>
        </w:rPr>
        <w:t xml:space="preserve">Visto expediente </w:t>
      </w:r>
      <w:r>
        <w:rPr>
          <w:rFonts w:ascii="Arial" w:eastAsia="Calibri" w:hAnsi="Arial" w:cs="Arial"/>
          <w:b/>
          <w:sz w:val="22"/>
          <w:szCs w:val="22"/>
        </w:rPr>
        <w:t>E2023002582S00045</w:t>
      </w:r>
      <w:r>
        <w:rPr>
          <w:rFonts w:ascii="Arial" w:hAnsi="Arial" w:cs="Arial"/>
          <w:sz w:val="22"/>
          <w:szCs w:val="22"/>
        </w:rPr>
        <w:t xml:space="preserve"> relativo a la actuación denominada </w:t>
      </w:r>
      <w:r>
        <w:rPr>
          <w:rFonts w:ascii="Arial" w:eastAsia="Calibri" w:hAnsi="Arial" w:cs="Arial"/>
          <w:b/>
          <w:sz w:val="22"/>
          <w:szCs w:val="22"/>
        </w:rPr>
        <w:t>“Auditorio M</w:t>
      </w:r>
      <w:r>
        <w:rPr>
          <w:rFonts w:ascii="Arial" w:eastAsia="Calibri" w:hAnsi="Arial" w:cs="Arial"/>
          <w:b/>
          <w:sz w:val="22"/>
          <w:szCs w:val="22"/>
        </w:rPr>
        <w:t xml:space="preserve">unicipal” </w:t>
      </w:r>
      <w:r>
        <w:rPr>
          <w:rFonts w:ascii="Arial" w:hAnsi="Arial" w:cs="Arial"/>
          <w:sz w:val="22"/>
          <w:szCs w:val="22"/>
        </w:rPr>
        <w:t xml:space="preserve">en el término municipal de Candelaria, incluida dentro del Plan de Infraestructuras Culturales 2016-2029 </w:t>
      </w:r>
    </w:p>
    <w:p w:rsidR="009B4233" w:rsidRDefault="006B08B9">
      <w:pPr>
        <w:ind w:left="5" w:right="46"/>
        <w:jc w:val="both"/>
        <w:rPr>
          <w:rFonts w:ascii="Arial" w:hAnsi="Arial" w:cs="Arial"/>
          <w:sz w:val="22"/>
          <w:szCs w:val="22"/>
        </w:rPr>
      </w:pPr>
      <w:r>
        <w:rPr>
          <w:rFonts w:ascii="Arial" w:hAnsi="Arial" w:cs="Arial"/>
          <w:sz w:val="22"/>
          <w:szCs w:val="22"/>
        </w:rPr>
        <w:t xml:space="preserve">y  </w:t>
      </w:r>
    </w:p>
    <w:p w:rsidR="009B4233" w:rsidRDefault="006B08B9">
      <w:pPr>
        <w:ind w:left="5" w:right="46"/>
        <w:jc w:val="both"/>
      </w:pPr>
      <w:r>
        <w:rPr>
          <w:rFonts w:ascii="Arial" w:eastAsia="Calibri" w:hAnsi="Arial" w:cs="Arial"/>
          <w:b/>
          <w:sz w:val="22"/>
          <w:szCs w:val="22"/>
        </w:rPr>
        <w:t>Resultando</w:t>
      </w:r>
      <w:r>
        <w:rPr>
          <w:rFonts w:ascii="Arial" w:hAnsi="Arial" w:cs="Arial"/>
          <w:sz w:val="22"/>
          <w:szCs w:val="22"/>
        </w:rPr>
        <w:t xml:space="preserve"> que el Pleno de esta Corporación en sesión ordinaria celebrada el 28 de octubre de 2016, aprobó definitivamente el Plan de In</w:t>
      </w:r>
      <w:r>
        <w:rPr>
          <w:rFonts w:ascii="Arial" w:hAnsi="Arial" w:cs="Arial"/>
          <w:sz w:val="22"/>
          <w:szCs w:val="22"/>
        </w:rPr>
        <w:t>fraestructuras Culturales 20162021, modificándose su vigencia con posterioridad en diversas ocasiones, siendo ésta actualmente hasta el 31 de diciembre de 2029, pasando a denominarse “Plan de Infraestructuras Culturales 2016-2029”, según Acuerdo del Consej</w:t>
      </w:r>
      <w:r>
        <w:rPr>
          <w:rFonts w:ascii="Arial" w:hAnsi="Arial" w:cs="Arial"/>
          <w:sz w:val="22"/>
          <w:szCs w:val="22"/>
        </w:rPr>
        <w:t xml:space="preserve">o de Gobierno Insular de fecha 3 de septiembre de 2025. </w:t>
      </w:r>
    </w:p>
    <w:p w:rsidR="009B4233" w:rsidRDefault="006B08B9">
      <w:pPr>
        <w:ind w:left="5" w:right="46"/>
        <w:jc w:val="both"/>
      </w:pPr>
      <w:r>
        <w:rPr>
          <w:rFonts w:ascii="Arial" w:eastAsia="Calibri" w:hAnsi="Arial" w:cs="Arial"/>
          <w:b/>
          <w:sz w:val="22"/>
          <w:szCs w:val="22"/>
        </w:rPr>
        <w:t>Resultando</w:t>
      </w:r>
      <w:r>
        <w:rPr>
          <w:rFonts w:ascii="Arial" w:hAnsi="Arial" w:cs="Arial"/>
          <w:sz w:val="22"/>
          <w:szCs w:val="22"/>
        </w:rPr>
        <w:t xml:space="preserve"> que, dentro del mencionado Plan, se incluye la actuación “Auditorio Municipal” en el término municipal de Candelaria con una financiación por importe total de 9.321.292,05 € que, actualmen</w:t>
      </w:r>
      <w:r>
        <w:rPr>
          <w:rFonts w:ascii="Arial" w:hAnsi="Arial" w:cs="Arial"/>
          <w:sz w:val="22"/>
          <w:szCs w:val="22"/>
        </w:rPr>
        <w:t>te presenta la siguiente distribución de anualidades aprobada por el Consejo de Gobierno Insular del 26 de febrero de 2025:</w:t>
      </w:r>
      <w:r>
        <w:rPr>
          <w:rFonts w:ascii="Arial" w:eastAsia="Calibri" w:hAnsi="Arial" w:cs="Arial"/>
          <w:b/>
          <w:sz w:val="22"/>
          <w:szCs w:val="22"/>
        </w:rPr>
        <w:t xml:space="preserve"> </w:t>
      </w:r>
    </w:p>
    <w:p w:rsidR="009B4233" w:rsidRDefault="009B4233">
      <w:pPr>
        <w:ind w:left="5" w:right="46"/>
        <w:jc w:val="both"/>
        <w:rPr>
          <w:rFonts w:ascii="Arial" w:hAnsi="Arial" w:cs="Arial"/>
          <w:sz w:val="22"/>
          <w:szCs w:val="22"/>
        </w:rPr>
      </w:pPr>
    </w:p>
    <w:tbl>
      <w:tblPr>
        <w:tblW w:w="7716" w:type="dxa"/>
        <w:tblInd w:w="-10" w:type="dxa"/>
        <w:tblCellMar>
          <w:left w:w="10" w:type="dxa"/>
          <w:right w:w="10" w:type="dxa"/>
        </w:tblCellMar>
        <w:tblLook w:val="0000" w:firstRow="0" w:lastRow="0" w:firstColumn="0" w:lastColumn="0" w:noHBand="0" w:noVBand="0"/>
      </w:tblPr>
      <w:tblGrid>
        <w:gridCol w:w="1417"/>
        <w:gridCol w:w="1313"/>
        <w:gridCol w:w="1148"/>
        <w:gridCol w:w="597"/>
        <w:gridCol w:w="1150"/>
        <w:gridCol w:w="1313"/>
        <w:gridCol w:w="1313"/>
        <w:gridCol w:w="1313"/>
      </w:tblGrid>
      <w:tr w:rsidR="009B4233">
        <w:tblPrEx>
          <w:tblCellMar>
            <w:top w:w="0" w:type="dxa"/>
            <w:bottom w:w="0" w:type="dxa"/>
          </w:tblCellMar>
        </w:tblPrEx>
        <w:trPr>
          <w:trHeight w:val="416"/>
        </w:trPr>
        <w:tc>
          <w:tcPr>
            <w:tcW w:w="1417" w:type="dxa"/>
            <w:tcBorders>
              <w:top w:val="single" w:sz="4" w:space="0" w:color="C0C0C0"/>
              <w:left w:val="single" w:sz="4" w:space="0" w:color="C0C0C0"/>
              <w:bottom w:val="single" w:sz="4" w:space="0" w:color="000000"/>
              <w:right w:val="single" w:sz="4" w:space="0" w:color="000000"/>
            </w:tcBorders>
            <w:shd w:val="clear" w:color="auto" w:fill="auto"/>
            <w:tcMar>
              <w:top w:w="9" w:type="dxa"/>
              <w:left w:w="26" w:type="dxa"/>
              <w:bottom w:w="0" w:type="dxa"/>
              <w:right w:w="72" w:type="dxa"/>
            </w:tcMar>
          </w:tcPr>
          <w:p w:rsidR="009B4233" w:rsidRDefault="009B4233">
            <w:pPr>
              <w:spacing w:after="160" w:line="249" w:lineRule="auto"/>
              <w:rPr>
                <w:rFonts w:ascii="Arial" w:hAnsi="Arial" w:cs="Arial"/>
                <w:sz w:val="22"/>
                <w:szCs w:val="22"/>
              </w:rPr>
            </w:pPr>
          </w:p>
        </w:tc>
        <w:tc>
          <w:tcPr>
            <w:tcW w:w="1313" w:type="dxa"/>
            <w:tcBorders>
              <w:top w:val="single" w:sz="4" w:space="0" w:color="000000"/>
              <w:left w:val="single" w:sz="4" w:space="0" w:color="000000"/>
              <w:bottom w:val="single" w:sz="4" w:space="0" w:color="000000"/>
              <w:right w:val="single" w:sz="4" w:space="0" w:color="000000"/>
            </w:tcBorders>
            <w:shd w:val="clear" w:color="auto" w:fill="D9D9D9"/>
            <w:tcMar>
              <w:top w:w="9" w:type="dxa"/>
              <w:left w:w="26" w:type="dxa"/>
              <w:bottom w:w="0" w:type="dxa"/>
              <w:right w:w="72" w:type="dxa"/>
            </w:tcMar>
          </w:tcPr>
          <w:p w:rsidR="009B4233" w:rsidRDefault="006B08B9">
            <w:pPr>
              <w:spacing w:line="249" w:lineRule="auto"/>
              <w:ind w:left="52"/>
              <w:jc w:val="center"/>
            </w:pPr>
            <w:r>
              <w:rPr>
                <w:rFonts w:ascii="Arial" w:eastAsia="Calibri" w:hAnsi="Arial" w:cs="Arial"/>
                <w:b/>
                <w:sz w:val="22"/>
                <w:szCs w:val="22"/>
              </w:rPr>
              <w:t>2023</w:t>
            </w:r>
          </w:p>
        </w:tc>
        <w:tc>
          <w:tcPr>
            <w:tcW w:w="1148" w:type="dxa"/>
            <w:tcBorders>
              <w:top w:val="single" w:sz="4" w:space="0" w:color="000000"/>
              <w:left w:val="single" w:sz="4" w:space="0" w:color="000000"/>
              <w:bottom w:val="single" w:sz="4" w:space="0" w:color="000000"/>
              <w:right w:val="single" w:sz="4" w:space="0" w:color="000000"/>
            </w:tcBorders>
            <w:shd w:val="clear" w:color="auto" w:fill="D9D9D9"/>
            <w:tcMar>
              <w:top w:w="9" w:type="dxa"/>
              <w:left w:w="26" w:type="dxa"/>
              <w:bottom w:w="0" w:type="dxa"/>
              <w:right w:w="72" w:type="dxa"/>
            </w:tcMar>
          </w:tcPr>
          <w:p w:rsidR="009B4233" w:rsidRDefault="006B08B9">
            <w:pPr>
              <w:spacing w:line="249" w:lineRule="auto"/>
              <w:ind w:left="54"/>
              <w:jc w:val="center"/>
            </w:pPr>
            <w:r>
              <w:rPr>
                <w:rFonts w:ascii="Arial" w:eastAsia="Calibri" w:hAnsi="Arial" w:cs="Arial"/>
                <w:b/>
                <w:sz w:val="22"/>
                <w:szCs w:val="22"/>
              </w:rPr>
              <w:t>2024</w:t>
            </w:r>
          </w:p>
        </w:tc>
        <w:tc>
          <w:tcPr>
            <w:tcW w:w="597" w:type="dxa"/>
            <w:tcBorders>
              <w:top w:val="single" w:sz="4" w:space="0" w:color="000000"/>
              <w:left w:val="single" w:sz="4" w:space="0" w:color="000000"/>
              <w:bottom w:val="single" w:sz="4" w:space="0" w:color="000000"/>
              <w:right w:val="single" w:sz="4" w:space="0" w:color="000000"/>
            </w:tcBorders>
            <w:shd w:val="clear" w:color="auto" w:fill="D9D9D9"/>
            <w:tcMar>
              <w:top w:w="9" w:type="dxa"/>
              <w:left w:w="26" w:type="dxa"/>
              <w:bottom w:w="0" w:type="dxa"/>
              <w:right w:w="72" w:type="dxa"/>
            </w:tcMar>
          </w:tcPr>
          <w:p w:rsidR="009B4233" w:rsidRDefault="006B08B9">
            <w:pPr>
              <w:spacing w:line="249" w:lineRule="auto"/>
              <w:ind w:left="62"/>
              <w:jc w:val="center"/>
            </w:pPr>
            <w:r>
              <w:rPr>
                <w:rFonts w:ascii="Arial" w:eastAsia="Calibri" w:hAnsi="Arial" w:cs="Arial"/>
                <w:b/>
                <w:sz w:val="22"/>
                <w:szCs w:val="22"/>
              </w:rPr>
              <w:t>2025</w:t>
            </w:r>
          </w:p>
        </w:tc>
        <w:tc>
          <w:tcPr>
            <w:tcW w:w="1150" w:type="dxa"/>
            <w:tcBorders>
              <w:top w:val="single" w:sz="4" w:space="0" w:color="000000"/>
              <w:left w:val="single" w:sz="4" w:space="0" w:color="000000"/>
              <w:bottom w:val="single" w:sz="4" w:space="0" w:color="000000"/>
              <w:right w:val="single" w:sz="4" w:space="0" w:color="000000"/>
            </w:tcBorders>
            <w:shd w:val="clear" w:color="auto" w:fill="D9D9D9"/>
            <w:tcMar>
              <w:top w:w="9" w:type="dxa"/>
              <w:left w:w="26" w:type="dxa"/>
              <w:bottom w:w="0" w:type="dxa"/>
              <w:right w:w="72" w:type="dxa"/>
            </w:tcMar>
          </w:tcPr>
          <w:p w:rsidR="009B4233" w:rsidRDefault="006B08B9">
            <w:pPr>
              <w:spacing w:line="249" w:lineRule="auto"/>
              <w:ind w:left="52"/>
              <w:jc w:val="center"/>
            </w:pPr>
            <w:r>
              <w:rPr>
                <w:rFonts w:ascii="Arial" w:eastAsia="Calibri" w:hAnsi="Arial" w:cs="Arial"/>
                <w:b/>
                <w:sz w:val="22"/>
                <w:szCs w:val="22"/>
              </w:rPr>
              <w:t>2026</w:t>
            </w:r>
          </w:p>
        </w:tc>
        <w:tc>
          <w:tcPr>
            <w:tcW w:w="1313" w:type="dxa"/>
            <w:tcBorders>
              <w:top w:val="single" w:sz="4" w:space="0" w:color="000000"/>
              <w:left w:val="single" w:sz="4" w:space="0" w:color="000000"/>
              <w:bottom w:val="single" w:sz="4" w:space="0" w:color="000000"/>
              <w:right w:val="single" w:sz="4" w:space="0" w:color="000000"/>
            </w:tcBorders>
            <w:shd w:val="clear" w:color="auto" w:fill="D9D9D9"/>
            <w:tcMar>
              <w:top w:w="9" w:type="dxa"/>
              <w:left w:w="26" w:type="dxa"/>
              <w:bottom w:w="0" w:type="dxa"/>
              <w:right w:w="72" w:type="dxa"/>
            </w:tcMar>
          </w:tcPr>
          <w:p w:rsidR="009B4233" w:rsidRDefault="006B08B9">
            <w:pPr>
              <w:spacing w:line="249" w:lineRule="auto"/>
              <w:ind w:left="52"/>
              <w:jc w:val="center"/>
            </w:pPr>
            <w:r>
              <w:rPr>
                <w:rFonts w:ascii="Arial" w:eastAsia="Calibri" w:hAnsi="Arial" w:cs="Arial"/>
                <w:b/>
                <w:sz w:val="22"/>
                <w:szCs w:val="22"/>
              </w:rPr>
              <w:t>2027</w:t>
            </w:r>
          </w:p>
        </w:tc>
        <w:tc>
          <w:tcPr>
            <w:tcW w:w="1313" w:type="dxa"/>
            <w:tcBorders>
              <w:top w:val="single" w:sz="4" w:space="0" w:color="000000"/>
              <w:left w:val="single" w:sz="4" w:space="0" w:color="000000"/>
              <w:bottom w:val="single" w:sz="4" w:space="0" w:color="000000"/>
              <w:right w:val="single" w:sz="4" w:space="0" w:color="000000"/>
            </w:tcBorders>
            <w:shd w:val="clear" w:color="auto" w:fill="D9D9D9"/>
            <w:tcMar>
              <w:top w:w="9" w:type="dxa"/>
              <w:left w:w="26" w:type="dxa"/>
              <w:bottom w:w="0" w:type="dxa"/>
              <w:right w:w="72" w:type="dxa"/>
            </w:tcMar>
          </w:tcPr>
          <w:p w:rsidR="009B4233" w:rsidRDefault="006B08B9">
            <w:pPr>
              <w:spacing w:line="249" w:lineRule="auto"/>
              <w:ind w:left="54"/>
              <w:jc w:val="center"/>
            </w:pPr>
            <w:r>
              <w:rPr>
                <w:rFonts w:ascii="Arial" w:eastAsia="Calibri" w:hAnsi="Arial" w:cs="Arial"/>
                <w:b/>
                <w:sz w:val="22"/>
                <w:szCs w:val="22"/>
              </w:rPr>
              <w:t>2028</w:t>
            </w:r>
          </w:p>
        </w:tc>
        <w:tc>
          <w:tcPr>
            <w:tcW w:w="1313" w:type="dxa"/>
            <w:tcBorders>
              <w:top w:val="single" w:sz="4" w:space="0" w:color="000000"/>
              <w:left w:val="single" w:sz="4" w:space="0" w:color="000000"/>
              <w:bottom w:val="single" w:sz="4" w:space="0" w:color="000000"/>
              <w:right w:val="single" w:sz="4" w:space="0" w:color="000000"/>
            </w:tcBorders>
            <w:shd w:val="clear" w:color="auto" w:fill="D9D9D9"/>
            <w:tcMar>
              <w:top w:w="9" w:type="dxa"/>
              <w:left w:w="26" w:type="dxa"/>
              <w:bottom w:w="0" w:type="dxa"/>
              <w:right w:w="72" w:type="dxa"/>
            </w:tcMar>
          </w:tcPr>
          <w:p w:rsidR="009B4233" w:rsidRDefault="006B08B9">
            <w:pPr>
              <w:spacing w:line="249" w:lineRule="auto"/>
              <w:ind w:left="46"/>
              <w:jc w:val="center"/>
            </w:pPr>
            <w:r>
              <w:rPr>
                <w:rFonts w:ascii="Arial" w:eastAsia="Calibri" w:hAnsi="Arial" w:cs="Arial"/>
                <w:b/>
                <w:sz w:val="22"/>
                <w:szCs w:val="22"/>
              </w:rPr>
              <w:t>Total</w:t>
            </w:r>
          </w:p>
        </w:tc>
      </w:tr>
      <w:tr w:rsidR="009B4233">
        <w:tblPrEx>
          <w:tblCellMar>
            <w:top w:w="0" w:type="dxa"/>
            <w:bottom w:w="0" w:type="dxa"/>
          </w:tblCellMar>
        </w:tblPrEx>
        <w:trPr>
          <w:trHeight w:val="330"/>
        </w:trPr>
        <w:tc>
          <w:tcPr>
            <w:tcW w:w="1417" w:type="dxa"/>
            <w:tcBorders>
              <w:top w:val="single" w:sz="4" w:space="0" w:color="000000"/>
              <w:left w:val="single" w:sz="4" w:space="0" w:color="000000"/>
              <w:bottom w:val="single" w:sz="4" w:space="0" w:color="000000"/>
              <w:right w:val="single" w:sz="4" w:space="0" w:color="000000"/>
            </w:tcBorders>
            <w:shd w:val="clear" w:color="auto" w:fill="D9D9D9"/>
            <w:tcMar>
              <w:top w:w="9" w:type="dxa"/>
              <w:left w:w="26" w:type="dxa"/>
              <w:bottom w:w="0" w:type="dxa"/>
              <w:right w:w="72" w:type="dxa"/>
            </w:tcMar>
          </w:tcPr>
          <w:p w:rsidR="009B4233" w:rsidRDefault="006B08B9">
            <w:pPr>
              <w:spacing w:line="249" w:lineRule="auto"/>
            </w:pPr>
            <w:r>
              <w:rPr>
                <w:rFonts w:ascii="Arial" w:eastAsia="Calibri" w:hAnsi="Arial" w:cs="Arial"/>
                <w:b/>
                <w:sz w:val="22"/>
                <w:szCs w:val="22"/>
              </w:rPr>
              <w:t>Cabildo</w:t>
            </w:r>
          </w:p>
        </w:tc>
        <w:tc>
          <w:tcPr>
            <w:tcW w:w="1313" w:type="dxa"/>
            <w:tcBorders>
              <w:top w:val="single" w:sz="4" w:space="0" w:color="000000"/>
              <w:left w:val="single" w:sz="4" w:space="0" w:color="000000"/>
              <w:bottom w:val="single" w:sz="4" w:space="0" w:color="000000"/>
              <w:right w:val="single" w:sz="4" w:space="0" w:color="000000"/>
            </w:tcBorders>
            <w:shd w:val="clear" w:color="auto" w:fill="auto"/>
            <w:tcMar>
              <w:top w:w="9" w:type="dxa"/>
              <w:left w:w="26" w:type="dxa"/>
              <w:bottom w:w="0" w:type="dxa"/>
              <w:right w:w="72" w:type="dxa"/>
            </w:tcMar>
          </w:tcPr>
          <w:p w:rsidR="009B4233" w:rsidRDefault="006B08B9">
            <w:pPr>
              <w:spacing w:line="249" w:lineRule="auto"/>
              <w:ind w:left="60"/>
              <w:rPr>
                <w:rFonts w:ascii="Arial" w:hAnsi="Arial" w:cs="Arial"/>
                <w:sz w:val="22"/>
                <w:szCs w:val="22"/>
              </w:rPr>
            </w:pPr>
            <w:r>
              <w:rPr>
                <w:rFonts w:ascii="Arial" w:hAnsi="Arial" w:cs="Arial"/>
                <w:sz w:val="22"/>
                <w:szCs w:val="22"/>
              </w:rPr>
              <w:t xml:space="preserve">2.369.143,58 </w:t>
            </w:r>
          </w:p>
          <w:p w:rsidR="009B4233" w:rsidRDefault="006B08B9">
            <w:pPr>
              <w:spacing w:line="249" w:lineRule="auto"/>
              <w:ind w:left="60"/>
              <w:rPr>
                <w:rFonts w:ascii="Arial" w:hAnsi="Arial" w:cs="Arial"/>
                <w:sz w:val="22"/>
                <w:szCs w:val="22"/>
              </w:rPr>
            </w:pPr>
            <w:r>
              <w:rPr>
                <w:rFonts w:ascii="Arial" w:hAnsi="Arial" w:cs="Arial"/>
                <w:sz w:val="22"/>
                <w:szCs w:val="22"/>
              </w:rPr>
              <w:t>€</w:t>
            </w:r>
          </w:p>
        </w:tc>
        <w:tc>
          <w:tcPr>
            <w:tcW w:w="1148" w:type="dxa"/>
            <w:tcBorders>
              <w:top w:val="single" w:sz="4" w:space="0" w:color="000000"/>
              <w:left w:val="single" w:sz="4" w:space="0" w:color="000000"/>
              <w:bottom w:val="single" w:sz="4" w:space="0" w:color="000000"/>
              <w:right w:val="single" w:sz="4" w:space="0" w:color="000000"/>
            </w:tcBorders>
            <w:shd w:val="clear" w:color="auto" w:fill="auto"/>
            <w:tcMar>
              <w:top w:w="9" w:type="dxa"/>
              <w:left w:w="26" w:type="dxa"/>
              <w:bottom w:w="0" w:type="dxa"/>
              <w:right w:w="72" w:type="dxa"/>
            </w:tcMar>
          </w:tcPr>
          <w:p w:rsidR="009B4233" w:rsidRDefault="006B08B9">
            <w:pPr>
              <w:spacing w:line="249" w:lineRule="auto"/>
              <w:ind w:left="52"/>
              <w:jc w:val="center"/>
              <w:rPr>
                <w:rFonts w:ascii="Arial" w:hAnsi="Arial" w:cs="Arial"/>
                <w:sz w:val="22"/>
                <w:szCs w:val="22"/>
              </w:rPr>
            </w:pPr>
            <w:r>
              <w:rPr>
                <w:rFonts w:ascii="Arial" w:hAnsi="Arial" w:cs="Arial"/>
                <w:sz w:val="22"/>
                <w:szCs w:val="22"/>
              </w:rPr>
              <w:t>0,00 €</w:t>
            </w:r>
          </w:p>
        </w:tc>
        <w:tc>
          <w:tcPr>
            <w:tcW w:w="597" w:type="dxa"/>
            <w:tcBorders>
              <w:top w:val="single" w:sz="4" w:space="0" w:color="000000"/>
              <w:left w:val="single" w:sz="4" w:space="0" w:color="000000"/>
              <w:bottom w:val="single" w:sz="4" w:space="0" w:color="000000"/>
              <w:right w:val="single" w:sz="4" w:space="0" w:color="000000"/>
            </w:tcBorders>
            <w:shd w:val="clear" w:color="auto" w:fill="auto"/>
            <w:tcMar>
              <w:top w:w="9" w:type="dxa"/>
              <w:left w:w="26" w:type="dxa"/>
              <w:bottom w:w="0" w:type="dxa"/>
              <w:right w:w="72" w:type="dxa"/>
            </w:tcMar>
          </w:tcPr>
          <w:p w:rsidR="009B4233" w:rsidRDefault="006B08B9">
            <w:pPr>
              <w:spacing w:line="249" w:lineRule="auto"/>
              <w:ind w:left="62"/>
              <w:jc w:val="center"/>
              <w:rPr>
                <w:rFonts w:ascii="Arial" w:hAnsi="Arial" w:cs="Arial"/>
                <w:sz w:val="22"/>
                <w:szCs w:val="22"/>
              </w:rPr>
            </w:pPr>
            <w:r>
              <w:rPr>
                <w:rFonts w:ascii="Arial" w:hAnsi="Arial" w:cs="Arial"/>
                <w:sz w:val="22"/>
                <w:szCs w:val="22"/>
              </w:rPr>
              <w:t>0,00 €</w:t>
            </w:r>
          </w:p>
        </w:tc>
        <w:tc>
          <w:tcPr>
            <w:tcW w:w="1150" w:type="dxa"/>
            <w:tcBorders>
              <w:top w:val="single" w:sz="4" w:space="0" w:color="000000"/>
              <w:left w:val="single" w:sz="4" w:space="0" w:color="000000"/>
              <w:bottom w:val="single" w:sz="4" w:space="0" w:color="000000"/>
              <w:right w:val="single" w:sz="4" w:space="0" w:color="000000"/>
            </w:tcBorders>
            <w:shd w:val="clear" w:color="auto" w:fill="auto"/>
            <w:tcMar>
              <w:top w:w="9" w:type="dxa"/>
              <w:left w:w="26" w:type="dxa"/>
              <w:bottom w:w="0" w:type="dxa"/>
              <w:right w:w="72" w:type="dxa"/>
            </w:tcMar>
          </w:tcPr>
          <w:p w:rsidR="009B4233" w:rsidRDefault="006B08B9">
            <w:pPr>
              <w:spacing w:line="249" w:lineRule="auto"/>
              <w:ind w:left="52"/>
              <w:jc w:val="center"/>
              <w:rPr>
                <w:rFonts w:ascii="Arial" w:hAnsi="Arial" w:cs="Arial"/>
                <w:sz w:val="22"/>
                <w:szCs w:val="22"/>
              </w:rPr>
            </w:pPr>
            <w:r>
              <w:rPr>
                <w:rFonts w:ascii="Arial" w:hAnsi="Arial" w:cs="Arial"/>
                <w:sz w:val="22"/>
                <w:szCs w:val="22"/>
              </w:rPr>
              <w:t>0,00 €</w:t>
            </w:r>
          </w:p>
        </w:tc>
        <w:tc>
          <w:tcPr>
            <w:tcW w:w="1313" w:type="dxa"/>
            <w:tcBorders>
              <w:top w:val="single" w:sz="4" w:space="0" w:color="000000"/>
              <w:left w:val="single" w:sz="4" w:space="0" w:color="000000"/>
              <w:bottom w:val="single" w:sz="4" w:space="0" w:color="000000"/>
              <w:right w:val="single" w:sz="4" w:space="0" w:color="000000"/>
            </w:tcBorders>
            <w:shd w:val="clear" w:color="auto" w:fill="auto"/>
            <w:tcMar>
              <w:top w:w="9" w:type="dxa"/>
              <w:left w:w="26" w:type="dxa"/>
              <w:bottom w:w="0" w:type="dxa"/>
              <w:right w:w="72" w:type="dxa"/>
            </w:tcMar>
          </w:tcPr>
          <w:p w:rsidR="009B4233" w:rsidRDefault="006B08B9">
            <w:pPr>
              <w:spacing w:line="249" w:lineRule="auto"/>
              <w:ind w:left="60"/>
              <w:rPr>
                <w:rFonts w:ascii="Arial" w:hAnsi="Arial" w:cs="Arial"/>
                <w:sz w:val="22"/>
                <w:szCs w:val="22"/>
              </w:rPr>
            </w:pPr>
            <w:r>
              <w:rPr>
                <w:rFonts w:ascii="Arial" w:hAnsi="Arial" w:cs="Arial"/>
                <w:sz w:val="22"/>
                <w:szCs w:val="22"/>
              </w:rPr>
              <w:t xml:space="preserve">2.543.945,03 </w:t>
            </w:r>
          </w:p>
          <w:p w:rsidR="009B4233" w:rsidRDefault="006B08B9">
            <w:pPr>
              <w:spacing w:line="249" w:lineRule="auto"/>
              <w:ind w:left="60"/>
              <w:rPr>
                <w:rFonts w:ascii="Arial" w:hAnsi="Arial" w:cs="Arial"/>
                <w:sz w:val="22"/>
                <w:szCs w:val="22"/>
              </w:rPr>
            </w:pPr>
            <w:r>
              <w:rPr>
                <w:rFonts w:ascii="Arial" w:hAnsi="Arial" w:cs="Arial"/>
                <w:sz w:val="22"/>
                <w:szCs w:val="22"/>
              </w:rPr>
              <w:t>€</w:t>
            </w:r>
          </w:p>
        </w:tc>
        <w:tc>
          <w:tcPr>
            <w:tcW w:w="1313" w:type="dxa"/>
            <w:tcBorders>
              <w:top w:val="single" w:sz="4" w:space="0" w:color="000000"/>
              <w:left w:val="single" w:sz="4" w:space="0" w:color="000000"/>
              <w:bottom w:val="single" w:sz="4" w:space="0" w:color="000000"/>
              <w:right w:val="single" w:sz="4" w:space="0" w:color="000000"/>
            </w:tcBorders>
            <w:shd w:val="clear" w:color="auto" w:fill="auto"/>
            <w:tcMar>
              <w:top w:w="9" w:type="dxa"/>
              <w:left w:w="26" w:type="dxa"/>
              <w:bottom w:w="0" w:type="dxa"/>
              <w:right w:w="72" w:type="dxa"/>
            </w:tcMar>
          </w:tcPr>
          <w:p w:rsidR="009B4233" w:rsidRDefault="006B08B9">
            <w:pPr>
              <w:spacing w:line="249" w:lineRule="auto"/>
              <w:ind w:left="60"/>
              <w:rPr>
                <w:rFonts w:ascii="Arial" w:hAnsi="Arial" w:cs="Arial"/>
                <w:sz w:val="22"/>
                <w:szCs w:val="22"/>
              </w:rPr>
            </w:pPr>
            <w:r>
              <w:rPr>
                <w:rFonts w:ascii="Arial" w:hAnsi="Arial" w:cs="Arial"/>
                <w:sz w:val="22"/>
                <w:szCs w:val="22"/>
              </w:rPr>
              <w:t xml:space="preserve">2.543.945,03 </w:t>
            </w:r>
          </w:p>
          <w:p w:rsidR="009B4233" w:rsidRDefault="006B08B9">
            <w:pPr>
              <w:spacing w:line="249" w:lineRule="auto"/>
              <w:ind w:left="60"/>
              <w:rPr>
                <w:rFonts w:ascii="Arial" w:hAnsi="Arial" w:cs="Arial"/>
                <w:sz w:val="22"/>
                <w:szCs w:val="22"/>
              </w:rPr>
            </w:pPr>
            <w:r>
              <w:rPr>
                <w:rFonts w:ascii="Arial" w:hAnsi="Arial" w:cs="Arial"/>
                <w:sz w:val="22"/>
                <w:szCs w:val="22"/>
              </w:rPr>
              <w:t>€</w:t>
            </w:r>
          </w:p>
        </w:tc>
        <w:tc>
          <w:tcPr>
            <w:tcW w:w="1313" w:type="dxa"/>
            <w:tcBorders>
              <w:top w:val="single" w:sz="4" w:space="0" w:color="000000"/>
              <w:left w:val="single" w:sz="4" w:space="0" w:color="000000"/>
              <w:bottom w:val="single" w:sz="4" w:space="0" w:color="000000"/>
              <w:right w:val="single" w:sz="4" w:space="0" w:color="000000"/>
            </w:tcBorders>
            <w:shd w:val="clear" w:color="auto" w:fill="D9D9D9"/>
            <w:tcMar>
              <w:top w:w="9" w:type="dxa"/>
              <w:left w:w="26" w:type="dxa"/>
              <w:bottom w:w="0" w:type="dxa"/>
              <w:right w:w="72" w:type="dxa"/>
            </w:tcMar>
          </w:tcPr>
          <w:p w:rsidR="009B4233" w:rsidRDefault="006B08B9">
            <w:pPr>
              <w:spacing w:line="249" w:lineRule="auto"/>
              <w:ind w:left="60"/>
              <w:rPr>
                <w:rFonts w:ascii="Arial" w:hAnsi="Arial" w:cs="Arial"/>
                <w:sz w:val="22"/>
                <w:szCs w:val="22"/>
              </w:rPr>
            </w:pPr>
            <w:r>
              <w:rPr>
                <w:rFonts w:ascii="Arial" w:hAnsi="Arial" w:cs="Arial"/>
                <w:sz w:val="22"/>
                <w:szCs w:val="22"/>
              </w:rPr>
              <w:t>7.457.033,64 €</w:t>
            </w:r>
          </w:p>
        </w:tc>
      </w:tr>
      <w:tr w:rsidR="009B4233">
        <w:tblPrEx>
          <w:tblCellMar>
            <w:top w:w="0" w:type="dxa"/>
            <w:bottom w:w="0" w:type="dxa"/>
          </w:tblCellMar>
        </w:tblPrEx>
        <w:trPr>
          <w:trHeight w:val="326"/>
        </w:trPr>
        <w:tc>
          <w:tcPr>
            <w:tcW w:w="1417" w:type="dxa"/>
            <w:tcBorders>
              <w:top w:val="single" w:sz="4" w:space="0" w:color="000000"/>
              <w:left w:val="single" w:sz="4" w:space="0" w:color="000000"/>
              <w:bottom w:val="single" w:sz="4" w:space="0" w:color="000000"/>
              <w:right w:val="single" w:sz="4" w:space="0" w:color="000000"/>
            </w:tcBorders>
            <w:shd w:val="clear" w:color="auto" w:fill="D9D9D9"/>
            <w:tcMar>
              <w:top w:w="9" w:type="dxa"/>
              <w:left w:w="26" w:type="dxa"/>
              <w:bottom w:w="0" w:type="dxa"/>
              <w:right w:w="72" w:type="dxa"/>
            </w:tcMar>
          </w:tcPr>
          <w:p w:rsidR="009B4233" w:rsidRDefault="006B08B9">
            <w:pPr>
              <w:spacing w:line="249" w:lineRule="auto"/>
            </w:pPr>
            <w:r>
              <w:rPr>
                <w:rFonts w:ascii="Arial" w:eastAsia="Calibri" w:hAnsi="Arial" w:cs="Arial"/>
                <w:b/>
                <w:sz w:val="22"/>
                <w:szCs w:val="22"/>
              </w:rPr>
              <w:t>Ayuntamiento</w:t>
            </w:r>
          </w:p>
        </w:tc>
        <w:tc>
          <w:tcPr>
            <w:tcW w:w="1313" w:type="dxa"/>
            <w:tcBorders>
              <w:top w:val="single" w:sz="4" w:space="0" w:color="000000"/>
              <w:left w:val="single" w:sz="4" w:space="0" w:color="000000"/>
              <w:bottom w:val="single" w:sz="4" w:space="0" w:color="000000"/>
              <w:right w:val="single" w:sz="4" w:space="0" w:color="000000"/>
            </w:tcBorders>
            <w:shd w:val="clear" w:color="auto" w:fill="auto"/>
            <w:tcMar>
              <w:top w:w="9" w:type="dxa"/>
              <w:left w:w="26" w:type="dxa"/>
              <w:bottom w:w="0" w:type="dxa"/>
              <w:right w:w="72" w:type="dxa"/>
            </w:tcMar>
          </w:tcPr>
          <w:p w:rsidR="009B4233" w:rsidRDefault="006B08B9">
            <w:pPr>
              <w:spacing w:line="249" w:lineRule="auto"/>
              <w:ind w:left="52"/>
              <w:jc w:val="center"/>
              <w:rPr>
                <w:rFonts w:ascii="Arial" w:hAnsi="Arial" w:cs="Arial"/>
                <w:sz w:val="22"/>
                <w:szCs w:val="22"/>
              </w:rPr>
            </w:pPr>
            <w:r>
              <w:rPr>
                <w:rFonts w:ascii="Arial" w:hAnsi="Arial" w:cs="Arial"/>
                <w:sz w:val="22"/>
                <w:szCs w:val="22"/>
              </w:rPr>
              <w:t>0,00 €</w:t>
            </w:r>
          </w:p>
        </w:tc>
        <w:tc>
          <w:tcPr>
            <w:tcW w:w="1148" w:type="dxa"/>
            <w:tcBorders>
              <w:top w:val="single" w:sz="4" w:space="0" w:color="000000"/>
              <w:left w:val="single" w:sz="4" w:space="0" w:color="000000"/>
              <w:bottom w:val="single" w:sz="4" w:space="0" w:color="000000"/>
              <w:right w:val="single" w:sz="4" w:space="0" w:color="000000"/>
            </w:tcBorders>
            <w:shd w:val="clear" w:color="auto" w:fill="auto"/>
            <w:tcMar>
              <w:top w:w="9" w:type="dxa"/>
              <w:left w:w="26" w:type="dxa"/>
              <w:bottom w:w="0" w:type="dxa"/>
              <w:right w:w="72" w:type="dxa"/>
            </w:tcMar>
          </w:tcPr>
          <w:p w:rsidR="009B4233" w:rsidRDefault="006B08B9">
            <w:pPr>
              <w:spacing w:line="249" w:lineRule="auto"/>
              <w:ind w:left="60"/>
              <w:rPr>
                <w:rFonts w:ascii="Arial" w:hAnsi="Arial" w:cs="Arial"/>
                <w:sz w:val="22"/>
                <w:szCs w:val="22"/>
              </w:rPr>
            </w:pPr>
            <w:r>
              <w:rPr>
                <w:rFonts w:ascii="Arial" w:hAnsi="Arial" w:cs="Arial"/>
                <w:sz w:val="22"/>
                <w:szCs w:val="22"/>
              </w:rPr>
              <w:t xml:space="preserve">621.419,47 </w:t>
            </w:r>
          </w:p>
          <w:p w:rsidR="009B4233" w:rsidRDefault="006B08B9">
            <w:pPr>
              <w:spacing w:line="249" w:lineRule="auto"/>
              <w:ind w:left="60"/>
              <w:rPr>
                <w:rFonts w:ascii="Arial" w:hAnsi="Arial" w:cs="Arial"/>
                <w:sz w:val="22"/>
                <w:szCs w:val="22"/>
              </w:rPr>
            </w:pPr>
            <w:r>
              <w:rPr>
                <w:rFonts w:ascii="Arial" w:hAnsi="Arial" w:cs="Arial"/>
                <w:sz w:val="22"/>
                <w:szCs w:val="22"/>
              </w:rPr>
              <w:t>€</w:t>
            </w:r>
          </w:p>
        </w:tc>
        <w:tc>
          <w:tcPr>
            <w:tcW w:w="597" w:type="dxa"/>
            <w:tcBorders>
              <w:top w:val="single" w:sz="4" w:space="0" w:color="000000"/>
              <w:left w:val="single" w:sz="4" w:space="0" w:color="000000"/>
              <w:bottom w:val="single" w:sz="4" w:space="0" w:color="000000"/>
              <w:right w:val="single" w:sz="4" w:space="0" w:color="000000"/>
            </w:tcBorders>
            <w:shd w:val="clear" w:color="auto" w:fill="auto"/>
            <w:tcMar>
              <w:top w:w="9" w:type="dxa"/>
              <w:left w:w="26" w:type="dxa"/>
              <w:bottom w:w="0" w:type="dxa"/>
              <w:right w:w="72" w:type="dxa"/>
            </w:tcMar>
          </w:tcPr>
          <w:p w:rsidR="009B4233" w:rsidRDefault="006B08B9">
            <w:pPr>
              <w:spacing w:line="249" w:lineRule="auto"/>
              <w:ind w:left="62"/>
              <w:jc w:val="center"/>
              <w:rPr>
                <w:rFonts w:ascii="Arial" w:hAnsi="Arial" w:cs="Arial"/>
                <w:sz w:val="22"/>
                <w:szCs w:val="22"/>
              </w:rPr>
            </w:pPr>
            <w:r>
              <w:rPr>
                <w:rFonts w:ascii="Arial" w:hAnsi="Arial" w:cs="Arial"/>
                <w:sz w:val="22"/>
                <w:szCs w:val="22"/>
              </w:rPr>
              <w:t>0,00 €</w:t>
            </w:r>
          </w:p>
        </w:tc>
        <w:tc>
          <w:tcPr>
            <w:tcW w:w="1150" w:type="dxa"/>
            <w:tcBorders>
              <w:top w:val="single" w:sz="4" w:space="0" w:color="000000"/>
              <w:left w:val="single" w:sz="4" w:space="0" w:color="000000"/>
              <w:bottom w:val="single" w:sz="4" w:space="0" w:color="000000"/>
              <w:right w:val="single" w:sz="4" w:space="0" w:color="000000"/>
            </w:tcBorders>
            <w:shd w:val="clear" w:color="auto" w:fill="auto"/>
            <w:tcMar>
              <w:top w:w="9" w:type="dxa"/>
              <w:left w:w="26" w:type="dxa"/>
              <w:bottom w:w="0" w:type="dxa"/>
              <w:right w:w="72" w:type="dxa"/>
            </w:tcMar>
          </w:tcPr>
          <w:p w:rsidR="009B4233" w:rsidRDefault="006B08B9">
            <w:pPr>
              <w:spacing w:line="249" w:lineRule="auto"/>
              <w:ind w:left="62"/>
              <w:jc w:val="center"/>
              <w:rPr>
                <w:rFonts w:ascii="Arial" w:hAnsi="Arial" w:cs="Arial"/>
                <w:sz w:val="22"/>
                <w:szCs w:val="22"/>
              </w:rPr>
            </w:pPr>
            <w:r>
              <w:rPr>
                <w:rFonts w:ascii="Arial" w:hAnsi="Arial" w:cs="Arial"/>
                <w:sz w:val="22"/>
                <w:szCs w:val="22"/>
              </w:rPr>
              <w:t>621.419,47 €</w:t>
            </w:r>
          </w:p>
        </w:tc>
        <w:tc>
          <w:tcPr>
            <w:tcW w:w="1313" w:type="dxa"/>
            <w:tcBorders>
              <w:top w:val="single" w:sz="4" w:space="0" w:color="000000"/>
              <w:left w:val="single" w:sz="4" w:space="0" w:color="000000"/>
              <w:bottom w:val="single" w:sz="4" w:space="0" w:color="000000"/>
              <w:right w:val="single" w:sz="4" w:space="0" w:color="000000"/>
            </w:tcBorders>
            <w:shd w:val="clear" w:color="auto" w:fill="auto"/>
            <w:tcMar>
              <w:top w:w="9" w:type="dxa"/>
              <w:left w:w="26" w:type="dxa"/>
              <w:bottom w:w="0" w:type="dxa"/>
              <w:right w:w="72" w:type="dxa"/>
            </w:tcMar>
          </w:tcPr>
          <w:p w:rsidR="009B4233" w:rsidRDefault="006B08B9">
            <w:pPr>
              <w:spacing w:line="249" w:lineRule="auto"/>
              <w:ind w:left="62"/>
              <w:jc w:val="center"/>
              <w:rPr>
                <w:rFonts w:ascii="Arial" w:hAnsi="Arial" w:cs="Arial"/>
                <w:sz w:val="22"/>
                <w:szCs w:val="22"/>
              </w:rPr>
            </w:pPr>
            <w:r>
              <w:rPr>
                <w:rFonts w:ascii="Arial" w:hAnsi="Arial" w:cs="Arial"/>
                <w:sz w:val="22"/>
                <w:szCs w:val="22"/>
              </w:rPr>
              <w:t>621.419,47 €</w:t>
            </w:r>
          </w:p>
        </w:tc>
        <w:tc>
          <w:tcPr>
            <w:tcW w:w="1313" w:type="dxa"/>
            <w:tcBorders>
              <w:top w:val="single" w:sz="4" w:space="0" w:color="000000"/>
              <w:left w:val="single" w:sz="4" w:space="0" w:color="000000"/>
              <w:bottom w:val="single" w:sz="4" w:space="0" w:color="000000"/>
              <w:right w:val="single" w:sz="4" w:space="0" w:color="000000"/>
            </w:tcBorders>
            <w:shd w:val="clear" w:color="auto" w:fill="auto"/>
            <w:tcMar>
              <w:top w:w="9" w:type="dxa"/>
              <w:left w:w="26" w:type="dxa"/>
              <w:bottom w:w="0" w:type="dxa"/>
              <w:right w:w="72" w:type="dxa"/>
            </w:tcMar>
          </w:tcPr>
          <w:p w:rsidR="009B4233" w:rsidRDefault="006B08B9">
            <w:pPr>
              <w:spacing w:line="249" w:lineRule="auto"/>
              <w:ind w:left="54"/>
              <w:jc w:val="center"/>
              <w:rPr>
                <w:rFonts w:ascii="Arial" w:hAnsi="Arial" w:cs="Arial"/>
                <w:sz w:val="22"/>
                <w:szCs w:val="22"/>
              </w:rPr>
            </w:pPr>
            <w:r>
              <w:rPr>
                <w:rFonts w:ascii="Arial" w:hAnsi="Arial" w:cs="Arial"/>
                <w:sz w:val="22"/>
                <w:szCs w:val="22"/>
              </w:rPr>
              <w:t>0,00 €</w:t>
            </w:r>
          </w:p>
        </w:tc>
        <w:tc>
          <w:tcPr>
            <w:tcW w:w="1313" w:type="dxa"/>
            <w:tcBorders>
              <w:top w:val="single" w:sz="4" w:space="0" w:color="000000"/>
              <w:left w:val="single" w:sz="4" w:space="0" w:color="000000"/>
              <w:bottom w:val="single" w:sz="4" w:space="0" w:color="000000"/>
              <w:right w:val="single" w:sz="4" w:space="0" w:color="000000"/>
            </w:tcBorders>
            <w:shd w:val="clear" w:color="auto" w:fill="D9D9D9"/>
            <w:tcMar>
              <w:top w:w="9" w:type="dxa"/>
              <w:left w:w="26" w:type="dxa"/>
              <w:bottom w:w="0" w:type="dxa"/>
              <w:right w:w="72" w:type="dxa"/>
            </w:tcMar>
          </w:tcPr>
          <w:p w:rsidR="009B4233" w:rsidRDefault="006B08B9">
            <w:pPr>
              <w:spacing w:line="249" w:lineRule="auto"/>
              <w:ind w:left="60"/>
              <w:rPr>
                <w:rFonts w:ascii="Arial" w:hAnsi="Arial" w:cs="Arial"/>
                <w:sz w:val="22"/>
                <w:szCs w:val="22"/>
              </w:rPr>
            </w:pPr>
            <w:r>
              <w:rPr>
                <w:rFonts w:ascii="Arial" w:hAnsi="Arial" w:cs="Arial"/>
                <w:sz w:val="22"/>
                <w:szCs w:val="22"/>
              </w:rPr>
              <w:t>1.864.258,41 €</w:t>
            </w:r>
          </w:p>
        </w:tc>
      </w:tr>
      <w:tr w:rsidR="009B4233">
        <w:tblPrEx>
          <w:tblCellMar>
            <w:top w:w="0" w:type="dxa"/>
            <w:bottom w:w="0" w:type="dxa"/>
          </w:tblCellMar>
        </w:tblPrEx>
        <w:trPr>
          <w:trHeight w:val="168"/>
        </w:trPr>
        <w:tc>
          <w:tcPr>
            <w:tcW w:w="1417" w:type="dxa"/>
            <w:tcBorders>
              <w:top w:val="single" w:sz="4" w:space="0" w:color="000000"/>
              <w:left w:val="single" w:sz="4" w:space="0" w:color="C0C0C0"/>
              <w:bottom w:val="single" w:sz="4" w:space="0" w:color="C0C0C0"/>
              <w:right w:val="single" w:sz="4" w:space="0" w:color="000000"/>
            </w:tcBorders>
            <w:shd w:val="clear" w:color="auto" w:fill="auto"/>
            <w:tcMar>
              <w:top w:w="9" w:type="dxa"/>
              <w:left w:w="26" w:type="dxa"/>
              <w:bottom w:w="0" w:type="dxa"/>
              <w:right w:w="72" w:type="dxa"/>
            </w:tcMar>
          </w:tcPr>
          <w:p w:rsidR="009B4233" w:rsidRDefault="006B08B9">
            <w:pPr>
              <w:spacing w:line="249" w:lineRule="auto"/>
            </w:pPr>
            <w:r>
              <w:rPr>
                <w:rFonts w:ascii="Arial" w:eastAsia="Calibri" w:hAnsi="Arial" w:cs="Arial"/>
                <w:b/>
                <w:sz w:val="22"/>
                <w:szCs w:val="22"/>
              </w:rPr>
              <w:t>Total</w:t>
            </w:r>
          </w:p>
        </w:tc>
        <w:tc>
          <w:tcPr>
            <w:tcW w:w="1313" w:type="dxa"/>
            <w:tcBorders>
              <w:top w:val="single" w:sz="4" w:space="0" w:color="000000"/>
              <w:left w:val="single" w:sz="4" w:space="0" w:color="000000"/>
              <w:bottom w:val="single" w:sz="4" w:space="0" w:color="000000"/>
              <w:right w:val="single" w:sz="4" w:space="0" w:color="000000"/>
            </w:tcBorders>
            <w:shd w:val="clear" w:color="auto" w:fill="D9D9D9"/>
            <w:tcMar>
              <w:top w:w="9" w:type="dxa"/>
              <w:left w:w="26" w:type="dxa"/>
              <w:bottom w:w="0" w:type="dxa"/>
              <w:right w:w="72" w:type="dxa"/>
            </w:tcMar>
          </w:tcPr>
          <w:p w:rsidR="009B4233" w:rsidRDefault="006B08B9">
            <w:pPr>
              <w:spacing w:line="249" w:lineRule="auto"/>
              <w:ind w:left="60"/>
            </w:pPr>
            <w:r>
              <w:rPr>
                <w:rFonts w:ascii="Arial" w:eastAsia="Calibri" w:hAnsi="Arial" w:cs="Arial"/>
                <w:b/>
                <w:sz w:val="22"/>
                <w:szCs w:val="22"/>
              </w:rPr>
              <w:t xml:space="preserve">2.369.143,58 </w:t>
            </w:r>
          </w:p>
        </w:tc>
        <w:tc>
          <w:tcPr>
            <w:tcW w:w="1148" w:type="dxa"/>
            <w:tcBorders>
              <w:top w:val="single" w:sz="4" w:space="0" w:color="000000"/>
              <w:left w:val="single" w:sz="4" w:space="0" w:color="000000"/>
              <w:bottom w:val="single" w:sz="4" w:space="0" w:color="000000"/>
              <w:right w:val="single" w:sz="4" w:space="0" w:color="000000"/>
            </w:tcBorders>
            <w:shd w:val="clear" w:color="auto" w:fill="D9D9D9"/>
            <w:tcMar>
              <w:top w:w="9" w:type="dxa"/>
              <w:left w:w="26" w:type="dxa"/>
              <w:bottom w:w="0" w:type="dxa"/>
              <w:right w:w="72" w:type="dxa"/>
            </w:tcMar>
          </w:tcPr>
          <w:p w:rsidR="009B4233" w:rsidRDefault="006B08B9">
            <w:pPr>
              <w:spacing w:line="249" w:lineRule="auto"/>
              <w:ind w:left="60"/>
            </w:pPr>
            <w:r>
              <w:rPr>
                <w:rFonts w:ascii="Arial" w:eastAsia="Calibri" w:hAnsi="Arial" w:cs="Arial"/>
                <w:b/>
                <w:sz w:val="22"/>
                <w:szCs w:val="22"/>
              </w:rPr>
              <w:t xml:space="preserve">621.419,47 </w:t>
            </w:r>
          </w:p>
        </w:tc>
        <w:tc>
          <w:tcPr>
            <w:tcW w:w="597" w:type="dxa"/>
            <w:tcBorders>
              <w:top w:val="single" w:sz="4" w:space="0" w:color="000000"/>
              <w:left w:val="single" w:sz="4" w:space="0" w:color="000000"/>
              <w:bottom w:val="single" w:sz="4" w:space="0" w:color="000000"/>
              <w:right w:val="single" w:sz="4" w:space="0" w:color="000000"/>
            </w:tcBorders>
            <w:shd w:val="clear" w:color="auto" w:fill="D9D9D9"/>
            <w:tcMar>
              <w:top w:w="9" w:type="dxa"/>
              <w:left w:w="26" w:type="dxa"/>
              <w:bottom w:w="0" w:type="dxa"/>
              <w:right w:w="72" w:type="dxa"/>
            </w:tcMar>
          </w:tcPr>
          <w:p w:rsidR="009B4233" w:rsidRDefault="006B08B9">
            <w:pPr>
              <w:spacing w:line="249" w:lineRule="auto"/>
              <w:ind w:left="62"/>
              <w:jc w:val="center"/>
            </w:pPr>
            <w:r>
              <w:rPr>
                <w:rFonts w:ascii="Arial" w:eastAsia="Calibri" w:hAnsi="Arial" w:cs="Arial"/>
                <w:b/>
                <w:sz w:val="22"/>
                <w:szCs w:val="22"/>
              </w:rPr>
              <w:t>0,00 €</w:t>
            </w:r>
          </w:p>
        </w:tc>
        <w:tc>
          <w:tcPr>
            <w:tcW w:w="1150" w:type="dxa"/>
            <w:tcBorders>
              <w:top w:val="single" w:sz="4" w:space="0" w:color="000000"/>
              <w:left w:val="single" w:sz="4" w:space="0" w:color="000000"/>
              <w:bottom w:val="single" w:sz="4" w:space="0" w:color="000000"/>
              <w:right w:val="single" w:sz="4" w:space="0" w:color="000000"/>
            </w:tcBorders>
            <w:shd w:val="clear" w:color="auto" w:fill="D9D9D9"/>
            <w:tcMar>
              <w:top w:w="9" w:type="dxa"/>
              <w:left w:w="26" w:type="dxa"/>
              <w:bottom w:w="0" w:type="dxa"/>
              <w:right w:w="72" w:type="dxa"/>
            </w:tcMar>
          </w:tcPr>
          <w:p w:rsidR="009B4233" w:rsidRDefault="006B08B9">
            <w:pPr>
              <w:spacing w:line="249" w:lineRule="auto"/>
              <w:ind w:left="62"/>
              <w:jc w:val="center"/>
            </w:pPr>
            <w:r>
              <w:rPr>
                <w:rFonts w:ascii="Arial" w:eastAsia="Calibri" w:hAnsi="Arial" w:cs="Arial"/>
                <w:b/>
                <w:sz w:val="22"/>
                <w:szCs w:val="22"/>
              </w:rPr>
              <w:t>621.419,47 €</w:t>
            </w:r>
          </w:p>
        </w:tc>
        <w:tc>
          <w:tcPr>
            <w:tcW w:w="1313" w:type="dxa"/>
            <w:tcBorders>
              <w:top w:val="single" w:sz="4" w:space="0" w:color="000000"/>
              <w:left w:val="single" w:sz="4" w:space="0" w:color="000000"/>
              <w:bottom w:val="single" w:sz="4" w:space="0" w:color="000000"/>
              <w:right w:val="single" w:sz="4" w:space="0" w:color="000000"/>
            </w:tcBorders>
            <w:shd w:val="clear" w:color="auto" w:fill="D9D9D9"/>
            <w:tcMar>
              <w:top w:w="9" w:type="dxa"/>
              <w:left w:w="26" w:type="dxa"/>
              <w:bottom w:w="0" w:type="dxa"/>
              <w:right w:w="72" w:type="dxa"/>
            </w:tcMar>
          </w:tcPr>
          <w:p w:rsidR="009B4233" w:rsidRDefault="006B08B9">
            <w:pPr>
              <w:spacing w:line="249" w:lineRule="auto"/>
              <w:ind w:left="60"/>
            </w:pPr>
            <w:r>
              <w:rPr>
                <w:rFonts w:ascii="Arial" w:eastAsia="Calibri" w:hAnsi="Arial" w:cs="Arial"/>
                <w:b/>
                <w:sz w:val="22"/>
                <w:szCs w:val="22"/>
              </w:rPr>
              <w:t xml:space="preserve">3.165.364,50 </w:t>
            </w:r>
          </w:p>
        </w:tc>
        <w:tc>
          <w:tcPr>
            <w:tcW w:w="1313" w:type="dxa"/>
            <w:tcBorders>
              <w:top w:val="single" w:sz="4" w:space="0" w:color="000000"/>
              <w:left w:val="single" w:sz="4" w:space="0" w:color="000000"/>
              <w:bottom w:val="single" w:sz="4" w:space="0" w:color="000000"/>
              <w:right w:val="single" w:sz="4" w:space="0" w:color="000000"/>
            </w:tcBorders>
            <w:shd w:val="clear" w:color="auto" w:fill="D9D9D9"/>
            <w:tcMar>
              <w:top w:w="9" w:type="dxa"/>
              <w:left w:w="26" w:type="dxa"/>
              <w:bottom w:w="0" w:type="dxa"/>
              <w:right w:w="72" w:type="dxa"/>
            </w:tcMar>
          </w:tcPr>
          <w:p w:rsidR="009B4233" w:rsidRDefault="006B08B9">
            <w:pPr>
              <w:spacing w:line="249" w:lineRule="auto"/>
              <w:ind w:left="60"/>
            </w:pPr>
            <w:r>
              <w:rPr>
                <w:rFonts w:ascii="Arial" w:eastAsia="Calibri" w:hAnsi="Arial" w:cs="Arial"/>
                <w:b/>
                <w:sz w:val="22"/>
                <w:szCs w:val="22"/>
              </w:rPr>
              <w:t xml:space="preserve">2.543.945,03 </w:t>
            </w:r>
          </w:p>
        </w:tc>
        <w:tc>
          <w:tcPr>
            <w:tcW w:w="1313" w:type="dxa"/>
            <w:tcBorders>
              <w:top w:val="single" w:sz="4" w:space="0" w:color="000000"/>
              <w:left w:val="single" w:sz="4" w:space="0" w:color="000000"/>
              <w:bottom w:val="single" w:sz="4" w:space="0" w:color="000000"/>
              <w:right w:val="single" w:sz="4" w:space="0" w:color="000000"/>
            </w:tcBorders>
            <w:shd w:val="clear" w:color="auto" w:fill="D9D9D9"/>
            <w:tcMar>
              <w:top w:w="9" w:type="dxa"/>
              <w:left w:w="26" w:type="dxa"/>
              <w:bottom w:w="0" w:type="dxa"/>
              <w:right w:w="72" w:type="dxa"/>
            </w:tcMar>
          </w:tcPr>
          <w:p w:rsidR="009B4233" w:rsidRDefault="006B08B9">
            <w:pPr>
              <w:spacing w:line="249" w:lineRule="auto"/>
              <w:ind w:left="60"/>
            </w:pPr>
            <w:r>
              <w:rPr>
                <w:rFonts w:ascii="Arial" w:eastAsia="Calibri" w:hAnsi="Arial" w:cs="Arial"/>
                <w:b/>
                <w:sz w:val="22"/>
                <w:szCs w:val="22"/>
              </w:rPr>
              <w:t>9.321.292,05 €</w:t>
            </w:r>
          </w:p>
        </w:tc>
      </w:tr>
    </w:tbl>
    <w:p w:rsidR="009B4233" w:rsidRDefault="006B08B9">
      <w:pPr>
        <w:spacing w:after="483" w:line="249" w:lineRule="auto"/>
        <w:ind w:left="-15"/>
      </w:pPr>
      <w:r>
        <w:rPr>
          <w:rFonts w:ascii="Arial" w:hAnsi="Arial" w:cs="Arial"/>
          <w:noProof/>
          <w:sz w:val="22"/>
          <w:szCs w:val="22"/>
          <w:lang w:eastAsia="es-ES" w:bidi="ar-SA"/>
        </w:rPr>
        <mc:AlternateContent>
          <mc:Choice Requires="wpg">
            <w:drawing>
              <wp:inline distT="0" distB="0" distL="0" distR="0">
                <wp:extent cx="4906012" cy="131746"/>
                <wp:effectExtent l="0" t="0" r="27938" b="1604"/>
                <wp:docPr id="91" name="Grupo 10662"/>
                <wp:cNvGraphicFramePr/>
                <a:graphic xmlns:a="http://schemas.openxmlformats.org/drawingml/2006/main">
                  <a:graphicData uri="http://schemas.microsoft.com/office/word/2010/wordprocessingGroup">
                    <wpg:wgp>
                      <wpg:cNvGrpSpPr/>
                      <wpg:grpSpPr>
                        <a:xfrm>
                          <a:off x="0" y="0"/>
                          <a:ext cx="4906012" cy="131746"/>
                          <a:chOff x="0" y="0"/>
                          <a:chExt cx="4906012" cy="131746"/>
                        </a:xfrm>
                      </wpg:grpSpPr>
                      <wps:wsp>
                        <wps:cNvPr id="92" name="Shape 11418"/>
                        <wps:cNvSpPr/>
                        <wps:spPr>
                          <a:xfrm>
                            <a:off x="620392" y="0"/>
                            <a:ext cx="643252" cy="106042"/>
                          </a:xfrm>
                          <a:custGeom>
                            <a:avLst/>
                            <a:gdLst>
                              <a:gd name="f0" fmla="val w"/>
                              <a:gd name="f1" fmla="val h"/>
                              <a:gd name="f2" fmla="val 0"/>
                              <a:gd name="f3" fmla="val 643255"/>
                              <a:gd name="f4" fmla="val 106045"/>
                              <a:gd name="f5" fmla="*/ f0 1 643255"/>
                              <a:gd name="f6" fmla="*/ f1 1 106045"/>
                              <a:gd name="f7" fmla="+- f4 0 f2"/>
                              <a:gd name="f8" fmla="+- f3 0 f2"/>
                              <a:gd name="f9" fmla="*/ f8 1 643255"/>
                              <a:gd name="f10" fmla="*/ f7 1 106045"/>
                              <a:gd name="f11" fmla="*/ 0 1 f9"/>
                              <a:gd name="f12" fmla="*/ 643255 1 f9"/>
                              <a:gd name="f13" fmla="*/ 0 1 f10"/>
                              <a:gd name="f14" fmla="*/ 106045 1 f10"/>
                              <a:gd name="f15" fmla="*/ f11 f5 1"/>
                              <a:gd name="f16" fmla="*/ f12 f5 1"/>
                              <a:gd name="f17" fmla="*/ f14 f6 1"/>
                              <a:gd name="f18" fmla="*/ f13 f6 1"/>
                            </a:gdLst>
                            <a:ahLst/>
                            <a:cxnLst>
                              <a:cxn ang="3cd4">
                                <a:pos x="hc" y="t"/>
                              </a:cxn>
                              <a:cxn ang="0">
                                <a:pos x="r" y="vc"/>
                              </a:cxn>
                              <a:cxn ang="cd4">
                                <a:pos x="hc" y="b"/>
                              </a:cxn>
                              <a:cxn ang="cd2">
                                <a:pos x="l" y="vc"/>
                              </a:cxn>
                            </a:cxnLst>
                            <a:rect l="f15" t="f18" r="f16" b="f17"/>
                            <a:pathLst>
                              <a:path w="643255" h="106045">
                                <a:moveTo>
                                  <a:pt x="f2" y="f2"/>
                                </a:moveTo>
                                <a:lnTo>
                                  <a:pt x="f3" y="f2"/>
                                </a:lnTo>
                                <a:lnTo>
                                  <a:pt x="f3" y="f4"/>
                                </a:lnTo>
                                <a:lnTo>
                                  <a:pt x="f2" y="f4"/>
                                </a:lnTo>
                                <a:lnTo>
                                  <a:pt x="f2" y="f2"/>
                                </a:lnTo>
                              </a:path>
                            </a:pathLst>
                          </a:custGeom>
                          <a:noFill/>
                          <a:ln cap="flat">
                            <a:noFill/>
                            <a:prstDash val="solid"/>
                          </a:ln>
                        </wps:spPr>
                        <wps:bodyPr lIns="0" tIns="0" rIns="0" bIns="0"/>
                      </wps:wsp>
                      <wps:wsp>
                        <wps:cNvPr id="93" name="Shape 11419"/>
                        <wps:cNvSpPr/>
                        <wps:spPr>
                          <a:xfrm>
                            <a:off x="1264286" y="0"/>
                            <a:ext cx="568327" cy="106042"/>
                          </a:xfrm>
                          <a:custGeom>
                            <a:avLst/>
                            <a:gdLst>
                              <a:gd name="f0" fmla="val w"/>
                              <a:gd name="f1" fmla="val h"/>
                              <a:gd name="f2" fmla="val 0"/>
                              <a:gd name="f3" fmla="val 568325"/>
                              <a:gd name="f4" fmla="val 106045"/>
                              <a:gd name="f5" fmla="*/ f0 1 568325"/>
                              <a:gd name="f6" fmla="*/ f1 1 106045"/>
                              <a:gd name="f7" fmla="+- f4 0 f2"/>
                              <a:gd name="f8" fmla="+- f3 0 f2"/>
                              <a:gd name="f9" fmla="*/ f8 1 568325"/>
                              <a:gd name="f10" fmla="*/ f7 1 106045"/>
                              <a:gd name="f11" fmla="*/ 0 1 f9"/>
                              <a:gd name="f12" fmla="*/ 568325 1 f9"/>
                              <a:gd name="f13" fmla="*/ 0 1 f10"/>
                              <a:gd name="f14" fmla="*/ 106045 1 f10"/>
                              <a:gd name="f15" fmla="*/ f11 f5 1"/>
                              <a:gd name="f16" fmla="*/ f12 f5 1"/>
                              <a:gd name="f17" fmla="*/ f14 f6 1"/>
                              <a:gd name="f18" fmla="*/ f13 f6 1"/>
                            </a:gdLst>
                            <a:ahLst/>
                            <a:cxnLst>
                              <a:cxn ang="3cd4">
                                <a:pos x="hc" y="t"/>
                              </a:cxn>
                              <a:cxn ang="0">
                                <a:pos x="r" y="vc"/>
                              </a:cxn>
                              <a:cxn ang="cd4">
                                <a:pos x="hc" y="b"/>
                              </a:cxn>
                              <a:cxn ang="cd2">
                                <a:pos x="l" y="vc"/>
                              </a:cxn>
                            </a:cxnLst>
                            <a:rect l="f15" t="f18" r="f16" b="f17"/>
                            <a:pathLst>
                              <a:path w="568325" h="106045">
                                <a:moveTo>
                                  <a:pt x="f2" y="f2"/>
                                </a:moveTo>
                                <a:lnTo>
                                  <a:pt x="f3" y="f2"/>
                                </a:lnTo>
                                <a:lnTo>
                                  <a:pt x="f3" y="f4"/>
                                </a:lnTo>
                                <a:lnTo>
                                  <a:pt x="f2" y="f4"/>
                                </a:lnTo>
                                <a:lnTo>
                                  <a:pt x="f2" y="f2"/>
                                </a:lnTo>
                              </a:path>
                            </a:pathLst>
                          </a:custGeom>
                          <a:noFill/>
                          <a:ln cap="flat">
                            <a:noFill/>
                            <a:prstDash val="solid"/>
                          </a:ln>
                        </wps:spPr>
                        <wps:bodyPr lIns="0" tIns="0" rIns="0" bIns="0"/>
                      </wps:wsp>
                      <wps:wsp>
                        <wps:cNvPr id="94" name="Shape 11420"/>
                        <wps:cNvSpPr/>
                        <wps:spPr>
                          <a:xfrm>
                            <a:off x="1833243" y="0"/>
                            <a:ext cx="487046" cy="106042"/>
                          </a:xfrm>
                          <a:custGeom>
                            <a:avLst/>
                            <a:gdLst>
                              <a:gd name="f0" fmla="val w"/>
                              <a:gd name="f1" fmla="val h"/>
                              <a:gd name="f2" fmla="val 0"/>
                              <a:gd name="f3" fmla="val 487045"/>
                              <a:gd name="f4" fmla="val 106045"/>
                              <a:gd name="f5" fmla="*/ f0 1 487045"/>
                              <a:gd name="f6" fmla="*/ f1 1 106045"/>
                              <a:gd name="f7" fmla="+- f4 0 f2"/>
                              <a:gd name="f8" fmla="+- f3 0 f2"/>
                              <a:gd name="f9" fmla="*/ f8 1 487045"/>
                              <a:gd name="f10" fmla="*/ f7 1 106045"/>
                              <a:gd name="f11" fmla="*/ 0 1 f9"/>
                              <a:gd name="f12" fmla="*/ 487045 1 f9"/>
                              <a:gd name="f13" fmla="*/ 0 1 f10"/>
                              <a:gd name="f14" fmla="*/ 106045 1 f10"/>
                              <a:gd name="f15" fmla="*/ f11 f5 1"/>
                              <a:gd name="f16" fmla="*/ f12 f5 1"/>
                              <a:gd name="f17" fmla="*/ f14 f6 1"/>
                              <a:gd name="f18" fmla="*/ f13 f6 1"/>
                            </a:gdLst>
                            <a:ahLst/>
                            <a:cxnLst>
                              <a:cxn ang="3cd4">
                                <a:pos x="hc" y="t"/>
                              </a:cxn>
                              <a:cxn ang="0">
                                <a:pos x="r" y="vc"/>
                              </a:cxn>
                              <a:cxn ang="cd4">
                                <a:pos x="hc" y="b"/>
                              </a:cxn>
                              <a:cxn ang="cd2">
                                <a:pos x="l" y="vc"/>
                              </a:cxn>
                            </a:cxnLst>
                            <a:rect l="f15" t="f18" r="f16" b="f17"/>
                            <a:pathLst>
                              <a:path w="487045" h="106045">
                                <a:moveTo>
                                  <a:pt x="f2" y="f2"/>
                                </a:moveTo>
                                <a:lnTo>
                                  <a:pt x="f3" y="f2"/>
                                </a:lnTo>
                                <a:lnTo>
                                  <a:pt x="f3" y="f4"/>
                                </a:lnTo>
                                <a:lnTo>
                                  <a:pt x="f2" y="f4"/>
                                </a:lnTo>
                                <a:lnTo>
                                  <a:pt x="f2" y="f2"/>
                                </a:lnTo>
                              </a:path>
                            </a:pathLst>
                          </a:custGeom>
                          <a:noFill/>
                          <a:ln cap="flat">
                            <a:noFill/>
                            <a:prstDash val="solid"/>
                          </a:ln>
                        </wps:spPr>
                        <wps:bodyPr lIns="0" tIns="0" rIns="0" bIns="0"/>
                      </wps:wsp>
                      <wps:wsp>
                        <wps:cNvPr id="95" name="Shape 11421"/>
                        <wps:cNvSpPr/>
                        <wps:spPr>
                          <a:xfrm>
                            <a:off x="2320920" y="0"/>
                            <a:ext cx="643252" cy="106042"/>
                          </a:xfrm>
                          <a:custGeom>
                            <a:avLst/>
                            <a:gdLst>
                              <a:gd name="f0" fmla="val w"/>
                              <a:gd name="f1" fmla="val h"/>
                              <a:gd name="f2" fmla="val 0"/>
                              <a:gd name="f3" fmla="val 643255"/>
                              <a:gd name="f4" fmla="val 106045"/>
                              <a:gd name="f5" fmla="*/ f0 1 643255"/>
                              <a:gd name="f6" fmla="*/ f1 1 106045"/>
                              <a:gd name="f7" fmla="+- f4 0 f2"/>
                              <a:gd name="f8" fmla="+- f3 0 f2"/>
                              <a:gd name="f9" fmla="*/ f8 1 643255"/>
                              <a:gd name="f10" fmla="*/ f7 1 106045"/>
                              <a:gd name="f11" fmla="*/ 0 1 f9"/>
                              <a:gd name="f12" fmla="*/ 643255 1 f9"/>
                              <a:gd name="f13" fmla="*/ 0 1 f10"/>
                              <a:gd name="f14" fmla="*/ 106045 1 f10"/>
                              <a:gd name="f15" fmla="*/ f11 f5 1"/>
                              <a:gd name="f16" fmla="*/ f12 f5 1"/>
                              <a:gd name="f17" fmla="*/ f14 f6 1"/>
                              <a:gd name="f18" fmla="*/ f13 f6 1"/>
                            </a:gdLst>
                            <a:ahLst/>
                            <a:cxnLst>
                              <a:cxn ang="3cd4">
                                <a:pos x="hc" y="t"/>
                              </a:cxn>
                              <a:cxn ang="0">
                                <a:pos x="r" y="vc"/>
                              </a:cxn>
                              <a:cxn ang="cd4">
                                <a:pos x="hc" y="b"/>
                              </a:cxn>
                              <a:cxn ang="cd2">
                                <a:pos x="l" y="vc"/>
                              </a:cxn>
                            </a:cxnLst>
                            <a:rect l="f15" t="f18" r="f16" b="f17"/>
                            <a:pathLst>
                              <a:path w="643255" h="106045">
                                <a:moveTo>
                                  <a:pt x="f2" y="f2"/>
                                </a:moveTo>
                                <a:lnTo>
                                  <a:pt x="f3" y="f2"/>
                                </a:lnTo>
                                <a:lnTo>
                                  <a:pt x="f3" y="f4"/>
                                </a:lnTo>
                                <a:lnTo>
                                  <a:pt x="f2" y="f4"/>
                                </a:lnTo>
                                <a:lnTo>
                                  <a:pt x="f2" y="f2"/>
                                </a:lnTo>
                              </a:path>
                            </a:pathLst>
                          </a:custGeom>
                          <a:noFill/>
                          <a:ln cap="flat">
                            <a:noFill/>
                            <a:prstDash val="solid"/>
                          </a:ln>
                        </wps:spPr>
                        <wps:bodyPr lIns="0" tIns="0" rIns="0" bIns="0"/>
                      </wps:wsp>
                      <wps:wsp>
                        <wps:cNvPr id="96" name="Shape 11422"/>
                        <wps:cNvSpPr/>
                        <wps:spPr>
                          <a:xfrm>
                            <a:off x="2964813" y="0"/>
                            <a:ext cx="643252" cy="106042"/>
                          </a:xfrm>
                          <a:custGeom>
                            <a:avLst/>
                            <a:gdLst>
                              <a:gd name="f0" fmla="val w"/>
                              <a:gd name="f1" fmla="val h"/>
                              <a:gd name="f2" fmla="val 0"/>
                              <a:gd name="f3" fmla="val 643255"/>
                              <a:gd name="f4" fmla="val 106045"/>
                              <a:gd name="f5" fmla="*/ f0 1 643255"/>
                              <a:gd name="f6" fmla="*/ f1 1 106045"/>
                              <a:gd name="f7" fmla="+- f4 0 f2"/>
                              <a:gd name="f8" fmla="+- f3 0 f2"/>
                              <a:gd name="f9" fmla="*/ f8 1 643255"/>
                              <a:gd name="f10" fmla="*/ f7 1 106045"/>
                              <a:gd name="f11" fmla="*/ 0 1 f9"/>
                              <a:gd name="f12" fmla="*/ 643255 1 f9"/>
                              <a:gd name="f13" fmla="*/ 0 1 f10"/>
                              <a:gd name="f14" fmla="*/ 106045 1 f10"/>
                              <a:gd name="f15" fmla="*/ f11 f5 1"/>
                              <a:gd name="f16" fmla="*/ f12 f5 1"/>
                              <a:gd name="f17" fmla="*/ f14 f6 1"/>
                              <a:gd name="f18" fmla="*/ f13 f6 1"/>
                            </a:gdLst>
                            <a:ahLst/>
                            <a:cxnLst>
                              <a:cxn ang="3cd4">
                                <a:pos x="hc" y="t"/>
                              </a:cxn>
                              <a:cxn ang="0">
                                <a:pos x="r" y="vc"/>
                              </a:cxn>
                              <a:cxn ang="cd4">
                                <a:pos x="hc" y="b"/>
                              </a:cxn>
                              <a:cxn ang="cd2">
                                <a:pos x="l" y="vc"/>
                              </a:cxn>
                            </a:cxnLst>
                            <a:rect l="f15" t="f18" r="f16" b="f17"/>
                            <a:pathLst>
                              <a:path w="643255" h="106045">
                                <a:moveTo>
                                  <a:pt x="f2" y="f2"/>
                                </a:moveTo>
                                <a:lnTo>
                                  <a:pt x="f3" y="f2"/>
                                </a:lnTo>
                                <a:lnTo>
                                  <a:pt x="f3" y="f4"/>
                                </a:lnTo>
                                <a:lnTo>
                                  <a:pt x="f2" y="f4"/>
                                </a:lnTo>
                                <a:lnTo>
                                  <a:pt x="f2" y="f2"/>
                                </a:lnTo>
                              </a:path>
                            </a:pathLst>
                          </a:custGeom>
                          <a:noFill/>
                          <a:ln cap="flat">
                            <a:noFill/>
                            <a:prstDash val="solid"/>
                          </a:ln>
                        </wps:spPr>
                        <wps:bodyPr lIns="0" tIns="0" rIns="0" bIns="0"/>
                      </wps:wsp>
                      <wps:wsp>
                        <wps:cNvPr id="97" name="Shape 11423"/>
                        <wps:cNvSpPr/>
                        <wps:spPr>
                          <a:xfrm>
                            <a:off x="3608707" y="0"/>
                            <a:ext cx="641981" cy="106042"/>
                          </a:xfrm>
                          <a:custGeom>
                            <a:avLst/>
                            <a:gdLst>
                              <a:gd name="f0" fmla="val w"/>
                              <a:gd name="f1" fmla="val h"/>
                              <a:gd name="f2" fmla="val 0"/>
                              <a:gd name="f3" fmla="val 641985"/>
                              <a:gd name="f4" fmla="val 106045"/>
                              <a:gd name="f5" fmla="*/ f0 1 641985"/>
                              <a:gd name="f6" fmla="*/ f1 1 106045"/>
                              <a:gd name="f7" fmla="+- f4 0 f2"/>
                              <a:gd name="f8" fmla="+- f3 0 f2"/>
                              <a:gd name="f9" fmla="*/ f8 1 641985"/>
                              <a:gd name="f10" fmla="*/ f7 1 106045"/>
                              <a:gd name="f11" fmla="*/ 0 1 f9"/>
                              <a:gd name="f12" fmla="*/ 641985 1 f9"/>
                              <a:gd name="f13" fmla="*/ 0 1 f10"/>
                              <a:gd name="f14" fmla="*/ 106045 1 f10"/>
                              <a:gd name="f15" fmla="*/ f11 f5 1"/>
                              <a:gd name="f16" fmla="*/ f12 f5 1"/>
                              <a:gd name="f17" fmla="*/ f14 f6 1"/>
                              <a:gd name="f18" fmla="*/ f13 f6 1"/>
                            </a:gdLst>
                            <a:ahLst/>
                            <a:cxnLst>
                              <a:cxn ang="3cd4">
                                <a:pos x="hc" y="t"/>
                              </a:cxn>
                              <a:cxn ang="0">
                                <a:pos x="r" y="vc"/>
                              </a:cxn>
                              <a:cxn ang="cd4">
                                <a:pos x="hc" y="b"/>
                              </a:cxn>
                              <a:cxn ang="cd2">
                                <a:pos x="l" y="vc"/>
                              </a:cxn>
                            </a:cxnLst>
                            <a:rect l="f15" t="f18" r="f16" b="f17"/>
                            <a:pathLst>
                              <a:path w="641985" h="106045">
                                <a:moveTo>
                                  <a:pt x="f2" y="f2"/>
                                </a:moveTo>
                                <a:lnTo>
                                  <a:pt x="f3" y="f2"/>
                                </a:lnTo>
                                <a:lnTo>
                                  <a:pt x="f3" y="f4"/>
                                </a:lnTo>
                                <a:lnTo>
                                  <a:pt x="f2" y="f4"/>
                                </a:lnTo>
                                <a:lnTo>
                                  <a:pt x="f2" y="f2"/>
                                </a:lnTo>
                              </a:path>
                            </a:pathLst>
                          </a:custGeom>
                          <a:noFill/>
                          <a:ln cap="flat">
                            <a:noFill/>
                            <a:prstDash val="solid"/>
                          </a:ln>
                        </wps:spPr>
                        <wps:bodyPr lIns="0" tIns="0" rIns="0" bIns="0"/>
                      </wps:wsp>
                      <wps:wsp>
                        <wps:cNvPr id="98" name="Shape 11424"/>
                        <wps:cNvSpPr/>
                        <wps:spPr>
                          <a:xfrm>
                            <a:off x="4251329" y="0"/>
                            <a:ext cx="650879" cy="106042"/>
                          </a:xfrm>
                          <a:custGeom>
                            <a:avLst/>
                            <a:gdLst>
                              <a:gd name="f0" fmla="val w"/>
                              <a:gd name="f1" fmla="val h"/>
                              <a:gd name="f2" fmla="val 0"/>
                              <a:gd name="f3" fmla="val 650875"/>
                              <a:gd name="f4" fmla="val 106045"/>
                              <a:gd name="f5" fmla="*/ f0 1 650875"/>
                              <a:gd name="f6" fmla="*/ f1 1 106045"/>
                              <a:gd name="f7" fmla="+- f4 0 f2"/>
                              <a:gd name="f8" fmla="+- f3 0 f2"/>
                              <a:gd name="f9" fmla="*/ f8 1 650875"/>
                              <a:gd name="f10" fmla="*/ f7 1 106045"/>
                              <a:gd name="f11" fmla="*/ 0 1 f9"/>
                              <a:gd name="f12" fmla="*/ 650875 1 f9"/>
                              <a:gd name="f13" fmla="*/ 0 1 f10"/>
                              <a:gd name="f14" fmla="*/ 106045 1 f10"/>
                              <a:gd name="f15" fmla="*/ f11 f5 1"/>
                              <a:gd name="f16" fmla="*/ f12 f5 1"/>
                              <a:gd name="f17" fmla="*/ f14 f6 1"/>
                              <a:gd name="f18" fmla="*/ f13 f6 1"/>
                            </a:gdLst>
                            <a:ahLst/>
                            <a:cxnLst>
                              <a:cxn ang="3cd4">
                                <a:pos x="hc" y="t"/>
                              </a:cxn>
                              <a:cxn ang="0">
                                <a:pos x="r" y="vc"/>
                              </a:cxn>
                              <a:cxn ang="cd4">
                                <a:pos x="hc" y="b"/>
                              </a:cxn>
                              <a:cxn ang="cd2">
                                <a:pos x="l" y="vc"/>
                              </a:cxn>
                            </a:cxnLst>
                            <a:rect l="f15" t="f18" r="f16" b="f17"/>
                            <a:pathLst>
                              <a:path w="650875" h="106045">
                                <a:moveTo>
                                  <a:pt x="f2" y="f2"/>
                                </a:moveTo>
                                <a:lnTo>
                                  <a:pt x="f3" y="f2"/>
                                </a:lnTo>
                                <a:lnTo>
                                  <a:pt x="f3" y="f4"/>
                                </a:lnTo>
                                <a:lnTo>
                                  <a:pt x="f2" y="f4"/>
                                </a:lnTo>
                                <a:lnTo>
                                  <a:pt x="f2" y="f2"/>
                                </a:lnTo>
                              </a:path>
                            </a:pathLst>
                          </a:custGeom>
                          <a:noFill/>
                          <a:ln cap="flat">
                            <a:noFill/>
                            <a:prstDash val="solid"/>
                          </a:ln>
                        </wps:spPr>
                        <wps:bodyPr lIns="0" tIns="0" rIns="0" bIns="0"/>
                      </wps:wsp>
                      <wps:wsp>
                        <wps:cNvPr id="99" name="Shape 217"/>
                        <wps:cNvSpPr/>
                        <wps:spPr>
                          <a:xfrm>
                            <a:off x="0" y="3172"/>
                            <a:ext cx="4906012" cy="0"/>
                          </a:xfrm>
                          <a:custGeom>
                            <a:avLst/>
                            <a:gdLst>
                              <a:gd name="f0" fmla="val w"/>
                              <a:gd name="f1" fmla="val h"/>
                              <a:gd name="f2" fmla="val ss"/>
                              <a:gd name="f3" fmla="val 0"/>
                              <a:gd name="f4" fmla="val 4906010"/>
                              <a:gd name="f5" fmla="abs f0"/>
                              <a:gd name="f6" fmla="abs f1"/>
                              <a:gd name="f7" fmla="abs f2"/>
                              <a:gd name="f8" fmla="*/ f0 1 4906010"/>
                              <a:gd name="f9" fmla="+- f3 0 f3"/>
                              <a:gd name="f10" fmla="+- f4 0 f3"/>
                              <a:gd name="f11" fmla="?: f5 f0 1"/>
                              <a:gd name="f12" fmla="?: f6 f1 1"/>
                              <a:gd name="f13" fmla="?: f7 f2 1"/>
                              <a:gd name="f14" fmla="*/ f10 1 4906010"/>
                              <a:gd name="f15" fmla="*/ f9 1 0"/>
                              <a:gd name="f16" fmla="*/ f11 1 4906010"/>
                              <a:gd name="f17" fmla="*/ f12 1 21600"/>
                              <a:gd name="f18" fmla="*/ 21600 f12 1"/>
                              <a:gd name="f19" fmla="*/ 0 1 f14"/>
                              <a:gd name="f20" fmla="*/ 4906010 1 f14"/>
                              <a:gd name="f21" fmla="*/ 0 1 f15"/>
                              <a:gd name="f22" fmla="min f17 f16"/>
                              <a:gd name="f23" fmla="*/ f18 1 f13"/>
                              <a:gd name="f24" fmla="*/ f19 f8 1"/>
                              <a:gd name="f25" fmla="*/ f20 f8 1"/>
                              <a:gd name="f26" fmla="val f23"/>
                              <a:gd name="f27" fmla="*/ f3 f22 1"/>
                              <a:gd name="f28" fmla="+- f26 0 f3"/>
                              <a:gd name="f29" fmla="*/ f28 1 0"/>
                              <a:gd name="f30" fmla="*/ f21 f29 1"/>
                              <a:gd name="f31" fmla="*/ f30 f22 1"/>
                            </a:gdLst>
                            <a:ahLst/>
                            <a:cxnLst>
                              <a:cxn ang="3cd4">
                                <a:pos x="hc" y="t"/>
                              </a:cxn>
                              <a:cxn ang="0">
                                <a:pos x="r" y="vc"/>
                              </a:cxn>
                              <a:cxn ang="cd4">
                                <a:pos x="hc" y="b"/>
                              </a:cxn>
                              <a:cxn ang="cd2">
                                <a:pos x="l" y="vc"/>
                              </a:cxn>
                            </a:cxnLst>
                            <a:rect l="f24" t="f31" r="f25" b="f31"/>
                            <a:pathLst>
                              <a:path w="4906010">
                                <a:moveTo>
                                  <a:pt x="f3" y="f27"/>
                                </a:moveTo>
                                <a:lnTo>
                                  <a:pt x="f4" y="f27"/>
                                </a:lnTo>
                              </a:path>
                            </a:pathLst>
                          </a:custGeom>
                          <a:noFill/>
                          <a:ln w="6345" cap="flat">
                            <a:solidFill>
                              <a:srgbClr val="000000"/>
                            </a:solidFill>
                            <a:prstDash val="solid"/>
                            <a:round/>
                          </a:ln>
                        </wps:spPr>
                        <wps:bodyPr lIns="0" tIns="0" rIns="0" bIns="0"/>
                      </wps:wsp>
                      <wps:wsp>
                        <wps:cNvPr id="100" name="Shape 218"/>
                        <wps:cNvSpPr/>
                        <wps:spPr>
                          <a:xfrm>
                            <a:off x="0" y="109856"/>
                            <a:ext cx="623565" cy="0"/>
                          </a:xfrm>
                          <a:custGeom>
                            <a:avLst/>
                            <a:gdLst>
                              <a:gd name="f0" fmla="val w"/>
                              <a:gd name="f1" fmla="val h"/>
                              <a:gd name="f2" fmla="val ss"/>
                              <a:gd name="f3" fmla="val 0"/>
                              <a:gd name="f4" fmla="val 623570"/>
                              <a:gd name="f5" fmla="abs f0"/>
                              <a:gd name="f6" fmla="abs f1"/>
                              <a:gd name="f7" fmla="abs f2"/>
                              <a:gd name="f8" fmla="*/ f0 1 623570"/>
                              <a:gd name="f9" fmla="+- f3 0 f3"/>
                              <a:gd name="f10" fmla="+- f4 0 f3"/>
                              <a:gd name="f11" fmla="?: f5 f0 1"/>
                              <a:gd name="f12" fmla="?: f6 f1 1"/>
                              <a:gd name="f13" fmla="?: f7 f2 1"/>
                              <a:gd name="f14" fmla="*/ f10 1 623570"/>
                              <a:gd name="f15" fmla="*/ f9 1 0"/>
                              <a:gd name="f16" fmla="*/ f11 1 623570"/>
                              <a:gd name="f17" fmla="*/ f12 1 21600"/>
                              <a:gd name="f18" fmla="*/ 21600 f12 1"/>
                              <a:gd name="f19" fmla="*/ 0 1 f14"/>
                              <a:gd name="f20" fmla="*/ 623570 1 f14"/>
                              <a:gd name="f21" fmla="*/ 0 1 f15"/>
                              <a:gd name="f22" fmla="min f17 f16"/>
                              <a:gd name="f23" fmla="*/ f18 1 f13"/>
                              <a:gd name="f24" fmla="*/ f19 f8 1"/>
                              <a:gd name="f25" fmla="*/ f20 f8 1"/>
                              <a:gd name="f26" fmla="val f23"/>
                              <a:gd name="f27" fmla="*/ f3 f22 1"/>
                              <a:gd name="f28" fmla="+- f26 0 f3"/>
                              <a:gd name="f29" fmla="*/ f28 1 0"/>
                              <a:gd name="f30" fmla="*/ f21 f29 1"/>
                              <a:gd name="f31" fmla="*/ f30 f22 1"/>
                            </a:gdLst>
                            <a:ahLst/>
                            <a:cxnLst>
                              <a:cxn ang="3cd4">
                                <a:pos x="hc" y="t"/>
                              </a:cxn>
                              <a:cxn ang="0">
                                <a:pos x="r" y="vc"/>
                              </a:cxn>
                              <a:cxn ang="cd4">
                                <a:pos x="hc" y="b"/>
                              </a:cxn>
                              <a:cxn ang="cd2">
                                <a:pos x="l" y="vc"/>
                              </a:cxn>
                            </a:cxnLst>
                            <a:rect l="f24" t="f31" r="f25" b="f31"/>
                            <a:pathLst>
                              <a:path w="623570">
                                <a:moveTo>
                                  <a:pt x="f3" y="f27"/>
                                </a:moveTo>
                                <a:lnTo>
                                  <a:pt x="f4" y="f27"/>
                                </a:lnTo>
                              </a:path>
                            </a:pathLst>
                          </a:custGeom>
                          <a:noFill/>
                          <a:ln w="6345" cap="flat">
                            <a:solidFill>
                              <a:srgbClr val="C0C0C0"/>
                            </a:solidFill>
                            <a:prstDash val="solid"/>
                            <a:round/>
                          </a:ln>
                        </wps:spPr>
                        <wps:bodyPr lIns="0" tIns="0" rIns="0" bIns="0"/>
                      </wps:wsp>
                      <wps:wsp>
                        <wps:cNvPr id="101" name="Shape 219"/>
                        <wps:cNvSpPr/>
                        <wps:spPr>
                          <a:xfrm>
                            <a:off x="617220" y="109856"/>
                            <a:ext cx="4288792" cy="0"/>
                          </a:xfrm>
                          <a:custGeom>
                            <a:avLst/>
                            <a:gdLst>
                              <a:gd name="f0" fmla="val w"/>
                              <a:gd name="f1" fmla="val h"/>
                              <a:gd name="f2" fmla="val ss"/>
                              <a:gd name="f3" fmla="val 0"/>
                              <a:gd name="f4" fmla="val 4288790"/>
                              <a:gd name="f5" fmla="abs f0"/>
                              <a:gd name="f6" fmla="abs f1"/>
                              <a:gd name="f7" fmla="abs f2"/>
                              <a:gd name="f8" fmla="*/ f0 1 4288790"/>
                              <a:gd name="f9" fmla="+- f3 0 f3"/>
                              <a:gd name="f10" fmla="+- f4 0 f3"/>
                              <a:gd name="f11" fmla="?: f5 f0 1"/>
                              <a:gd name="f12" fmla="?: f6 f1 1"/>
                              <a:gd name="f13" fmla="?: f7 f2 1"/>
                              <a:gd name="f14" fmla="*/ f10 1 4288790"/>
                              <a:gd name="f15" fmla="*/ f9 1 0"/>
                              <a:gd name="f16" fmla="*/ f11 1 4288790"/>
                              <a:gd name="f17" fmla="*/ f12 1 21600"/>
                              <a:gd name="f18" fmla="*/ 21600 f12 1"/>
                              <a:gd name="f19" fmla="*/ 0 1 f14"/>
                              <a:gd name="f20" fmla="*/ 4288790 1 f14"/>
                              <a:gd name="f21" fmla="*/ 0 1 f15"/>
                              <a:gd name="f22" fmla="min f17 f16"/>
                              <a:gd name="f23" fmla="*/ f18 1 f13"/>
                              <a:gd name="f24" fmla="*/ f19 f8 1"/>
                              <a:gd name="f25" fmla="*/ f20 f8 1"/>
                              <a:gd name="f26" fmla="val f23"/>
                              <a:gd name="f27" fmla="*/ f3 f22 1"/>
                              <a:gd name="f28" fmla="+- f26 0 f3"/>
                              <a:gd name="f29" fmla="*/ f28 1 0"/>
                              <a:gd name="f30" fmla="*/ f21 f29 1"/>
                              <a:gd name="f31" fmla="*/ f30 f22 1"/>
                            </a:gdLst>
                            <a:ahLst/>
                            <a:cxnLst>
                              <a:cxn ang="3cd4">
                                <a:pos x="hc" y="t"/>
                              </a:cxn>
                              <a:cxn ang="0">
                                <a:pos x="r" y="vc"/>
                              </a:cxn>
                              <a:cxn ang="cd4">
                                <a:pos x="hc" y="b"/>
                              </a:cxn>
                              <a:cxn ang="cd2">
                                <a:pos x="l" y="vc"/>
                              </a:cxn>
                            </a:cxnLst>
                            <a:rect l="f24" t="f31" r="f25" b="f31"/>
                            <a:pathLst>
                              <a:path w="4288790">
                                <a:moveTo>
                                  <a:pt x="f3" y="f27"/>
                                </a:moveTo>
                                <a:lnTo>
                                  <a:pt x="f4" y="f27"/>
                                </a:lnTo>
                              </a:path>
                            </a:pathLst>
                          </a:custGeom>
                          <a:noFill/>
                          <a:ln w="6345" cap="flat">
                            <a:solidFill>
                              <a:srgbClr val="000000"/>
                            </a:solidFill>
                            <a:prstDash val="solid"/>
                            <a:round/>
                          </a:ln>
                        </wps:spPr>
                        <wps:bodyPr lIns="0" tIns="0" rIns="0" bIns="0"/>
                      </wps:wsp>
                      <wps:wsp>
                        <wps:cNvPr id="102" name="Shape 220"/>
                        <wps:cNvSpPr/>
                        <wps:spPr>
                          <a:xfrm>
                            <a:off x="3172" y="0"/>
                            <a:ext cx="0" cy="113028"/>
                          </a:xfrm>
                          <a:custGeom>
                            <a:avLst/>
                            <a:gdLst>
                              <a:gd name="f0" fmla="val w"/>
                              <a:gd name="f1" fmla="val h"/>
                              <a:gd name="f2" fmla="val ss"/>
                              <a:gd name="f3" fmla="val 0"/>
                              <a:gd name="f4" fmla="val 113030"/>
                              <a:gd name="f5" fmla="abs f0"/>
                              <a:gd name="f6" fmla="abs f1"/>
                              <a:gd name="f7" fmla="abs f2"/>
                              <a:gd name="f8" fmla="*/ f1 1 113030"/>
                              <a:gd name="f9" fmla="+- f4 0 f3"/>
                              <a:gd name="f10" fmla="+- f3 0 f3"/>
                              <a:gd name="f11" fmla="?: f5 f0 1"/>
                              <a:gd name="f12" fmla="?: f6 f1 1"/>
                              <a:gd name="f13" fmla="?: f7 f2 1"/>
                              <a:gd name="f14" fmla="*/ f10 1 0"/>
                              <a:gd name="f15" fmla="*/ f9 1 113030"/>
                              <a:gd name="f16" fmla="*/ f11 1 21600"/>
                              <a:gd name="f17" fmla="*/ f12 1 113030"/>
                              <a:gd name="f18" fmla="*/ 21600 f11 1"/>
                              <a:gd name="f19" fmla="*/ 0 1 f14"/>
                              <a:gd name="f20" fmla="*/ 0 1 f15"/>
                              <a:gd name="f21" fmla="*/ 113030 1 f15"/>
                              <a:gd name="f22" fmla="min f17 f16"/>
                              <a:gd name="f23" fmla="*/ f18 1 f13"/>
                              <a:gd name="f24" fmla="*/ f21 f8 1"/>
                              <a:gd name="f25" fmla="*/ f20 f8 1"/>
                              <a:gd name="f26" fmla="val f23"/>
                              <a:gd name="f27" fmla="*/ f3 f22 1"/>
                              <a:gd name="f28" fmla="+- f26 0 f3"/>
                              <a:gd name="f29" fmla="*/ f28 1 0"/>
                              <a:gd name="f30" fmla="*/ f19 f29 1"/>
                              <a:gd name="f31" fmla="*/ f30 f22 1"/>
                            </a:gdLst>
                            <a:ahLst/>
                            <a:cxnLst>
                              <a:cxn ang="3cd4">
                                <a:pos x="hc" y="t"/>
                              </a:cxn>
                              <a:cxn ang="0">
                                <a:pos x="r" y="vc"/>
                              </a:cxn>
                              <a:cxn ang="cd4">
                                <a:pos x="hc" y="b"/>
                              </a:cxn>
                              <a:cxn ang="cd2">
                                <a:pos x="l" y="vc"/>
                              </a:cxn>
                            </a:cxnLst>
                            <a:rect l="f31" t="f25" r="f31" b="f24"/>
                            <a:pathLst>
                              <a:path h="113030">
                                <a:moveTo>
                                  <a:pt x="f27" y="f3"/>
                                </a:moveTo>
                                <a:lnTo>
                                  <a:pt x="f27" y="f4"/>
                                </a:lnTo>
                              </a:path>
                            </a:pathLst>
                          </a:custGeom>
                          <a:noFill/>
                          <a:ln w="6345" cap="flat">
                            <a:solidFill>
                              <a:srgbClr val="C0C0C0"/>
                            </a:solidFill>
                            <a:prstDash val="solid"/>
                            <a:round/>
                          </a:ln>
                        </wps:spPr>
                        <wps:bodyPr lIns="0" tIns="0" rIns="0" bIns="0"/>
                      </wps:wsp>
                      <wps:wsp>
                        <wps:cNvPr id="103" name="Shape 221"/>
                        <wps:cNvSpPr/>
                        <wps:spPr>
                          <a:xfrm>
                            <a:off x="620392" y="0"/>
                            <a:ext cx="0" cy="113028"/>
                          </a:xfrm>
                          <a:custGeom>
                            <a:avLst/>
                            <a:gdLst>
                              <a:gd name="f0" fmla="val w"/>
                              <a:gd name="f1" fmla="val h"/>
                              <a:gd name="f2" fmla="val ss"/>
                              <a:gd name="f3" fmla="val 0"/>
                              <a:gd name="f4" fmla="val 113030"/>
                              <a:gd name="f5" fmla="abs f0"/>
                              <a:gd name="f6" fmla="abs f1"/>
                              <a:gd name="f7" fmla="abs f2"/>
                              <a:gd name="f8" fmla="*/ f1 1 113030"/>
                              <a:gd name="f9" fmla="+- f4 0 f3"/>
                              <a:gd name="f10" fmla="+- f3 0 f3"/>
                              <a:gd name="f11" fmla="?: f5 f0 1"/>
                              <a:gd name="f12" fmla="?: f6 f1 1"/>
                              <a:gd name="f13" fmla="?: f7 f2 1"/>
                              <a:gd name="f14" fmla="*/ f10 1 0"/>
                              <a:gd name="f15" fmla="*/ f9 1 113030"/>
                              <a:gd name="f16" fmla="*/ f11 1 21600"/>
                              <a:gd name="f17" fmla="*/ f12 1 113030"/>
                              <a:gd name="f18" fmla="*/ 21600 f11 1"/>
                              <a:gd name="f19" fmla="*/ 0 1 f14"/>
                              <a:gd name="f20" fmla="*/ 0 1 f15"/>
                              <a:gd name="f21" fmla="*/ 113030 1 f15"/>
                              <a:gd name="f22" fmla="min f17 f16"/>
                              <a:gd name="f23" fmla="*/ f18 1 f13"/>
                              <a:gd name="f24" fmla="*/ f21 f8 1"/>
                              <a:gd name="f25" fmla="*/ f20 f8 1"/>
                              <a:gd name="f26" fmla="val f23"/>
                              <a:gd name="f27" fmla="*/ f3 f22 1"/>
                              <a:gd name="f28" fmla="+- f26 0 f3"/>
                              <a:gd name="f29" fmla="*/ f28 1 0"/>
                              <a:gd name="f30" fmla="*/ f19 f29 1"/>
                              <a:gd name="f31" fmla="*/ f30 f22 1"/>
                            </a:gdLst>
                            <a:ahLst/>
                            <a:cxnLst>
                              <a:cxn ang="3cd4">
                                <a:pos x="hc" y="t"/>
                              </a:cxn>
                              <a:cxn ang="0">
                                <a:pos x="r" y="vc"/>
                              </a:cxn>
                              <a:cxn ang="cd4">
                                <a:pos x="hc" y="b"/>
                              </a:cxn>
                              <a:cxn ang="cd2">
                                <a:pos x="l" y="vc"/>
                              </a:cxn>
                            </a:cxnLst>
                            <a:rect l="f31" t="f25" r="f31" b="f24"/>
                            <a:pathLst>
                              <a:path h="113030">
                                <a:moveTo>
                                  <a:pt x="f27" y="f3"/>
                                </a:moveTo>
                                <a:lnTo>
                                  <a:pt x="f27" y="f4"/>
                                </a:lnTo>
                              </a:path>
                            </a:pathLst>
                          </a:custGeom>
                          <a:noFill/>
                          <a:ln w="6345" cap="flat">
                            <a:solidFill>
                              <a:srgbClr val="000000"/>
                            </a:solidFill>
                            <a:prstDash val="solid"/>
                            <a:round/>
                          </a:ln>
                        </wps:spPr>
                        <wps:bodyPr lIns="0" tIns="0" rIns="0" bIns="0"/>
                      </wps:wsp>
                      <wps:wsp>
                        <wps:cNvPr id="104" name="Shape 222"/>
                        <wps:cNvSpPr/>
                        <wps:spPr>
                          <a:xfrm>
                            <a:off x="1264286" y="0"/>
                            <a:ext cx="0" cy="113028"/>
                          </a:xfrm>
                          <a:custGeom>
                            <a:avLst/>
                            <a:gdLst>
                              <a:gd name="f0" fmla="val w"/>
                              <a:gd name="f1" fmla="val h"/>
                              <a:gd name="f2" fmla="val ss"/>
                              <a:gd name="f3" fmla="val 0"/>
                              <a:gd name="f4" fmla="val 113030"/>
                              <a:gd name="f5" fmla="abs f0"/>
                              <a:gd name="f6" fmla="abs f1"/>
                              <a:gd name="f7" fmla="abs f2"/>
                              <a:gd name="f8" fmla="*/ f1 1 113030"/>
                              <a:gd name="f9" fmla="+- f4 0 f3"/>
                              <a:gd name="f10" fmla="+- f3 0 f3"/>
                              <a:gd name="f11" fmla="?: f5 f0 1"/>
                              <a:gd name="f12" fmla="?: f6 f1 1"/>
                              <a:gd name="f13" fmla="?: f7 f2 1"/>
                              <a:gd name="f14" fmla="*/ f10 1 0"/>
                              <a:gd name="f15" fmla="*/ f9 1 113030"/>
                              <a:gd name="f16" fmla="*/ f11 1 21600"/>
                              <a:gd name="f17" fmla="*/ f12 1 113030"/>
                              <a:gd name="f18" fmla="*/ 21600 f11 1"/>
                              <a:gd name="f19" fmla="*/ 0 1 f14"/>
                              <a:gd name="f20" fmla="*/ 0 1 f15"/>
                              <a:gd name="f21" fmla="*/ 113030 1 f15"/>
                              <a:gd name="f22" fmla="min f17 f16"/>
                              <a:gd name="f23" fmla="*/ f18 1 f13"/>
                              <a:gd name="f24" fmla="*/ f21 f8 1"/>
                              <a:gd name="f25" fmla="*/ f20 f8 1"/>
                              <a:gd name="f26" fmla="val f23"/>
                              <a:gd name="f27" fmla="*/ f3 f22 1"/>
                              <a:gd name="f28" fmla="+- f26 0 f3"/>
                              <a:gd name="f29" fmla="*/ f28 1 0"/>
                              <a:gd name="f30" fmla="*/ f19 f29 1"/>
                              <a:gd name="f31" fmla="*/ f30 f22 1"/>
                            </a:gdLst>
                            <a:ahLst/>
                            <a:cxnLst>
                              <a:cxn ang="3cd4">
                                <a:pos x="hc" y="t"/>
                              </a:cxn>
                              <a:cxn ang="0">
                                <a:pos x="r" y="vc"/>
                              </a:cxn>
                              <a:cxn ang="cd4">
                                <a:pos x="hc" y="b"/>
                              </a:cxn>
                              <a:cxn ang="cd2">
                                <a:pos x="l" y="vc"/>
                              </a:cxn>
                            </a:cxnLst>
                            <a:rect l="f31" t="f25" r="f31" b="f24"/>
                            <a:pathLst>
                              <a:path h="113030">
                                <a:moveTo>
                                  <a:pt x="f27" y="f3"/>
                                </a:moveTo>
                                <a:lnTo>
                                  <a:pt x="f27" y="f4"/>
                                </a:lnTo>
                              </a:path>
                            </a:pathLst>
                          </a:custGeom>
                          <a:noFill/>
                          <a:ln w="6345" cap="flat">
                            <a:solidFill>
                              <a:srgbClr val="000000"/>
                            </a:solidFill>
                            <a:prstDash val="solid"/>
                            <a:round/>
                          </a:ln>
                        </wps:spPr>
                        <wps:bodyPr lIns="0" tIns="0" rIns="0" bIns="0"/>
                      </wps:wsp>
                      <wps:wsp>
                        <wps:cNvPr id="105" name="Shape 223"/>
                        <wps:cNvSpPr/>
                        <wps:spPr>
                          <a:xfrm>
                            <a:off x="1833243" y="0"/>
                            <a:ext cx="0" cy="113028"/>
                          </a:xfrm>
                          <a:custGeom>
                            <a:avLst/>
                            <a:gdLst>
                              <a:gd name="f0" fmla="val w"/>
                              <a:gd name="f1" fmla="val h"/>
                              <a:gd name="f2" fmla="val ss"/>
                              <a:gd name="f3" fmla="val 0"/>
                              <a:gd name="f4" fmla="val 113030"/>
                              <a:gd name="f5" fmla="abs f0"/>
                              <a:gd name="f6" fmla="abs f1"/>
                              <a:gd name="f7" fmla="abs f2"/>
                              <a:gd name="f8" fmla="*/ f1 1 113030"/>
                              <a:gd name="f9" fmla="+- f4 0 f3"/>
                              <a:gd name="f10" fmla="+- f3 0 f3"/>
                              <a:gd name="f11" fmla="?: f5 f0 1"/>
                              <a:gd name="f12" fmla="?: f6 f1 1"/>
                              <a:gd name="f13" fmla="?: f7 f2 1"/>
                              <a:gd name="f14" fmla="*/ f10 1 0"/>
                              <a:gd name="f15" fmla="*/ f9 1 113030"/>
                              <a:gd name="f16" fmla="*/ f11 1 21600"/>
                              <a:gd name="f17" fmla="*/ f12 1 113030"/>
                              <a:gd name="f18" fmla="*/ 21600 f11 1"/>
                              <a:gd name="f19" fmla="*/ 0 1 f14"/>
                              <a:gd name="f20" fmla="*/ 0 1 f15"/>
                              <a:gd name="f21" fmla="*/ 113030 1 f15"/>
                              <a:gd name="f22" fmla="min f17 f16"/>
                              <a:gd name="f23" fmla="*/ f18 1 f13"/>
                              <a:gd name="f24" fmla="*/ f21 f8 1"/>
                              <a:gd name="f25" fmla="*/ f20 f8 1"/>
                              <a:gd name="f26" fmla="val f23"/>
                              <a:gd name="f27" fmla="*/ f3 f22 1"/>
                              <a:gd name="f28" fmla="+- f26 0 f3"/>
                              <a:gd name="f29" fmla="*/ f28 1 0"/>
                              <a:gd name="f30" fmla="*/ f19 f29 1"/>
                              <a:gd name="f31" fmla="*/ f30 f22 1"/>
                            </a:gdLst>
                            <a:ahLst/>
                            <a:cxnLst>
                              <a:cxn ang="3cd4">
                                <a:pos x="hc" y="t"/>
                              </a:cxn>
                              <a:cxn ang="0">
                                <a:pos x="r" y="vc"/>
                              </a:cxn>
                              <a:cxn ang="cd4">
                                <a:pos x="hc" y="b"/>
                              </a:cxn>
                              <a:cxn ang="cd2">
                                <a:pos x="l" y="vc"/>
                              </a:cxn>
                            </a:cxnLst>
                            <a:rect l="f31" t="f25" r="f31" b="f24"/>
                            <a:pathLst>
                              <a:path h="113030">
                                <a:moveTo>
                                  <a:pt x="f27" y="f3"/>
                                </a:moveTo>
                                <a:lnTo>
                                  <a:pt x="f27" y="f4"/>
                                </a:lnTo>
                              </a:path>
                            </a:pathLst>
                          </a:custGeom>
                          <a:noFill/>
                          <a:ln w="6345" cap="flat">
                            <a:solidFill>
                              <a:srgbClr val="000000"/>
                            </a:solidFill>
                            <a:prstDash val="solid"/>
                            <a:round/>
                          </a:ln>
                        </wps:spPr>
                        <wps:bodyPr lIns="0" tIns="0" rIns="0" bIns="0"/>
                      </wps:wsp>
                      <wps:wsp>
                        <wps:cNvPr id="106" name="Shape 224"/>
                        <wps:cNvSpPr/>
                        <wps:spPr>
                          <a:xfrm>
                            <a:off x="2320920" y="0"/>
                            <a:ext cx="0" cy="113028"/>
                          </a:xfrm>
                          <a:custGeom>
                            <a:avLst/>
                            <a:gdLst>
                              <a:gd name="f0" fmla="val w"/>
                              <a:gd name="f1" fmla="val h"/>
                              <a:gd name="f2" fmla="val ss"/>
                              <a:gd name="f3" fmla="val 0"/>
                              <a:gd name="f4" fmla="val 113030"/>
                              <a:gd name="f5" fmla="abs f0"/>
                              <a:gd name="f6" fmla="abs f1"/>
                              <a:gd name="f7" fmla="abs f2"/>
                              <a:gd name="f8" fmla="*/ f1 1 113030"/>
                              <a:gd name="f9" fmla="+- f4 0 f3"/>
                              <a:gd name="f10" fmla="+- f3 0 f3"/>
                              <a:gd name="f11" fmla="?: f5 f0 1"/>
                              <a:gd name="f12" fmla="?: f6 f1 1"/>
                              <a:gd name="f13" fmla="?: f7 f2 1"/>
                              <a:gd name="f14" fmla="*/ f10 1 0"/>
                              <a:gd name="f15" fmla="*/ f9 1 113030"/>
                              <a:gd name="f16" fmla="*/ f11 1 21600"/>
                              <a:gd name="f17" fmla="*/ f12 1 113030"/>
                              <a:gd name="f18" fmla="*/ 21600 f11 1"/>
                              <a:gd name="f19" fmla="*/ 0 1 f14"/>
                              <a:gd name="f20" fmla="*/ 0 1 f15"/>
                              <a:gd name="f21" fmla="*/ 113030 1 f15"/>
                              <a:gd name="f22" fmla="min f17 f16"/>
                              <a:gd name="f23" fmla="*/ f18 1 f13"/>
                              <a:gd name="f24" fmla="*/ f21 f8 1"/>
                              <a:gd name="f25" fmla="*/ f20 f8 1"/>
                              <a:gd name="f26" fmla="val f23"/>
                              <a:gd name="f27" fmla="*/ f3 f22 1"/>
                              <a:gd name="f28" fmla="+- f26 0 f3"/>
                              <a:gd name="f29" fmla="*/ f28 1 0"/>
                              <a:gd name="f30" fmla="*/ f19 f29 1"/>
                              <a:gd name="f31" fmla="*/ f30 f22 1"/>
                            </a:gdLst>
                            <a:ahLst/>
                            <a:cxnLst>
                              <a:cxn ang="3cd4">
                                <a:pos x="hc" y="t"/>
                              </a:cxn>
                              <a:cxn ang="0">
                                <a:pos x="r" y="vc"/>
                              </a:cxn>
                              <a:cxn ang="cd4">
                                <a:pos x="hc" y="b"/>
                              </a:cxn>
                              <a:cxn ang="cd2">
                                <a:pos x="l" y="vc"/>
                              </a:cxn>
                            </a:cxnLst>
                            <a:rect l="f31" t="f25" r="f31" b="f24"/>
                            <a:pathLst>
                              <a:path h="113030">
                                <a:moveTo>
                                  <a:pt x="f27" y="f3"/>
                                </a:moveTo>
                                <a:lnTo>
                                  <a:pt x="f27" y="f4"/>
                                </a:lnTo>
                              </a:path>
                            </a:pathLst>
                          </a:custGeom>
                          <a:noFill/>
                          <a:ln w="6345" cap="flat">
                            <a:solidFill>
                              <a:srgbClr val="000000"/>
                            </a:solidFill>
                            <a:prstDash val="solid"/>
                            <a:round/>
                          </a:ln>
                        </wps:spPr>
                        <wps:bodyPr lIns="0" tIns="0" rIns="0" bIns="0"/>
                      </wps:wsp>
                      <wps:wsp>
                        <wps:cNvPr id="107" name="Shape 225"/>
                        <wps:cNvSpPr/>
                        <wps:spPr>
                          <a:xfrm>
                            <a:off x="2964813" y="0"/>
                            <a:ext cx="0" cy="113028"/>
                          </a:xfrm>
                          <a:custGeom>
                            <a:avLst/>
                            <a:gdLst>
                              <a:gd name="f0" fmla="val w"/>
                              <a:gd name="f1" fmla="val h"/>
                              <a:gd name="f2" fmla="val ss"/>
                              <a:gd name="f3" fmla="val 0"/>
                              <a:gd name="f4" fmla="val 113030"/>
                              <a:gd name="f5" fmla="abs f0"/>
                              <a:gd name="f6" fmla="abs f1"/>
                              <a:gd name="f7" fmla="abs f2"/>
                              <a:gd name="f8" fmla="*/ f1 1 113030"/>
                              <a:gd name="f9" fmla="+- f4 0 f3"/>
                              <a:gd name="f10" fmla="+- f3 0 f3"/>
                              <a:gd name="f11" fmla="?: f5 f0 1"/>
                              <a:gd name="f12" fmla="?: f6 f1 1"/>
                              <a:gd name="f13" fmla="?: f7 f2 1"/>
                              <a:gd name="f14" fmla="*/ f10 1 0"/>
                              <a:gd name="f15" fmla="*/ f9 1 113030"/>
                              <a:gd name="f16" fmla="*/ f11 1 21600"/>
                              <a:gd name="f17" fmla="*/ f12 1 113030"/>
                              <a:gd name="f18" fmla="*/ 21600 f11 1"/>
                              <a:gd name="f19" fmla="*/ 0 1 f14"/>
                              <a:gd name="f20" fmla="*/ 0 1 f15"/>
                              <a:gd name="f21" fmla="*/ 113030 1 f15"/>
                              <a:gd name="f22" fmla="min f17 f16"/>
                              <a:gd name="f23" fmla="*/ f18 1 f13"/>
                              <a:gd name="f24" fmla="*/ f21 f8 1"/>
                              <a:gd name="f25" fmla="*/ f20 f8 1"/>
                              <a:gd name="f26" fmla="val f23"/>
                              <a:gd name="f27" fmla="*/ f3 f22 1"/>
                              <a:gd name="f28" fmla="+- f26 0 f3"/>
                              <a:gd name="f29" fmla="*/ f28 1 0"/>
                              <a:gd name="f30" fmla="*/ f19 f29 1"/>
                              <a:gd name="f31" fmla="*/ f30 f22 1"/>
                            </a:gdLst>
                            <a:ahLst/>
                            <a:cxnLst>
                              <a:cxn ang="3cd4">
                                <a:pos x="hc" y="t"/>
                              </a:cxn>
                              <a:cxn ang="0">
                                <a:pos x="r" y="vc"/>
                              </a:cxn>
                              <a:cxn ang="cd4">
                                <a:pos x="hc" y="b"/>
                              </a:cxn>
                              <a:cxn ang="cd2">
                                <a:pos x="l" y="vc"/>
                              </a:cxn>
                            </a:cxnLst>
                            <a:rect l="f31" t="f25" r="f31" b="f24"/>
                            <a:pathLst>
                              <a:path h="113030">
                                <a:moveTo>
                                  <a:pt x="f27" y="f3"/>
                                </a:moveTo>
                                <a:lnTo>
                                  <a:pt x="f27" y="f4"/>
                                </a:lnTo>
                              </a:path>
                            </a:pathLst>
                          </a:custGeom>
                          <a:noFill/>
                          <a:ln w="6345" cap="flat">
                            <a:solidFill>
                              <a:srgbClr val="000000"/>
                            </a:solidFill>
                            <a:prstDash val="solid"/>
                            <a:round/>
                          </a:ln>
                        </wps:spPr>
                        <wps:bodyPr lIns="0" tIns="0" rIns="0" bIns="0"/>
                      </wps:wsp>
                      <wps:wsp>
                        <wps:cNvPr id="108" name="Shape 226"/>
                        <wps:cNvSpPr/>
                        <wps:spPr>
                          <a:xfrm>
                            <a:off x="3608707" y="0"/>
                            <a:ext cx="0" cy="113028"/>
                          </a:xfrm>
                          <a:custGeom>
                            <a:avLst/>
                            <a:gdLst>
                              <a:gd name="f0" fmla="val w"/>
                              <a:gd name="f1" fmla="val h"/>
                              <a:gd name="f2" fmla="val ss"/>
                              <a:gd name="f3" fmla="val 0"/>
                              <a:gd name="f4" fmla="val 113030"/>
                              <a:gd name="f5" fmla="abs f0"/>
                              <a:gd name="f6" fmla="abs f1"/>
                              <a:gd name="f7" fmla="abs f2"/>
                              <a:gd name="f8" fmla="*/ f1 1 113030"/>
                              <a:gd name="f9" fmla="+- f4 0 f3"/>
                              <a:gd name="f10" fmla="+- f3 0 f3"/>
                              <a:gd name="f11" fmla="?: f5 f0 1"/>
                              <a:gd name="f12" fmla="?: f6 f1 1"/>
                              <a:gd name="f13" fmla="?: f7 f2 1"/>
                              <a:gd name="f14" fmla="*/ f10 1 0"/>
                              <a:gd name="f15" fmla="*/ f9 1 113030"/>
                              <a:gd name="f16" fmla="*/ f11 1 21600"/>
                              <a:gd name="f17" fmla="*/ f12 1 113030"/>
                              <a:gd name="f18" fmla="*/ 21600 f11 1"/>
                              <a:gd name="f19" fmla="*/ 0 1 f14"/>
                              <a:gd name="f20" fmla="*/ 0 1 f15"/>
                              <a:gd name="f21" fmla="*/ 113030 1 f15"/>
                              <a:gd name="f22" fmla="min f17 f16"/>
                              <a:gd name="f23" fmla="*/ f18 1 f13"/>
                              <a:gd name="f24" fmla="*/ f21 f8 1"/>
                              <a:gd name="f25" fmla="*/ f20 f8 1"/>
                              <a:gd name="f26" fmla="val f23"/>
                              <a:gd name="f27" fmla="*/ f3 f22 1"/>
                              <a:gd name="f28" fmla="+- f26 0 f3"/>
                              <a:gd name="f29" fmla="*/ f28 1 0"/>
                              <a:gd name="f30" fmla="*/ f19 f29 1"/>
                              <a:gd name="f31" fmla="*/ f30 f22 1"/>
                            </a:gdLst>
                            <a:ahLst/>
                            <a:cxnLst>
                              <a:cxn ang="3cd4">
                                <a:pos x="hc" y="t"/>
                              </a:cxn>
                              <a:cxn ang="0">
                                <a:pos x="r" y="vc"/>
                              </a:cxn>
                              <a:cxn ang="cd4">
                                <a:pos x="hc" y="b"/>
                              </a:cxn>
                              <a:cxn ang="cd2">
                                <a:pos x="l" y="vc"/>
                              </a:cxn>
                            </a:cxnLst>
                            <a:rect l="f31" t="f25" r="f31" b="f24"/>
                            <a:pathLst>
                              <a:path h="113030">
                                <a:moveTo>
                                  <a:pt x="f27" y="f3"/>
                                </a:moveTo>
                                <a:lnTo>
                                  <a:pt x="f27" y="f4"/>
                                </a:lnTo>
                              </a:path>
                            </a:pathLst>
                          </a:custGeom>
                          <a:noFill/>
                          <a:ln w="6345" cap="flat">
                            <a:solidFill>
                              <a:srgbClr val="000000"/>
                            </a:solidFill>
                            <a:prstDash val="solid"/>
                            <a:round/>
                          </a:ln>
                        </wps:spPr>
                        <wps:bodyPr lIns="0" tIns="0" rIns="0" bIns="0"/>
                      </wps:wsp>
                      <wps:wsp>
                        <wps:cNvPr id="109" name="Shape 227"/>
                        <wps:cNvSpPr/>
                        <wps:spPr>
                          <a:xfrm>
                            <a:off x="4251329" y="0"/>
                            <a:ext cx="0" cy="113028"/>
                          </a:xfrm>
                          <a:custGeom>
                            <a:avLst/>
                            <a:gdLst>
                              <a:gd name="f0" fmla="val w"/>
                              <a:gd name="f1" fmla="val h"/>
                              <a:gd name="f2" fmla="val ss"/>
                              <a:gd name="f3" fmla="val 0"/>
                              <a:gd name="f4" fmla="val 113030"/>
                              <a:gd name="f5" fmla="abs f0"/>
                              <a:gd name="f6" fmla="abs f1"/>
                              <a:gd name="f7" fmla="abs f2"/>
                              <a:gd name="f8" fmla="*/ f1 1 113030"/>
                              <a:gd name="f9" fmla="+- f4 0 f3"/>
                              <a:gd name="f10" fmla="+- f3 0 f3"/>
                              <a:gd name="f11" fmla="?: f5 f0 1"/>
                              <a:gd name="f12" fmla="?: f6 f1 1"/>
                              <a:gd name="f13" fmla="?: f7 f2 1"/>
                              <a:gd name="f14" fmla="*/ f10 1 0"/>
                              <a:gd name="f15" fmla="*/ f9 1 113030"/>
                              <a:gd name="f16" fmla="*/ f11 1 21600"/>
                              <a:gd name="f17" fmla="*/ f12 1 113030"/>
                              <a:gd name="f18" fmla="*/ 21600 f11 1"/>
                              <a:gd name="f19" fmla="*/ 0 1 f14"/>
                              <a:gd name="f20" fmla="*/ 0 1 f15"/>
                              <a:gd name="f21" fmla="*/ 113030 1 f15"/>
                              <a:gd name="f22" fmla="min f17 f16"/>
                              <a:gd name="f23" fmla="*/ f18 1 f13"/>
                              <a:gd name="f24" fmla="*/ f21 f8 1"/>
                              <a:gd name="f25" fmla="*/ f20 f8 1"/>
                              <a:gd name="f26" fmla="val f23"/>
                              <a:gd name="f27" fmla="*/ f3 f22 1"/>
                              <a:gd name="f28" fmla="+- f26 0 f3"/>
                              <a:gd name="f29" fmla="*/ f28 1 0"/>
                              <a:gd name="f30" fmla="*/ f19 f29 1"/>
                              <a:gd name="f31" fmla="*/ f30 f22 1"/>
                            </a:gdLst>
                            <a:ahLst/>
                            <a:cxnLst>
                              <a:cxn ang="3cd4">
                                <a:pos x="hc" y="t"/>
                              </a:cxn>
                              <a:cxn ang="0">
                                <a:pos x="r" y="vc"/>
                              </a:cxn>
                              <a:cxn ang="cd4">
                                <a:pos x="hc" y="b"/>
                              </a:cxn>
                              <a:cxn ang="cd2">
                                <a:pos x="l" y="vc"/>
                              </a:cxn>
                            </a:cxnLst>
                            <a:rect l="f31" t="f25" r="f31" b="f24"/>
                            <a:pathLst>
                              <a:path h="113030">
                                <a:moveTo>
                                  <a:pt x="f27" y="f3"/>
                                </a:moveTo>
                                <a:lnTo>
                                  <a:pt x="f27" y="f4"/>
                                </a:lnTo>
                              </a:path>
                            </a:pathLst>
                          </a:custGeom>
                          <a:noFill/>
                          <a:ln w="6345" cap="flat">
                            <a:solidFill>
                              <a:srgbClr val="000000"/>
                            </a:solidFill>
                            <a:prstDash val="solid"/>
                            <a:round/>
                          </a:ln>
                        </wps:spPr>
                        <wps:bodyPr lIns="0" tIns="0" rIns="0" bIns="0"/>
                      </wps:wsp>
                      <wps:wsp>
                        <wps:cNvPr id="110" name="Shape 228"/>
                        <wps:cNvSpPr/>
                        <wps:spPr>
                          <a:xfrm>
                            <a:off x="4902839" y="0"/>
                            <a:ext cx="0" cy="113028"/>
                          </a:xfrm>
                          <a:custGeom>
                            <a:avLst/>
                            <a:gdLst>
                              <a:gd name="f0" fmla="val w"/>
                              <a:gd name="f1" fmla="val h"/>
                              <a:gd name="f2" fmla="val ss"/>
                              <a:gd name="f3" fmla="val 0"/>
                              <a:gd name="f4" fmla="val 113030"/>
                              <a:gd name="f5" fmla="abs f0"/>
                              <a:gd name="f6" fmla="abs f1"/>
                              <a:gd name="f7" fmla="abs f2"/>
                              <a:gd name="f8" fmla="*/ f1 1 113030"/>
                              <a:gd name="f9" fmla="+- f4 0 f3"/>
                              <a:gd name="f10" fmla="+- f3 0 f3"/>
                              <a:gd name="f11" fmla="?: f5 f0 1"/>
                              <a:gd name="f12" fmla="?: f6 f1 1"/>
                              <a:gd name="f13" fmla="?: f7 f2 1"/>
                              <a:gd name="f14" fmla="*/ f10 1 0"/>
                              <a:gd name="f15" fmla="*/ f9 1 113030"/>
                              <a:gd name="f16" fmla="*/ f11 1 21600"/>
                              <a:gd name="f17" fmla="*/ f12 1 113030"/>
                              <a:gd name="f18" fmla="*/ 21600 f11 1"/>
                              <a:gd name="f19" fmla="*/ 0 1 f14"/>
                              <a:gd name="f20" fmla="*/ 0 1 f15"/>
                              <a:gd name="f21" fmla="*/ 113030 1 f15"/>
                              <a:gd name="f22" fmla="min f17 f16"/>
                              <a:gd name="f23" fmla="*/ f18 1 f13"/>
                              <a:gd name="f24" fmla="*/ f21 f8 1"/>
                              <a:gd name="f25" fmla="*/ f20 f8 1"/>
                              <a:gd name="f26" fmla="val f23"/>
                              <a:gd name="f27" fmla="*/ f3 f22 1"/>
                              <a:gd name="f28" fmla="+- f26 0 f3"/>
                              <a:gd name="f29" fmla="*/ f28 1 0"/>
                              <a:gd name="f30" fmla="*/ f19 f29 1"/>
                              <a:gd name="f31" fmla="*/ f30 f22 1"/>
                            </a:gdLst>
                            <a:ahLst/>
                            <a:cxnLst>
                              <a:cxn ang="3cd4">
                                <a:pos x="hc" y="t"/>
                              </a:cxn>
                              <a:cxn ang="0">
                                <a:pos x="r" y="vc"/>
                              </a:cxn>
                              <a:cxn ang="cd4">
                                <a:pos x="hc" y="b"/>
                              </a:cxn>
                              <a:cxn ang="cd2">
                                <a:pos x="l" y="vc"/>
                              </a:cxn>
                            </a:cxnLst>
                            <a:rect l="f31" t="f25" r="f31" b="f24"/>
                            <a:pathLst>
                              <a:path h="113030">
                                <a:moveTo>
                                  <a:pt x="f27" y="f3"/>
                                </a:moveTo>
                                <a:lnTo>
                                  <a:pt x="f27" y="f4"/>
                                </a:lnTo>
                              </a:path>
                            </a:pathLst>
                          </a:custGeom>
                          <a:noFill/>
                          <a:ln w="6345" cap="flat">
                            <a:solidFill>
                              <a:srgbClr val="000000"/>
                            </a:solidFill>
                            <a:prstDash val="solid"/>
                            <a:round/>
                          </a:ln>
                        </wps:spPr>
                        <wps:bodyPr lIns="0" tIns="0" rIns="0" bIns="0"/>
                      </wps:wsp>
                      <wps:wsp>
                        <wps:cNvPr id="111" name="Rectangle 229"/>
                        <wps:cNvSpPr/>
                        <wps:spPr>
                          <a:xfrm>
                            <a:off x="675000" y="9089"/>
                            <a:ext cx="61045" cy="122657"/>
                          </a:xfrm>
                          <a:prstGeom prst="rect">
                            <a:avLst/>
                          </a:prstGeom>
                          <a:noFill/>
                          <a:ln cap="flat">
                            <a:noFill/>
                            <a:prstDash val="solid"/>
                          </a:ln>
                        </wps:spPr>
                        <wps:txbx>
                          <w:txbxContent>
                            <w:p w:rsidR="009B4233" w:rsidRDefault="006B08B9">
                              <w:pPr>
                                <w:spacing w:after="160" w:line="249" w:lineRule="auto"/>
                              </w:pPr>
                              <w:r>
                                <w:rPr>
                                  <w:rFonts w:ascii="Calibri" w:eastAsia="Calibri" w:hAnsi="Calibri" w:cs="Calibri"/>
                                  <w:b/>
                                  <w:w w:val="109"/>
                                  <w:sz w:val="13"/>
                                </w:rPr>
                                <w:t>€</w:t>
                              </w:r>
                            </w:p>
                          </w:txbxContent>
                        </wps:txbx>
                        <wps:bodyPr vert="horz" wrap="square" lIns="0" tIns="0" rIns="0" bIns="0" anchor="t" anchorCtr="0" compatLnSpc="0">
                          <a:noAutofit/>
                        </wps:bodyPr>
                      </wps:wsp>
                      <wps:wsp>
                        <wps:cNvPr id="112" name="Rectangle 230"/>
                        <wps:cNvSpPr/>
                        <wps:spPr>
                          <a:xfrm>
                            <a:off x="1318893" y="9089"/>
                            <a:ext cx="61045" cy="122657"/>
                          </a:xfrm>
                          <a:prstGeom prst="rect">
                            <a:avLst/>
                          </a:prstGeom>
                          <a:noFill/>
                          <a:ln cap="flat">
                            <a:noFill/>
                            <a:prstDash val="solid"/>
                          </a:ln>
                        </wps:spPr>
                        <wps:txbx>
                          <w:txbxContent>
                            <w:p w:rsidR="009B4233" w:rsidRDefault="006B08B9">
                              <w:pPr>
                                <w:spacing w:after="160" w:line="249" w:lineRule="auto"/>
                              </w:pPr>
                              <w:r>
                                <w:rPr>
                                  <w:rFonts w:ascii="Calibri" w:eastAsia="Calibri" w:hAnsi="Calibri" w:cs="Calibri"/>
                                  <w:b/>
                                  <w:w w:val="109"/>
                                  <w:sz w:val="13"/>
                                </w:rPr>
                                <w:t>€</w:t>
                              </w:r>
                            </w:p>
                          </w:txbxContent>
                        </wps:txbx>
                        <wps:bodyPr vert="horz" wrap="square" lIns="0" tIns="0" rIns="0" bIns="0" anchor="t" anchorCtr="0" compatLnSpc="0">
                          <a:noAutofit/>
                        </wps:bodyPr>
                      </wps:wsp>
                      <wps:wsp>
                        <wps:cNvPr id="113" name="Rectangle 231"/>
                        <wps:cNvSpPr/>
                        <wps:spPr>
                          <a:xfrm>
                            <a:off x="3019421" y="9089"/>
                            <a:ext cx="61045" cy="122657"/>
                          </a:xfrm>
                          <a:prstGeom prst="rect">
                            <a:avLst/>
                          </a:prstGeom>
                          <a:noFill/>
                          <a:ln cap="flat">
                            <a:noFill/>
                            <a:prstDash val="solid"/>
                          </a:ln>
                        </wps:spPr>
                        <wps:txbx>
                          <w:txbxContent>
                            <w:p w:rsidR="009B4233" w:rsidRDefault="006B08B9">
                              <w:pPr>
                                <w:spacing w:after="160" w:line="249" w:lineRule="auto"/>
                              </w:pPr>
                              <w:r>
                                <w:rPr>
                                  <w:rFonts w:ascii="Calibri" w:eastAsia="Calibri" w:hAnsi="Calibri" w:cs="Calibri"/>
                                  <w:b/>
                                  <w:w w:val="109"/>
                                  <w:sz w:val="13"/>
                                </w:rPr>
                                <w:t>€</w:t>
                              </w:r>
                            </w:p>
                          </w:txbxContent>
                        </wps:txbx>
                        <wps:bodyPr vert="horz" wrap="square" lIns="0" tIns="0" rIns="0" bIns="0" anchor="t" anchorCtr="0" compatLnSpc="0">
                          <a:noAutofit/>
                        </wps:bodyPr>
                      </wps:wsp>
                      <wps:wsp>
                        <wps:cNvPr id="114" name="Rectangle 232"/>
                        <wps:cNvSpPr/>
                        <wps:spPr>
                          <a:xfrm>
                            <a:off x="3663315" y="9089"/>
                            <a:ext cx="61045" cy="122657"/>
                          </a:xfrm>
                          <a:prstGeom prst="rect">
                            <a:avLst/>
                          </a:prstGeom>
                          <a:noFill/>
                          <a:ln cap="flat">
                            <a:noFill/>
                            <a:prstDash val="solid"/>
                          </a:ln>
                        </wps:spPr>
                        <wps:txbx>
                          <w:txbxContent>
                            <w:p w:rsidR="009B4233" w:rsidRDefault="006B08B9">
                              <w:pPr>
                                <w:spacing w:after="160" w:line="249" w:lineRule="auto"/>
                              </w:pPr>
                              <w:r>
                                <w:rPr>
                                  <w:rFonts w:ascii="Calibri" w:eastAsia="Calibri" w:hAnsi="Calibri" w:cs="Calibri"/>
                                  <w:b/>
                                  <w:w w:val="109"/>
                                  <w:sz w:val="13"/>
                                </w:rPr>
                                <w:t>€</w:t>
                              </w:r>
                            </w:p>
                          </w:txbxContent>
                        </wps:txbx>
                        <wps:bodyPr vert="horz" wrap="square" lIns="0" tIns="0" rIns="0" bIns="0" anchor="t" anchorCtr="0" compatLnSpc="0">
                          <a:noAutofit/>
                        </wps:bodyPr>
                      </wps:wsp>
                    </wpg:wgp>
                  </a:graphicData>
                </a:graphic>
              </wp:inline>
            </w:drawing>
          </mc:Choice>
          <mc:Fallback>
            <w:pict>
              <v:group id="Grupo 10662" o:spid="_x0000_s1076" style="width:386.3pt;height:10.35pt;mso-position-horizontal-relative:char;mso-position-vertical-relative:line" coordsize="49060,13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">
                <v:shape id="Shape 11418" o:spid="_x0000_s1077" style="position:absolute;left:6203;width:6433;height:1060;visibility:visible;mso-wrap-style:square;v-text-anchor:top" coordsize="643255,106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" path="m,l643255,r,106045l,106045,,e" filled="f" stroked="f">
                  <v:path arrowok="t" o:connecttype="custom" o:connectlocs="321626,0;643252,53021;321626,106042;0,53021" o:connectangles="270,0,90,180" textboxrect="0,0,643255,106045"/>
                </v:shape>
                <v:shape id="Shape 11419" o:spid="_x0000_s1078" style="position:absolute;left:12642;width:5684;height:1060;visibility:visible;mso-wrap-style:square;v-text-anchor:top" coordsize="568325,106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" path="m,l568325,r,106045l,106045,,e" filled="f" stroked="f">
                  <v:path arrowok="t" o:connecttype="custom" o:connectlocs="284164,0;568327,53021;284164,106042;0,53021" o:connectangles="270,0,90,180" textboxrect="0,0,568325,106045"/>
                </v:shape>
                <v:shape id="Shape 11420" o:spid="_x0000_s1079" style="position:absolute;left:18332;width:4870;height:1060;visibility:visible;mso-wrap-style:square;v-text-anchor:top" coordsize="487045,106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" path="m,l487045,r,106045l,106045,,e" filled="f" stroked="f">
                  <v:path arrowok="t" o:connecttype="custom" o:connectlocs="243523,0;487046,53021;243523,106042;0,53021" o:connectangles="270,0,90,180" textboxrect="0,0,487045,106045"/>
                </v:shape>
                <v:shape id="Shape 11421" o:spid="_x0000_s1080" style="position:absolute;left:23209;width:6432;height:1060;visibility:visible;mso-wrap-style:square;v-text-anchor:top" coordsize="643255,106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" path="m,l643255,r,106045l,106045,,e" filled="f" stroked="f">
                  <v:path arrowok="t" o:connecttype="custom" o:connectlocs="321626,0;643252,53021;321626,106042;0,53021" o:connectangles="270,0,90,180" textboxrect="0,0,643255,106045"/>
                </v:shape>
                <v:shape id="Shape 11422" o:spid="_x0000_s1081" style="position:absolute;left:29648;width:6432;height:1060;visibility:visible;mso-wrap-style:square;v-text-anchor:top" coordsize="643255,106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" path="m,l643255,r,106045l,106045,,e" filled="f" stroked="f">
                  <v:path arrowok="t" o:connecttype="custom" o:connectlocs="321626,0;643252,53021;321626,106042;0,53021" o:connectangles="270,0,90,180" textboxrect="0,0,643255,106045"/>
                </v:shape>
                <v:shape id="Shape 11423" o:spid="_x0000_s1082" style="position:absolute;left:36087;width:6419;height:1060;visibility:visible;mso-wrap-style:square;v-text-anchor:top" coordsize="641985,106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" path="m,l641985,r,106045l,106045,,e" filled="f" stroked="f">
                  <v:path arrowok="t" o:connecttype="custom" o:connectlocs="320991,0;641981,53021;320991,106042;0,53021" o:connectangles="270,0,90,180" textboxrect="0,0,641985,106045"/>
                </v:shape>
                <v:shape id="Shape 11424" o:spid="_x0000_s1083" style="position:absolute;left:42513;width:6509;height:1060;visibility:visible;mso-wrap-style:square;v-text-anchor:top" coordsize="650875,106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" path="m,l650875,r,106045l,106045,,e" filled="f" stroked="f">
                  <v:path arrowok="t" o:connecttype="custom" o:connectlocs="325440,0;650879,53021;325440,106042;0,53021" o:connectangles="270,0,90,180" textboxrect="0,0,650875,106045"/>
                </v:shape>
                <v:shape id="Shape 217" o:spid="_x0000_s1084" style="position:absolute;top:31;width:49060;height:0;visibility:visible;mso-wrap-style:square;v-text-anchor:top" coordsize="49060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" path="m,l4906010,e" filled="f" strokeweight=".17625mm">
                  <v:path arrowok="t" o:connecttype="custom" o:connectlocs="2453006,0;4906012,1;2453006,1;0,1" o:connectangles="270,0,90,180" textboxrect="0,0,4906010,0"/>
                </v:shape>
                <v:shape id="Shape 218" o:spid="_x0000_s1085" style="position:absolute;top:1098;width:6235;height:0;visibility:visible;mso-wrap-style:square;v-text-anchor:top" coordsize="6235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" path="m,l623570,e" filled="f" strokecolor="silver" strokeweight=".17625mm">
                  <v:path arrowok="t" o:connecttype="custom" o:connectlocs="311783,0;623565,1;311783,1;0,1" o:connectangles="270,0,90,180" textboxrect="0,0,623570,0"/>
                </v:shape>
                <v:shape id="Shape 219" o:spid="_x0000_s1086" style="position:absolute;left:6172;top:1098;width:42888;height:0;visibility:visible;mso-wrap-style:square;v-text-anchor:top" coordsize="42887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" path="m,l4288790,e" filled="f" strokeweight=".17625mm">
                  <v:path arrowok="t" o:connecttype="custom" o:connectlocs="2144396,0;4288792,1;2144396,1;0,1" o:connectangles="270,0,90,180" textboxrect="0,0,4288790,0"/>
                </v:shape>
                <v:shape id="Shape 220" o:spid="_x0000_s1087" style="position:absolute;left:31;width:0;height:1130;visibility:visible;mso-wrap-style:square;v-text-anchor:top" coordsize="0,113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" path="m,l,113030e" filled="f" strokecolor="silver" strokeweight=".17625mm">
                  <v:path arrowok="t" o:connecttype="custom" o:connectlocs="1,0;1,56514;1,113028;0,56514" o:connectangles="270,0,90,180" textboxrect="0,0,0,113030"/>
                </v:shape>
                <v:shape id="Shape 221" o:spid="_x0000_s1088" style="position:absolute;left:6203;width:0;height:1130;visibility:visible;mso-wrap-style:square;v-text-anchor:top" coordsize="0,113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" path="m,l,113030e" filled="f" strokeweight=".17625mm">
                  <v:path arrowok="t" o:connecttype="custom" o:connectlocs="1,0;1,56514;1,113028;0,56514" o:connectangles="270,0,90,180" textboxrect="0,0,0,113030"/>
                </v:shape>
                <v:shape id="Shape 222" o:spid="_x0000_s1089" style="position:absolute;left:12642;width:0;height:1130;visibility:visible;mso-wrap-style:square;v-text-anchor:top" coordsize="0,113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" path="m,l,113030e" filled="f" strokeweight=".17625mm">
                  <v:path arrowok="t" o:connecttype="custom" o:connectlocs="1,0;1,56514;1,113028;0,56514" o:connectangles="270,0,90,180" textboxrect="0,0,0,113030"/>
                </v:shape>
                <v:shape id="Shape 223" o:spid="_x0000_s1090" style="position:absolute;left:18332;width:0;height:1130;visibility:visible;mso-wrap-style:square;v-text-anchor:top" coordsize="0,113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" path="m,l,113030e" filled="f" strokeweight=".17625mm">
                  <v:path arrowok="t" o:connecttype="custom" o:connectlocs="1,0;1,56514;1,113028;0,56514" o:connectangles="270,0,90,180" textboxrect="0,0,0,113030"/>
                </v:shape>
                <v:shape id="Shape 224" o:spid="_x0000_s1091" style="position:absolute;left:23209;width:0;height:1130;visibility:visible;mso-wrap-style:square;v-text-anchor:top" coordsize="0,113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" path="m,l,113030e" filled="f" strokeweight=".17625mm">
                  <v:path arrowok="t" o:connecttype="custom" o:connectlocs="1,0;1,56514;1,113028;0,56514" o:connectangles="270,0,90,180" textboxrect="0,0,0,113030"/>
                </v:shape>
                <v:shape id="Shape 225" o:spid="_x0000_s1092" style="position:absolute;left:29648;width:0;height:1130;visibility:visible;mso-wrap-style:square;v-text-anchor:top" coordsize="0,113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" path="m,l,113030e" filled="f" strokeweight=".17625mm">
                  <v:path arrowok="t" o:connecttype="custom" o:connectlocs="1,0;1,56514;1,113028;0,56514" o:connectangles="270,0,90,180" textboxrect="0,0,0,113030"/>
                </v:shape>
                <v:shape id="Shape 226" o:spid="_x0000_s1093" style="position:absolute;left:36087;width:0;height:1130;visibility:visible;mso-wrap-style:square;v-text-anchor:top" coordsize="0,113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" path="m,l,113030e" filled="f" strokeweight=".17625mm">
                  <v:path arrowok="t" o:connecttype="custom" o:connectlocs="1,0;1,56514;1,113028;0,56514" o:connectangles="270,0,90,180" textboxrect="0,0,0,113030"/>
                </v:shape>
                <v:shape id="Shape 227" o:spid="_x0000_s1094" style="position:absolute;left:42513;width:0;height:1130;visibility:visible;mso-wrap-style:square;v-text-anchor:top" coordsize="0,113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" path="m,l,113030e" filled="f" strokeweight=".17625mm">
                  <v:path arrowok="t" o:connecttype="custom" o:connectlocs="1,0;1,56514;1,113028;0,56514" o:connectangles="270,0,90,180" textboxrect="0,0,0,113030"/>
                </v:shape>
                <v:shape id="Shape 228" o:spid="_x0000_s1095" style="position:absolute;left:49028;width:0;height:1130;visibility:visible;mso-wrap-style:square;v-text-anchor:top" coordsize="0,113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" path="m,l,113030e" filled="f" strokeweight=".17625mm">
                  <v:path arrowok="t" o:connecttype="custom" o:connectlocs="1,0;1,56514;1,113028;0,56514" o:connectangles="270,0,90,180" textboxrect="0,0,0,113030"/>
                </v:shape>
                <v:rect id="Rectangle 229" o:spid="_x0000_s1096" style="position:absolute;left:6750;top:90;width:610;height:1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" filled="f" stroked="f">
                  <v:textbox inset="0,0,0,0">
                    <w:txbxContent>
                      <w:p w:rsidR="009B4233" w:rsidRDefault="006B08B9">
                        <w:pPr>
                          <w:spacing w:after="160" w:line="249" w:lineRule="auto"/>
                        </w:pPr>
                        <w:r>
                          <w:rPr>
                            <w:rFonts w:ascii="Calibri" w:eastAsia="Calibri" w:hAnsi="Calibri" w:cs="Calibri"/>
                            <w:b/>
                            <w:w w:val="109"/>
                            <w:sz w:val="13"/>
                          </w:rPr>
                          <w:t>€</w:t>
                        </w:r>
                      </w:p>
                    </w:txbxContent>
                  </v:textbox>
                </v:rect>
                <v:rect id="Rectangle 230" o:spid="_x0000_s1097" style="position:absolute;left:13188;top:90;width:611;height:1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" filled="f" stroked="f">
                  <v:textbox inset="0,0,0,0">
                    <w:txbxContent>
                      <w:p w:rsidR="009B4233" w:rsidRDefault="006B08B9">
                        <w:pPr>
                          <w:spacing w:after="160" w:line="249" w:lineRule="auto"/>
                        </w:pPr>
                        <w:r>
                          <w:rPr>
                            <w:rFonts w:ascii="Calibri" w:eastAsia="Calibri" w:hAnsi="Calibri" w:cs="Calibri"/>
                            <w:b/>
                            <w:w w:val="109"/>
                            <w:sz w:val="13"/>
                          </w:rPr>
                          <w:t>€</w:t>
                        </w:r>
                      </w:p>
                    </w:txbxContent>
                  </v:textbox>
                </v:rect>
                <v:rect id="Rectangle 231" o:spid="_x0000_s1098" style="position:absolute;left:30194;top:90;width:610;height:1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" filled="f" stroked="f">
                  <v:textbox inset="0,0,0,0">
                    <w:txbxContent>
                      <w:p w:rsidR="009B4233" w:rsidRDefault="006B08B9">
                        <w:pPr>
                          <w:spacing w:after="160" w:line="249" w:lineRule="auto"/>
                        </w:pPr>
                        <w:r>
                          <w:rPr>
                            <w:rFonts w:ascii="Calibri" w:eastAsia="Calibri" w:hAnsi="Calibri" w:cs="Calibri"/>
                            <w:b/>
                            <w:w w:val="109"/>
                            <w:sz w:val="13"/>
                          </w:rPr>
                          <w:t>€</w:t>
                        </w:r>
                      </w:p>
                    </w:txbxContent>
                  </v:textbox>
                </v:rect>
                <v:rect id="Rectangle 232" o:spid="_x0000_s1099" style="position:absolute;left:36633;top:90;width:610;height:1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" filled="f" stroked="f">
                  <v:textbox inset="0,0,0,0">
                    <w:txbxContent>
                      <w:p w:rsidR="009B4233" w:rsidRDefault="006B08B9">
                        <w:pPr>
                          <w:spacing w:after="160" w:line="249" w:lineRule="auto"/>
                        </w:pPr>
                        <w:r>
                          <w:rPr>
                            <w:rFonts w:ascii="Calibri" w:eastAsia="Calibri" w:hAnsi="Calibri" w:cs="Calibri"/>
                            <w:b/>
                            <w:w w:val="109"/>
                            <w:sz w:val="13"/>
                          </w:rPr>
                          <w:t>€</w:t>
                        </w:r>
                      </w:p>
                    </w:txbxContent>
                  </v:textbox>
                </v:rect>
                <w10:anchorlock/>
              </v:group>
            </w:pict>
          </mc:Fallback>
        </mc:AlternateContent>
      </w:r>
    </w:p>
    <w:p w:rsidR="009B4233" w:rsidRDefault="006B08B9">
      <w:pPr>
        <w:ind w:left="5" w:right="46"/>
        <w:jc w:val="both"/>
      </w:pPr>
      <w:r>
        <w:rPr>
          <w:rFonts w:ascii="Arial" w:hAnsi="Arial" w:cs="Arial"/>
          <w:sz w:val="22"/>
          <w:szCs w:val="22"/>
        </w:rPr>
        <w:t xml:space="preserve">En el mencionado Acuerdo del Consejo de Gobierno </w:t>
      </w:r>
      <w:r>
        <w:rPr>
          <w:rFonts w:ascii="Arial" w:hAnsi="Arial" w:cs="Arial"/>
          <w:sz w:val="22"/>
          <w:szCs w:val="22"/>
        </w:rPr>
        <w:t>Insular se modificó además el plazo de ejecución y justificación</w:t>
      </w:r>
      <w:r>
        <w:rPr>
          <w:rFonts w:ascii="Arial" w:eastAsia="Calibri" w:hAnsi="Arial" w:cs="Arial"/>
          <w:b/>
          <w:sz w:val="22"/>
          <w:szCs w:val="22"/>
        </w:rPr>
        <w:t xml:space="preserve"> </w:t>
      </w:r>
      <w:r>
        <w:rPr>
          <w:rFonts w:ascii="Arial" w:hAnsi="Arial" w:cs="Arial"/>
          <w:sz w:val="22"/>
          <w:szCs w:val="22"/>
        </w:rPr>
        <w:t>de las anualidades 2023 y 2024, hasta el 10 de septiembre y 10 de noviembre de 2026 respectivamente, manteniendo para las anualidades siguientes (2026, 2027 y 2028), el plazo de ejecución y j</w:t>
      </w:r>
      <w:r>
        <w:rPr>
          <w:rFonts w:ascii="Arial" w:hAnsi="Arial" w:cs="Arial"/>
          <w:sz w:val="22"/>
          <w:szCs w:val="22"/>
        </w:rPr>
        <w:t xml:space="preserve">ustificación, el 10 de septiembre y 10 de noviembre de la anualidad siguiente al del ejercicio en que sean abonadas, conforme establecen las normas del Plan. En todo caso, las restantes anualidades no se abonarán hasta que se proceda, por el Ayuntamiento, </w:t>
      </w:r>
      <w:r>
        <w:rPr>
          <w:rFonts w:ascii="Arial" w:hAnsi="Arial" w:cs="Arial"/>
          <w:sz w:val="22"/>
          <w:szCs w:val="22"/>
        </w:rPr>
        <w:t>a la justificación de los fondos recibidos con anterioridad.</w:t>
      </w:r>
      <w:r>
        <w:rPr>
          <w:rFonts w:ascii="Arial" w:eastAsia="Calibri" w:hAnsi="Arial" w:cs="Arial"/>
          <w:b/>
          <w:sz w:val="22"/>
          <w:szCs w:val="22"/>
        </w:rPr>
        <w:t xml:space="preserve"> </w:t>
      </w:r>
    </w:p>
    <w:p w:rsidR="009B4233" w:rsidRDefault="009B4233">
      <w:pPr>
        <w:ind w:left="5" w:right="46"/>
        <w:jc w:val="both"/>
        <w:rPr>
          <w:rFonts w:ascii="Arial" w:hAnsi="Arial" w:cs="Arial"/>
          <w:sz w:val="22"/>
          <w:szCs w:val="22"/>
        </w:rPr>
      </w:pPr>
    </w:p>
    <w:p w:rsidR="009B4233" w:rsidRDefault="006B08B9">
      <w:pPr>
        <w:spacing w:after="251"/>
        <w:ind w:left="5" w:right="46"/>
        <w:jc w:val="both"/>
      </w:pPr>
      <w:r>
        <w:rPr>
          <w:rFonts w:ascii="Arial" w:eastAsia="Calibri" w:hAnsi="Arial" w:cs="Arial"/>
          <w:b/>
          <w:sz w:val="22"/>
          <w:szCs w:val="22"/>
        </w:rPr>
        <w:t>Resultando</w:t>
      </w:r>
      <w:r>
        <w:rPr>
          <w:rFonts w:ascii="Arial" w:hAnsi="Arial" w:cs="Arial"/>
          <w:sz w:val="22"/>
          <w:szCs w:val="22"/>
        </w:rPr>
        <w:t xml:space="preserve"> que, tras establecimiento de nuevos límites presupuestarios para gastos de inversión del área de Cultura, con fecha 26 de agosto de 2025 el Servicio Administrativo de Cultura remitió</w:t>
      </w:r>
      <w:r>
        <w:rPr>
          <w:rFonts w:ascii="Arial" w:hAnsi="Arial" w:cs="Arial"/>
          <w:sz w:val="22"/>
          <w:szCs w:val="22"/>
        </w:rPr>
        <w:t xml:space="preserve"> al Ayuntamiento de Candelaria nueva propuesta de financiación de la citada actuación, con la siguiente distribución, a la cual prestó conformidad con fecha 27 de agosto de 2025: </w:t>
      </w:r>
    </w:p>
    <w:p w:rsidR="009B4233" w:rsidRDefault="006B08B9">
      <w:pPr>
        <w:pStyle w:val="Ttulo2"/>
        <w:tabs>
          <w:tab w:val="center" w:pos="1344"/>
          <w:tab w:val="center" w:pos="2198"/>
          <w:tab w:val="center" w:pos="2946"/>
          <w:tab w:val="center" w:pos="3738"/>
          <w:tab w:val="center" w:pos="4645"/>
          <w:tab w:val="center" w:pos="5551"/>
          <w:tab w:val="center" w:pos="6458"/>
          <w:tab w:val="center" w:pos="7318"/>
        </w:tabs>
      </w:pPr>
      <w:r>
        <w:rPr>
          <w:rFonts w:ascii="Arial" w:eastAsia="Calibri" w:hAnsi="Arial" w:cs="Arial"/>
          <w:b w:val="0"/>
          <w:sz w:val="22"/>
          <w:szCs w:val="22"/>
        </w:rPr>
        <w:tab/>
      </w:r>
      <w:r>
        <w:rPr>
          <w:rFonts w:ascii="Arial" w:hAnsi="Arial" w:cs="Arial"/>
          <w:sz w:val="22"/>
          <w:szCs w:val="22"/>
        </w:rPr>
        <w:t>2023</w:t>
      </w:r>
      <w:r>
        <w:rPr>
          <w:rFonts w:ascii="Arial" w:hAnsi="Arial" w:cs="Arial"/>
          <w:sz w:val="22"/>
          <w:szCs w:val="22"/>
        </w:rPr>
        <w:tab/>
        <w:t>2024</w:t>
      </w:r>
      <w:r>
        <w:rPr>
          <w:rFonts w:ascii="Arial" w:hAnsi="Arial" w:cs="Arial"/>
          <w:sz w:val="22"/>
          <w:szCs w:val="22"/>
        </w:rPr>
        <w:tab/>
        <w:t>2025</w:t>
      </w:r>
      <w:r>
        <w:rPr>
          <w:rFonts w:ascii="Arial" w:hAnsi="Arial" w:cs="Arial"/>
          <w:sz w:val="22"/>
          <w:szCs w:val="22"/>
        </w:rPr>
        <w:tab/>
        <w:t>2026</w:t>
      </w:r>
      <w:r>
        <w:rPr>
          <w:rFonts w:ascii="Arial" w:hAnsi="Arial" w:cs="Arial"/>
          <w:sz w:val="22"/>
          <w:szCs w:val="22"/>
        </w:rPr>
        <w:tab/>
        <w:t>2027</w:t>
      </w:r>
      <w:r>
        <w:rPr>
          <w:rFonts w:ascii="Arial" w:hAnsi="Arial" w:cs="Arial"/>
          <w:sz w:val="22"/>
          <w:szCs w:val="22"/>
        </w:rPr>
        <w:tab/>
        <w:t>2028</w:t>
      </w:r>
      <w:r>
        <w:rPr>
          <w:rFonts w:ascii="Arial" w:hAnsi="Arial" w:cs="Arial"/>
          <w:sz w:val="22"/>
          <w:szCs w:val="22"/>
        </w:rPr>
        <w:tab/>
        <w:t>2029</w:t>
      </w:r>
      <w:r>
        <w:rPr>
          <w:rFonts w:ascii="Arial" w:hAnsi="Arial" w:cs="Arial"/>
          <w:sz w:val="22"/>
          <w:szCs w:val="22"/>
        </w:rPr>
        <w:tab/>
      </w:r>
      <w:r>
        <w:rPr>
          <w:rFonts w:ascii="Arial" w:eastAsia="Calibri" w:hAnsi="Arial" w:cs="Arial"/>
          <w:b w:val="0"/>
          <w:sz w:val="22"/>
          <w:szCs w:val="22"/>
        </w:rPr>
        <w:t>Total</w:t>
      </w:r>
    </w:p>
    <w:tbl>
      <w:tblPr>
        <w:tblW w:w="7716" w:type="dxa"/>
        <w:tblInd w:w="-8" w:type="dxa"/>
        <w:tblCellMar>
          <w:left w:w="10" w:type="dxa"/>
          <w:right w:w="10" w:type="dxa"/>
        </w:tblCellMar>
        <w:tblLook w:val="0000" w:firstRow="0" w:lastRow="0" w:firstColumn="0" w:lastColumn="0" w:noHBand="0" w:noVBand="0"/>
      </w:tblPr>
      <w:tblGrid>
        <w:gridCol w:w="1265"/>
        <w:gridCol w:w="1166"/>
        <w:gridCol w:w="1020"/>
        <w:gridCol w:w="471"/>
        <w:gridCol w:w="1016"/>
        <w:gridCol w:w="1168"/>
        <w:gridCol w:w="1166"/>
        <w:gridCol w:w="1166"/>
        <w:gridCol w:w="1124"/>
      </w:tblGrid>
      <w:tr w:rsidR="009B4233">
        <w:tblPrEx>
          <w:tblCellMar>
            <w:top w:w="0" w:type="dxa"/>
            <w:bottom w:w="0" w:type="dxa"/>
          </w:tblCellMar>
        </w:tblPrEx>
        <w:trPr>
          <w:trHeight w:val="413"/>
        </w:trPr>
        <w:tc>
          <w:tcPr>
            <w:tcW w:w="1265" w:type="dxa"/>
            <w:tcBorders>
              <w:top w:val="single" w:sz="4" w:space="0" w:color="C0C0C0"/>
              <w:left w:val="single" w:sz="4" w:space="0" w:color="C0C0C0"/>
              <w:bottom w:val="single" w:sz="4" w:space="0" w:color="C0C0C0"/>
              <w:right w:val="single" w:sz="4" w:space="0" w:color="000000"/>
            </w:tcBorders>
            <w:shd w:val="clear" w:color="auto" w:fill="auto"/>
            <w:tcMar>
              <w:top w:w="8" w:type="dxa"/>
              <w:left w:w="24" w:type="dxa"/>
              <w:bottom w:w="0" w:type="dxa"/>
              <w:right w:w="59" w:type="dxa"/>
            </w:tcMar>
          </w:tcPr>
          <w:p w:rsidR="009B4233" w:rsidRDefault="009B4233">
            <w:pPr>
              <w:spacing w:after="160" w:line="249" w:lineRule="auto"/>
              <w:rPr>
                <w:rFonts w:ascii="Arial" w:hAnsi="Arial" w:cs="Arial"/>
                <w:sz w:val="22"/>
                <w:szCs w:val="22"/>
              </w:rPr>
            </w:pPr>
          </w:p>
        </w:tc>
        <w:tc>
          <w:tcPr>
            <w:tcW w:w="1166" w:type="dxa"/>
            <w:tcBorders>
              <w:top w:val="single" w:sz="4" w:space="0" w:color="000000"/>
              <w:left w:val="single" w:sz="4" w:space="0" w:color="000000"/>
              <w:bottom w:val="single" w:sz="4" w:space="0" w:color="000000"/>
              <w:right w:val="single" w:sz="4" w:space="0" w:color="000000"/>
            </w:tcBorders>
            <w:shd w:val="clear" w:color="auto" w:fill="auto"/>
            <w:tcMar>
              <w:top w:w="8" w:type="dxa"/>
              <w:left w:w="24" w:type="dxa"/>
              <w:bottom w:w="0" w:type="dxa"/>
              <w:right w:w="59" w:type="dxa"/>
            </w:tcMar>
          </w:tcPr>
          <w:p w:rsidR="009B4233" w:rsidRDefault="009B4233">
            <w:pPr>
              <w:spacing w:after="160" w:line="249" w:lineRule="auto"/>
              <w:rPr>
                <w:rFonts w:ascii="Arial" w:hAnsi="Arial" w:cs="Arial"/>
                <w:sz w:val="22"/>
                <w:szCs w:val="22"/>
              </w:rPr>
            </w:pPr>
          </w:p>
        </w:tc>
        <w:tc>
          <w:tcPr>
            <w:tcW w:w="1020" w:type="dxa"/>
            <w:tcBorders>
              <w:top w:val="single" w:sz="4" w:space="0" w:color="000000"/>
              <w:left w:val="single" w:sz="4" w:space="0" w:color="000000"/>
              <w:bottom w:val="single" w:sz="4" w:space="0" w:color="000000"/>
              <w:right w:val="single" w:sz="4" w:space="0" w:color="000000"/>
            </w:tcBorders>
            <w:shd w:val="clear" w:color="auto" w:fill="auto"/>
            <w:tcMar>
              <w:top w:w="8" w:type="dxa"/>
              <w:left w:w="24" w:type="dxa"/>
              <w:bottom w:w="0" w:type="dxa"/>
              <w:right w:w="59" w:type="dxa"/>
            </w:tcMar>
          </w:tcPr>
          <w:p w:rsidR="009B4233" w:rsidRDefault="009B4233">
            <w:pPr>
              <w:spacing w:after="160" w:line="249" w:lineRule="auto"/>
              <w:rPr>
                <w:rFonts w:ascii="Arial" w:hAnsi="Arial" w:cs="Arial"/>
                <w:sz w:val="22"/>
                <w:szCs w:val="22"/>
              </w:rPr>
            </w:pPr>
          </w:p>
        </w:tc>
        <w:tc>
          <w:tcPr>
            <w:tcW w:w="471" w:type="dxa"/>
            <w:tcBorders>
              <w:top w:val="single" w:sz="4" w:space="0" w:color="000000"/>
              <w:left w:val="single" w:sz="4" w:space="0" w:color="000000"/>
              <w:bottom w:val="single" w:sz="4" w:space="0" w:color="000000"/>
              <w:right w:val="single" w:sz="4" w:space="0" w:color="000000"/>
            </w:tcBorders>
            <w:shd w:val="clear" w:color="auto" w:fill="auto"/>
            <w:tcMar>
              <w:top w:w="8" w:type="dxa"/>
              <w:left w:w="24" w:type="dxa"/>
              <w:bottom w:w="0" w:type="dxa"/>
              <w:right w:w="59" w:type="dxa"/>
            </w:tcMar>
          </w:tcPr>
          <w:p w:rsidR="009B4233" w:rsidRDefault="009B4233">
            <w:pPr>
              <w:spacing w:after="160" w:line="249" w:lineRule="auto"/>
              <w:rPr>
                <w:rFonts w:ascii="Arial" w:hAnsi="Arial" w:cs="Arial"/>
                <w:sz w:val="22"/>
                <w:szCs w:val="22"/>
              </w:rPr>
            </w:pPr>
          </w:p>
        </w:tc>
        <w:tc>
          <w:tcPr>
            <w:tcW w:w="1016" w:type="dxa"/>
            <w:tcBorders>
              <w:top w:val="single" w:sz="4" w:space="0" w:color="000000"/>
              <w:left w:val="single" w:sz="4" w:space="0" w:color="000000"/>
              <w:bottom w:val="single" w:sz="4" w:space="0" w:color="000000"/>
              <w:right w:val="single" w:sz="4" w:space="0" w:color="000000"/>
            </w:tcBorders>
            <w:shd w:val="clear" w:color="auto" w:fill="auto"/>
            <w:tcMar>
              <w:top w:w="8" w:type="dxa"/>
              <w:left w:w="24" w:type="dxa"/>
              <w:bottom w:w="0" w:type="dxa"/>
              <w:right w:w="59" w:type="dxa"/>
            </w:tcMar>
          </w:tcPr>
          <w:p w:rsidR="009B4233" w:rsidRDefault="009B4233">
            <w:pPr>
              <w:spacing w:after="160" w:line="249" w:lineRule="auto"/>
              <w:rPr>
                <w:rFonts w:ascii="Arial" w:hAnsi="Arial" w:cs="Arial"/>
                <w:sz w:val="22"/>
                <w:szCs w:val="22"/>
              </w:rPr>
            </w:pPr>
          </w:p>
        </w:tc>
        <w:tc>
          <w:tcPr>
            <w:tcW w:w="1168" w:type="dxa"/>
            <w:tcBorders>
              <w:top w:val="single" w:sz="4" w:space="0" w:color="000000"/>
              <w:left w:val="single" w:sz="4" w:space="0" w:color="000000"/>
              <w:bottom w:val="single" w:sz="4" w:space="0" w:color="000000"/>
              <w:right w:val="single" w:sz="4" w:space="0" w:color="000000"/>
            </w:tcBorders>
            <w:shd w:val="clear" w:color="auto" w:fill="auto"/>
            <w:tcMar>
              <w:top w:w="8" w:type="dxa"/>
              <w:left w:w="24" w:type="dxa"/>
              <w:bottom w:w="0" w:type="dxa"/>
              <w:right w:w="59" w:type="dxa"/>
            </w:tcMar>
          </w:tcPr>
          <w:p w:rsidR="009B4233" w:rsidRDefault="009B4233">
            <w:pPr>
              <w:spacing w:after="160" w:line="249" w:lineRule="auto"/>
              <w:rPr>
                <w:rFonts w:ascii="Arial" w:hAnsi="Arial" w:cs="Arial"/>
                <w:sz w:val="22"/>
                <w:szCs w:val="22"/>
              </w:rPr>
            </w:pPr>
          </w:p>
        </w:tc>
        <w:tc>
          <w:tcPr>
            <w:tcW w:w="1166" w:type="dxa"/>
            <w:tcBorders>
              <w:top w:val="single" w:sz="4" w:space="0" w:color="000000"/>
              <w:left w:val="single" w:sz="4" w:space="0" w:color="000000"/>
              <w:bottom w:val="single" w:sz="4" w:space="0" w:color="000000"/>
              <w:right w:val="single" w:sz="4" w:space="0" w:color="000000"/>
            </w:tcBorders>
            <w:shd w:val="clear" w:color="auto" w:fill="auto"/>
            <w:tcMar>
              <w:top w:w="8" w:type="dxa"/>
              <w:left w:w="24" w:type="dxa"/>
              <w:bottom w:w="0" w:type="dxa"/>
              <w:right w:w="59" w:type="dxa"/>
            </w:tcMar>
          </w:tcPr>
          <w:p w:rsidR="009B4233" w:rsidRDefault="009B4233">
            <w:pPr>
              <w:spacing w:after="160" w:line="249" w:lineRule="auto"/>
              <w:rPr>
                <w:rFonts w:ascii="Arial" w:hAnsi="Arial" w:cs="Arial"/>
                <w:sz w:val="22"/>
                <w:szCs w:val="22"/>
              </w:rPr>
            </w:pPr>
          </w:p>
        </w:tc>
        <w:tc>
          <w:tcPr>
            <w:tcW w:w="1166" w:type="dxa"/>
            <w:tcBorders>
              <w:top w:val="single" w:sz="4" w:space="0" w:color="000000"/>
              <w:left w:val="single" w:sz="4" w:space="0" w:color="000000"/>
              <w:bottom w:val="single" w:sz="4" w:space="0" w:color="000000"/>
              <w:right w:val="single" w:sz="4" w:space="0" w:color="000000"/>
            </w:tcBorders>
            <w:shd w:val="clear" w:color="auto" w:fill="auto"/>
            <w:tcMar>
              <w:top w:w="8" w:type="dxa"/>
              <w:left w:w="24" w:type="dxa"/>
              <w:bottom w:w="0" w:type="dxa"/>
              <w:right w:w="59" w:type="dxa"/>
            </w:tcMar>
          </w:tcPr>
          <w:p w:rsidR="009B4233" w:rsidRDefault="009B4233">
            <w:pPr>
              <w:spacing w:after="160" w:line="249" w:lineRule="auto"/>
              <w:rPr>
                <w:rFonts w:ascii="Arial" w:hAnsi="Arial" w:cs="Arial"/>
                <w:sz w:val="22"/>
                <w:szCs w:val="22"/>
              </w:rPr>
            </w:pPr>
          </w:p>
        </w:tc>
        <w:tc>
          <w:tcPr>
            <w:tcW w:w="1124" w:type="dxa"/>
            <w:tcBorders>
              <w:top w:val="single" w:sz="4" w:space="0" w:color="000000"/>
              <w:left w:val="single" w:sz="4" w:space="0" w:color="000000"/>
              <w:bottom w:val="single" w:sz="4" w:space="0" w:color="000000"/>
              <w:right w:val="single" w:sz="4" w:space="0" w:color="000000"/>
            </w:tcBorders>
            <w:shd w:val="clear" w:color="auto" w:fill="auto"/>
            <w:tcMar>
              <w:top w:w="8" w:type="dxa"/>
              <w:left w:w="24" w:type="dxa"/>
              <w:bottom w:w="0" w:type="dxa"/>
              <w:right w:w="59" w:type="dxa"/>
            </w:tcMar>
          </w:tcPr>
          <w:p w:rsidR="009B4233" w:rsidRDefault="009B4233">
            <w:pPr>
              <w:spacing w:after="160" w:line="249" w:lineRule="auto"/>
              <w:rPr>
                <w:rFonts w:ascii="Arial" w:hAnsi="Arial" w:cs="Arial"/>
                <w:sz w:val="22"/>
                <w:szCs w:val="22"/>
              </w:rPr>
            </w:pPr>
          </w:p>
        </w:tc>
      </w:tr>
      <w:tr w:rsidR="009B4233">
        <w:tblPrEx>
          <w:tblCellMar>
            <w:top w:w="0" w:type="dxa"/>
            <w:bottom w:w="0" w:type="dxa"/>
          </w:tblCellMar>
        </w:tblPrEx>
        <w:trPr>
          <w:trHeight w:val="151"/>
        </w:trPr>
        <w:tc>
          <w:tcPr>
            <w:tcW w:w="1265" w:type="dxa"/>
            <w:tcBorders>
              <w:top w:val="single" w:sz="4" w:space="0" w:color="C0C0C0"/>
              <w:left w:val="single" w:sz="4" w:space="0" w:color="000000"/>
              <w:bottom w:val="single" w:sz="4" w:space="0" w:color="000000"/>
              <w:right w:val="single" w:sz="4" w:space="0" w:color="000000"/>
            </w:tcBorders>
            <w:shd w:val="clear" w:color="auto" w:fill="D9D9D9"/>
            <w:tcMar>
              <w:top w:w="8" w:type="dxa"/>
              <w:left w:w="24" w:type="dxa"/>
              <w:bottom w:w="0" w:type="dxa"/>
              <w:right w:w="59" w:type="dxa"/>
            </w:tcMar>
          </w:tcPr>
          <w:p w:rsidR="009B4233" w:rsidRDefault="006B08B9">
            <w:pPr>
              <w:spacing w:line="249" w:lineRule="auto"/>
            </w:pPr>
            <w:r>
              <w:rPr>
                <w:rFonts w:ascii="Arial" w:eastAsia="Calibri" w:hAnsi="Arial" w:cs="Arial"/>
                <w:b/>
                <w:sz w:val="22"/>
                <w:szCs w:val="22"/>
              </w:rPr>
              <w:t>Cabildo</w:t>
            </w:r>
          </w:p>
        </w:tc>
        <w:tc>
          <w:tcPr>
            <w:tcW w:w="1166" w:type="dxa"/>
            <w:tcBorders>
              <w:top w:val="single" w:sz="4" w:space="0" w:color="000000"/>
              <w:left w:val="single" w:sz="4" w:space="0" w:color="000000"/>
              <w:bottom w:val="single" w:sz="4" w:space="0" w:color="000000"/>
              <w:right w:val="single" w:sz="4" w:space="0" w:color="000000"/>
            </w:tcBorders>
            <w:shd w:val="clear" w:color="auto" w:fill="auto"/>
            <w:tcMar>
              <w:top w:w="8" w:type="dxa"/>
              <w:left w:w="24" w:type="dxa"/>
              <w:bottom w:w="0" w:type="dxa"/>
              <w:right w:w="59" w:type="dxa"/>
            </w:tcMar>
          </w:tcPr>
          <w:p w:rsidR="009B4233" w:rsidRDefault="006B08B9">
            <w:pPr>
              <w:spacing w:line="249" w:lineRule="auto"/>
              <w:ind w:left="52"/>
              <w:rPr>
                <w:rFonts w:ascii="Arial" w:hAnsi="Arial" w:cs="Arial"/>
                <w:sz w:val="22"/>
                <w:szCs w:val="22"/>
              </w:rPr>
            </w:pPr>
            <w:r>
              <w:rPr>
                <w:rFonts w:ascii="Arial" w:hAnsi="Arial" w:cs="Arial"/>
                <w:sz w:val="22"/>
                <w:szCs w:val="22"/>
              </w:rPr>
              <w:t>2.369.143,58 €</w:t>
            </w:r>
          </w:p>
        </w:tc>
        <w:tc>
          <w:tcPr>
            <w:tcW w:w="1020" w:type="dxa"/>
            <w:tcBorders>
              <w:top w:val="single" w:sz="4" w:space="0" w:color="000000"/>
              <w:left w:val="single" w:sz="4" w:space="0" w:color="000000"/>
              <w:bottom w:val="single" w:sz="4" w:space="0" w:color="000000"/>
              <w:right w:val="single" w:sz="4" w:space="0" w:color="000000"/>
            </w:tcBorders>
            <w:shd w:val="clear" w:color="auto" w:fill="auto"/>
            <w:tcMar>
              <w:top w:w="8" w:type="dxa"/>
              <w:left w:w="24" w:type="dxa"/>
              <w:bottom w:w="0" w:type="dxa"/>
              <w:right w:w="59" w:type="dxa"/>
            </w:tcMar>
          </w:tcPr>
          <w:p w:rsidR="009B4233" w:rsidRDefault="006B08B9">
            <w:pPr>
              <w:spacing w:line="249" w:lineRule="auto"/>
              <w:ind w:left="42"/>
              <w:jc w:val="center"/>
              <w:rPr>
                <w:rFonts w:ascii="Arial" w:hAnsi="Arial" w:cs="Arial"/>
                <w:sz w:val="22"/>
                <w:szCs w:val="22"/>
              </w:rPr>
            </w:pPr>
            <w:r>
              <w:rPr>
                <w:rFonts w:ascii="Arial" w:hAnsi="Arial" w:cs="Arial"/>
                <w:sz w:val="22"/>
                <w:szCs w:val="22"/>
              </w:rPr>
              <w:t>0,00 €</w:t>
            </w:r>
          </w:p>
        </w:tc>
        <w:tc>
          <w:tcPr>
            <w:tcW w:w="471" w:type="dxa"/>
            <w:tcBorders>
              <w:top w:val="single" w:sz="4" w:space="0" w:color="000000"/>
              <w:left w:val="single" w:sz="4" w:space="0" w:color="000000"/>
              <w:bottom w:val="single" w:sz="4" w:space="0" w:color="000000"/>
              <w:right w:val="single" w:sz="4" w:space="0" w:color="000000"/>
            </w:tcBorders>
            <w:shd w:val="clear" w:color="auto" w:fill="auto"/>
            <w:tcMar>
              <w:top w:w="8" w:type="dxa"/>
              <w:left w:w="24" w:type="dxa"/>
              <w:bottom w:w="0" w:type="dxa"/>
              <w:right w:w="59" w:type="dxa"/>
            </w:tcMar>
          </w:tcPr>
          <w:p w:rsidR="009B4233" w:rsidRDefault="006B08B9">
            <w:pPr>
              <w:spacing w:line="249" w:lineRule="auto"/>
              <w:ind w:left="50"/>
              <w:jc w:val="center"/>
              <w:rPr>
                <w:rFonts w:ascii="Arial" w:hAnsi="Arial" w:cs="Arial"/>
                <w:sz w:val="22"/>
                <w:szCs w:val="22"/>
              </w:rPr>
            </w:pPr>
            <w:r>
              <w:rPr>
                <w:rFonts w:ascii="Arial" w:hAnsi="Arial" w:cs="Arial"/>
                <w:sz w:val="22"/>
                <w:szCs w:val="22"/>
              </w:rPr>
              <w:t>0,00 €</w:t>
            </w:r>
          </w:p>
        </w:tc>
        <w:tc>
          <w:tcPr>
            <w:tcW w:w="1016" w:type="dxa"/>
            <w:tcBorders>
              <w:top w:val="single" w:sz="4" w:space="0" w:color="000000"/>
              <w:left w:val="single" w:sz="4" w:space="0" w:color="000000"/>
              <w:bottom w:val="single" w:sz="4" w:space="0" w:color="000000"/>
              <w:right w:val="single" w:sz="4" w:space="0" w:color="000000"/>
            </w:tcBorders>
            <w:shd w:val="clear" w:color="auto" w:fill="auto"/>
            <w:tcMar>
              <w:top w:w="8" w:type="dxa"/>
              <w:left w:w="24" w:type="dxa"/>
              <w:bottom w:w="0" w:type="dxa"/>
              <w:right w:w="59" w:type="dxa"/>
            </w:tcMar>
          </w:tcPr>
          <w:p w:rsidR="009B4233" w:rsidRDefault="006B08B9">
            <w:pPr>
              <w:spacing w:line="249" w:lineRule="auto"/>
              <w:ind w:left="42"/>
              <w:jc w:val="center"/>
              <w:rPr>
                <w:rFonts w:ascii="Arial" w:hAnsi="Arial" w:cs="Arial"/>
                <w:sz w:val="22"/>
                <w:szCs w:val="22"/>
              </w:rPr>
            </w:pPr>
            <w:r>
              <w:rPr>
                <w:rFonts w:ascii="Arial" w:hAnsi="Arial" w:cs="Arial"/>
                <w:sz w:val="22"/>
                <w:szCs w:val="22"/>
              </w:rPr>
              <w:t>0,00 €</w:t>
            </w:r>
          </w:p>
        </w:tc>
        <w:tc>
          <w:tcPr>
            <w:tcW w:w="1168" w:type="dxa"/>
            <w:tcBorders>
              <w:top w:val="single" w:sz="4" w:space="0" w:color="000000"/>
              <w:left w:val="single" w:sz="4" w:space="0" w:color="000000"/>
              <w:bottom w:val="single" w:sz="4" w:space="0" w:color="000000"/>
              <w:right w:val="single" w:sz="4" w:space="0" w:color="000000"/>
            </w:tcBorders>
            <w:shd w:val="clear" w:color="auto" w:fill="auto"/>
            <w:tcMar>
              <w:top w:w="8" w:type="dxa"/>
              <w:left w:w="24" w:type="dxa"/>
              <w:bottom w:w="0" w:type="dxa"/>
              <w:right w:w="59" w:type="dxa"/>
            </w:tcMar>
          </w:tcPr>
          <w:p w:rsidR="009B4233" w:rsidRDefault="006B08B9">
            <w:pPr>
              <w:spacing w:line="249" w:lineRule="auto"/>
              <w:ind w:left="50"/>
              <w:jc w:val="center"/>
              <w:rPr>
                <w:rFonts w:ascii="Arial" w:hAnsi="Arial" w:cs="Arial"/>
                <w:sz w:val="22"/>
                <w:szCs w:val="22"/>
              </w:rPr>
            </w:pPr>
            <w:r>
              <w:rPr>
                <w:rFonts w:ascii="Arial" w:hAnsi="Arial" w:cs="Arial"/>
                <w:sz w:val="22"/>
                <w:szCs w:val="22"/>
              </w:rPr>
              <w:t>577.172,10 €</w:t>
            </w:r>
          </w:p>
        </w:tc>
        <w:tc>
          <w:tcPr>
            <w:tcW w:w="1166" w:type="dxa"/>
            <w:tcBorders>
              <w:top w:val="single" w:sz="4" w:space="0" w:color="000000"/>
              <w:left w:val="single" w:sz="4" w:space="0" w:color="000000"/>
              <w:bottom w:val="single" w:sz="4" w:space="0" w:color="000000"/>
              <w:right w:val="single" w:sz="4" w:space="0" w:color="000000"/>
            </w:tcBorders>
            <w:shd w:val="clear" w:color="auto" w:fill="auto"/>
            <w:tcMar>
              <w:top w:w="8" w:type="dxa"/>
              <w:left w:w="24" w:type="dxa"/>
              <w:bottom w:w="0" w:type="dxa"/>
              <w:right w:w="59" w:type="dxa"/>
            </w:tcMar>
          </w:tcPr>
          <w:p w:rsidR="009B4233" w:rsidRDefault="006B08B9">
            <w:pPr>
              <w:spacing w:line="249" w:lineRule="auto"/>
              <w:ind w:left="52"/>
              <w:rPr>
                <w:rFonts w:ascii="Arial" w:hAnsi="Arial" w:cs="Arial"/>
                <w:sz w:val="22"/>
                <w:szCs w:val="22"/>
              </w:rPr>
            </w:pPr>
            <w:r>
              <w:rPr>
                <w:rFonts w:ascii="Arial" w:hAnsi="Arial" w:cs="Arial"/>
                <w:sz w:val="22"/>
                <w:szCs w:val="22"/>
              </w:rPr>
              <w:t>2.255.353,98 €</w:t>
            </w:r>
          </w:p>
        </w:tc>
        <w:tc>
          <w:tcPr>
            <w:tcW w:w="1166" w:type="dxa"/>
            <w:tcBorders>
              <w:top w:val="single" w:sz="4" w:space="0" w:color="000000"/>
              <w:left w:val="single" w:sz="4" w:space="0" w:color="000000"/>
              <w:bottom w:val="single" w:sz="4" w:space="0" w:color="000000"/>
              <w:right w:val="single" w:sz="4" w:space="0" w:color="000000"/>
            </w:tcBorders>
            <w:shd w:val="clear" w:color="auto" w:fill="auto"/>
            <w:tcMar>
              <w:top w:w="8" w:type="dxa"/>
              <w:left w:w="24" w:type="dxa"/>
              <w:bottom w:w="0" w:type="dxa"/>
              <w:right w:w="59" w:type="dxa"/>
            </w:tcMar>
          </w:tcPr>
          <w:p w:rsidR="009B4233" w:rsidRDefault="006B08B9">
            <w:pPr>
              <w:spacing w:line="249" w:lineRule="auto"/>
              <w:ind w:left="52"/>
              <w:rPr>
                <w:rFonts w:ascii="Arial" w:hAnsi="Arial" w:cs="Arial"/>
                <w:sz w:val="22"/>
                <w:szCs w:val="22"/>
              </w:rPr>
            </w:pPr>
            <w:r>
              <w:rPr>
                <w:rFonts w:ascii="Arial" w:hAnsi="Arial" w:cs="Arial"/>
                <w:sz w:val="22"/>
                <w:szCs w:val="22"/>
              </w:rPr>
              <w:t>2.255.363,98 €</w:t>
            </w:r>
          </w:p>
        </w:tc>
        <w:tc>
          <w:tcPr>
            <w:tcW w:w="1124" w:type="dxa"/>
            <w:tcBorders>
              <w:top w:val="single" w:sz="4" w:space="0" w:color="000000"/>
              <w:left w:val="single" w:sz="4" w:space="0" w:color="000000"/>
              <w:bottom w:val="single" w:sz="4" w:space="0" w:color="000000"/>
              <w:right w:val="single" w:sz="4" w:space="0" w:color="000000"/>
            </w:tcBorders>
            <w:shd w:val="clear" w:color="auto" w:fill="D9D9D9"/>
            <w:tcMar>
              <w:top w:w="8" w:type="dxa"/>
              <w:left w:w="24" w:type="dxa"/>
              <w:bottom w:w="0" w:type="dxa"/>
              <w:right w:w="59" w:type="dxa"/>
            </w:tcMar>
          </w:tcPr>
          <w:p w:rsidR="009B4233" w:rsidRDefault="006B08B9">
            <w:pPr>
              <w:spacing w:line="249" w:lineRule="auto"/>
            </w:pPr>
            <w:r>
              <w:rPr>
                <w:rFonts w:ascii="Arial" w:eastAsia="Calibri" w:hAnsi="Arial" w:cs="Arial"/>
                <w:b/>
                <w:sz w:val="22"/>
                <w:szCs w:val="22"/>
              </w:rPr>
              <w:t>7.457.033,64 €</w:t>
            </w:r>
          </w:p>
        </w:tc>
      </w:tr>
      <w:tr w:rsidR="009B4233">
        <w:tblPrEx>
          <w:tblCellMar>
            <w:top w:w="0" w:type="dxa"/>
            <w:bottom w:w="0" w:type="dxa"/>
          </w:tblCellMar>
        </w:tblPrEx>
        <w:trPr>
          <w:trHeight w:val="225"/>
        </w:trPr>
        <w:tc>
          <w:tcPr>
            <w:tcW w:w="1265" w:type="dxa"/>
            <w:tcBorders>
              <w:top w:val="single" w:sz="4" w:space="0" w:color="000000"/>
              <w:left w:val="single" w:sz="4" w:space="0" w:color="000000"/>
              <w:bottom w:val="single" w:sz="4" w:space="0" w:color="C0C0C0"/>
              <w:right w:val="single" w:sz="4" w:space="0" w:color="000000"/>
            </w:tcBorders>
            <w:shd w:val="clear" w:color="auto" w:fill="D9D9D9"/>
            <w:tcMar>
              <w:top w:w="8" w:type="dxa"/>
              <w:left w:w="24" w:type="dxa"/>
              <w:bottom w:w="0" w:type="dxa"/>
              <w:right w:w="59" w:type="dxa"/>
            </w:tcMar>
          </w:tcPr>
          <w:p w:rsidR="009B4233" w:rsidRDefault="006B08B9">
            <w:pPr>
              <w:spacing w:line="249" w:lineRule="auto"/>
            </w:pPr>
            <w:r>
              <w:rPr>
                <w:rFonts w:ascii="Arial" w:eastAsia="Calibri" w:hAnsi="Arial" w:cs="Arial"/>
                <w:b/>
                <w:sz w:val="22"/>
                <w:szCs w:val="22"/>
              </w:rPr>
              <w:t>Ayuntamiento</w:t>
            </w:r>
          </w:p>
        </w:tc>
        <w:tc>
          <w:tcPr>
            <w:tcW w:w="1166" w:type="dxa"/>
            <w:tcBorders>
              <w:top w:val="single" w:sz="4" w:space="0" w:color="000000"/>
              <w:left w:val="single" w:sz="4" w:space="0" w:color="000000"/>
              <w:bottom w:val="single" w:sz="4" w:space="0" w:color="000000"/>
              <w:right w:val="single" w:sz="4" w:space="0" w:color="000000"/>
            </w:tcBorders>
            <w:shd w:val="clear" w:color="auto" w:fill="auto"/>
            <w:tcMar>
              <w:top w:w="8" w:type="dxa"/>
              <w:left w:w="24" w:type="dxa"/>
              <w:bottom w:w="0" w:type="dxa"/>
              <w:right w:w="59" w:type="dxa"/>
            </w:tcMar>
          </w:tcPr>
          <w:p w:rsidR="009B4233" w:rsidRDefault="006B08B9">
            <w:pPr>
              <w:spacing w:line="249" w:lineRule="auto"/>
              <w:ind w:left="42"/>
              <w:jc w:val="center"/>
              <w:rPr>
                <w:rFonts w:ascii="Arial" w:hAnsi="Arial" w:cs="Arial"/>
                <w:sz w:val="22"/>
                <w:szCs w:val="22"/>
              </w:rPr>
            </w:pPr>
            <w:r>
              <w:rPr>
                <w:rFonts w:ascii="Arial" w:hAnsi="Arial" w:cs="Arial"/>
                <w:sz w:val="22"/>
                <w:szCs w:val="22"/>
              </w:rPr>
              <w:t>0,00 €</w:t>
            </w:r>
          </w:p>
        </w:tc>
        <w:tc>
          <w:tcPr>
            <w:tcW w:w="1020" w:type="dxa"/>
            <w:tcBorders>
              <w:top w:val="single" w:sz="4" w:space="0" w:color="000000"/>
              <w:left w:val="single" w:sz="4" w:space="0" w:color="000000"/>
              <w:bottom w:val="single" w:sz="4" w:space="0" w:color="000000"/>
              <w:right w:val="single" w:sz="4" w:space="0" w:color="000000"/>
            </w:tcBorders>
            <w:shd w:val="clear" w:color="auto" w:fill="auto"/>
            <w:tcMar>
              <w:top w:w="8" w:type="dxa"/>
              <w:left w:w="24" w:type="dxa"/>
              <w:bottom w:w="0" w:type="dxa"/>
              <w:right w:w="59" w:type="dxa"/>
            </w:tcMar>
          </w:tcPr>
          <w:p w:rsidR="009B4233" w:rsidRDefault="006B08B9">
            <w:pPr>
              <w:spacing w:line="249" w:lineRule="auto"/>
              <w:ind w:left="54"/>
              <w:rPr>
                <w:rFonts w:ascii="Arial" w:hAnsi="Arial" w:cs="Arial"/>
                <w:sz w:val="22"/>
                <w:szCs w:val="22"/>
              </w:rPr>
            </w:pPr>
            <w:r>
              <w:rPr>
                <w:rFonts w:ascii="Arial" w:hAnsi="Arial" w:cs="Arial"/>
                <w:sz w:val="22"/>
                <w:szCs w:val="22"/>
              </w:rPr>
              <w:t>621.419,47 €</w:t>
            </w:r>
          </w:p>
        </w:tc>
        <w:tc>
          <w:tcPr>
            <w:tcW w:w="471" w:type="dxa"/>
            <w:tcBorders>
              <w:top w:val="single" w:sz="4" w:space="0" w:color="000000"/>
              <w:left w:val="single" w:sz="4" w:space="0" w:color="000000"/>
              <w:bottom w:val="single" w:sz="4" w:space="0" w:color="000000"/>
              <w:right w:val="single" w:sz="4" w:space="0" w:color="000000"/>
            </w:tcBorders>
            <w:shd w:val="clear" w:color="auto" w:fill="auto"/>
            <w:tcMar>
              <w:top w:w="8" w:type="dxa"/>
              <w:left w:w="24" w:type="dxa"/>
              <w:bottom w:w="0" w:type="dxa"/>
              <w:right w:w="59" w:type="dxa"/>
            </w:tcMar>
          </w:tcPr>
          <w:p w:rsidR="009B4233" w:rsidRDefault="006B08B9">
            <w:pPr>
              <w:spacing w:line="249" w:lineRule="auto"/>
              <w:ind w:left="50"/>
              <w:jc w:val="center"/>
              <w:rPr>
                <w:rFonts w:ascii="Arial" w:hAnsi="Arial" w:cs="Arial"/>
                <w:sz w:val="22"/>
                <w:szCs w:val="22"/>
              </w:rPr>
            </w:pPr>
            <w:r>
              <w:rPr>
                <w:rFonts w:ascii="Arial" w:hAnsi="Arial" w:cs="Arial"/>
                <w:sz w:val="22"/>
                <w:szCs w:val="22"/>
              </w:rPr>
              <w:t>0,00 €</w:t>
            </w:r>
          </w:p>
        </w:tc>
        <w:tc>
          <w:tcPr>
            <w:tcW w:w="1016" w:type="dxa"/>
            <w:tcBorders>
              <w:top w:val="single" w:sz="4" w:space="0" w:color="000000"/>
              <w:left w:val="single" w:sz="4" w:space="0" w:color="000000"/>
              <w:bottom w:val="single" w:sz="4" w:space="0" w:color="000000"/>
              <w:right w:val="single" w:sz="4" w:space="0" w:color="000000"/>
            </w:tcBorders>
            <w:shd w:val="clear" w:color="auto" w:fill="auto"/>
            <w:tcMar>
              <w:top w:w="8" w:type="dxa"/>
              <w:left w:w="24" w:type="dxa"/>
              <w:bottom w:w="0" w:type="dxa"/>
              <w:right w:w="59" w:type="dxa"/>
            </w:tcMar>
          </w:tcPr>
          <w:p w:rsidR="009B4233" w:rsidRDefault="006B08B9">
            <w:pPr>
              <w:spacing w:line="249" w:lineRule="auto"/>
              <w:ind w:left="50"/>
              <w:jc w:val="center"/>
              <w:rPr>
                <w:rFonts w:ascii="Arial" w:hAnsi="Arial" w:cs="Arial"/>
                <w:sz w:val="22"/>
                <w:szCs w:val="22"/>
              </w:rPr>
            </w:pPr>
            <w:r>
              <w:rPr>
                <w:rFonts w:ascii="Arial" w:hAnsi="Arial" w:cs="Arial"/>
                <w:sz w:val="22"/>
                <w:szCs w:val="22"/>
              </w:rPr>
              <w:t>621.419,47 €</w:t>
            </w:r>
          </w:p>
        </w:tc>
        <w:tc>
          <w:tcPr>
            <w:tcW w:w="1168" w:type="dxa"/>
            <w:tcBorders>
              <w:top w:val="single" w:sz="4" w:space="0" w:color="000000"/>
              <w:left w:val="single" w:sz="4" w:space="0" w:color="000000"/>
              <w:bottom w:val="single" w:sz="4" w:space="0" w:color="000000"/>
              <w:right w:val="single" w:sz="4" w:space="0" w:color="000000"/>
            </w:tcBorders>
            <w:shd w:val="clear" w:color="auto" w:fill="auto"/>
            <w:tcMar>
              <w:top w:w="8" w:type="dxa"/>
              <w:left w:w="24" w:type="dxa"/>
              <w:bottom w:w="0" w:type="dxa"/>
              <w:right w:w="59" w:type="dxa"/>
            </w:tcMar>
          </w:tcPr>
          <w:p w:rsidR="009B4233" w:rsidRDefault="006B08B9">
            <w:pPr>
              <w:spacing w:line="249" w:lineRule="auto"/>
              <w:ind w:left="50"/>
              <w:jc w:val="center"/>
              <w:rPr>
                <w:rFonts w:ascii="Arial" w:hAnsi="Arial" w:cs="Arial"/>
                <w:sz w:val="22"/>
                <w:szCs w:val="22"/>
              </w:rPr>
            </w:pPr>
            <w:r>
              <w:rPr>
                <w:rFonts w:ascii="Arial" w:hAnsi="Arial" w:cs="Arial"/>
                <w:sz w:val="22"/>
                <w:szCs w:val="22"/>
              </w:rPr>
              <w:t>621.419,47 €</w:t>
            </w:r>
          </w:p>
        </w:tc>
        <w:tc>
          <w:tcPr>
            <w:tcW w:w="1166" w:type="dxa"/>
            <w:tcBorders>
              <w:top w:val="single" w:sz="4" w:space="0" w:color="000000"/>
              <w:left w:val="single" w:sz="4" w:space="0" w:color="000000"/>
              <w:bottom w:val="single" w:sz="4" w:space="0" w:color="000000"/>
              <w:right w:val="single" w:sz="4" w:space="0" w:color="000000"/>
            </w:tcBorders>
            <w:shd w:val="clear" w:color="auto" w:fill="auto"/>
            <w:tcMar>
              <w:top w:w="8" w:type="dxa"/>
              <w:left w:w="24" w:type="dxa"/>
              <w:bottom w:w="0" w:type="dxa"/>
              <w:right w:w="59" w:type="dxa"/>
            </w:tcMar>
          </w:tcPr>
          <w:p w:rsidR="009B4233" w:rsidRDefault="006B08B9">
            <w:pPr>
              <w:spacing w:line="249" w:lineRule="auto"/>
              <w:ind w:left="40"/>
              <w:jc w:val="center"/>
              <w:rPr>
                <w:rFonts w:ascii="Arial" w:hAnsi="Arial" w:cs="Arial"/>
                <w:sz w:val="22"/>
                <w:szCs w:val="22"/>
              </w:rPr>
            </w:pPr>
            <w:r>
              <w:rPr>
                <w:rFonts w:ascii="Arial" w:hAnsi="Arial" w:cs="Arial"/>
                <w:sz w:val="22"/>
                <w:szCs w:val="22"/>
              </w:rPr>
              <w:t>0,00 €</w:t>
            </w:r>
          </w:p>
        </w:tc>
        <w:tc>
          <w:tcPr>
            <w:tcW w:w="1166" w:type="dxa"/>
            <w:tcBorders>
              <w:top w:val="single" w:sz="4" w:space="0" w:color="000000"/>
              <w:left w:val="single" w:sz="4" w:space="0" w:color="000000"/>
              <w:bottom w:val="single" w:sz="4" w:space="0" w:color="000000"/>
              <w:right w:val="single" w:sz="4" w:space="0" w:color="000000"/>
            </w:tcBorders>
            <w:shd w:val="clear" w:color="auto" w:fill="auto"/>
            <w:tcMar>
              <w:top w:w="8" w:type="dxa"/>
              <w:left w:w="24" w:type="dxa"/>
              <w:bottom w:w="0" w:type="dxa"/>
              <w:right w:w="59" w:type="dxa"/>
            </w:tcMar>
          </w:tcPr>
          <w:p w:rsidR="009B4233" w:rsidRDefault="006B08B9">
            <w:pPr>
              <w:spacing w:line="249" w:lineRule="auto"/>
              <w:ind w:left="42"/>
              <w:jc w:val="center"/>
              <w:rPr>
                <w:rFonts w:ascii="Arial" w:hAnsi="Arial" w:cs="Arial"/>
                <w:sz w:val="22"/>
                <w:szCs w:val="22"/>
              </w:rPr>
            </w:pPr>
            <w:r>
              <w:rPr>
                <w:rFonts w:ascii="Arial" w:hAnsi="Arial" w:cs="Arial"/>
                <w:sz w:val="22"/>
                <w:szCs w:val="22"/>
              </w:rPr>
              <w:t>0,00 €</w:t>
            </w:r>
          </w:p>
        </w:tc>
        <w:tc>
          <w:tcPr>
            <w:tcW w:w="1124" w:type="dxa"/>
            <w:tcBorders>
              <w:top w:val="single" w:sz="4" w:space="0" w:color="000000"/>
              <w:left w:val="single" w:sz="4" w:space="0" w:color="000000"/>
              <w:bottom w:val="single" w:sz="4" w:space="0" w:color="000000"/>
              <w:right w:val="single" w:sz="4" w:space="0" w:color="000000"/>
            </w:tcBorders>
            <w:shd w:val="clear" w:color="auto" w:fill="D9D9D9"/>
            <w:tcMar>
              <w:top w:w="8" w:type="dxa"/>
              <w:left w:w="24" w:type="dxa"/>
              <w:bottom w:w="0" w:type="dxa"/>
              <w:right w:w="59" w:type="dxa"/>
            </w:tcMar>
          </w:tcPr>
          <w:p w:rsidR="009B4233" w:rsidRDefault="006B08B9">
            <w:pPr>
              <w:spacing w:line="249" w:lineRule="auto"/>
            </w:pPr>
            <w:r>
              <w:rPr>
                <w:rFonts w:ascii="Arial" w:eastAsia="Calibri" w:hAnsi="Arial" w:cs="Arial"/>
                <w:b/>
                <w:sz w:val="22"/>
                <w:szCs w:val="22"/>
              </w:rPr>
              <w:t>1.864.258,41 €</w:t>
            </w:r>
          </w:p>
        </w:tc>
      </w:tr>
      <w:tr w:rsidR="009B4233">
        <w:tblPrEx>
          <w:tblCellMar>
            <w:top w:w="0" w:type="dxa"/>
            <w:bottom w:w="0" w:type="dxa"/>
          </w:tblCellMar>
        </w:tblPrEx>
        <w:trPr>
          <w:trHeight w:val="146"/>
        </w:trPr>
        <w:tc>
          <w:tcPr>
            <w:tcW w:w="1265" w:type="dxa"/>
            <w:tcBorders>
              <w:top w:val="single" w:sz="4" w:space="0" w:color="C0C0C0"/>
              <w:left w:val="single" w:sz="4" w:space="0" w:color="C0C0C0"/>
              <w:bottom w:val="single" w:sz="4" w:space="0" w:color="C0C0C0"/>
              <w:right w:val="single" w:sz="4" w:space="0" w:color="000000"/>
            </w:tcBorders>
            <w:shd w:val="clear" w:color="auto" w:fill="auto"/>
            <w:tcMar>
              <w:top w:w="8" w:type="dxa"/>
              <w:left w:w="24" w:type="dxa"/>
              <w:bottom w:w="0" w:type="dxa"/>
              <w:right w:w="59" w:type="dxa"/>
            </w:tcMar>
          </w:tcPr>
          <w:p w:rsidR="009B4233" w:rsidRDefault="006B08B9">
            <w:pPr>
              <w:spacing w:line="249" w:lineRule="auto"/>
            </w:pPr>
            <w:r>
              <w:rPr>
                <w:rFonts w:ascii="Arial" w:eastAsia="Calibri" w:hAnsi="Arial" w:cs="Arial"/>
                <w:b/>
                <w:sz w:val="22"/>
                <w:szCs w:val="22"/>
              </w:rPr>
              <w:t>Total</w:t>
            </w:r>
          </w:p>
        </w:tc>
        <w:tc>
          <w:tcPr>
            <w:tcW w:w="1166" w:type="dxa"/>
            <w:tcBorders>
              <w:top w:val="single" w:sz="4" w:space="0" w:color="000000"/>
              <w:left w:val="single" w:sz="4" w:space="0" w:color="000000"/>
              <w:bottom w:val="single" w:sz="4" w:space="0" w:color="000000"/>
              <w:right w:val="single" w:sz="4" w:space="0" w:color="000000"/>
            </w:tcBorders>
            <w:shd w:val="clear" w:color="auto" w:fill="auto"/>
            <w:tcMar>
              <w:top w:w="8" w:type="dxa"/>
              <w:left w:w="24" w:type="dxa"/>
              <w:bottom w:w="0" w:type="dxa"/>
              <w:right w:w="59" w:type="dxa"/>
            </w:tcMar>
          </w:tcPr>
          <w:p w:rsidR="009B4233" w:rsidRDefault="006B08B9">
            <w:pPr>
              <w:spacing w:line="249" w:lineRule="auto"/>
              <w:ind w:left="52"/>
            </w:pPr>
            <w:r>
              <w:rPr>
                <w:rFonts w:ascii="Arial" w:eastAsia="Calibri" w:hAnsi="Arial" w:cs="Arial"/>
                <w:b/>
                <w:sz w:val="22"/>
                <w:szCs w:val="22"/>
              </w:rPr>
              <w:t>2.369.143,58 €</w:t>
            </w:r>
          </w:p>
        </w:tc>
        <w:tc>
          <w:tcPr>
            <w:tcW w:w="1020" w:type="dxa"/>
            <w:tcBorders>
              <w:top w:val="single" w:sz="4" w:space="0" w:color="000000"/>
              <w:left w:val="single" w:sz="4" w:space="0" w:color="000000"/>
              <w:bottom w:val="single" w:sz="4" w:space="0" w:color="000000"/>
              <w:right w:val="single" w:sz="4" w:space="0" w:color="000000"/>
            </w:tcBorders>
            <w:shd w:val="clear" w:color="auto" w:fill="auto"/>
            <w:tcMar>
              <w:top w:w="8" w:type="dxa"/>
              <w:left w:w="24" w:type="dxa"/>
              <w:bottom w:w="0" w:type="dxa"/>
              <w:right w:w="59" w:type="dxa"/>
            </w:tcMar>
          </w:tcPr>
          <w:p w:rsidR="009B4233" w:rsidRDefault="006B08B9">
            <w:pPr>
              <w:spacing w:line="249" w:lineRule="auto"/>
              <w:ind w:left="54"/>
            </w:pPr>
            <w:r>
              <w:rPr>
                <w:rFonts w:ascii="Arial" w:eastAsia="Calibri" w:hAnsi="Arial" w:cs="Arial"/>
                <w:b/>
                <w:sz w:val="22"/>
                <w:szCs w:val="22"/>
              </w:rPr>
              <w:t>621.419,47 €</w:t>
            </w:r>
          </w:p>
        </w:tc>
        <w:tc>
          <w:tcPr>
            <w:tcW w:w="471" w:type="dxa"/>
            <w:tcBorders>
              <w:top w:val="single" w:sz="4" w:space="0" w:color="000000"/>
              <w:left w:val="single" w:sz="4" w:space="0" w:color="000000"/>
              <w:bottom w:val="single" w:sz="4" w:space="0" w:color="000000"/>
              <w:right w:val="single" w:sz="4" w:space="0" w:color="000000"/>
            </w:tcBorders>
            <w:shd w:val="clear" w:color="auto" w:fill="auto"/>
            <w:tcMar>
              <w:top w:w="8" w:type="dxa"/>
              <w:left w:w="24" w:type="dxa"/>
              <w:bottom w:w="0" w:type="dxa"/>
              <w:right w:w="59" w:type="dxa"/>
            </w:tcMar>
          </w:tcPr>
          <w:p w:rsidR="009B4233" w:rsidRDefault="006B08B9">
            <w:pPr>
              <w:spacing w:line="249" w:lineRule="auto"/>
              <w:ind w:left="50"/>
              <w:jc w:val="center"/>
            </w:pPr>
            <w:r>
              <w:rPr>
                <w:rFonts w:ascii="Arial" w:eastAsia="Calibri" w:hAnsi="Arial" w:cs="Arial"/>
                <w:b/>
                <w:sz w:val="22"/>
                <w:szCs w:val="22"/>
              </w:rPr>
              <w:t>0,00 €</w:t>
            </w:r>
          </w:p>
        </w:tc>
        <w:tc>
          <w:tcPr>
            <w:tcW w:w="1016" w:type="dxa"/>
            <w:tcBorders>
              <w:top w:val="single" w:sz="4" w:space="0" w:color="000000"/>
              <w:left w:val="single" w:sz="4" w:space="0" w:color="000000"/>
              <w:bottom w:val="single" w:sz="4" w:space="0" w:color="000000"/>
              <w:right w:val="single" w:sz="4" w:space="0" w:color="000000"/>
            </w:tcBorders>
            <w:shd w:val="clear" w:color="auto" w:fill="auto"/>
            <w:tcMar>
              <w:top w:w="8" w:type="dxa"/>
              <w:left w:w="24" w:type="dxa"/>
              <w:bottom w:w="0" w:type="dxa"/>
              <w:right w:w="59" w:type="dxa"/>
            </w:tcMar>
          </w:tcPr>
          <w:p w:rsidR="009B4233" w:rsidRDefault="006B08B9">
            <w:pPr>
              <w:spacing w:line="249" w:lineRule="auto"/>
              <w:ind w:left="50"/>
              <w:jc w:val="center"/>
            </w:pPr>
            <w:r>
              <w:rPr>
                <w:rFonts w:ascii="Arial" w:eastAsia="Calibri" w:hAnsi="Arial" w:cs="Arial"/>
                <w:b/>
                <w:sz w:val="22"/>
                <w:szCs w:val="22"/>
              </w:rPr>
              <w:t>621.419,47 €</w:t>
            </w:r>
          </w:p>
        </w:tc>
        <w:tc>
          <w:tcPr>
            <w:tcW w:w="1168" w:type="dxa"/>
            <w:tcBorders>
              <w:top w:val="single" w:sz="4" w:space="0" w:color="000000"/>
              <w:left w:val="single" w:sz="4" w:space="0" w:color="000000"/>
              <w:bottom w:val="single" w:sz="4" w:space="0" w:color="000000"/>
              <w:right w:val="single" w:sz="4" w:space="0" w:color="000000"/>
            </w:tcBorders>
            <w:shd w:val="clear" w:color="auto" w:fill="auto"/>
            <w:tcMar>
              <w:top w:w="8" w:type="dxa"/>
              <w:left w:w="24" w:type="dxa"/>
              <w:bottom w:w="0" w:type="dxa"/>
              <w:right w:w="59" w:type="dxa"/>
            </w:tcMar>
          </w:tcPr>
          <w:p w:rsidR="009B4233" w:rsidRDefault="006B08B9">
            <w:pPr>
              <w:spacing w:line="249" w:lineRule="auto"/>
              <w:ind w:left="54"/>
            </w:pPr>
            <w:r>
              <w:rPr>
                <w:rFonts w:ascii="Arial" w:eastAsia="Calibri" w:hAnsi="Arial" w:cs="Arial"/>
                <w:b/>
                <w:sz w:val="22"/>
                <w:szCs w:val="22"/>
              </w:rPr>
              <w:t>1.198.591,57 €</w:t>
            </w:r>
          </w:p>
        </w:tc>
        <w:tc>
          <w:tcPr>
            <w:tcW w:w="1166" w:type="dxa"/>
            <w:tcBorders>
              <w:top w:val="single" w:sz="4" w:space="0" w:color="000000"/>
              <w:left w:val="single" w:sz="4" w:space="0" w:color="000000"/>
              <w:bottom w:val="single" w:sz="4" w:space="0" w:color="000000"/>
              <w:right w:val="single" w:sz="4" w:space="0" w:color="000000"/>
            </w:tcBorders>
            <w:shd w:val="clear" w:color="auto" w:fill="auto"/>
            <w:tcMar>
              <w:top w:w="8" w:type="dxa"/>
              <w:left w:w="24" w:type="dxa"/>
              <w:bottom w:w="0" w:type="dxa"/>
              <w:right w:w="59" w:type="dxa"/>
            </w:tcMar>
          </w:tcPr>
          <w:p w:rsidR="009B4233" w:rsidRDefault="006B08B9">
            <w:pPr>
              <w:spacing w:line="249" w:lineRule="auto"/>
              <w:ind w:left="52"/>
            </w:pPr>
            <w:r>
              <w:rPr>
                <w:rFonts w:ascii="Arial" w:eastAsia="Calibri" w:hAnsi="Arial" w:cs="Arial"/>
                <w:b/>
                <w:sz w:val="22"/>
                <w:szCs w:val="22"/>
              </w:rPr>
              <w:t>2.255.353,98 €</w:t>
            </w:r>
          </w:p>
        </w:tc>
        <w:tc>
          <w:tcPr>
            <w:tcW w:w="1166" w:type="dxa"/>
            <w:tcBorders>
              <w:top w:val="single" w:sz="4" w:space="0" w:color="000000"/>
              <w:left w:val="single" w:sz="4" w:space="0" w:color="000000"/>
              <w:bottom w:val="single" w:sz="4" w:space="0" w:color="000000"/>
              <w:right w:val="single" w:sz="4" w:space="0" w:color="000000"/>
            </w:tcBorders>
            <w:shd w:val="clear" w:color="auto" w:fill="auto"/>
            <w:tcMar>
              <w:top w:w="8" w:type="dxa"/>
              <w:left w:w="24" w:type="dxa"/>
              <w:bottom w:w="0" w:type="dxa"/>
              <w:right w:w="59" w:type="dxa"/>
            </w:tcMar>
          </w:tcPr>
          <w:p w:rsidR="009B4233" w:rsidRDefault="006B08B9">
            <w:pPr>
              <w:spacing w:line="249" w:lineRule="auto"/>
              <w:ind w:left="52"/>
            </w:pPr>
            <w:r>
              <w:rPr>
                <w:rFonts w:ascii="Arial" w:eastAsia="Calibri" w:hAnsi="Arial" w:cs="Arial"/>
                <w:b/>
                <w:sz w:val="22"/>
                <w:szCs w:val="22"/>
              </w:rPr>
              <w:t>2.255.363,98 €</w:t>
            </w:r>
          </w:p>
        </w:tc>
        <w:tc>
          <w:tcPr>
            <w:tcW w:w="1124" w:type="dxa"/>
            <w:tcBorders>
              <w:top w:val="single" w:sz="4" w:space="0" w:color="000000"/>
              <w:left w:val="single" w:sz="4" w:space="0" w:color="000000"/>
              <w:bottom w:val="single" w:sz="4" w:space="0" w:color="000000"/>
              <w:right w:val="single" w:sz="4" w:space="0" w:color="000000"/>
            </w:tcBorders>
            <w:shd w:val="clear" w:color="auto" w:fill="auto"/>
            <w:tcMar>
              <w:top w:w="8" w:type="dxa"/>
              <w:left w:w="24" w:type="dxa"/>
              <w:bottom w:w="0" w:type="dxa"/>
              <w:right w:w="59" w:type="dxa"/>
            </w:tcMar>
          </w:tcPr>
          <w:p w:rsidR="009B4233" w:rsidRDefault="006B08B9">
            <w:pPr>
              <w:spacing w:line="249" w:lineRule="auto"/>
            </w:pPr>
            <w:r>
              <w:rPr>
                <w:rFonts w:ascii="Arial" w:eastAsia="Calibri" w:hAnsi="Arial" w:cs="Arial"/>
                <w:b/>
                <w:sz w:val="22"/>
                <w:szCs w:val="22"/>
              </w:rPr>
              <w:t>9.321.292,05 €</w:t>
            </w:r>
          </w:p>
        </w:tc>
      </w:tr>
    </w:tbl>
    <w:p w:rsidR="009B4233" w:rsidRDefault="006B08B9">
      <w:pPr>
        <w:ind w:left="5" w:right="46"/>
        <w:jc w:val="both"/>
      </w:pPr>
      <w:r>
        <w:rPr>
          <w:rFonts w:ascii="Arial" w:eastAsia="Calibri" w:hAnsi="Arial" w:cs="Arial"/>
          <w:b/>
          <w:sz w:val="22"/>
          <w:szCs w:val="22"/>
        </w:rPr>
        <w:t>Resultando</w:t>
      </w:r>
      <w:r>
        <w:rPr>
          <w:rFonts w:ascii="Arial" w:hAnsi="Arial" w:cs="Arial"/>
          <w:sz w:val="22"/>
          <w:szCs w:val="22"/>
        </w:rPr>
        <w:t xml:space="preserve"> que con fecha 1 de septiembre de 2025, tras solicitud por parte del Servicio Administrativo de Cultura, se emitió informe de cobertura </w:t>
      </w:r>
      <w:r>
        <w:rPr>
          <w:rFonts w:ascii="Arial" w:hAnsi="Arial" w:cs="Arial"/>
          <w:sz w:val="22"/>
          <w:szCs w:val="22"/>
          <w:u w:val="single" w:color="000000"/>
        </w:rPr>
        <w:t>favorable</w:t>
      </w:r>
      <w:r>
        <w:rPr>
          <w:rFonts w:ascii="Arial" w:hAnsi="Arial" w:cs="Arial"/>
          <w:sz w:val="22"/>
          <w:szCs w:val="22"/>
        </w:rPr>
        <w:t xml:space="preserve"> por parte del Servicio Administrativo de Presupuestos </w:t>
      </w:r>
      <w:r>
        <w:rPr>
          <w:rFonts w:ascii="Arial" w:hAnsi="Arial" w:cs="Arial"/>
          <w:sz w:val="22"/>
          <w:szCs w:val="22"/>
        </w:rPr>
        <w:t xml:space="preserve">y Gasto Público, de conformidad con lo dispuesto en la Base 42ª y 43ª de las de ejecución del Presupuesto, para la propuesta de financiación anterior. </w:t>
      </w:r>
    </w:p>
    <w:p w:rsidR="009B4233" w:rsidRDefault="006B08B9">
      <w:pPr>
        <w:ind w:left="5" w:right="46"/>
        <w:jc w:val="both"/>
      </w:pPr>
      <w:r>
        <w:rPr>
          <w:rFonts w:ascii="Arial" w:eastAsia="Calibri" w:hAnsi="Arial" w:cs="Arial"/>
          <w:b/>
          <w:sz w:val="22"/>
          <w:szCs w:val="22"/>
        </w:rPr>
        <w:t>Resultando</w:t>
      </w:r>
      <w:r>
        <w:rPr>
          <w:rFonts w:ascii="Arial" w:hAnsi="Arial" w:cs="Arial"/>
          <w:sz w:val="22"/>
          <w:szCs w:val="22"/>
        </w:rPr>
        <w:t xml:space="preserve"> que emitido expediente a la Intervención General para su previa fiscalización, éste fue infor</w:t>
      </w:r>
      <w:r>
        <w:rPr>
          <w:rFonts w:ascii="Arial" w:hAnsi="Arial" w:cs="Arial"/>
          <w:sz w:val="22"/>
          <w:szCs w:val="22"/>
        </w:rPr>
        <w:t xml:space="preserve">mado con fecha 5 de septiembre de 2025 favorable con observaciones que fueron tenidas en cuenta por el Servicio Administrativo de Cultura. </w:t>
      </w:r>
    </w:p>
    <w:p w:rsidR="009B4233" w:rsidRDefault="006B08B9">
      <w:pPr>
        <w:spacing w:after="12"/>
        <w:ind w:left="5" w:right="46"/>
        <w:jc w:val="both"/>
      </w:pPr>
      <w:r>
        <w:rPr>
          <w:rFonts w:ascii="Arial" w:eastAsia="Calibri" w:hAnsi="Arial" w:cs="Arial"/>
          <w:b/>
          <w:sz w:val="22"/>
          <w:szCs w:val="22"/>
        </w:rPr>
        <w:t>Considerando</w:t>
      </w:r>
      <w:r>
        <w:rPr>
          <w:rFonts w:ascii="Arial" w:hAnsi="Arial" w:cs="Arial"/>
          <w:sz w:val="22"/>
          <w:szCs w:val="22"/>
        </w:rPr>
        <w:t xml:space="preserve"> que de conformidad con lo establecido en el artículo 19.4 de la Ley </w:t>
      </w:r>
    </w:p>
    <w:p w:rsidR="009B4233" w:rsidRDefault="006B08B9">
      <w:pPr>
        <w:spacing w:after="218" w:line="247" w:lineRule="auto"/>
        <w:ind w:left="26" w:right="40"/>
        <w:jc w:val="both"/>
      </w:pPr>
      <w:r>
        <w:rPr>
          <w:rFonts w:ascii="Arial" w:hAnsi="Arial" w:cs="Arial"/>
          <w:sz w:val="22"/>
          <w:szCs w:val="22"/>
        </w:rPr>
        <w:t xml:space="preserve">38/2003, de 17 de noviembre, </w:t>
      </w:r>
      <w:r>
        <w:rPr>
          <w:rFonts w:ascii="Arial" w:hAnsi="Arial" w:cs="Arial"/>
          <w:sz w:val="22"/>
          <w:szCs w:val="22"/>
        </w:rPr>
        <w:t xml:space="preserve">General de Subvenciones, </w:t>
      </w:r>
      <w:r>
        <w:rPr>
          <w:rFonts w:ascii="Arial" w:eastAsia="Calibri" w:hAnsi="Arial" w:cs="Arial"/>
          <w:i/>
          <w:sz w:val="22"/>
          <w:szCs w:val="22"/>
        </w:rPr>
        <w:t xml:space="preserve">“(…) Toda alteración de las condiciones tenidas en cuenta para la concesión de la subvención, y en todo caso la obtención concurrente de otras aportaciones fuera de los casos permitidos en las normas reguladoras, podrá dar lugar a </w:t>
      </w:r>
      <w:r>
        <w:rPr>
          <w:rFonts w:ascii="Arial" w:eastAsia="Calibri" w:hAnsi="Arial" w:cs="Arial"/>
          <w:i/>
          <w:sz w:val="22"/>
          <w:szCs w:val="22"/>
        </w:rPr>
        <w:t xml:space="preserve">la modificación de la resolución de concesión, en los términos establecidos en la normativa reguladora de la subvención (…)”. </w:t>
      </w:r>
    </w:p>
    <w:p w:rsidR="009B4233" w:rsidRDefault="006B08B9">
      <w:pPr>
        <w:spacing w:after="247"/>
        <w:ind w:left="5" w:right="46"/>
        <w:jc w:val="both"/>
      </w:pPr>
      <w:r>
        <w:rPr>
          <w:rFonts w:ascii="Arial" w:eastAsia="Calibri" w:hAnsi="Arial" w:cs="Arial"/>
          <w:b/>
          <w:sz w:val="22"/>
          <w:szCs w:val="22"/>
        </w:rPr>
        <w:t>Considerando</w:t>
      </w:r>
      <w:r>
        <w:rPr>
          <w:rFonts w:ascii="Arial" w:hAnsi="Arial" w:cs="Arial"/>
          <w:sz w:val="22"/>
          <w:szCs w:val="22"/>
        </w:rPr>
        <w:t xml:space="preserve"> que, en relación a las causas recogidas en el Plan para fundamentar su posible modificación, en su apartado 7 f) con</w:t>
      </w:r>
      <w:r>
        <w:rPr>
          <w:rFonts w:ascii="Arial" w:hAnsi="Arial" w:cs="Arial"/>
          <w:sz w:val="22"/>
          <w:szCs w:val="22"/>
        </w:rPr>
        <w:t xml:space="preserve">sta literalmente lo siguiente: </w:t>
      </w:r>
    </w:p>
    <w:p w:rsidR="009B4233" w:rsidRDefault="006B08B9">
      <w:pPr>
        <w:spacing w:after="6" w:line="247" w:lineRule="auto"/>
        <w:ind w:left="414" w:right="40"/>
        <w:jc w:val="both"/>
      </w:pPr>
      <w:r>
        <w:rPr>
          <w:rFonts w:ascii="Arial" w:eastAsia="Calibri" w:hAnsi="Arial" w:cs="Arial"/>
          <w:i/>
          <w:sz w:val="22"/>
          <w:szCs w:val="22"/>
        </w:rPr>
        <w:t xml:space="preserve">“(…) Las modificaciones podrán consistir en: </w:t>
      </w:r>
    </w:p>
    <w:p w:rsidR="009B4233" w:rsidRDefault="006B08B9">
      <w:pPr>
        <w:widowControl/>
        <w:numPr>
          <w:ilvl w:val="0"/>
          <w:numId w:val="83"/>
        </w:numPr>
        <w:suppressAutoHyphens w:val="0"/>
        <w:spacing w:after="6" w:line="249" w:lineRule="auto"/>
        <w:ind w:right="40" w:hanging="310"/>
        <w:jc w:val="both"/>
        <w:textAlignment w:val="auto"/>
      </w:pPr>
      <w:r>
        <w:rPr>
          <w:rFonts w:ascii="Arial" w:eastAsia="Calibri" w:hAnsi="Arial" w:cs="Arial"/>
          <w:b/>
          <w:i/>
          <w:sz w:val="22"/>
          <w:szCs w:val="22"/>
        </w:rPr>
        <w:t xml:space="preserve">Ajustes de anualidades en función de la ejecución real de las obras. </w:t>
      </w:r>
    </w:p>
    <w:p w:rsidR="009B4233" w:rsidRDefault="006B08B9">
      <w:pPr>
        <w:widowControl/>
        <w:numPr>
          <w:ilvl w:val="0"/>
          <w:numId w:val="83"/>
        </w:numPr>
        <w:suppressAutoHyphens w:val="0"/>
        <w:spacing w:after="6" w:line="247" w:lineRule="auto"/>
        <w:ind w:right="40" w:hanging="310"/>
        <w:jc w:val="both"/>
        <w:textAlignment w:val="auto"/>
      </w:pPr>
      <w:r>
        <w:rPr>
          <w:rFonts w:ascii="Arial" w:eastAsia="Calibri" w:hAnsi="Arial" w:cs="Arial"/>
          <w:i/>
          <w:sz w:val="22"/>
          <w:szCs w:val="22"/>
        </w:rPr>
        <w:t xml:space="preserve">Modificación del importe asignado.  </w:t>
      </w:r>
    </w:p>
    <w:p w:rsidR="009B4233" w:rsidRDefault="006B08B9">
      <w:pPr>
        <w:widowControl/>
        <w:numPr>
          <w:ilvl w:val="0"/>
          <w:numId w:val="83"/>
        </w:numPr>
        <w:suppressAutoHyphens w:val="0"/>
        <w:spacing w:after="6" w:line="247" w:lineRule="auto"/>
        <w:ind w:right="40" w:hanging="310"/>
        <w:jc w:val="both"/>
        <w:textAlignment w:val="auto"/>
      </w:pPr>
      <w:r>
        <w:rPr>
          <w:rFonts w:ascii="Arial" w:eastAsia="Calibri" w:hAnsi="Arial" w:cs="Arial"/>
          <w:i/>
          <w:sz w:val="22"/>
          <w:szCs w:val="22"/>
        </w:rPr>
        <w:t>Sustitución de una actuación aprobada por otra. La nueva actuación prop</w:t>
      </w:r>
      <w:r>
        <w:rPr>
          <w:rFonts w:ascii="Arial" w:eastAsia="Calibri" w:hAnsi="Arial" w:cs="Arial"/>
          <w:i/>
          <w:sz w:val="22"/>
          <w:szCs w:val="22"/>
        </w:rPr>
        <w:t>uesta será valorada con los criterios establecidos en la cláusula quinta y se le aplicarán los criterios de reparto indicados en la cláusula sexta. Si se mantiene la misma puntuación que la actuación sustituida tendrá prioridad en la distribución de las an</w:t>
      </w:r>
      <w:r>
        <w:rPr>
          <w:rFonts w:ascii="Arial" w:eastAsia="Calibri" w:hAnsi="Arial" w:cs="Arial"/>
          <w:i/>
          <w:sz w:val="22"/>
          <w:szCs w:val="22"/>
        </w:rPr>
        <w:t xml:space="preserve">ualidades. </w:t>
      </w:r>
    </w:p>
    <w:p w:rsidR="009B4233" w:rsidRDefault="006B08B9">
      <w:pPr>
        <w:widowControl/>
        <w:numPr>
          <w:ilvl w:val="0"/>
          <w:numId w:val="83"/>
        </w:numPr>
        <w:suppressAutoHyphens w:val="0"/>
        <w:spacing w:after="6" w:line="247" w:lineRule="auto"/>
        <w:ind w:right="40" w:hanging="310"/>
        <w:jc w:val="both"/>
        <w:textAlignment w:val="auto"/>
      </w:pPr>
      <w:r>
        <w:rPr>
          <w:rFonts w:ascii="Arial" w:eastAsia="Calibri" w:hAnsi="Arial" w:cs="Arial"/>
          <w:i/>
          <w:sz w:val="22"/>
          <w:szCs w:val="22"/>
        </w:rPr>
        <w:t xml:space="preserve">Renuncia a la ejecución de una obra incluida en el Plan. </w:t>
      </w:r>
    </w:p>
    <w:p w:rsidR="009B4233" w:rsidRDefault="006B08B9">
      <w:pPr>
        <w:widowControl/>
        <w:numPr>
          <w:ilvl w:val="0"/>
          <w:numId w:val="83"/>
        </w:numPr>
        <w:suppressAutoHyphens w:val="0"/>
        <w:spacing w:after="6" w:line="247" w:lineRule="auto"/>
        <w:ind w:right="40" w:hanging="310"/>
        <w:jc w:val="both"/>
        <w:textAlignment w:val="auto"/>
      </w:pPr>
      <w:r>
        <w:rPr>
          <w:rFonts w:ascii="Arial" w:eastAsia="Calibri" w:hAnsi="Arial" w:cs="Arial"/>
          <w:i/>
          <w:sz w:val="22"/>
          <w:szCs w:val="22"/>
        </w:rPr>
        <w:t xml:space="preserve">Inclusión de nuevas propuestas. </w:t>
      </w:r>
    </w:p>
    <w:p w:rsidR="009B4233" w:rsidRDefault="006B08B9">
      <w:pPr>
        <w:widowControl/>
        <w:numPr>
          <w:ilvl w:val="0"/>
          <w:numId w:val="83"/>
        </w:numPr>
        <w:suppressAutoHyphens w:val="0"/>
        <w:spacing w:after="267" w:line="251" w:lineRule="auto"/>
        <w:ind w:right="40" w:hanging="310"/>
        <w:jc w:val="both"/>
        <w:textAlignment w:val="auto"/>
      </w:pPr>
      <w:r>
        <w:rPr>
          <w:rFonts w:ascii="Arial" w:eastAsia="Calibri" w:hAnsi="Arial" w:cs="Arial"/>
          <w:i/>
          <w:sz w:val="22"/>
          <w:szCs w:val="22"/>
        </w:rPr>
        <w:t xml:space="preserve">Ajustes en los plazos establecidos con el objeto de justificar las actuaciones en función de la ejecución real de las mismas, pudiendo procederse por el </w:t>
      </w:r>
      <w:r>
        <w:rPr>
          <w:rFonts w:ascii="Arial" w:eastAsia="Calibri" w:hAnsi="Arial" w:cs="Arial"/>
          <w:i/>
          <w:sz w:val="22"/>
          <w:szCs w:val="22"/>
        </w:rPr>
        <w:t xml:space="preserve">Servicio gestor a la suspensión del cómputo de los citados plazos tras el estudio de las circunstancias, debidamente motivadas, aducidas por los distintos municipios beneficiarios (…).” </w:t>
      </w:r>
      <w:r>
        <w:rPr>
          <w:rFonts w:ascii="Arial" w:eastAsia="Calibri" w:hAnsi="Arial" w:cs="Arial"/>
          <w:b/>
          <w:sz w:val="22"/>
          <w:szCs w:val="22"/>
        </w:rPr>
        <w:t>Considerando</w:t>
      </w:r>
      <w:r>
        <w:rPr>
          <w:rFonts w:ascii="Arial" w:hAnsi="Arial" w:cs="Arial"/>
          <w:sz w:val="22"/>
          <w:szCs w:val="22"/>
        </w:rPr>
        <w:t xml:space="preserve"> que, a tenor de lo establecido en las normas reguladoras </w:t>
      </w:r>
      <w:r>
        <w:rPr>
          <w:rFonts w:ascii="Arial" w:hAnsi="Arial" w:cs="Arial"/>
          <w:sz w:val="22"/>
          <w:szCs w:val="22"/>
        </w:rPr>
        <w:t xml:space="preserve">del Plan, en su apartado 7, en lo relativo a la ejecución y justificación, “las obras incluidas en el Plan serán ejecutadas por los Ayuntamientos de conformidad con el proyecto remitido y en todo caso hasta el 10 de septiembre de la anualidad siguiente al </w:t>
      </w:r>
      <w:r>
        <w:rPr>
          <w:rFonts w:ascii="Arial" w:hAnsi="Arial" w:cs="Arial"/>
          <w:sz w:val="22"/>
          <w:szCs w:val="22"/>
        </w:rPr>
        <w:t xml:space="preserve">del ejercicio en que dicha subvención fue otorgada”, y “deberán justificarse antes del 10 de noviembre del año siguiente al de la anualidad correspondiente”.   </w:t>
      </w:r>
    </w:p>
    <w:p w:rsidR="009B4233" w:rsidRDefault="006B08B9">
      <w:pPr>
        <w:ind w:left="5" w:right="46"/>
        <w:jc w:val="both"/>
      </w:pPr>
      <w:r>
        <w:rPr>
          <w:rFonts w:ascii="Arial" w:eastAsia="Calibri" w:hAnsi="Arial" w:cs="Arial"/>
          <w:b/>
          <w:sz w:val="22"/>
          <w:szCs w:val="22"/>
        </w:rPr>
        <w:t>Considerando</w:t>
      </w:r>
      <w:r>
        <w:rPr>
          <w:rFonts w:ascii="Arial" w:hAnsi="Arial" w:cs="Arial"/>
          <w:sz w:val="22"/>
          <w:szCs w:val="22"/>
        </w:rPr>
        <w:t xml:space="preserve"> que en lo relativo al pago de las anualidades, las normas reguladoras del Plan est</w:t>
      </w:r>
      <w:r>
        <w:rPr>
          <w:rFonts w:ascii="Arial" w:hAnsi="Arial" w:cs="Arial"/>
          <w:sz w:val="22"/>
          <w:szCs w:val="22"/>
        </w:rPr>
        <w:t>ablecen que “serán libradas por anticipado, mientras que las restantes no se librarán hasta que se proceda por el Ayuntamiento respectivo a la justificación de los fondos recibidos con anterioridad.”</w:t>
      </w:r>
      <w:r>
        <w:rPr>
          <w:rFonts w:ascii="Arial" w:eastAsia="Calibri" w:hAnsi="Arial" w:cs="Arial"/>
          <w:b/>
          <w:sz w:val="22"/>
          <w:szCs w:val="22"/>
        </w:rPr>
        <w:t xml:space="preserve"> </w:t>
      </w:r>
    </w:p>
    <w:p w:rsidR="009B4233" w:rsidRDefault="006B08B9">
      <w:pPr>
        <w:ind w:left="5" w:right="46"/>
        <w:jc w:val="both"/>
      </w:pPr>
      <w:r>
        <w:rPr>
          <w:rFonts w:ascii="Arial" w:eastAsia="Calibri" w:hAnsi="Arial" w:cs="Arial"/>
          <w:b/>
          <w:sz w:val="22"/>
          <w:szCs w:val="22"/>
        </w:rPr>
        <w:t>Considerando</w:t>
      </w:r>
      <w:r>
        <w:rPr>
          <w:rFonts w:ascii="Arial" w:hAnsi="Arial" w:cs="Arial"/>
          <w:sz w:val="22"/>
          <w:szCs w:val="22"/>
        </w:rPr>
        <w:t xml:space="preserve"> que, de conformidad con lo establecido en </w:t>
      </w:r>
      <w:r>
        <w:rPr>
          <w:rFonts w:ascii="Arial" w:hAnsi="Arial" w:cs="Arial"/>
          <w:sz w:val="22"/>
          <w:szCs w:val="22"/>
        </w:rPr>
        <w:t>el Acuerdo plenario de fecha de 28 de octubre de 2016, por el que se aprobó el Plan de Infraestructuras Culturales 2016-2024, el Consejo de Gobierno Insular tiene delegada la competencia para la aprobación de la modificación del citado Plan, delegación que</w:t>
      </w:r>
      <w:r>
        <w:rPr>
          <w:rFonts w:ascii="Arial" w:hAnsi="Arial" w:cs="Arial"/>
          <w:sz w:val="22"/>
          <w:szCs w:val="22"/>
        </w:rPr>
        <w:t xml:space="preserve"> fue publicada en el BOP con fecha 14 de noviembre de 2016. </w:t>
      </w:r>
    </w:p>
    <w:p w:rsidR="009B4233" w:rsidRDefault="006B08B9">
      <w:pPr>
        <w:ind w:left="5" w:right="46"/>
        <w:jc w:val="both"/>
      </w:pPr>
      <w:r>
        <w:rPr>
          <w:rFonts w:ascii="Arial" w:eastAsia="Calibri" w:hAnsi="Arial" w:cs="Arial"/>
          <w:b/>
          <w:sz w:val="22"/>
          <w:szCs w:val="22"/>
        </w:rPr>
        <w:t>Considerando</w:t>
      </w:r>
      <w:r>
        <w:rPr>
          <w:rFonts w:ascii="Arial" w:hAnsi="Arial" w:cs="Arial"/>
          <w:sz w:val="22"/>
          <w:szCs w:val="22"/>
        </w:rPr>
        <w:t xml:space="preserve"> que corresponde al Consejero Insular de Cultura Museos y Deportes la presentación ante el Consejo de Gobierno Insular de las propuestas y proyectos en relación a las materias de su c</w:t>
      </w:r>
      <w:r>
        <w:rPr>
          <w:rFonts w:ascii="Arial" w:hAnsi="Arial" w:cs="Arial"/>
          <w:sz w:val="22"/>
          <w:szCs w:val="22"/>
        </w:rPr>
        <w:t xml:space="preserve">ompetencia, en virtud de lo establecido en el artículo 32.2.a) del Reglamento Orgánico del Gobierno y la Administración del Cabildo Insular de Tenerife, aprobado el 28 de noviembre de 2024. </w:t>
      </w:r>
    </w:p>
    <w:p w:rsidR="009B4233" w:rsidRDefault="006B08B9">
      <w:pPr>
        <w:spacing w:after="281"/>
        <w:ind w:left="5" w:right="46"/>
        <w:jc w:val="both"/>
      </w:pPr>
      <w:r>
        <w:rPr>
          <w:rFonts w:ascii="Arial" w:hAnsi="Arial" w:cs="Arial"/>
          <w:sz w:val="22"/>
          <w:szCs w:val="22"/>
        </w:rPr>
        <w:t xml:space="preserve">Por todo lo anteriormente expuesto, el Consejo de Gobierno </w:t>
      </w:r>
      <w:r>
        <w:rPr>
          <w:rFonts w:ascii="Arial" w:hAnsi="Arial" w:cs="Arial"/>
          <w:sz w:val="22"/>
          <w:szCs w:val="22"/>
        </w:rPr>
        <w:t xml:space="preserve">Insular </w:t>
      </w:r>
      <w:r>
        <w:rPr>
          <w:rFonts w:ascii="Arial" w:eastAsia="Calibri" w:hAnsi="Arial" w:cs="Arial"/>
          <w:b/>
          <w:sz w:val="22"/>
          <w:szCs w:val="22"/>
        </w:rPr>
        <w:t>ACUERDA</w:t>
      </w:r>
      <w:r>
        <w:rPr>
          <w:rFonts w:ascii="Arial" w:hAnsi="Arial" w:cs="Arial"/>
          <w:sz w:val="22"/>
          <w:szCs w:val="22"/>
        </w:rPr>
        <w:t xml:space="preserve">: </w:t>
      </w:r>
    </w:p>
    <w:p w:rsidR="009B4233" w:rsidRDefault="006B08B9">
      <w:pPr>
        <w:spacing w:after="166" w:line="228" w:lineRule="auto"/>
        <w:ind w:left="5" w:right="38" w:hanging="20"/>
        <w:jc w:val="both"/>
      </w:pPr>
      <w:r>
        <w:rPr>
          <w:rFonts w:ascii="Arial" w:eastAsia="Calibri" w:hAnsi="Arial" w:cs="Arial"/>
          <w:b/>
          <w:sz w:val="22"/>
          <w:szCs w:val="22"/>
        </w:rPr>
        <w:t xml:space="preserve">PRIMERO.- </w:t>
      </w:r>
      <w:r>
        <w:rPr>
          <w:rFonts w:ascii="Arial" w:eastAsia="Calibri" w:hAnsi="Arial" w:cs="Arial"/>
          <w:sz w:val="22"/>
          <w:szCs w:val="22"/>
        </w:rPr>
        <w:t xml:space="preserve">Aprobar un nuevo ajuste de anualidades para la actuación “Auditorio Municipal” correspondiente al Ayuntamiento de Candelaria con NIF número P3801100C conforme al siguiente detalle: </w:t>
      </w:r>
    </w:p>
    <w:p w:rsidR="009B4233" w:rsidRDefault="006B08B9">
      <w:pPr>
        <w:tabs>
          <w:tab w:val="center" w:pos="1344"/>
          <w:tab w:val="center" w:pos="2198"/>
          <w:tab w:val="center" w:pos="2946"/>
          <w:tab w:val="center" w:pos="3738"/>
          <w:tab w:val="center" w:pos="4646"/>
          <w:tab w:val="center" w:pos="5552"/>
          <w:tab w:val="center" w:pos="6458"/>
          <w:tab w:val="center" w:pos="7318"/>
        </w:tabs>
        <w:spacing w:after="30" w:line="218" w:lineRule="auto"/>
      </w:pPr>
      <w:r>
        <w:rPr>
          <w:rFonts w:ascii="Arial" w:eastAsia="Calibri" w:hAnsi="Arial" w:cs="Arial"/>
          <w:sz w:val="22"/>
          <w:szCs w:val="22"/>
        </w:rPr>
        <w:tab/>
      </w:r>
      <w:r>
        <w:rPr>
          <w:rFonts w:ascii="Arial" w:hAnsi="Arial" w:cs="Arial"/>
          <w:sz w:val="22"/>
          <w:szCs w:val="22"/>
        </w:rPr>
        <w:t>2023</w:t>
      </w:r>
      <w:r>
        <w:rPr>
          <w:rFonts w:ascii="Arial" w:hAnsi="Arial" w:cs="Arial"/>
          <w:sz w:val="22"/>
          <w:szCs w:val="22"/>
        </w:rPr>
        <w:tab/>
        <w:t>2024</w:t>
      </w:r>
      <w:r>
        <w:rPr>
          <w:rFonts w:ascii="Arial" w:hAnsi="Arial" w:cs="Arial"/>
          <w:sz w:val="22"/>
          <w:szCs w:val="22"/>
        </w:rPr>
        <w:tab/>
        <w:t>2025</w:t>
      </w:r>
      <w:r>
        <w:rPr>
          <w:rFonts w:ascii="Arial" w:hAnsi="Arial" w:cs="Arial"/>
          <w:sz w:val="22"/>
          <w:szCs w:val="22"/>
        </w:rPr>
        <w:tab/>
        <w:t>2026</w:t>
      </w:r>
      <w:r>
        <w:rPr>
          <w:rFonts w:ascii="Arial" w:hAnsi="Arial" w:cs="Arial"/>
          <w:sz w:val="22"/>
          <w:szCs w:val="22"/>
        </w:rPr>
        <w:tab/>
        <w:t>2027</w:t>
      </w:r>
      <w:r>
        <w:rPr>
          <w:rFonts w:ascii="Arial" w:hAnsi="Arial" w:cs="Arial"/>
          <w:sz w:val="22"/>
          <w:szCs w:val="22"/>
        </w:rPr>
        <w:tab/>
        <w:t>2028</w:t>
      </w:r>
      <w:r>
        <w:rPr>
          <w:rFonts w:ascii="Arial" w:hAnsi="Arial" w:cs="Arial"/>
          <w:sz w:val="22"/>
          <w:szCs w:val="22"/>
        </w:rPr>
        <w:tab/>
        <w:t>2029</w:t>
      </w:r>
      <w:r>
        <w:rPr>
          <w:rFonts w:ascii="Arial" w:hAnsi="Arial" w:cs="Arial"/>
          <w:sz w:val="22"/>
          <w:szCs w:val="22"/>
        </w:rPr>
        <w:tab/>
        <w:t>Total</w:t>
      </w:r>
    </w:p>
    <w:tbl>
      <w:tblPr>
        <w:tblW w:w="7716" w:type="dxa"/>
        <w:tblInd w:w="-8" w:type="dxa"/>
        <w:tblCellMar>
          <w:left w:w="10" w:type="dxa"/>
          <w:right w:w="10" w:type="dxa"/>
        </w:tblCellMar>
        <w:tblLook w:val="0000" w:firstRow="0" w:lastRow="0" w:firstColumn="0" w:lastColumn="0" w:noHBand="0" w:noVBand="0"/>
      </w:tblPr>
      <w:tblGrid>
        <w:gridCol w:w="1265"/>
        <w:gridCol w:w="1166"/>
        <w:gridCol w:w="1020"/>
        <w:gridCol w:w="471"/>
        <w:gridCol w:w="1016"/>
        <w:gridCol w:w="1168"/>
        <w:gridCol w:w="1166"/>
        <w:gridCol w:w="1166"/>
        <w:gridCol w:w="1124"/>
      </w:tblGrid>
      <w:tr w:rsidR="009B4233">
        <w:tblPrEx>
          <w:tblCellMar>
            <w:top w:w="0" w:type="dxa"/>
            <w:bottom w:w="0" w:type="dxa"/>
          </w:tblCellMar>
        </w:tblPrEx>
        <w:trPr>
          <w:trHeight w:val="411"/>
        </w:trPr>
        <w:tc>
          <w:tcPr>
            <w:tcW w:w="1265" w:type="dxa"/>
            <w:tcBorders>
              <w:top w:val="single" w:sz="4" w:space="0" w:color="C0C0C0"/>
              <w:left w:val="single" w:sz="4" w:space="0" w:color="C0C0C0"/>
              <w:bottom w:val="single" w:sz="4" w:space="0" w:color="C0C0C0"/>
              <w:right w:val="single" w:sz="4" w:space="0" w:color="000000"/>
            </w:tcBorders>
            <w:shd w:val="clear" w:color="auto" w:fill="auto"/>
            <w:tcMar>
              <w:top w:w="6" w:type="dxa"/>
              <w:left w:w="24" w:type="dxa"/>
              <w:bottom w:w="0" w:type="dxa"/>
              <w:right w:w="59" w:type="dxa"/>
            </w:tcMar>
          </w:tcPr>
          <w:p w:rsidR="009B4233" w:rsidRDefault="009B4233">
            <w:pPr>
              <w:spacing w:after="160" w:line="249" w:lineRule="auto"/>
              <w:rPr>
                <w:rFonts w:ascii="Arial" w:hAnsi="Arial" w:cs="Arial"/>
                <w:sz w:val="22"/>
                <w:szCs w:val="22"/>
              </w:rPr>
            </w:pPr>
          </w:p>
        </w:tc>
        <w:tc>
          <w:tcPr>
            <w:tcW w:w="1166" w:type="dxa"/>
            <w:tcBorders>
              <w:top w:val="single" w:sz="4" w:space="0" w:color="000000"/>
              <w:left w:val="single" w:sz="4" w:space="0" w:color="000000"/>
              <w:bottom w:val="single" w:sz="4" w:space="0" w:color="000000"/>
              <w:right w:val="single" w:sz="4" w:space="0" w:color="000000"/>
            </w:tcBorders>
            <w:shd w:val="clear" w:color="auto" w:fill="auto"/>
            <w:tcMar>
              <w:top w:w="6" w:type="dxa"/>
              <w:left w:w="24" w:type="dxa"/>
              <w:bottom w:w="0" w:type="dxa"/>
              <w:right w:w="59" w:type="dxa"/>
            </w:tcMar>
          </w:tcPr>
          <w:p w:rsidR="009B4233" w:rsidRDefault="009B4233">
            <w:pPr>
              <w:spacing w:after="160" w:line="249" w:lineRule="auto"/>
              <w:rPr>
                <w:rFonts w:ascii="Arial" w:hAnsi="Arial" w:cs="Arial"/>
                <w:sz w:val="22"/>
                <w:szCs w:val="22"/>
              </w:rPr>
            </w:pPr>
          </w:p>
        </w:tc>
        <w:tc>
          <w:tcPr>
            <w:tcW w:w="1020" w:type="dxa"/>
            <w:tcBorders>
              <w:top w:val="single" w:sz="4" w:space="0" w:color="000000"/>
              <w:left w:val="single" w:sz="4" w:space="0" w:color="000000"/>
              <w:bottom w:val="single" w:sz="4" w:space="0" w:color="000000"/>
              <w:right w:val="single" w:sz="4" w:space="0" w:color="000000"/>
            </w:tcBorders>
            <w:shd w:val="clear" w:color="auto" w:fill="auto"/>
            <w:tcMar>
              <w:top w:w="6" w:type="dxa"/>
              <w:left w:w="24" w:type="dxa"/>
              <w:bottom w:w="0" w:type="dxa"/>
              <w:right w:w="59" w:type="dxa"/>
            </w:tcMar>
          </w:tcPr>
          <w:p w:rsidR="009B4233" w:rsidRDefault="009B4233">
            <w:pPr>
              <w:spacing w:after="160" w:line="249" w:lineRule="auto"/>
              <w:rPr>
                <w:rFonts w:ascii="Arial" w:hAnsi="Arial" w:cs="Arial"/>
                <w:sz w:val="22"/>
                <w:szCs w:val="22"/>
              </w:rPr>
            </w:pPr>
          </w:p>
        </w:tc>
        <w:tc>
          <w:tcPr>
            <w:tcW w:w="471" w:type="dxa"/>
            <w:tcBorders>
              <w:top w:val="single" w:sz="4" w:space="0" w:color="000000"/>
              <w:left w:val="single" w:sz="4" w:space="0" w:color="000000"/>
              <w:bottom w:val="single" w:sz="4" w:space="0" w:color="000000"/>
              <w:right w:val="single" w:sz="4" w:space="0" w:color="000000"/>
            </w:tcBorders>
            <w:shd w:val="clear" w:color="auto" w:fill="auto"/>
            <w:tcMar>
              <w:top w:w="6" w:type="dxa"/>
              <w:left w:w="24" w:type="dxa"/>
              <w:bottom w:w="0" w:type="dxa"/>
              <w:right w:w="59" w:type="dxa"/>
            </w:tcMar>
          </w:tcPr>
          <w:p w:rsidR="009B4233" w:rsidRDefault="009B4233">
            <w:pPr>
              <w:spacing w:after="160" w:line="249" w:lineRule="auto"/>
              <w:rPr>
                <w:rFonts w:ascii="Arial" w:hAnsi="Arial" w:cs="Arial"/>
                <w:sz w:val="22"/>
                <w:szCs w:val="22"/>
              </w:rPr>
            </w:pPr>
          </w:p>
        </w:tc>
        <w:tc>
          <w:tcPr>
            <w:tcW w:w="1016" w:type="dxa"/>
            <w:tcBorders>
              <w:top w:val="single" w:sz="4" w:space="0" w:color="000000"/>
              <w:left w:val="single" w:sz="4" w:space="0" w:color="000000"/>
              <w:bottom w:val="single" w:sz="4" w:space="0" w:color="000000"/>
              <w:right w:val="single" w:sz="4" w:space="0" w:color="000000"/>
            </w:tcBorders>
            <w:shd w:val="clear" w:color="auto" w:fill="auto"/>
            <w:tcMar>
              <w:top w:w="6" w:type="dxa"/>
              <w:left w:w="24" w:type="dxa"/>
              <w:bottom w:w="0" w:type="dxa"/>
              <w:right w:w="59" w:type="dxa"/>
            </w:tcMar>
          </w:tcPr>
          <w:p w:rsidR="009B4233" w:rsidRDefault="009B4233">
            <w:pPr>
              <w:spacing w:after="160" w:line="249" w:lineRule="auto"/>
              <w:rPr>
                <w:rFonts w:ascii="Arial" w:hAnsi="Arial" w:cs="Arial"/>
                <w:sz w:val="22"/>
                <w:szCs w:val="22"/>
              </w:rPr>
            </w:pPr>
          </w:p>
        </w:tc>
        <w:tc>
          <w:tcPr>
            <w:tcW w:w="1168" w:type="dxa"/>
            <w:tcBorders>
              <w:top w:val="single" w:sz="4" w:space="0" w:color="000000"/>
              <w:left w:val="single" w:sz="4" w:space="0" w:color="000000"/>
              <w:bottom w:val="single" w:sz="4" w:space="0" w:color="000000"/>
              <w:right w:val="single" w:sz="4" w:space="0" w:color="000000"/>
            </w:tcBorders>
            <w:shd w:val="clear" w:color="auto" w:fill="auto"/>
            <w:tcMar>
              <w:top w:w="6" w:type="dxa"/>
              <w:left w:w="24" w:type="dxa"/>
              <w:bottom w:w="0" w:type="dxa"/>
              <w:right w:w="59" w:type="dxa"/>
            </w:tcMar>
          </w:tcPr>
          <w:p w:rsidR="009B4233" w:rsidRDefault="009B4233">
            <w:pPr>
              <w:spacing w:after="160" w:line="249" w:lineRule="auto"/>
              <w:rPr>
                <w:rFonts w:ascii="Arial" w:hAnsi="Arial" w:cs="Arial"/>
                <w:sz w:val="22"/>
                <w:szCs w:val="22"/>
              </w:rPr>
            </w:pPr>
          </w:p>
        </w:tc>
        <w:tc>
          <w:tcPr>
            <w:tcW w:w="1166" w:type="dxa"/>
            <w:tcBorders>
              <w:top w:val="single" w:sz="4" w:space="0" w:color="000000"/>
              <w:left w:val="single" w:sz="4" w:space="0" w:color="000000"/>
              <w:bottom w:val="single" w:sz="4" w:space="0" w:color="000000"/>
              <w:right w:val="single" w:sz="4" w:space="0" w:color="000000"/>
            </w:tcBorders>
            <w:shd w:val="clear" w:color="auto" w:fill="auto"/>
            <w:tcMar>
              <w:top w:w="6" w:type="dxa"/>
              <w:left w:w="24" w:type="dxa"/>
              <w:bottom w:w="0" w:type="dxa"/>
              <w:right w:w="59" w:type="dxa"/>
            </w:tcMar>
          </w:tcPr>
          <w:p w:rsidR="009B4233" w:rsidRDefault="009B4233">
            <w:pPr>
              <w:spacing w:after="160" w:line="249" w:lineRule="auto"/>
              <w:rPr>
                <w:rFonts w:ascii="Arial" w:hAnsi="Arial" w:cs="Arial"/>
                <w:sz w:val="22"/>
                <w:szCs w:val="22"/>
              </w:rPr>
            </w:pPr>
          </w:p>
        </w:tc>
        <w:tc>
          <w:tcPr>
            <w:tcW w:w="1166" w:type="dxa"/>
            <w:tcBorders>
              <w:top w:val="single" w:sz="4" w:space="0" w:color="000000"/>
              <w:left w:val="single" w:sz="4" w:space="0" w:color="000000"/>
              <w:bottom w:val="single" w:sz="4" w:space="0" w:color="000000"/>
              <w:right w:val="single" w:sz="4" w:space="0" w:color="000000"/>
            </w:tcBorders>
            <w:shd w:val="clear" w:color="auto" w:fill="auto"/>
            <w:tcMar>
              <w:top w:w="6" w:type="dxa"/>
              <w:left w:w="24" w:type="dxa"/>
              <w:bottom w:w="0" w:type="dxa"/>
              <w:right w:w="59" w:type="dxa"/>
            </w:tcMar>
          </w:tcPr>
          <w:p w:rsidR="009B4233" w:rsidRDefault="009B4233">
            <w:pPr>
              <w:spacing w:after="160" w:line="249" w:lineRule="auto"/>
              <w:rPr>
                <w:rFonts w:ascii="Arial" w:hAnsi="Arial" w:cs="Arial"/>
                <w:sz w:val="22"/>
                <w:szCs w:val="22"/>
              </w:rPr>
            </w:pPr>
          </w:p>
        </w:tc>
        <w:tc>
          <w:tcPr>
            <w:tcW w:w="1124" w:type="dxa"/>
            <w:tcBorders>
              <w:top w:val="single" w:sz="4" w:space="0" w:color="000000"/>
              <w:left w:val="single" w:sz="4" w:space="0" w:color="000000"/>
              <w:bottom w:val="single" w:sz="4" w:space="0" w:color="000000"/>
              <w:right w:val="single" w:sz="4" w:space="0" w:color="000000"/>
            </w:tcBorders>
            <w:shd w:val="clear" w:color="auto" w:fill="auto"/>
            <w:tcMar>
              <w:top w:w="6" w:type="dxa"/>
              <w:left w:w="24" w:type="dxa"/>
              <w:bottom w:w="0" w:type="dxa"/>
              <w:right w:w="59" w:type="dxa"/>
            </w:tcMar>
          </w:tcPr>
          <w:p w:rsidR="009B4233" w:rsidRDefault="009B4233">
            <w:pPr>
              <w:spacing w:after="160" w:line="249" w:lineRule="auto"/>
              <w:rPr>
                <w:rFonts w:ascii="Arial" w:hAnsi="Arial" w:cs="Arial"/>
                <w:sz w:val="22"/>
                <w:szCs w:val="22"/>
              </w:rPr>
            </w:pPr>
          </w:p>
        </w:tc>
      </w:tr>
      <w:tr w:rsidR="009B4233">
        <w:tblPrEx>
          <w:tblCellMar>
            <w:top w:w="0" w:type="dxa"/>
            <w:bottom w:w="0" w:type="dxa"/>
          </w:tblCellMar>
        </w:tblPrEx>
        <w:trPr>
          <w:trHeight w:val="153"/>
        </w:trPr>
        <w:tc>
          <w:tcPr>
            <w:tcW w:w="1265" w:type="dxa"/>
            <w:tcBorders>
              <w:top w:val="single" w:sz="4" w:space="0" w:color="C0C0C0"/>
              <w:left w:val="single" w:sz="4" w:space="0" w:color="000000"/>
              <w:bottom w:val="single" w:sz="4" w:space="0" w:color="000000"/>
              <w:right w:val="single" w:sz="4" w:space="0" w:color="000000"/>
            </w:tcBorders>
            <w:shd w:val="clear" w:color="auto" w:fill="D9D9D9"/>
            <w:tcMar>
              <w:top w:w="6" w:type="dxa"/>
              <w:left w:w="24" w:type="dxa"/>
              <w:bottom w:w="0" w:type="dxa"/>
              <w:right w:w="59" w:type="dxa"/>
            </w:tcMar>
          </w:tcPr>
          <w:p w:rsidR="009B4233" w:rsidRDefault="006B08B9">
            <w:pPr>
              <w:spacing w:line="249" w:lineRule="auto"/>
            </w:pPr>
            <w:r>
              <w:rPr>
                <w:rFonts w:ascii="Arial" w:eastAsia="Calibri" w:hAnsi="Arial" w:cs="Arial"/>
                <w:b/>
                <w:sz w:val="22"/>
                <w:szCs w:val="22"/>
              </w:rPr>
              <w:t>Cabildo</w:t>
            </w:r>
          </w:p>
        </w:tc>
        <w:tc>
          <w:tcPr>
            <w:tcW w:w="1166" w:type="dxa"/>
            <w:tcBorders>
              <w:top w:val="single" w:sz="4" w:space="0" w:color="000000"/>
              <w:left w:val="single" w:sz="4" w:space="0" w:color="000000"/>
              <w:bottom w:val="single" w:sz="4" w:space="0" w:color="000000"/>
              <w:right w:val="single" w:sz="4" w:space="0" w:color="000000"/>
            </w:tcBorders>
            <w:shd w:val="clear" w:color="auto" w:fill="auto"/>
            <w:tcMar>
              <w:top w:w="6" w:type="dxa"/>
              <w:left w:w="24" w:type="dxa"/>
              <w:bottom w:w="0" w:type="dxa"/>
              <w:right w:w="59" w:type="dxa"/>
            </w:tcMar>
          </w:tcPr>
          <w:p w:rsidR="009B4233" w:rsidRDefault="006B08B9">
            <w:pPr>
              <w:spacing w:line="249" w:lineRule="auto"/>
              <w:ind w:left="52"/>
              <w:rPr>
                <w:rFonts w:ascii="Arial" w:hAnsi="Arial" w:cs="Arial"/>
                <w:sz w:val="22"/>
                <w:szCs w:val="22"/>
              </w:rPr>
            </w:pPr>
            <w:r>
              <w:rPr>
                <w:rFonts w:ascii="Arial" w:hAnsi="Arial" w:cs="Arial"/>
                <w:sz w:val="22"/>
                <w:szCs w:val="22"/>
              </w:rPr>
              <w:t>2.369.143,58 €</w:t>
            </w:r>
          </w:p>
        </w:tc>
        <w:tc>
          <w:tcPr>
            <w:tcW w:w="1020" w:type="dxa"/>
            <w:tcBorders>
              <w:top w:val="single" w:sz="4" w:space="0" w:color="000000"/>
              <w:left w:val="single" w:sz="4" w:space="0" w:color="000000"/>
              <w:bottom w:val="single" w:sz="4" w:space="0" w:color="000000"/>
              <w:right w:val="single" w:sz="4" w:space="0" w:color="000000"/>
            </w:tcBorders>
            <w:shd w:val="clear" w:color="auto" w:fill="auto"/>
            <w:tcMar>
              <w:top w:w="6" w:type="dxa"/>
              <w:left w:w="24" w:type="dxa"/>
              <w:bottom w:w="0" w:type="dxa"/>
              <w:right w:w="59" w:type="dxa"/>
            </w:tcMar>
          </w:tcPr>
          <w:p w:rsidR="009B4233" w:rsidRDefault="006B08B9">
            <w:pPr>
              <w:spacing w:line="249" w:lineRule="auto"/>
              <w:ind w:left="42"/>
              <w:jc w:val="center"/>
              <w:rPr>
                <w:rFonts w:ascii="Arial" w:hAnsi="Arial" w:cs="Arial"/>
                <w:sz w:val="22"/>
                <w:szCs w:val="22"/>
              </w:rPr>
            </w:pPr>
            <w:r>
              <w:rPr>
                <w:rFonts w:ascii="Arial" w:hAnsi="Arial" w:cs="Arial"/>
                <w:sz w:val="22"/>
                <w:szCs w:val="22"/>
              </w:rPr>
              <w:t>0,00 €</w:t>
            </w:r>
          </w:p>
        </w:tc>
        <w:tc>
          <w:tcPr>
            <w:tcW w:w="471" w:type="dxa"/>
            <w:tcBorders>
              <w:top w:val="single" w:sz="4" w:space="0" w:color="000000"/>
              <w:left w:val="single" w:sz="4" w:space="0" w:color="000000"/>
              <w:bottom w:val="single" w:sz="4" w:space="0" w:color="000000"/>
              <w:right w:val="single" w:sz="4" w:space="0" w:color="000000"/>
            </w:tcBorders>
            <w:shd w:val="clear" w:color="auto" w:fill="auto"/>
            <w:tcMar>
              <w:top w:w="6" w:type="dxa"/>
              <w:left w:w="24" w:type="dxa"/>
              <w:bottom w:w="0" w:type="dxa"/>
              <w:right w:w="59" w:type="dxa"/>
            </w:tcMar>
          </w:tcPr>
          <w:p w:rsidR="009B4233" w:rsidRDefault="006B08B9">
            <w:pPr>
              <w:spacing w:line="249" w:lineRule="auto"/>
              <w:ind w:left="50"/>
              <w:jc w:val="center"/>
              <w:rPr>
                <w:rFonts w:ascii="Arial" w:hAnsi="Arial" w:cs="Arial"/>
                <w:sz w:val="22"/>
                <w:szCs w:val="22"/>
              </w:rPr>
            </w:pPr>
            <w:r>
              <w:rPr>
                <w:rFonts w:ascii="Arial" w:hAnsi="Arial" w:cs="Arial"/>
                <w:sz w:val="22"/>
                <w:szCs w:val="22"/>
              </w:rPr>
              <w:t>0,00 €</w:t>
            </w:r>
          </w:p>
        </w:tc>
        <w:tc>
          <w:tcPr>
            <w:tcW w:w="1016" w:type="dxa"/>
            <w:tcBorders>
              <w:top w:val="single" w:sz="4" w:space="0" w:color="000000"/>
              <w:left w:val="single" w:sz="4" w:space="0" w:color="000000"/>
              <w:bottom w:val="single" w:sz="4" w:space="0" w:color="000000"/>
              <w:right w:val="single" w:sz="4" w:space="0" w:color="000000"/>
            </w:tcBorders>
            <w:shd w:val="clear" w:color="auto" w:fill="auto"/>
            <w:tcMar>
              <w:top w:w="6" w:type="dxa"/>
              <w:left w:w="24" w:type="dxa"/>
              <w:bottom w:w="0" w:type="dxa"/>
              <w:right w:w="59" w:type="dxa"/>
            </w:tcMar>
          </w:tcPr>
          <w:p w:rsidR="009B4233" w:rsidRDefault="006B08B9">
            <w:pPr>
              <w:spacing w:line="249" w:lineRule="auto"/>
              <w:ind w:left="42"/>
              <w:jc w:val="center"/>
              <w:rPr>
                <w:rFonts w:ascii="Arial" w:hAnsi="Arial" w:cs="Arial"/>
                <w:sz w:val="22"/>
                <w:szCs w:val="22"/>
              </w:rPr>
            </w:pPr>
            <w:r>
              <w:rPr>
                <w:rFonts w:ascii="Arial" w:hAnsi="Arial" w:cs="Arial"/>
                <w:sz w:val="22"/>
                <w:szCs w:val="22"/>
              </w:rPr>
              <w:t>0,00 €</w:t>
            </w:r>
          </w:p>
        </w:tc>
        <w:tc>
          <w:tcPr>
            <w:tcW w:w="1168" w:type="dxa"/>
            <w:tcBorders>
              <w:top w:val="single" w:sz="4" w:space="0" w:color="000000"/>
              <w:left w:val="single" w:sz="4" w:space="0" w:color="000000"/>
              <w:bottom w:val="single" w:sz="4" w:space="0" w:color="000000"/>
              <w:right w:val="single" w:sz="4" w:space="0" w:color="000000"/>
            </w:tcBorders>
            <w:shd w:val="clear" w:color="auto" w:fill="auto"/>
            <w:tcMar>
              <w:top w:w="6" w:type="dxa"/>
              <w:left w:w="24" w:type="dxa"/>
              <w:bottom w:w="0" w:type="dxa"/>
              <w:right w:w="59" w:type="dxa"/>
            </w:tcMar>
          </w:tcPr>
          <w:p w:rsidR="009B4233" w:rsidRDefault="006B08B9">
            <w:pPr>
              <w:spacing w:line="249" w:lineRule="auto"/>
              <w:ind w:left="50"/>
              <w:jc w:val="center"/>
              <w:rPr>
                <w:rFonts w:ascii="Arial" w:hAnsi="Arial" w:cs="Arial"/>
                <w:sz w:val="22"/>
                <w:szCs w:val="22"/>
              </w:rPr>
            </w:pPr>
            <w:r>
              <w:rPr>
                <w:rFonts w:ascii="Arial" w:hAnsi="Arial" w:cs="Arial"/>
                <w:sz w:val="22"/>
                <w:szCs w:val="22"/>
              </w:rPr>
              <w:t>577.172,10 €</w:t>
            </w:r>
          </w:p>
        </w:tc>
        <w:tc>
          <w:tcPr>
            <w:tcW w:w="1166" w:type="dxa"/>
            <w:tcBorders>
              <w:top w:val="single" w:sz="4" w:space="0" w:color="000000"/>
              <w:left w:val="single" w:sz="4" w:space="0" w:color="000000"/>
              <w:bottom w:val="single" w:sz="4" w:space="0" w:color="000000"/>
              <w:right w:val="single" w:sz="4" w:space="0" w:color="000000"/>
            </w:tcBorders>
            <w:shd w:val="clear" w:color="auto" w:fill="auto"/>
            <w:tcMar>
              <w:top w:w="6" w:type="dxa"/>
              <w:left w:w="24" w:type="dxa"/>
              <w:bottom w:w="0" w:type="dxa"/>
              <w:right w:w="59" w:type="dxa"/>
            </w:tcMar>
          </w:tcPr>
          <w:p w:rsidR="009B4233" w:rsidRDefault="006B08B9">
            <w:pPr>
              <w:spacing w:line="249" w:lineRule="auto"/>
              <w:ind w:left="52"/>
              <w:rPr>
                <w:rFonts w:ascii="Arial" w:hAnsi="Arial" w:cs="Arial"/>
                <w:sz w:val="22"/>
                <w:szCs w:val="22"/>
              </w:rPr>
            </w:pPr>
            <w:r>
              <w:rPr>
                <w:rFonts w:ascii="Arial" w:hAnsi="Arial" w:cs="Arial"/>
                <w:sz w:val="22"/>
                <w:szCs w:val="22"/>
              </w:rPr>
              <w:t>2.255.353,98 €</w:t>
            </w:r>
          </w:p>
        </w:tc>
        <w:tc>
          <w:tcPr>
            <w:tcW w:w="1166" w:type="dxa"/>
            <w:tcBorders>
              <w:top w:val="single" w:sz="4" w:space="0" w:color="000000"/>
              <w:left w:val="single" w:sz="4" w:space="0" w:color="000000"/>
              <w:bottom w:val="single" w:sz="4" w:space="0" w:color="000000"/>
              <w:right w:val="single" w:sz="4" w:space="0" w:color="000000"/>
            </w:tcBorders>
            <w:shd w:val="clear" w:color="auto" w:fill="auto"/>
            <w:tcMar>
              <w:top w:w="6" w:type="dxa"/>
              <w:left w:w="24" w:type="dxa"/>
              <w:bottom w:w="0" w:type="dxa"/>
              <w:right w:w="59" w:type="dxa"/>
            </w:tcMar>
          </w:tcPr>
          <w:p w:rsidR="009B4233" w:rsidRDefault="006B08B9">
            <w:pPr>
              <w:spacing w:line="249" w:lineRule="auto"/>
              <w:ind w:left="52"/>
              <w:rPr>
                <w:rFonts w:ascii="Arial" w:hAnsi="Arial" w:cs="Arial"/>
                <w:sz w:val="22"/>
                <w:szCs w:val="22"/>
              </w:rPr>
            </w:pPr>
            <w:r>
              <w:rPr>
                <w:rFonts w:ascii="Arial" w:hAnsi="Arial" w:cs="Arial"/>
                <w:sz w:val="22"/>
                <w:szCs w:val="22"/>
              </w:rPr>
              <w:t>2.255.363,98 €</w:t>
            </w:r>
          </w:p>
        </w:tc>
        <w:tc>
          <w:tcPr>
            <w:tcW w:w="1124" w:type="dxa"/>
            <w:tcBorders>
              <w:top w:val="single" w:sz="4" w:space="0" w:color="000000"/>
              <w:left w:val="single" w:sz="4" w:space="0" w:color="000000"/>
              <w:bottom w:val="single" w:sz="4" w:space="0" w:color="000000"/>
              <w:right w:val="single" w:sz="4" w:space="0" w:color="000000"/>
            </w:tcBorders>
            <w:shd w:val="clear" w:color="auto" w:fill="D9D9D9"/>
            <w:tcMar>
              <w:top w:w="6" w:type="dxa"/>
              <w:left w:w="24" w:type="dxa"/>
              <w:bottom w:w="0" w:type="dxa"/>
              <w:right w:w="59" w:type="dxa"/>
            </w:tcMar>
          </w:tcPr>
          <w:p w:rsidR="009B4233" w:rsidRDefault="006B08B9">
            <w:pPr>
              <w:spacing w:line="249" w:lineRule="auto"/>
            </w:pPr>
            <w:r>
              <w:rPr>
                <w:rFonts w:ascii="Arial" w:eastAsia="Calibri" w:hAnsi="Arial" w:cs="Arial"/>
                <w:b/>
                <w:sz w:val="22"/>
                <w:szCs w:val="22"/>
              </w:rPr>
              <w:t>7.457.033,64 €</w:t>
            </w:r>
          </w:p>
        </w:tc>
      </w:tr>
      <w:tr w:rsidR="009B4233">
        <w:tblPrEx>
          <w:tblCellMar>
            <w:top w:w="0" w:type="dxa"/>
            <w:bottom w:w="0" w:type="dxa"/>
          </w:tblCellMar>
        </w:tblPrEx>
        <w:trPr>
          <w:trHeight w:val="223"/>
        </w:trPr>
        <w:tc>
          <w:tcPr>
            <w:tcW w:w="1265" w:type="dxa"/>
            <w:tcBorders>
              <w:top w:val="single" w:sz="4" w:space="0" w:color="000000"/>
              <w:left w:val="single" w:sz="4" w:space="0" w:color="000000"/>
              <w:bottom w:val="single" w:sz="4" w:space="0" w:color="C0C0C0"/>
              <w:right w:val="single" w:sz="4" w:space="0" w:color="000000"/>
            </w:tcBorders>
            <w:shd w:val="clear" w:color="auto" w:fill="D9D9D9"/>
            <w:tcMar>
              <w:top w:w="6" w:type="dxa"/>
              <w:left w:w="24" w:type="dxa"/>
              <w:bottom w:w="0" w:type="dxa"/>
              <w:right w:w="59" w:type="dxa"/>
            </w:tcMar>
          </w:tcPr>
          <w:p w:rsidR="009B4233" w:rsidRDefault="006B08B9">
            <w:pPr>
              <w:spacing w:line="249" w:lineRule="auto"/>
            </w:pPr>
            <w:r>
              <w:rPr>
                <w:rFonts w:ascii="Arial" w:eastAsia="Calibri" w:hAnsi="Arial" w:cs="Arial"/>
                <w:b/>
                <w:sz w:val="22"/>
                <w:szCs w:val="22"/>
              </w:rPr>
              <w:t>Ayuntamiento</w:t>
            </w:r>
          </w:p>
        </w:tc>
        <w:tc>
          <w:tcPr>
            <w:tcW w:w="1166" w:type="dxa"/>
            <w:tcBorders>
              <w:top w:val="single" w:sz="4" w:space="0" w:color="000000"/>
              <w:left w:val="single" w:sz="4" w:space="0" w:color="000000"/>
              <w:bottom w:val="single" w:sz="4" w:space="0" w:color="000000"/>
              <w:right w:val="single" w:sz="4" w:space="0" w:color="000000"/>
            </w:tcBorders>
            <w:shd w:val="clear" w:color="auto" w:fill="auto"/>
            <w:tcMar>
              <w:top w:w="6" w:type="dxa"/>
              <w:left w:w="24" w:type="dxa"/>
              <w:bottom w:w="0" w:type="dxa"/>
              <w:right w:w="59" w:type="dxa"/>
            </w:tcMar>
          </w:tcPr>
          <w:p w:rsidR="009B4233" w:rsidRDefault="006B08B9">
            <w:pPr>
              <w:spacing w:line="249" w:lineRule="auto"/>
              <w:ind w:left="42"/>
              <w:jc w:val="center"/>
              <w:rPr>
                <w:rFonts w:ascii="Arial" w:hAnsi="Arial" w:cs="Arial"/>
                <w:sz w:val="22"/>
                <w:szCs w:val="22"/>
              </w:rPr>
            </w:pPr>
            <w:r>
              <w:rPr>
                <w:rFonts w:ascii="Arial" w:hAnsi="Arial" w:cs="Arial"/>
                <w:sz w:val="22"/>
                <w:szCs w:val="22"/>
              </w:rPr>
              <w:t>0,00 €</w:t>
            </w:r>
          </w:p>
        </w:tc>
        <w:tc>
          <w:tcPr>
            <w:tcW w:w="1020" w:type="dxa"/>
            <w:tcBorders>
              <w:top w:val="single" w:sz="4" w:space="0" w:color="000000"/>
              <w:left w:val="single" w:sz="4" w:space="0" w:color="000000"/>
              <w:bottom w:val="single" w:sz="4" w:space="0" w:color="000000"/>
              <w:right w:val="single" w:sz="4" w:space="0" w:color="000000"/>
            </w:tcBorders>
            <w:shd w:val="clear" w:color="auto" w:fill="auto"/>
            <w:tcMar>
              <w:top w:w="6" w:type="dxa"/>
              <w:left w:w="24" w:type="dxa"/>
              <w:bottom w:w="0" w:type="dxa"/>
              <w:right w:w="59" w:type="dxa"/>
            </w:tcMar>
          </w:tcPr>
          <w:p w:rsidR="009B4233" w:rsidRDefault="006B08B9">
            <w:pPr>
              <w:spacing w:line="249" w:lineRule="auto"/>
              <w:ind w:left="54"/>
              <w:rPr>
                <w:rFonts w:ascii="Arial" w:hAnsi="Arial" w:cs="Arial"/>
                <w:sz w:val="22"/>
                <w:szCs w:val="22"/>
              </w:rPr>
            </w:pPr>
            <w:r>
              <w:rPr>
                <w:rFonts w:ascii="Arial" w:hAnsi="Arial" w:cs="Arial"/>
                <w:sz w:val="22"/>
                <w:szCs w:val="22"/>
              </w:rPr>
              <w:t>621.419,47 €</w:t>
            </w:r>
          </w:p>
        </w:tc>
        <w:tc>
          <w:tcPr>
            <w:tcW w:w="471" w:type="dxa"/>
            <w:tcBorders>
              <w:top w:val="single" w:sz="4" w:space="0" w:color="000000"/>
              <w:left w:val="single" w:sz="4" w:space="0" w:color="000000"/>
              <w:bottom w:val="single" w:sz="4" w:space="0" w:color="000000"/>
              <w:right w:val="single" w:sz="4" w:space="0" w:color="000000"/>
            </w:tcBorders>
            <w:shd w:val="clear" w:color="auto" w:fill="auto"/>
            <w:tcMar>
              <w:top w:w="6" w:type="dxa"/>
              <w:left w:w="24" w:type="dxa"/>
              <w:bottom w:w="0" w:type="dxa"/>
              <w:right w:w="59" w:type="dxa"/>
            </w:tcMar>
          </w:tcPr>
          <w:p w:rsidR="009B4233" w:rsidRDefault="006B08B9">
            <w:pPr>
              <w:spacing w:line="249" w:lineRule="auto"/>
              <w:ind w:left="50"/>
              <w:jc w:val="center"/>
              <w:rPr>
                <w:rFonts w:ascii="Arial" w:hAnsi="Arial" w:cs="Arial"/>
                <w:sz w:val="22"/>
                <w:szCs w:val="22"/>
              </w:rPr>
            </w:pPr>
            <w:r>
              <w:rPr>
                <w:rFonts w:ascii="Arial" w:hAnsi="Arial" w:cs="Arial"/>
                <w:sz w:val="22"/>
                <w:szCs w:val="22"/>
              </w:rPr>
              <w:t>0,00 €</w:t>
            </w:r>
          </w:p>
        </w:tc>
        <w:tc>
          <w:tcPr>
            <w:tcW w:w="1016" w:type="dxa"/>
            <w:tcBorders>
              <w:top w:val="single" w:sz="4" w:space="0" w:color="000000"/>
              <w:left w:val="single" w:sz="4" w:space="0" w:color="000000"/>
              <w:bottom w:val="single" w:sz="4" w:space="0" w:color="000000"/>
              <w:right w:val="single" w:sz="4" w:space="0" w:color="000000"/>
            </w:tcBorders>
            <w:shd w:val="clear" w:color="auto" w:fill="auto"/>
            <w:tcMar>
              <w:top w:w="6" w:type="dxa"/>
              <w:left w:w="24" w:type="dxa"/>
              <w:bottom w:w="0" w:type="dxa"/>
              <w:right w:w="59" w:type="dxa"/>
            </w:tcMar>
          </w:tcPr>
          <w:p w:rsidR="009B4233" w:rsidRDefault="006B08B9">
            <w:pPr>
              <w:spacing w:line="249" w:lineRule="auto"/>
              <w:ind w:left="50"/>
              <w:jc w:val="center"/>
              <w:rPr>
                <w:rFonts w:ascii="Arial" w:hAnsi="Arial" w:cs="Arial"/>
                <w:sz w:val="22"/>
                <w:szCs w:val="22"/>
              </w:rPr>
            </w:pPr>
            <w:r>
              <w:rPr>
                <w:rFonts w:ascii="Arial" w:hAnsi="Arial" w:cs="Arial"/>
                <w:sz w:val="22"/>
                <w:szCs w:val="22"/>
              </w:rPr>
              <w:t>621.419,47 €</w:t>
            </w:r>
          </w:p>
        </w:tc>
        <w:tc>
          <w:tcPr>
            <w:tcW w:w="1168" w:type="dxa"/>
            <w:tcBorders>
              <w:top w:val="single" w:sz="4" w:space="0" w:color="000000"/>
              <w:left w:val="single" w:sz="4" w:space="0" w:color="000000"/>
              <w:bottom w:val="single" w:sz="4" w:space="0" w:color="000000"/>
              <w:right w:val="single" w:sz="4" w:space="0" w:color="000000"/>
            </w:tcBorders>
            <w:shd w:val="clear" w:color="auto" w:fill="auto"/>
            <w:tcMar>
              <w:top w:w="6" w:type="dxa"/>
              <w:left w:w="24" w:type="dxa"/>
              <w:bottom w:w="0" w:type="dxa"/>
              <w:right w:w="59" w:type="dxa"/>
            </w:tcMar>
          </w:tcPr>
          <w:p w:rsidR="009B4233" w:rsidRDefault="006B08B9">
            <w:pPr>
              <w:spacing w:line="249" w:lineRule="auto"/>
              <w:ind w:left="50"/>
              <w:jc w:val="center"/>
              <w:rPr>
                <w:rFonts w:ascii="Arial" w:hAnsi="Arial" w:cs="Arial"/>
                <w:sz w:val="22"/>
                <w:szCs w:val="22"/>
              </w:rPr>
            </w:pPr>
            <w:r>
              <w:rPr>
                <w:rFonts w:ascii="Arial" w:hAnsi="Arial" w:cs="Arial"/>
                <w:sz w:val="22"/>
                <w:szCs w:val="22"/>
              </w:rPr>
              <w:t>621.419,47 €</w:t>
            </w:r>
          </w:p>
        </w:tc>
        <w:tc>
          <w:tcPr>
            <w:tcW w:w="1166" w:type="dxa"/>
            <w:tcBorders>
              <w:top w:val="single" w:sz="4" w:space="0" w:color="000000"/>
              <w:left w:val="single" w:sz="4" w:space="0" w:color="000000"/>
              <w:bottom w:val="single" w:sz="4" w:space="0" w:color="000000"/>
              <w:right w:val="single" w:sz="4" w:space="0" w:color="000000"/>
            </w:tcBorders>
            <w:shd w:val="clear" w:color="auto" w:fill="auto"/>
            <w:tcMar>
              <w:top w:w="6" w:type="dxa"/>
              <w:left w:w="24" w:type="dxa"/>
              <w:bottom w:w="0" w:type="dxa"/>
              <w:right w:w="59" w:type="dxa"/>
            </w:tcMar>
          </w:tcPr>
          <w:p w:rsidR="009B4233" w:rsidRDefault="006B08B9">
            <w:pPr>
              <w:spacing w:line="249" w:lineRule="auto"/>
              <w:ind w:left="40"/>
              <w:jc w:val="center"/>
              <w:rPr>
                <w:rFonts w:ascii="Arial" w:hAnsi="Arial" w:cs="Arial"/>
                <w:sz w:val="22"/>
                <w:szCs w:val="22"/>
              </w:rPr>
            </w:pPr>
            <w:r>
              <w:rPr>
                <w:rFonts w:ascii="Arial" w:hAnsi="Arial" w:cs="Arial"/>
                <w:sz w:val="22"/>
                <w:szCs w:val="22"/>
              </w:rPr>
              <w:t>0,00 €</w:t>
            </w:r>
          </w:p>
        </w:tc>
        <w:tc>
          <w:tcPr>
            <w:tcW w:w="1166" w:type="dxa"/>
            <w:tcBorders>
              <w:top w:val="single" w:sz="4" w:space="0" w:color="000000"/>
              <w:left w:val="single" w:sz="4" w:space="0" w:color="000000"/>
              <w:bottom w:val="single" w:sz="4" w:space="0" w:color="000000"/>
              <w:right w:val="single" w:sz="4" w:space="0" w:color="000000"/>
            </w:tcBorders>
            <w:shd w:val="clear" w:color="auto" w:fill="auto"/>
            <w:tcMar>
              <w:top w:w="6" w:type="dxa"/>
              <w:left w:w="24" w:type="dxa"/>
              <w:bottom w:w="0" w:type="dxa"/>
              <w:right w:w="59" w:type="dxa"/>
            </w:tcMar>
          </w:tcPr>
          <w:p w:rsidR="009B4233" w:rsidRDefault="006B08B9">
            <w:pPr>
              <w:spacing w:line="249" w:lineRule="auto"/>
              <w:ind w:left="42"/>
              <w:jc w:val="center"/>
              <w:rPr>
                <w:rFonts w:ascii="Arial" w:hAnsi="Arial" w:cs="Arial"/>
                <w:sz w:val="22"/>
                <w:szCs w:val="22"/>
              </w:rPr>
            </w:pPr>
            <w:r>
              <w:rPr>
                <w:rFonts w:ascii="Arial" w:hAnsi="Arial" w:cs="Arial"/>
                <w:sz w:val="22"/>
                <w:szCs w:val="22"/>
              </w:rPr>
              <w:t>0,00 €</w:t>
            </w:r>
          </w:p>
        </w:tc>
        <w:tc>
          <w:tcPr>
            <w:tcW w:w="1124" w:type="dxa"/>
            <w:tcBorders>
              <w:top w:val="single" w:sz="4" w:space="0" w:color="000000"/>
              <w:left w:val="single" w:sz="4" w:space="0" w:color="000000"/>
              <w:bottom w:val="single" w:sz="4" w:space="0" w:color="000000"/>
              <w:right w:val="single" w:sz="4" w:space="0" w:color="000000"/>
            </w:tcBorders>
            <w:shd w:val="clear" w:color="auto" w:fill="D9D9D9"/>
            <w:tcMar>
              <w:top w:w="6" w:type="dxa"/>
              <w:left w:w="24" w:type="dxa"/>
              <w:bottom w:w="0" w:type="dxa"/>
              <w:right w:w="59" w:type="dxa"/>
            </w:tcMar>
          </w:tcPr>
          <w:p w:rsidR="009B4233" w:rsidRDefault="006B08B9">
            <w:pPr>
              <w:spacing w:line="249" w:lineRule="auto"/>
            </w:pPr>
            <w:r>
              <w:rPr>
                <w:rFonts w:ascii="Arial" w:eastAsia="Calibri" w:hAnsi="Arial" w:cs="Arial"/>
                <w:b/>
                <w:sz w:val="22"/>
                <w:szCs w:val="22"/>
              </w:rPr>
              <w:t>1.864.258,41 €</w:t>
            </w:r>
          </w:p>
        </w:tc>
      </w:tr>
      <w:tr w:rsidR="009B4233">
        <w:tblPrEx>
          <w:tblCellMar>
            <w:top w:w="0" w:type="dxa"/>
            <w:bottom w:w="0" w:type="dxa"/>
          </w:tblCellMar>
        </w:tblPrEx>
        <w:trPr>
          <w:trHeight w:val="148"/>
        </w:trPr>
        <w:tc>
          <w:tcPr>
            <w:tcW w:w="1265" w:type="dxa"/>
            <w:tcBorders>
              <w:top w:val="single" w:sz="4" w:space="0" w:color="C0C0C0"/>
              <w:left w:val="single" w:sz="4" w:space="0" w:color="C0C0C0"/>
              <w:bottom w:val="single" w:sz="4" w:space="0" w:color="C0C0C0"/>
              <w:right w:val="single" w:sz="4" w:space="0" w:color="000000"/>
            </w:tcBorders>
            <w:shd w:val="clear" w:color="auto" w:fill="auto"/>
            <w:tcMar>
              <w:top w:w="6" w:type="dxa"/>
              <w:left w:w="24" w:type="dxa"/>
              <w:bottom w:w="0" w:type="dxa"/>
              <w:right w:w="59" w:type="dxa"/>
            </w:tcMar>
          </w:tcPr>
          <w:p w:rsidR="009B4233" w:rsidRDefault="006B08B9">
            <w:pPr>
              <w:spacing w:line="249" w:lineRule="auto"/>
            </w:pPr>
            <w:r>
              <w:rPr>
                <w:rFonts w:ascii="Arial" w:eastAsia="Calibri" w:hAnsi="Arial" w:cs="Arial"/>
                <w:b/>
                <w:sz w:val="22"/>
                <w:szCs w:val="22"/>
              </w:rPr>
              <w:t>Total</w:t>
            </w:r>
          </w:p>
        </w:tc>
        <w:tc>
          <w:tcPr>
            <w:tcW w:w="1166" w:type="dxa"/>
            <w:tcBorders>
              <w:top w:val="single" w:sz="4" w:space="0" w:color="000000"/>
              <w:left w:val="single" w:sz="4" w:space="0" w:color="000000"/>
              <w:bottom w:val="single" w:sz="4" w:space="0" w:color="000000"/>
              <w:right w:val="single" w:sz="4" w:space="0" w:color="000000"/>
            </w:tcBorders>
            <w:shd w:val="clear" w:color="auto" w:fill="auto"/>
            <w:tcMar>
              <w:top w:w="6" w:type="dxa"/>
              <w:left w:w="24" w:type="dxa"/>
              <w:bottom w:w="0" w:type="dxa"/>
              <w:right w:w="59" w:type="dxa"/>
            </w:tcMar>
          </w:tcPr>
          <w:p w:rsidR="009B4233" w:rsidRDefault="006B08B9">
            <w:pPr>
              <w:spacing w:line="249" w:lineRule="auto"/>
              <w:ind w:left="52"/>
            </w:pPr>
            <w:r>
              <w:rPr>
                <w:rFonts w:ascii="Arial" w:eastAsia="Calibri" w:hAnsi="Arial" w:cs="Arial"/>
                <w:b/>
                <w:sz w:val="22"/>
                <w:szCs w:val="22"/>
              </w:rPr>
              <w:t>2.369.143,58 €</w:t>
            </w:r>
          </w:p>
        </w:tc>
        <w:tc>
          <w:tcPr>
            <w:tcW w:w="1020" w:type="dxa"/>
            <w:tcBorders>
              <w:top w:val="single" w:sz="4" w:space="0" w:color="000000"/>
              <w:left w:val="single" w:sz="4" w:space="0" w:color="000000"/>
              <w:bottom w:val="single" w:sz="4" w:space="0" w:color="000000"/>
              <w:right w:val="single" w:sz="4" w:space="0" w:color="000000"/>
            </w:tcBorders>
            <w:shd w:val="clear" w:color="auto" w:fill="auto"/>
            <w:tcMar>
              <w:top w:w="6" w:type="dxa"/>
              <w:left w:w="24" w:type="dxa"/>
              <w:bottom w:w="0" w:type="dxa"/>
              <w:right w:w="59" w:type="dxa"/>
            </w:tcMar>
          </w:tcPr>
          <w:p w:rsidR="009B4233" w:rsidRDefault="006B08B9">
            <w:pPr>
              <w:spacing w:line="249" w:lineRule="auto"/>
              <w:ind w:left="54"/>
            </w:pPr>
            <w:r>
              <w:rPr>
                <w:rFonts w:ascii="Arial" w:eastAsia="Calibri" w:hAnsi="Arial" w:cs="Arial"/>
                <w:b/>
                <w:sz w:val="22"/>
                <w:szCs w:val="22"/>
              </w:rPr>
              <w:t>621.419,47 €</w:t>
            </w:r>
          </w:p>
        </w:tc>
        <w:tc>
          <w:tcPr>
            <w:tcW w:w="471" w:type="dxa"/>
            <w:tcBorders>
              <w:top w:val="single" w:sz="4" w:space="0" w:color="000000"/>
              <w:left w:val="single" w:sz="4" w:space="0" w:color="000000"/>
              <w:bottom w:val="single" w:sz="4" w:space="0" w:color="000000"/>
              <w:right w:val="single" w:sz="4" w:space="0" w:color="000000"/>
            </w:tcBorders>
            <w:shd w:val="clear" w:color="auto" w:fill="auto"/>
            <w:tcMar>
              <w:top w:w="6" w:type="dxa"/>
              <w:left w:w="24" w:type="dxa"/>
              <w:bottom w:w="0" w:type="dxa"/>
              <w:right w:w="59" w:type="dxa"/>
            </w:tcMar>
          </w:tcPr>
          <w:p w:rsidR="009B4233" w:rsidRDefault="006B08B9">
            <w:pPr>
              <w:spacing w:line="249" w:lineRule="auto"/>
              <w:ind w:left="50"/>
              <w:jc w:val="center"/>
            </w:pPr>
            <w:r>
              <w:rPr>
                <w:rFonts w:ascii="Arial" w:eastAsia="Calibri" w:hAnsi="Arial" w:cs="Arial"/>
                <w:b/>
                <w:sz w:val="22"/>
                <w:szCs w:val="22"/>
              </w:rPr>
              <w:t>0,00 €</w:t>
            </w:r>
          </w:p>
        </w:tc>
        <w:tc>
          <w:tcPr>
            <w:tcW w:w="1016" w:type="dxa"/>
            <w:tcBorders>
              <w:top w:val="single" w:sz="4" w:space="0" w:color="000000"/>
              <w:left w:val="single" w:sz="4" w:space="0" w:color="000000"/>
              <w:bottom w:val="single" w:sz="4" w:space="0" w:color="000000"/>
              <w:right w:val="single" w:sz="4" w:space="0" w:color="000000"/>
            </w:tcBorders>
            <w:shd w:val="clear" w:color="auto" w:fill="auto"/>
            <w:tcMar>
              <w:top w:w="6" w:type="dxa"/>
              <w:left w:w="24" w:type="dxa"/>
              <w:bottom w:w="0" w:type="dxa"/>
              <w:right w:w="59" w:type="dxa"/>
            </w:tcMar>
          </w:tcPr>
          <w:p w:rsidR="009B4233" w:rsidRDefault="006B08B9">
            <w:pPr>
              <w:spacing w:line="249" w:lineRule="auto"/>
              <w:ind w:left="50"/>
              <w:jc w:val="center"/>
            </w:pPr>
            <w:r>
              <w:rPr>
                <w:rFonts w:ascii="Arial" w:eastAsia="Calibri" w:hAnsi="Arial" w:cs="Arial"/>
                <w:b/>
                <w:sz w:val="22"/>
                <w:szCs w:val="22"/>
              </w:rPr>
              <w:t>621.419,47</w:t>
            </w:r>
            <w:r>
              <w:rPr>
                <w:rFonts w:ascii="Arial" w:eastAsia="Calibri" w:hAnsi="Arial" w:cs="Arial"/>
                <w:b/>
                <w:sz w:val="22"/>
                <w:szCs w:val="22"/>
              </w:rPr>
              <w:t xml:space="preserve"> €</w:t>
            </w:r>
          </w:p>
        </w:tc>
        <w:tc>
          <w:tcPr>
            <w:tcW w:w="1168" w:type="dxa"/>
            <w:tcBorders>
              <w:top w:val="single" w:sz="4" w:space="0" w:color="000000"/>
              <w:left w:val="single" w:sz="4" w:space="0" w:color="000000"/>
              <w:bottom w:val="single" w:sz="4" w:space="0" w:color="000000"/>
              <w:right w:val="single" w:sz="4" w:space="0" w:color="000000"/>
            </w:tcBorders>
            <w:shd w:val="clear" w:color="auto" w:fill="auto"/>
            <w:tcMar>
              <w:top w:w="6" w:type="dxa"/>
              <w:left w:w="24" w:type="dxa"/>
              <w:bottom w:w="0" w:type="dxa"/>
              <w:right w:w="59" w:type="dxa"/>
            </w:tcMar>
          </w:tcPr>
          <w:p w:rsidR="009B4233" w:rsidRDefault="006B08B9">
            <w:pPr>
              <w:spacing w:line="249" w:lineRule="auto"/>
              <w:ind w:left="54"/>
            </w:pPr>
            <w:r>
              <w:rPr>
                <w:rFonts w:ascii="Arial" w:eastAsia="Calibri" w:hAnsi="Arial" w:cs="Arial"/>
                <w:b/>
                <w:sz w:val="22"/>
                <w:szCs w:val="22"/>
              </w:rPr>
              <w:t>1.198.591,57 €</w:t>
            </w:r>
          </w:p>
        </w:tc>
        <w:tc>
          <w:tcPr>
            <w:tcW w:w="1166" w:type="dxa"/>
            <w:tcBorders>
              <w:top w:val="single" w:sz="4" w:space="0" w:color="000000"/>
              <w:left w:val="single" w:sz="4" w:space="0" w:color="000000"/>
              <w:bottom w:val="single" w:sz="4" w:space="0" w:color="000000"/>
              <w:right w:val="single" w:sz="4" w:space="0" w:color="000000"/>
            </w:tcBorders>
            <w:shd w:val="clear" w:color="auto" w:fill="auto"/>
            <w:tcMar>
              <w:top w:w="6" w:type="dxa"/>
              <w:left w:w="24" w:type="dxa"/>
              <w:bottom w:w="0" w:type="dxa"/>
              <w:right w:w="59" w:type="dxa"/>
            </w:tcMar>
          </w:tcPr>
          <w:p w:rsidR="009B4233" w:rsidRDefault="006B08B9">
            <w:pPr>
              <w:spacing w:line="249" w:lineRule="auto"/>
              <w:ind w:left="52"/>
            </w:pPr>
            <w:r>
              <w:rPr>
                <w:rFonts w:ascii="Arial" w:eastAsia="Calibri" w:hAnsi="Arial" w:cs="Arial"/>
                <w:b/>
                <w:sz w:val="22"/>
                <w:szCs w:val="22"/>
              </w:rPr>
              <w:t>2.255.353,98 €</w:t>
            </w:r>
          </w:p>
        </w:tc>
        <w:tc>
          <w:tcPr>
            <w:tcW w:w="1166" w:type="dxa"/>
            <w:tcBorders>
              <w:top w:val="single" w:sz="4" w:space="0" w:color="000000"/>
              <w:left w:val="single" w:sz="4" w:space="0" w:color="000000"/>
              <w:bottom w:val="single" w:sz="4" w:space="0" w:color="000000"/>
              <w:right w:val="single" w:sz="4" w:space="0" w:color="000000"/>
            </w:tcBorders>
            <w:shd w:val="clear" w:color="auto" w:fill="auto"/>
            <w:tcMar>
              <w:top w:w="6" w:type="dxa"/>
              <w:left w:w="24" w:type="dxa"/>
              <w:bottom w:w="0" w:type="dxa"/>
              <w:right w:w="59" w:type="dxa"/>
            </w:tcMar>
          </w:tcPr>
          <w:p w:rsidR="009B4233" w:rsidRDefault="006B08B9">
            <w:pPr>
              <w:spacing w:line="249" w:lineRule="auto"/>
              <w:ind w:left="52"/>
            </w:pPr>
            <w:r>
              <w:rPr>
                <w:rFonts w:ascii="Arial" w:eastAsia="Calibri" w:hAnsi="Arial" w:cs="Arial"/>
                <w:b/>
                <w:sz w:val="22"/>
                <w:szCs w:val="22"/>
              </w:rPr>
              <w:t>2.255.363,98 €</w:t>
            </w:r>
          </w:p>
        </w:tc>
        <w:tc>
          <w:tcPr>
            <w:tcW w:w="1124" w:type="dxa"/>
            <w:tcBorders>
              <w:top w:val="single" w:sz="4" w:space="0" w:color="000000"/>
              <w:left w:val="single" w:sz="4" w:space="0" w:color="000000"/>
              <w:bottom w:val="single" w:sz="4" w:space="0" w:color="000000"/>
              <w:right w:val="single" w:sz="4" w:space="0" w:color="000000"/>
            </w:tcBorders>
            <w:shd w:val="clear" w:color="auto" w:fill="auto"/>
            <w:tcMar>
              <w:top w:w="6" w:type="dxa"/>
              <w:left w:w="24" w:type="dxa"/>
              <w:bottom w:w="0" w:type="dxa"/>
              <w:right w:w="59" w:type="dxa"/>
            </w:tcMar>
          </w:tcPr>
          <w:p w:rsidR="009B4233" w:rsidRDefault="006B08B9">
            <w:pPr>
              <w:spacing w:line="249" w:lineRule="auto"/>
            </w:pPr>
            <w:r>
              <w:rPr>
                <w:rFonts w:ascii="Arial" w:eastAsia="Calibri" w:hAnsi="Arial" w:cs="Arial"/>
                <w:b/>
                <w:sz w:val="22"/>
                <w:szCs w:val="22"/>
              </w:rPr>
              <w:t>9.321.292,05 €</w:t>
            </w:r>
          </w:p>
        </w:tc>
      </w:tr>
    </w:tbl>
    <w:p w:rsidR="009B4233" w:rsidRDefault="009B4233">
      <w:pPr>
        <w:ind w:left="5" w:right="46"/>
        <w:jc w:val="both"/>
        <w:rPr>
          <w:rFonts w:ascii="Arial" w:hAnsi="Arial" w:cs="Arial"/>
          <w:sz w:val="22"/>
          <w:szCs w:val="22"/>
        </w:rPr>
      </w:pPr>
    </w:p>
    <w:p w:rsidR="009B4233" w:rsidRDefault="006B08B9">
      <w:pPr>
        <w:ind w:left="5" w:right="46"/>
        <w:jc w:val="both"/>
      </w:pPr>
      <w:r>
        <w:rPr>
          <w:rFonts w:ascii="Arial" w:hAnsi="Arial" w:cs="Arial"/>
          <w:sz w:val="22"/>
          <w:szCs w:val="22"/>
        </w:rPr>
        <w:t xml:space="preserve">Los plazos de ejecución y justificación de las anualidades, según lo acordado en Consejo de Gobierno Insular de fecha 26 de febrero de 2025 y lo establecido en las normas reguladoras del </w:t>
      </w:r>
      <w:r>
        <w:rPr>
          <w:rFonts w:ascii="Arial" w:hAnsi="Arial" w:cs="Arial"/>
          <w:sz w:val="22"/>
          <w:szCs w:val="22"/>
        </w:rPr>
        <w:t>Plan, serán para 2023 y 2024, hasta el 10 de septiembre y 10 de noviembre de 2026 respectivamente, manteniendo para las anualidades siguientes (2026, 2027, 2028 y 2029), el 10 de septiembre y 10 de noviembre de la anualidad siguiente al del ejercicio en qu</w:t>
      </w:r>
      <w:r>
        <w:rPr>
          <w:rFonts w:ascii="Arial" w:hAnsi="Arial" w:cs="Arial"/>
          <w:sz w:val="22"/>
          <w:szCs w:val="22"/>
        </w:rPr>
        <w:t>e se abonen. En todo caso, las anualidades no serán abonadas hasta que se proceda, por parte del Ayuntamiento, a la justificación de los fondos recibidos con anterioridad.</w:t>
      </w:r>
      <w:r>
        <w:rPr>
          <w:rFonts w:ascii="Arial" w:eastAsia="Calibri" w:hAnsi="Arial" w:cs="Arial"/>
          <w:b/>
          <w:sz w:val="22"/>
          <w:szCs w:val="22"/>
        </w:rPr>
        <w:t xml:space="preserve"> </w:t>
      </w:r>
    </w:p>
    <w:p w:rsidR="009B4233" w:rsidRDefault="009B4233">
      <w:pPr>
        <w:ind w:left="5" w:right="46"/>
        <w:jc w:val="both"/>
        <w:rPr>
          <w:rFonts w:ascii="Arial" w:hAnsi="Arial" w:cs="Arial"/>
          <w:sz w:val="22"/>
          <w:szCs w:val="22"/>
        </w:rPr>
      </w:pPr>
    </w:p>
    <w:p w:rsidR="009B4233" w:rsidRDefault="006B08B9">
      <w:pPr>
        <w:spacing w:after="8" w:line="244" w:lineRule="auto"/>
        <w:ind w:left="-5"/>
        <w:jc w:val="both"/>
      </w:pPr>
      <w:r>
        <w:rPr>
          <w:rFonts w:ascii="Arial" w:eastAsia="Calibri" w:hAnsi="Arial" w:cs="Arial"/>
          <w:b/>
          <w:sz w:val="22"/>
          <w:szCs w:val="22"/>
        </w:rPr>
        <w:t>SEGUNDO: Anular la autorización y disposición del gasto</w:t>
      </w:r>
      <w:r>
        <w:rPr>
          <w:rFonts w:ascii="Arial" w:hAnsi="Arial" w:cs="Arial"/>
          <w:sz w:val="22"/>
          <w:szCs w:val="22"/>
        </w:rPr>
        <w:t xml:space="preserve"> efectuada mediante </w:t>
      </w:r>
    </w:p>
    <w:p w:rsidR="009B4233" w:rsidRDefault="006B08B9">
      <w:pPr>
        <w:spacing w:after="536"/>
        <w:ind w:left="5" w:right="46"/>
        <w:jc w:val="both"/>
      </w:pPr>
      <w:r>
        <w:rPr>
          <w:rFonts w:ascii="Arial" w:hAnsi="Arial" w:cs="Arial"/>
          <w:sz w:val="22"/>
          <w:szCs w:val="22"/>
        </w:rPr>
        <w:t xml:space="preserve">Acuerdo de Consejo de Gobierno de fecha 26 de febrero de 2025, por importe de DOS MILLONES QUINIENTOS CUARENTA Y TRES MIL NOVECIENTOS CUARENTA Y CINCO EUROS CON TRES CÉNTIMOS (2.543.945,03 €) </w:t>
      </w:r>
      <w:r>
        <w:rPr>
          <w:rFonts w:ascii="Arial" w:eastAsia="Calibri" w:hAnsi="Arial" w:cs="Arial"/>
          <w:b/>
          <w:sz w:val="22"/>
          <w:szCs w:val="22"/>
        </w:rPr>
        <w:t>anualidad 2027</w:t>
      </w:r>
      <w:r>
        <w:rPr>
          <w:rFonts w:ascii="Arial" w:hAnsi="Arial" w:cs="Arial"/>
          <w:sz w:val="22"/>
          <w:szCs w:val="22"/>
        </w:rPr>
        <w:t>, a favor del Ayuntamiento de Candelaria con NIF n</w:t>
      </w:r>
      <w:r>
        <w:rPr>
          <w:rFonts w:ascii="Arial" w:hAnsi="Arial" w:cs="Arial"/>
          <w:sz w:val="22"/>
          <w:szCs w:val="22"/>
        </w:rPr>
        <w:t>úmero P3801100C, conforme al siguiente detalle: AD/, número de baja 2025-000630 por importe de DOS MILLONES QUINIENTOS CUARENTA Y TRES MIL NOVECIENTOS CUARENTA Y CINCO EUROS CON TRES CÉNTIMOS (2.543.945,03 €), número de proyecto 2023-0709, línea de subvenc</w:t>
      </w:r>
      <w:r>
        <w:rPr>
          <w:rFonts w:ascii="Arial" w:hAnsi="Arial" w:cs="Arial"/>
          <w:sz w:val="22"/>
          <w:szCs w:val="22"/>
        </w:rPr>
        <w:t xml:space="preserve">ión 2016-001193, aplicación 27-0801-3341-76240, propuesta número 2025-000893 </w:t>
      </w:r>
    </w:p>
    <w:p w:rsidR="009B4233" w:rsidRDefault="009B4233">
      <w:pPr>
        <w:ind w:left="5" w:right="46"/>
        <w:jc w:val="both"/>
        <w:rPr>
          <w:rFonts w:ascii="Arial" w:hAnsi="Arial" w:cs="Arial"/>
          <w:sz w:val="22"/>
          <w:szCs w:val="22"/>
        </w:rPr>
      </w:pPr>
    </w:p>
    <w:p w:rsidR="009B4233" w:rsidRDefault="009B4233">
      <w:pPr>
        <w:spacing w:after="8" w:line="244" w:lineRule="auto"/>
        <w:ind w:left="-5"/>
        <w:jc w:val="both"/>
        <w:rPr>
          <w:rFonts w:ascii="Arial" w:eastAsia="Calibri" w:hAnsi="Arial" w:cs="Arial"/>
          <w:b/>
          <w:sz w:val="22"/>
          <w:szCs w:val="22"/>
        </w:rPr>
      </w:pPr>
    </w:p>
    <w:p w:rsidR="009B4233" w:rsidRDefault="009B4233">
      <w:pPr>
        <w:spacing w:after="8" w:line="244" w:lineRule="auto"/>
        <w:ind w:left="-5"/>
        <w:jc w:val="both"/>
        <w:rPr>
          <w:rFonts w:ascii="Arial" w:eastAsia="Calibri" w:hAnsi="Arial" w:cs="Arial"/>
          <w:b/>
          <w:sz w:val="22"/>
          <w:szCs w:val="22"/>
        </w:rPr>
      </w:pPr>
    </w:p>
    <w:p w:rsidR="009B4233" w:rsidRDefault="006B08B9">
      <w:pPr>
        <w:spacing w:after="8" w:line="244" w:lineRule="auto"/>
        <w:ind w:left="-5"/>
        <w:jc w:val="both"/>
      </w:pPr>
      <w:r>
        <w:rPr>
          <w:rFonts w:ascii="Arial" w:eastAsia="Calibri" w:hAnsi="Arial" w:cs="Arial"/>
          <w:b/>
          <w:sz w:val="22"/>
          <w:szCs w:val="22"/>
        </w:rPr>
        <w:t>TERCERO: Anular la autorización y disposición del gasto</w:t>
      </w:r>
      <w:r>
        <w:rPr>
          <w:rFonts w:ascii="Arial" w:hAnsi="Arial" w:cs="Arial"/>
          <w:sz w:val="22"/>
          <w:szCs w:val="22"/>
        </w:rPr>
        <w:t xml:space="preserve"> efectuada mediante </w:t>
      </w:r>
    </w:p>
    <w:p w:rsidR="009B4233" w:rsidRDefault="006B08B9">
      <w:pPr>
        <w:ind w:left="5" w:right="46"/>
        <w:jc w:val="both"/>
      </w:pPr>
      <w:r>
        <w:rPr>
          <w:rFonts w:ascii="Arial" w:hAnsi="Arial" w:cs="Arial"/>
          <w:sz w:val="22"/>
          <w:szCs w:val="22"/>
        </w:rPr>
        <w:t xml:space="preserve">Acuerdo de Consejo de Gobierno de fecha 26 de febrero de 2025, por importe de DOS MILLONES </w:t>
      </w:r>
      <w:r>
        <w:rPr>
          <w:rFonts w:ascii="Arial" w:hAnsi="Arial" w:cs="Arial"/>
          <w:sz w:val="22"/>
          <w:szCs w:val="22"/>
        </w:rPr>
        <w:t xml:space="preserve">QUINIENTOS CUARENTA Y TRES MIL NOVECIENTOS CUARENTA Y CINCO EUROS CON TRES CÉNTIMOS (2.543.945,03 €) </w:t>
      </w:r>
      <w:r>
        <w:rPr>
          <w:rFonts w:ascii="Arial" w:eastAsia="Calibri" w:hAnsi="Arial" w:cs="Arial"/>
          <w:b/>
          <w:sz w:val="22"/>
          <w:szCs w:val="22"/>
        </w:rPr>
        <w:t>anualidad 2028</w:t>
      </w:r>
      <w:r>
        <w:rPr>
          <w:rFonts w:ascii="Arial" w:hAnsi="Arial" w:cs="Arial"/>
          <w:sz w:val="22"/>
          <w:szCs w:val="22"/>
        </w:rPr>
        <w:t>, a favor del Ayuntamiento de Candelaria con NIF número P3801100C, conforme al siguiente detalle:  AD/, número de baja 2025-000631 por import</w:t>
      </w:r>
      <w:r>
        <w:rPr>
          <w:rFonts w:ascii="Arial" w:hAnsi="Arial" w:cs="Arial"/>
          <w:sz w:val="22"/>
          <w:szCs w:val="22"/>
        </w:rPr>
        <w:t xml:space="preserve">e de DOS MILLONES QUINIENTOS CUARENTA Y TRES MIL NOVECIENTOS CUARENTA Y CINCO EUROS CON TRES  CÉNTIMOS (2.543.945,03 €), número de proyecto 2023-0709, línea de subvención 2016-001193, aplicación 28-0801-3341-76240, propuesta número 2025-002350 </w:t>
      </w:r>
    </w:p>
    <w:p w:rsidR="009B4233" w:rsidRDefault="009B4233">
      <w:pPr>
        <w:spacing w:after="166" w:line="228" w:lineRule="auto"/>
        <w:ind w:left="5" w:right="38" w:hanging="20"/>
        <w:jc w:val="both"/>
        <w:rPr>
          <w:rFonts w:ascii="Arial" w:eastAsia="Calibri" w:hAnsi="Arial" w:cs="Arial"/>
          <w:b/>
          <w:sz w:val="22"/>
          <w:szCs w:val="22"/>
        </w:rPr>
      </w:pPr>
    </w:p>
    <w:p w:rsidR="009B4233" w:rsidRDefault="006B08B9">
      <w:pPr>
        <w:spacing w:after="166" w:line="228" w:lineRule="auto"/>
        <w:ind w:left="5" w:right="38" w:hanging="20"/>
        <w:jc w:val="both"/>
      </w:pPr>
      <w:r>
        <w:rPr>
          <w:rFonts w:ascii="Arial" w:eastAsia="Calibri" w:hAnsi="Arial" w:cs="Arial"/>
          <w:b/>
          <w:sz w:val="22"/>
          <w:szCs w:val="22"/>
        </w:rPr>
        <w:t>CUARTO: Au</w:t>
      </w:r>
      <w:r>
        <w:rPr>
          <w:rFonts w:ascii="Arial" w:eastAsia="Calibri" w:hAnsi="Arial" w:cs="Arial"/>
          <w:b/>
          <w:sz w:val="22"/>
          <w:szCs w:val="22"/>
        </w:rPr>
        <w:t>torizar y disponer (fase AD)</w:t>
      </w:r>
      <w:r>
        <w:rPr>
          <w:rFonts w:ascii="Arial" w:eastAsia="Calibri" w:hAnsi="Arial" w:cs="Arial"/>
          <w:sz w:val="22"/>
          <w:szCs w:val="22"/>
        </w:rPr>
        <w:t xml:space="preserve"> a favor del Ayuntamiento de Candelaria con NIF número P3801100C, un gasto por importe de QUINIENTOS SETENTA Y SIETE MIL CIENTO SETENTA Y DOS EUROS CON DIEZ CÉNTIMOS (577.172,10 €) con cargo a la aplicación presupuestaria </w:t>
      </w:r>
      <w:r>
        <w:rPr>
          <w:rFonts w:ascii="Arial" w:eastAsia="Calibri" w:hAnsi="Arial" w:cs="Arial"/>
          <w:b/>
          <w:sz w:val="22"/>
          <w:szCs w:val="22"/>
        </w:rPr>
        <w:t>27</w:t>
      </w:r>
      <w:r>
        <w:rPr>
          <w:rFonts w:ascii="Arial" w:eastAsia="Calibri" w:hAnsi="Arial" w:cs="Arial"/>
          <w:sz w:val="22"/>
          <w:szCs w:val="22"/>
        </w:rPr>
        <w:t>-080</w:t>
      </w:r>
      <w:r>
        <w:rPr>
          <w:rFonts w:ascii="Arial" w:eastAsia="Calibri" w:hAnsi="Arial" w:cs="Arial"/>
          <w:sz w:val="22"/>
          <w:szCs w:val="22"/>
        </w:rPr>
        <w:t xml:space="preserve">1-3341-76240, número de proyecto 2023-0709, línea de subvención 2016-001193, propuesta número 25-008192 ítem número 25-022893 para la </w:t>
      </w:r>
      <w:r>
        <w:rPr>
          <w:rFonts w:ascii="Arial" w:eastAsia="Calibri" w:hAnsi="Arial" w:cs="Arial"/>
          <w:b/>
          <w:sz w:val="22"/>
          <w:szCs w:val="22"/>
        </w:rPr>
        <w:t>anualidad 2027</w:t>
      </w:r>
      <w:r>
        <w:rPr>
          <w:rFonts w:ascii="Arial" w:eastAsia="Calibri" w:hAnsi="Arial" w:cs="Arial"/>
          <w:sz w:val="22"/>
          <w:szCs w:val="22"/>
        </w:rPr>
        <w:t xml:space="preserve">. </w:t>
      </w:r>
    </w:p>
    <w:p w:rsidR="009B4233" w:rsidRDefault="009B4233">
      <w:pPr>
        <w:spacing w:after="24"/>
        <w:ind w:left="5" w:right="46"/>
        <w:jc w:val="both"/>
        <w:rPr>
          <w:rFonts w:ascii="Arial" w:eastAsia="Calibri" w:hAnsi="Arial" w:cs="Arial"/>
          <w:b/>
          <w:sz w:val="22"/>
          <w:szCs w:val="22"/>
        </w:rPr>
      </w:pPr>
    </w:p>
    <w:p w:rsidR="009B4233" w:rsidRDefault="006B08B9">
      <w:pPr>
        <w:spacing w:after="24"/>
        <w:ind w:left="5" w:right="46"/>
        <w:jc w:val="both"/>
      </w:pPr>
      <w:r>
        <w:rPr>
          <w:rFonts w:ascii="Arial" w:eastAsia="Calibri" w:hAnsi="Arial" w:cs="Arial"/>
          <w:b/>
          <w:sz w:val="22"/>
          <w:szCs w:val="22"/>
        </w:rPr>
        <w:t>QUINTO: Autorizar y disponer (fase AD)</w:t>
      </w:r>
      <w:r>
        <w:rPr>
          <w:rFonts w:ascii="Arial" w:hAnsi="Arial" w:cs="Arial"/>
          <w:sz w:val="22"/>
          <w:szCs w:val="22"/>
        </w:rPr>
        <w:t xml:space="preserve"> a favor del Ayuntamiento de Candelaria con NIF número P3801100C, </w:t>
      </w:r>
      <w:r>
        <w:rPr>
          <w:rFonts w:ascii="Arial" w:hAnsi="Arial" w:cs="Arial"/>
          <w:sz w:val="22"/>
          <w:szCs w:val="22"/>
        </w:rPr>
        <w:t xml:space="preserve">un gasto por importe de DOS MILLONES DOSCIENTOS CINCUENTA Y CINCO MIL TRESCIENTOS CINCUENTA Y TRES EUROS CON </w:t>
      </w:r>
    </w:p>
    <w:p w:rsidR="009B4233" w:rsidRDefault="006B08B9">
      <w:pPr>
        <w:ind w:left="5" w:right="46"/>
        <w:jc w:val="both"/>
      </w:pPr>
      <w:r>
        <w:rPr>
          <w:rFonts w:ascii="Arial" w:hAnsi="Arial" w:cs="Arial"/>
          <w:sz w:val="22"/>
          <w:szCs w:val="22"/>
        </w:rPr>
        <w:t xml:space="preserve">NOVENTA Y OCHO CÉNTIMOS (2.255.353,98 €) con cargo a la aplicación presupuestaria </w:t>
      </w:r>
      <w:r>
        <w:rPr>
          <w:rFonts w:ascii="Arial" w:eastAsia="Calibri" w:hAnsi="Arial" w:cs="Arial"/>
          <w:b/>
          <w:sz w:val="22"/>
          <w:szCs w:val="22"/>
        </w:rPr>
        <w:t>28</w:t>
      </w:r>
      <w:r>
        <w:rPr>
          <w:rFonts w:ascii="Arial" w:hAnsi="Arial" w:cs="Arial"/>
          <w:sz w:val="22"/>
          <w:szCs w:val="22"/>
        </w:rPr>
        <w:t>-08013341-76240, número de proyecto 2023-0709, línea de subven</w:t>
      </w:r>
      <w:r>
        <w:rPr>
          <w:rFonts w:ascii="Arial" w:hAnsi="Arial" w:cs="Arial"/>
          <w:sz w:val="22"/>
          <w:szCs w:val="22"/>
        </w:rPr>
        <w:t xml:space="preserve">ción 2016-001193, propuesta número 25-008194 ítem número 25-022894 para la </w:t>
      </w:r>
      <w:r>
        <w:rPr>
          <w:rFonts w:ascii="Arial" w:eastAsia="Calibri" w:hAnsi="Arial" w:cs="Arial"/>
          <w:b/>
          <w:sz w:val="22"/>
          <w:szCs w:val="22"/>
        </w:rPr>
        <w:t>anualidad 2028</w:t>
      </w:r>
      <w:r>
        <w:rPr>
          <w:rFonts w:ascii="Arial" w:hAnsi="Arial" w:cs="Arial"/>
          <w:sz w:val="22"/>
          <w:szCs w:val="22"/>
        </w:rPr>
        <w:t xml:space="preserve">. </w:t>
      </w:r>
    </w:p>
    <w:p w:rsidR="009B4233" w:rsidRDefault="009B4233">
      <w:pPr>
        <w:ind w:left="5" w:right="46"/>
        <w:jc w:val="both"/>
        <w:rPr>
          <w:rFonts w:ascii="Arial" w:eastAsia="Calibri" w:hAnsi="Arial" w:cs="Arial"/>
          <w:b/>
          <w:sz w:val="22"/>
          <w:szCs w:val="22"/>
        </w:rPr>
      </w:pPr>
    </w:p>
    <w:p w:rsidR="009B4233" w:rsidRDefault="006B08B9">
      <w:pPr>
        <w:ind w:left="5" w:right="46"/>
        <w:jc w:val="both"/>
      </w:pPr>
      <w:r>
        <w:rPr>
          <w:rFonts w:ascii="Arial" w:eastAsia="Calibri" w:hAnsi="Arial" w:cs="Arial"/>
          <w:b/>
          <w:sz w:val="22"/>
          <w:szCs w:val="22"/>
        </w:rPr>
        <w:t>SEXTO: Autorizar y disponer (fase AD)</w:t>
      </w:r>
      <w:r>
        <w:rPr>
          <w:rFonts w:ascii="Arial" w:hAnsi="Arial" w:cs="Arial"/>
          <w:sz w:val="22"/>
          <w:szCs w:val="22"/>
        </w:rPr>
        <w:t xml:space="preserve"> a favor del Ayuntamiento de Candelaria con NIF número </w:t>
      </w:r>
    </w:p>
    <w:p w:rsidR="009B4233" w:rsidRDefault="006B08B9">
      <w:pPr>
        <w:ind w:left="5" w:right="46"/>
        <w:jc w:val="both"/>
      </w:pPr>
      <w:r>
        <w:rPr>
          <w:rFonts w:ascii="Arial" w:hAnsi="Arial" w:cs="Arial"/>
          <w:sz w:val="22"/>
          <w:szCs w:val="22"/>
        </w:rPr>
        <w:t>P3801100C, un gasto por importe de DOS MILLONES DOSCIENTOS CINCUENTA Y</w:t>
      </w:r>
      <w:r>
        <w:rPr>
          <w:rFonts w:ascii="Arial" w:hAnsi="Arial" w:cs="Arial"/>
          <w:sz w:val="22"/>
          <w:szCs w:val="22"/>
        </w:rPr>
        <w:t xml:space="preserve"> CINCO MIL TRESCIENTOS SESENTA Y TRES EUROS CON NOVENTA Y OCHO CÉNTIMOS (2.255.363,98 €) con cargo a la aplicación presupuestaria </w:t>
      </w:r>
      <w:r>
        <w:rPr>
          <w:rFonts w:ascii="Arial" w:eastAsia="Calibri" w:hAnsi="Arial" w:cs="Arial"/>
          <w:b/>
          <w:sz w:val="22"/>
          <w:szCs w:val="22"/>
        </w:rPr>
        <w:t>29</w:t>
      </w:r>
      <w:r>
        <w:rPr>
          <w:rFonts w:ascii="Arial" w:hAnsi="Arial" w:cs="Arial"/>
          <w:sz w:val="22"/>
          <w:szCs w:val="22"/>
        </w:rPr>
        <w:t>-0801-3341-76240, número de proyecto 2023-0709, línea de subvención 2016-001193, propuesta número 25-008203 ítem número 25-0</w:t>
      </w:r>
      <w:r>
        <w:rPr>
          <w:rFonts w:ascii="Arial" w:hAnsi="Arial" w:cs="Arial"/>
          <w:sz w:val="22"/>
          <w:szCs w:val="22"/>
        </w:rPr>
        <w:t xml:space="preserve">22907 para la </w:t>
      </w:r>
      <w:r>
        <w:rPr>
          <w:rFonts w:ascii="Arial" w:eastAsia="Calibri" w:hAnsi="Arial" w:cs="Arial"/>
          <w:b/>
          <w:sz w:val="22"/>
          <w:szCs w:val="22"/>
        </w:rPr>
        <w:t>anualidad 2029</w:t>
      </w:r>
      <w:r>
        <w:rPr>
          <w:rFonts w:ascii="Arial" w:hAnsi="Arial" w:cs="Arial"/>
          <w:sz w:val="22"/>
          <w:szCs w:val="22"/>
        </w:rPr>
        <w:t xml:space="preserve">. </w:t>
      </w:r>
    </w:p>
    <w:p w:rsidR="009B4233" w:rsidRDefault="009B4233">
      <w:pPr>
        <w:ind w:left="5" w:right="46"/>
        <w:jc w:val="both"/>
        <w:rPr>
          <w:rFonts w:ascii="Arial" w:eastAsia="Calibri" w:hAnsi="Arial" w:cs="Arial"/>
          <w:b/>
          <w:sz w:val="22"/>
          <w:szCs w:val="22"/>
        </w:rPr>
      </w:pPr>
    </w:p>
    <w:p w:rsidR="009B4233" w:rsidRDefault="006B08B9">
      <w:pPr>
        <w:ind w:left="5" w:right="46"/>
        <w:jc w:val="both"/>
      </w:pPr>
      <w:r>
        <w:rPr>
          <w:rFonts w:ascii="Arial" w:eastAsia="Calibri" w:hAnsi="Arial" w:cs="Arial"/>
          <w:b/>
          <w:sz w:val="22"/>
          <w:szCs w:val="22"/>
        </w:rPr>
        <w:t>SÉPTIMO</w:t>
      </w:r>
      <w:r>
        <w:rPr>
          <w:rFonts w:ascii="Arial" w:hAnsi="Arial" w:cs="Arial"/>
          <w:sz w:val="22"/>
          <w:szCs w:val="22"/>
        </w:rPr>
        <w:t xml:space="preserve">: Publicar el acuerdo adoptado, de conformidad con lo dispuesto en el artículo 20 de la Ley </w:t>
      </w:r>
    </w:p>
    <w:p w:rsidR="009B4233" w:rsidRDefault="006B08B9">
      <w:pPr>
        <w:ind w:left="5" w:right="46"/>
        <w:jc w:val="both"/>
        <w:rPr>
          <w:rFonts w:ascii="Arial" w:hAnsi="Arial" w:cs="Arial"/>
          <w:sz w:val="22"/>
          <w:szCs w:val="22"/>
        </w:rPr>
      </w:pPr>
      <w:r>
        <w:rPr>
          <w:rFonts w:ascii="Arial" w:hAnsi="Arial" w:cs="Arial"/>
          <w:sz w:val="22"/>
          <w:szCs w:val="22"/>
        </w:rPr>
        <w:t xml:space="preserve">38/2003, de 17 de noviembre, General de Subvenciones en la Base de Datos Nacional de </w:t>
      </w:r>
    </w:p>
    <w:p w:rsidR="009B4233" w:rsidRDefault="006B08B9">
      <w:pPr>
        <w:spacing w:after="644"/>
        <w:ind w:left="5" w:right="46"/>
        <w:jc w:val="both"/>
      </w:pPr>
      <w:r>
        <w:rPr>
          <w:rFonts w:ascii="Arial" w:hAnsi="Arial" w:cs="Arial"/>
          <w:sz w:val="22"/>
          <w:szCs w:val="22"/>
        </w:rPr>
        <w:t>Subvenciones (BDNS) que opera como sis</w:t>
      </w:r>
      <w:r>
        <w:rPr>
          <w:rFonts w:ascii="Arial" w:hAnsi="Arial" w:cs="Arial"/>
          <w:sz w:val="22"/>
          <w:szCs w:val="22"/>
        </w:rPr>
        <w:t>tema nacional de publicidad de las subvenciones…”</w:t>
      </w:r>
      <w:r>
        <w:rPr>
          <w:rFonts w:ascii="Arial" w:eastAsia="Calibri" w:hAnsi="Arial" w:cs="Arial"/>
          <w:b/>
          <w:sz w:val="22"/>
          <w:szCs w:val="22"/>
        </w:rPr>
        <w:t xml:space="preserve"> </w:t>
      </w:r>
    </w:p>
    <w:p w:rsidR="009B4233" w:rsidRDefault="009B4233">
      <w:pPr>
        <w:spacing w:after="154" w:line="264" w:lineRule="auto"/>
        <w:ind w:left="25" w:right="1"/>
        <w:jc w:val="center"/>
        <w:rPr>
          <w:rFonts w:ascii="Arial" w:eastAsia="Calibri" w:hAnsi="Arial" w:cs="Arial"/>
          <w:b/>
          <w:sz w:val="22"/>
          <w:szCs w:val="22"/>
          <w:u w:val="single" w:color="000000"/>
        </w:rPr>
      </w:pPr>
    </w:p>
    <w:p w:rsidR="009B4233" w:rsidRDefault="009B4233">
      <w:pPr>
        <w:spacing w:after="154" w:line="264" w:lineRule="auto"/>
        <w:ind w:left="25" w:right="1"/>
        <w:jc w:val="center"/>
        <w:rPr>
          <w:rFonts w:ascii="Arial" w:eastAsia="Calibri" w:hAnsi="Arial" w:cs="Arial"/>
          <w:b/>
          <w:sz w:val="22"/>
          <w:szCs w:val="22"/>
          <w:u w:val="single" w:color="000000"/>
        </w:rPr>
      </w:pPr>
    </w:p>
    <w:p w:rsidR="009B4233" w:rsidRDefault="009B4233">
      <w:pPr>
        <w:spacing w:after="154" w:line="264" w:lineRule="auto"/>
        <w:ind w:left="25" w:right="1"/>
        <w:jc w:val="center"/>
        <w:rPr>
          <w:rFonts w:ascii="Arial" w:eastAsia="Calibri" w:hAnsi="Arial" w:cs="Arial"/>
          <w:b/>
          <w:sz w:val="22"/>
          <w:szCs w:val="22"/>
          <w:u w:val="single" w:color="000000"/>
        </w:rPr>
      </w:pPr>
    </w:p>
    <w:p w:rsidR="009B4233" w:rsidRDefault="009B4233">
      <w:pPr>
        <w:spacing w:after="154" w:line="264" w:lineRule="auto"/>
        <w:ind w:left="25" w:right="1"/>
        <w:jc w:val="center"/>
        <w:rPr>
          <w:rFonts w:ascii="Arial" w:eastAsia="Calibri" w:hAnsi="Arial" w:cs="Arial"/>
          <w:b/>
          <w:sz w:val="22"/>
          <w:szCs w:val="22"/>
          <w:u w:val="single" w:color="000000"/>
        </w:rPr>
      </w:pPr>
    </w:p>
    <w:p w:rsidR="009B4233" w:rsidRDefault="009B4233">
      <w:pPr>
        <w:spacing w:after="154" w:line="264" w:lineRule="auto"/>
        <w:ind w:left="25" w:right="1"/>
        <w:jc w:val="center"/>
        <w:rPr>
          <w:rFonts w:ascii="Arial" w:eastAsia="Calibri" w:hAnsi="Arial" w:cs="Arial"/>
          <w:b/>
          <w:sz w:val="22"/>
          <w:szCs w:val="22"/>
          <w:u w:val="single" w:color="000000"/>
        </w:rPr>
      </w:pPr>
    </w:p>
    <w:p w:rsidR="009B4233" w:rsidRDefault="009B4233">
      <w:pPr>
        <w:spacing w:after="154" w:line="264" w:lineRule="auto"/>
        <w:ind w:left="25" w:right="1"/>
        <w:jc w:val="center"/>
        <w:rPr>
          <w:rFonts w:ascii="Arial" w:eastAsia="Calibri" w:hAnsi="Arial" w:cs="Arial"/>
          <w:b/>
          <w:sz w:val="22"/>
          <w:szCs w:val="22"/>
          <w:u w:val="single" w:color="000000"/>
        </w:rPr>
      </w:pPr>
    </w:p>
    <w:p w:rsidR="009B4233" w:rsidRDefault="009B4233">
      <w:pPr>
        <w:spacing w:after="154" w:line="264" w:lineRule="auto"/>
        <w:ind w:left="25" w:right="1"/>
        <w:jc w:val="center"/>
        <w:rPr>
          <w:rFonts w:ascii="Arial" w:eastAsia="Calibri" w:hAnsi="Arial" w:cs="Arial"/>
          <w:b/>
          <w:sz w:val="22"/>
          <w:szCs w:val="22"/>
          <w:u w:val="single" w:color="000000"/>
        </w:rPr>
      </w:pPr>
    </w:p>
    <w:p w:rsidR="009B4233" w:rsidRDefault="006B08B9">
      <w:pPr>
        <w:spacing w:after="154" w:line="264" w:lineRule="auto"/>
        <w:ind w:left="25" w:right="1"/>
        <w:jc w:val="center"/>
      </w:pPr>
      <w:r>
        <w:rPr>
          <w:rFonts w:ascii="Arial" w:eastAsia="Calibri" w:hAnsi="Arial" w:cs="Arial"/>
          <w:b/>
          <w:sz w:val="22"/>
          <w:szCs w:val="22"/>
          <w:u w:val="single" w:color="000000"/>
        </w:rPr>
        <w:t>FUNDAMENTOS JURIDICOS</w:t>
      </w:r>
    </w:p>
    <w:p w:rsidR="009B4233" w:rsidRDefault="006B08B9">
      <w:pPr>
        <w:spacing w:after="30" w:line="218" w:lineRule="auto"/>
        <w:ind w:left="11"/>
        <w:jc w:val="both"/>
        <w:rPr>
          <w:rFonts w:ascii="Arial" w:hAnsi="Arial" w:cs="Arial"/>
          <w:sz w:val="22"/>
          <w:szCs w:val="22"/>
        </w:rPr>
      </w:pPr>
      <w:r>
        <w:rPr>
          <w:rFonts w:ascii="Arial" w:hAnsi="Arial" w:cs="Arial"/>
          <w:sz w:val="22"/>
          <w:szCs w:val="22"/>
        </w:rPr>
        <w:t xml:space="preserve">Primero. - El artículo 140.1 d) de la Ley 40/2015, de 1 de octubre, de Régimen Jurídico del </w:t>
      </w:r>
    </w:p>
    <w:p w:rsidR="009B4233" w:rsidRDefault="006B08B9">
      <w:pPr>
        <w:spacing w:after="30" w:line="218" w:lineRule="auto"/>
        <w:ind w:left="11"/>
        <w:jc w:val="both"/>
        <w:rPr>
          <w:rFonts w:ascii="Arial" w:hAnsi="Arial" w:cs="Arial"/>
          <w:sz w:val="22"/>
          <w:szCs w:val="22"/>
        </w:rPr>
      </w:pPr>
      <w:r>
        <w:rPr>
          <w:rFonts w:ascii="Arial" w:hAnsi="Arial" w:cs="Arial"/>
          <w:sz w:val="22"/>
          <w:szCs w:val="22"/>
        </w:rPr>
        <w:t xml:space="preserve">Sector Público (LRJSP, en adelante), el artículo 14 de la Ley 14/1990, de 26 de </w:t>
      </w:r>
      <w:r>
        <w:rPr>
          <w:rFonts w:ascii="Arial" w:hAnsi="Arial" w:cs="Arial"/>
          <w:sz w:val="22"/>
          <w:szCs w:val="22"/>
        </w:rPr>
        <w:t xml:space="preserve">julio, de </w:t>
      </w:r>
    </w:p>
    <w:p w:rsidR="009B4233" w:rsidRDefault="006B08B9">
      <w:pPr>
        <w:spacing w:after="99" w:line="218" w:lineRule="auto"/>
        <w:ind w:left="11"/>
        <w:jc w:val="both"/>
        <w:rPr>
          <w:rFonts w:ascii="Arial" w:hAnsi="Arial" w:cs="Arial"/>
          <w:sz w:val="22"/>
          <w:szCs w:val="22"/>
        </w:rPr>
      </w:pPr>
      <w:r>
        <w:rPr>
          <w:rFonts w:ascii="Arial" w:hAnsi="Arial" w:cs="Arial"/>
          <w:sz w:val="22"/>
          <w:szCs w:val="22"/>
        </w:rPr>
        <w:t>Régimen Jurídico de las Administraciones Públicas Canarias, el artículo 119 de la Ley 8/2015, de 1 de abril, de Cabildos Insulares, y el artículo 3,1. k) de la LRJSP, consagran los principios de cooperación, coordinación, colaboración y asistenc</w:t>
      </w:r>
      <w:r>
        <w:rPr>
          <w:rFonts w:ascii="Arial" w:hAnsi="Arial" w:cs="Arial"/>
          <w:sz w:val="22"/>
          <w:szCs w:val="22"/>
        </w:rPr>
        <w:t>ia activa entre las distintas Administraciones Públicas.</w:t>
      </w:r>
    </w:p>
    <w:p w:rsidR="009B4233" w:rsidRDefault="006B08B9">
      <w:pPr>
        <w:spacing w:after="145" w:line="218" w:lineRule="auto"/>
        <w:ind w:left="11"/>
        <w:jc w:val="both"/>
        <w:rPr>
          <w:rFonts w:ascii="Arial" w:hAnsi="Arial" w:cs="Arial"/>
          <w:sz w:val="22"/>
          <w:szCs w:val="22"/>
        </w:rPr>
      </w:pPr>
      <w:r>
        <w:rPr>
          <w:rFonts w:ascii="Arial" w:hAnsi="Arial" w:cs="Arial"/>
          <w:sz w:val="22"/>
          <w:szCs w:val="22"/>
        </w:rPr>
        <w:t>El régimen específico de las atribuciones viene regulado en el “Plan de Infraestructuras Culturales 2016-2029.</w:t>
      </w:r>
    </w:p>
    <w:p w:rsidR="009B4233" w:rsidRDefault="006B08B9">
      <w:pPr>
        <w:spacing w:after="199" w:line="218" w:lineRule="auto"/>
        <w:jc w:val="both"/>
        <w:rPr>
          <w:rFonts w:ascii="Arial" w:hAnsi="Arial" w:cs="Arial"/>
          <w:sz w:val="22"/>
          <w:szCs w:val="22"/>
        </w:rPr>
      </w:pPr>
      <w:r>
        <w:rPr>
          <w:rFonts w:ascii="Arial" w:hAnsi="Arial" w:cs="Arial"/>
          <w:sz w:val="22"/>
          <w:szCs w:val="22"/>
        </w:rPr>
        <w:t>La Ley 38/2003, de 17 de noviembre, General de Subvenciones, “(…) Toda alteración de las</w:t>
      </w:r>
      <w:r>
        <w:rPr>
          <w:rFonts w:ascii="Arial" w:hAnsi="Arial" w:cs="Arial"/>
          <w:sz w:val="22"/>
          <w:szCs w:val="22"/>
        </w:rPr>
        <w:t xml:space="preserve"> condiciones tenidas en cuenta para la concesión de la subvención, y en todo caso la obtención concurrente de otras aportaciones fuera de los casos permitidos en las normas reguladoras, podrá dar lugar a la modificación de la resolución de concesión, en lo</w:t>
      </w:r>
      <w:r>
        <w:rPr>
          <w:rFonts w:ascii="Arial" w:hAnsi="Arial" w:cs="Arial"/>
          <w:sz w:val="22"/>
          <w:szCs w:val="22"/>
        </w:rPr>
        <w:t xml:space="preserve">s términos establecidos en la normativa reguladora de la subvención (…)”. </w:t>
      </w:r>
    </w:p>
    <w:p w:rsidR="009B4233" w:rsidRDefault="006B08B9">
      <w:pPr>
        <w:spacing w:after="30" w:line="218" w:lineRule="auto"/>
        <w:ind w:left="11"/>
        <w:jc w:val="both"/>
        <w:rPr>
          <w:rFonts w:ascii="Arial" w:hAnsi="Arial" w:cs="Arial"/>
          <w:sz w:val="22"/>
          <w:szCs w:val="22"/>
        </w:rPr>
      </w:pPr>
      <w:r>
        <w:rPr>
          <w:rFonts w:ascii="Arial" w:hAnsi="Arial" w:cs="Arial"/>
          <w:sz w:val="22"/>
          <w:szCs w:val="22"/>
        </w:rPr>
        <w:t xml:space="preserve">Considerando que, en relación a las causas recogidas en el Plan para fundamentar su posible modificación, en su apartado 7 f) consta literalmente lo siguiente: </w:t>
      </w:r>
    </w:p>
    <w:p w:rsidR="009B4233" w:rsidRDefault="006B08B9">
      <w:pPr>
        <w:spacing w:after="6" w:line="247" w:lineRule="auto"/>
        <w:ind w:left="414" w:right="40"/>
        <w:jc w:val="both"/>
      </w:pPr>
      <w:r>
        <w:rPr>
          <w:rFonts w:ascii="Arial" w:eastAsia="Calibri" w:hAnsi="Arial" w:cs="Arial"/>
          <w:i/>
          <w:sz w:val="22"/>
          <w:szCs w:val="22"/>
        </w:rPr>
        <w:t>“(…) Las modificacio</w:t>
      </w:r>
      <w:r>
        <w:rPr>
          <w:rFonts w:ascii="Arial" w:eastAsia="Calibri" w:hAnsi="Arial" w:cs="Arial"/>
          <w:i/>
          <w:sz w:val="22"/>
          <w:szCs w:val="22"/>
        </w:rPr>
        <w:t xml:space="preserve">nes podrán consistir en: </w:t>
      </w:r>
    </w:p>
    <w:p w:rsidR="009B4233" w:rsidRDefault="006B08B9">
      <w:pPr>
        <w:widowControl/>
        <w:numPr>
          <w:ilvl w:val="0"/>
          <w:numId w:val="84"/>
        </w:numPr>
        <w:suppressAutoHyphens w:val="0"/>
        <w:spacing w:after="6" w:line="249" w:lineRule="auto"/>
        <w:ind w:right="40" w:hanging="1120"/>
        <w:jc w:val="both"/>
        <w:textAlignment w:val="auto"/>
      </w:pPr>
      <w:r>
        <w:rPr>
          <w:rFonts w:ascii="Arial" w:eastAsia="Calibri" w:hAnsi="Arial" w:cs="Arial"/>
          <w:b/>
          <w:i/>
          <w:sz w:val="22"/>
          <w:szCs w:val="22"/>
        </w:rPr>
        <w:t xml:space="preserve">Ajustes de anualidades en función de la ejecución real de las obras. </w:t>
      </w:r>
    </w:p>
    <w:p w:rsidR="009B4233" w:rsidRDefault="006B08B9">
      <w:pPr>
        <w:widowControl/>
        <w:numPr>
          <w:ilvl w:val="0"/>
          <w:numId w:val="84"/>
        </w:numPr>
        <w:suppressAutoHyphens w:val="0"/>
        <w:spacing w:after="6" w:line="247" w:lineRule="auto"/>
        <w:ind w:right="40" w:hanging="1120"/>
        <w:jc w:val="both"/>
        <w:textAlignment w:val="auto"/>
      </w:pPr>
      <w:r>
        <w:rPr>
          <w:rFonts w:ascii="Arial" w:eastAsia="Calibri" w:hAnsi="Arial" w:cs="Arial"/>
          <w:i/>
          <w:sz w:val="22"/>
          <w:szCs w:val="22"/>
        </w:rPr>
        <w:t xml:space="preserve">Modificación del importe asignado.  </w:t>
      </w:r>
    </w:p>
    <w:p w:rsidR="009B4233" w:rsidRDefault="006B08B9">
      <w:pPr>
        <w:widowControl/>
        <w:numPr>
          <w:ilvl w:val="0"/>
          <w:numId w:val="84"/>
        </w:numPr>
        <w:suppressAutoHyphens w:val="0"/>
        <w:spacing w:after="6" w:line="247" w:lineRule="auto"/>
        <w:ind w:right="40" w:hanging="1120"/>
        <w:jc w:val="both"/>
        <w:textAlignment w:val="auto"/>
      </w:pPr>
      <w:r>
        <w:rPr>
          <w:rFonts w:ascii="Arial" w:eastAsia="Calibri" w:hAnsi="Arial" w:cs="Arial"/>
          <w:i/>
          <w:sz w:val="22"/>
          <w:szCs w:val="22"/>
        </w:rPr>
        <w:t xml:space="preserve">Sustitución de una actuación aprobada por otra. La nueva actuación propuesta será valorada con los criterios establecidos </w:t>
      </w:r>
      <w:r>
        <w:rPr>
          <w:rFonts w:ascii="Arial" w:eastAsia="Calibri" w:hAnsi="Arial" w:cs="Arial"/>
          <w:i/>
          <w:sz w:val="22"/>
          <w:szCs w:val="22"/>
        </w:rPr>
        <w:t xml:space="preserve">en la cláusula quinta y se le aplicarán los criterios de reparto indicados en la cláusula sexta. Si se mantiene la misma puntuación que la actuación sustituida tendrá prioridad en la distribución de las anualidades. </w:t>
      </w:r>
    </w:p>
    <w:p w:rsidR="009B4233" w:rsidRDefault="006B08B9">
      <w:pPr>
        <w:widowControl/>
        <w:numPr>
          <w:ilvl w:val="0"/>
          <w:numId w:val="84"/>
        </w:numPr>
        <w:suppressAutoHyphens w:val="0"/>
        <w:spacing w:after="6" w:line="247" w:lineRule="auto"/>
        <w:ind w:right="40" w:hanging="1120"/>
        <w:jc w:val="both"/>
        <w:textAlignment w:val="auto"/>
      </w:pPr>
      <w:r>
        <w:rPr>
          <w:rFonts w:ascii="Arial" w:eastAsia="Calibri" w:hAnsi="Arial" w:cs="Arial"/>
          <w:i/>
          <w:sz w:val="22"/>
          <w:szCs w:val="22"/>
        </w:rPr>
        <w:t>Renuncia a la ejecución de una obra inc</w:t>
      </w:r>
      <w:r>
        <w:rPr>
          <w:rFonts w:ascii="Arial" w:eastAsia="Calibri" w:hAnsi="Arial" w:cs="Arial"/>
          <w:i/>
          <w:sz w:val="22"/>
          <w:szCs w:val="22"/>
        </w:rPr>
        <w:t xml:space="preserve">luida en el Plan. </w:t>
      </w:r>
    </w:p>
    <w:p w:rsidR="009B4233" w:rsidRDefault="006B08B9">
      <w:pPr>
        <w:widowControl/>
        <w:numPr>
          <w:ilvl w:val="0"/>
          <w:numId w:val="84"/>
        </w:numPr>
        <w:suppressAutoHyphens w:val="0"/>
        <w:spacing w:after="6" w:line="247" w:lineRule="auto"/>
        <w:ind w:right="40" w:hanging="1120"/>
        <w:jc w:val="both"/>
        <w:textAlignment w:val="auto"/>
      </w:pPr>
      <w:r>
        <w:rPr>
          <w:rFonts w:ascii="Arial" w:eastAsia="Calibri" w:hAnsi="Arial" w:cs="Arial"/>
          <w:i/>
          <w:sz w:val="22"/>
          <w:szCs w:val="22"/>
        </w:rPr>
        <w:t xml:space="preserve">Inclusión de nuevas propuestas. </w:t>
      </w:r>
    </w:p>
    <w:p w:rsidR="009B4233" w:rsidRDefault="006B08B9">
      <w:pPr>
        <w:widowControl/>
        <w:numPr>
          <w:ilvl w:val="0"/>
          <w:numId w:val="84"/>
        </w:numPr>
        <w:suppressAutoHyphens w:val="0"/>
        <w:spacing w:after="234" w:line="247" w:lineRule="auto"/>
        <w:ind w:right="40" w:hanging="1120"/>
        <w:jc w:val="both"/>
        <w:textAlignment w:val="auto"/>
      </w:pPr>
      <w:r>
        <w:rPr>
          <w:rFonts w:ascii="Arial" w:eastAsia="Calibri" w:hAnsi="Arial" w:cs="Arial"/>
          <w:i/>
          <w:sz w:val="22"/>
          <w:szCs w:val="22"/>
        </w:rPr>
        <w:t xml:space="preserve">Ajustes en los plazos establecidos con el objeto de justificar las actuaciones en función de la ejecución real de las mismas, pudiendo procederse por el Servicio gestor a la suspensión del cómputo de los </w:t>
      </w:r>
      <w:r>
        <w:rPr>
          <w:rFonts w:ascii="Arial" w:eastAsia="Calibri" w:hAnsi="Arial" w:cs="Arial"/>
          <w:i/>
          <w:sz w:val="22"/>
          <w:szCs w:val="22"/>
        </w:rPr>
        <w:t xml:space="preserve">citados plazos tras el estudio de las circunstancias, debidamente motivadas, aducidas por los distintos municipios beneficiarios (…).” </w:t>
      </w:r>
    </w:p>
    <w:p w:rsidR="009B4233" w:rsidRDefault="006B08B9">
      <w:pPr>
        <w:spacing w:after="119" w:line="218" w:lineRule="auto"/>
        <w:ind w:left="11"/>
        <w:jc w:val="both"/>
        <w:rPr>
          <w:rFonts w:ascii="Arial" w:hAnsi="Arial" w:cs="Arial"/>
          <w:sz w:val="22"/>
          <w:szCs w:val="22"/>
        </w:rPr>
      </w:pPr>
      <w:r>
        <w:rPr>
          <w:rFonts w:ascii="Arial" w:hAnsi="Arial" w:cs="Arial"/>
          <w:sz w:val="22"/>
          <w:szCs w:val="22"/>
        </w:rPr>
        <w:t>De conformidad con lo previsto en el artículo 2.5 del RD 887/2006, de 21 de julio, por el que se aprueba el Reglamento d</w:t>
      </w:r>
      <w:r>
        <w:rPr>
          <w:rFonts w:ascii="Arial" w:hAnsi="Arial" w:cs="Arial"/>
          <w:sz w:val="22"/>
          <w:szCs w:val="22"/>
        </w:rPr>
        <w:t>e la Ley 38/2003, de 17 de noviembre, General de Subvenciones (LGS) y la Disposición Adicional Octava de la LGS, las subvenciones que integran el Programa de cooperación económica del Estado a las inversiones de las entidades locales, de la misma forma que</w:t>
      </w:r>
      <w:r>
        <w:rPr>
          <w:rFonts w:ascii="Arial" w:hAnsi="Arial" w:cs="Arial"/>
          <w:sz w:val="22"/>
          <w:szCs w:val="22"/>
        </w:rPr>
        <w:t xml:space="preserve"> las subvenciones que integran planes o instrumentos de cooperación municipal, se regirán por su normativa específica, resultando de aplicación supletoria las disposiciones de la referida Ley General de Subvenciones.</w:t>
      </w:r>
    </w:p>
    <w:p w:rsidR="009B4233" w:rsidRDefault="006B08B9">
      <w:pPr>
        <w:spacing w:after="30" w:line="218" w:lineRule="auto"/>
        <w:ind w:left="1160"/>
        <w:jc w:val="both"/>
        <w:rPr>
          <w:rFonts w:ascii="Arial" w:hAnsi="Arial" w:cs="Arial"/>
          <w:sz w:val="22"/>
          <w:szCs w:val="22"/>
        </w:rPr>
      </w:pPr>
      <w:r>
        <w:rPr>
          <w:rFonts w:ascii="Arial" w:hAnsi="Arial" w:cs="Arial"/>
          <w:sz w:val="22"/>
          <w:szCs w:val="22"/>
        </w:rPr>
        <w:t>Corresponde al Pleno del Ayuntamiento d</w:t>
      </w:r>
      <w:r>
        <w:rPr>
          <w:rFonts w:ascii="Arial" w:hAnsi="Arial" w:cs="Arial"/>
          <w:sz w:val="22"/>
          <w:szCs w:val="22"/>
        </w:rPr>
        <w:t xml:space="preserve">e Candelaria la competencia de </w:t>
      </w:r>
    </w:p>
    <w:p w:rsidR="009B4233" w:rsidRDefault="006B08B9">
      <w:pPr>
        <w:spacing w:after="221" w:line="218" w:lineRule="auto"/>
        <w:ind w:left="11"/>
        <w:jc w:val="both"/>
        <w:rPr>
          <w:rFonts w:ascii="Arial" w:hAnsi="Arial" w:cs="Arial"/>
          <w:sz w:val="22"/>
          <w:szCs w:val="22"/>
        </w:rPr>
      </w:pPr>
      <w:r>
        <w:rPr>
          <w:rFonts w:ascii="Arial" w:hAnsi="Arial" w:cs="Arial"/>
          <w:sz w:val="22"/>
          <w:szCs w:val="22"/>
        </w:rPr>
        <w:t>conforme determina el artículo 22 de la Ley 7/1985, de 2 de abril Reguladora de las Bases de Régimen Local.</w:t>
      </w:r>
    </w:p>
    <w:p w:rsidR="009B4233" w:rsidRDefault="006B08B9">
      <w:pPr>
        <w:pStyle w:val="Ttulo2"/>
        <w:spacing w:after="316"/>
        <w:ind w:left="15"/>
        <w:jc w:val="center"/>
        <w:rPr>
          <w:rFonts w:ascii="Arial" w:hAnsi="Arial" w:cs="Arial"/>
          <w:sz w:val="22"/>
          <w:szCs w:val="22"/>
        </w:rPr>
      </w:pPr>
      <w:r>
        <w:rPr>
          <w:rFonts w:ascii="Arial" w:hAnsi="Arial" w:cs="Arial"/>
          <w:sz w:val="22"/>
          <w:szCs w:val="22"/>
        </w:rPr>
        <w:t>PROPUESTA DE RESOLUCIÓN</w:t>
      </w:r>
    </w:p>
    <w:p w:rsidR="009B4233" w:rsidRDefault="006B08B9">
      <w:pPr>
        <w:spacing w:after="493" w:line="218" w:lineRule="auto"/>
        <w:ind w:left="11"/>
        <w:jc w:val="both"/>
        <w:rPr>
          <w:rFonts w:ascii="Arial" w:hAnsi="Arial" w:cs="Arial"/>
          <w:b/>
          <w:sz w:val="22"/>
          <w:szCs w:val="22"/>
        </w:rPr>
      </w:pPr>
      <w:r>
        <w:rPr>
          <w:rFonts w:ascii="Arial" w:hAnsi="Arial" w:cs="Arial"/>
          <w:b/>
          <w:sz w:val="22"/>
          <w:szCs w:val="22"/>
        </w:rPr>
        <w:t>Primero.  Aceptar de forma expresa los términos del acuerdo relativo a la nueva financiación</w:t>
      </w:r>
      <w:r>
        <w:rPr>
          <w:rFonts w:ascii="Arial" w:hAnsi="Arial" w:cs="Arial"/>
          <w:b/>
          <w:sz w:val="22"/>
          <w:szCs w:val="22"/>
        </w:rPr>
        <w:t xml:space="preserve"> propuesta por el Cabildo Insular de la Isla de Tenerife quedando la propuesta de modificación de las correspondientes anualidades, con el siguiente detalle:</w:t>
      </w:r>
    </w:p>
    <w:p w:rsidR="009B4233" w:rsidRDefault="009B4233">
      <w:pPr>
        <w:tabs>
          <w:tab w:val="center" w:pos="1344"/>
          <w:tab w:val="center" w:pos="2198"/>
          <w:tab w:val="center" w:pos="2946"/>
          <w:tab w:val="center" w:pos="3738"/>
          <w:tab w:val="center" w:pos="4646"/>
          <w:tab w:val="center" w:pos="5552"/>
          <w:tab w:val="center" w:pos="6458"/>
          <w:tab w:val="center" w:pos="7318"/>
        </w:tabs>
        <w:spacing w:after="30" w:line="218" w:lineRule="auto"/>
        <w:rPr>
          <w:rFonts w:ascii="Arial" w:eastAsia="Calibri" w:hAnsi="Arial" w:cs="Arial"/>
          <w:b/>
          <w:sz w:val="22"/>
          <w:szCs w:val="22"/>
        </w:rPr>
      </w:pPr>
    </w:p>
    <w:p w:rsidR="009B4233" w:rsidRDefault="006B08B9">
      <w:pPr>
        <w:tabs>
          <w:tab w:val="center" w:pos="1344"/>
          <w:tab w:val="center" w:pos="2198"/>
          <w:tab w:val="center" w:pos="2946"/>
          <w:tab w:val="center" w:pos="3738"/>
          <w:tab w:val="center" w:pos="4646"/>
          <w:tab w:val="center" w:pos="5552"/>
          <w:tab w:val="center" w:pos="6458"/>
          <w:tab w:val="center" w:pos="7318"/>
        </w:tabs>
        <w:spacing w:after="30" w:line="218" w:lineRule="auto"/>
      </w:pPr>
      <w:r>
        <w:rPr>
          <w:rFonts w:ascii="Arial" w:eastAsia="Calibri" w:hAnsi="Arial" w:cs="Arial"/>
          <w:b/>
          <w:sz w:val="22"/>
          <w:szCs w:val="22"/>
        </w:rPr>
        <w:t xml:space="preserve">                               </w:t>
      </w:r>
      <w:r>
        <w:rPr>
          <w:rFonts w:ascii="Arial" w:hAnsi="Arial" w:cs="Arial"/>
          <w:b/>
          <w:sz w:val="22"/>
          <w:szCs w:val="22"/>
        </w:rPr>
        <w:t>2023</w:t>
      </w:r>
      <w:r>
        <w:rPr>
          <w:rFonts w:ascii="Arial" w:hAnsi="Arial" w:cs="Arial"/>
          <w:b/>
          <w:sz w:val="22"/>
          <w:szCs w:val="22"/>
        </w:rPr>
        <w:tab/>
        <w:t>2024</w:t>
      </w:r>
      <w:r>
        <w:rPr>
          <w:rFonts w:ascii="Arial" w:hAnsi="Arial" w:cs="Arial"/>
          <w:b/>
          <w:sz w:val="22"/>
          <w:szCs w:val="22"/>
        </w:rPr>
        <w:tab/>
        <w:t>2025</w:t>
      </w:r>
      <w:r>
        <w:rPr>
          <w:rFonts w:ascii="Arial" w:hAnsi="Arial" w:cs="Arial"/>
          <w:b/>
          <w:sz w:val="22"/>
          <w:szCs w:val="22"/>
        </w:rPr>
        <w:tab/>
        <w:t>2026</w:t>
      </w:r>
      <w:r>
        <w:rPr>
          <w:rFonts w:ascii="Arial" w:hAnsi="Arial" w:cs="Arial"/>
          <w:b/>
          <w:sz w:val="22"/>
          <w:szCs w:val="22"/>
        </w:rPr>
        <w:tab/>
        <w:t>2027</w:t>
      </w:r>
      <w:r>
        <w:rPr>
          <w:rFonts w:ascii="Arial" w:hAnsi="Arial" w:cs="Arial"/>
          <w:b/>
          <w:sz w:val="22"/>
          <w:szCs w:val="22"/>
        </w:rPr>
        <w:tab/>
        <w:t>2028</w:t>
      </w:r>
      <w:r>
        <w:rPr>
          <w:rFonts w:ascii="Arial" w:hAnsi="Arial" w:cs="Arial"/>
          <w:b/>
          <w:sz w:val="22"/>
          <w:szCs w:val="22"/>
        </w:rPr>
        <w:tab/>
        <w:t>2029</w:t>
      </w:r>
      <w:r>
        <w:rPr>
          <w:rFonts w:ascii="Arial" w:hAnsi="Arial" w:cs="Arial"/>
          <w:b/>
          <w:sz w:val="22"/>
          <w:szCs w:val="22"/>
        </w:rPr>
        <w:tab/>
        <w:t>Total</w:t>
      </w:r>
    </w:p>
    <w:tbl>
      <w:tblPr>
        <w:tblW w:w="9460" w:type="dxa"/>
        <w:tblInd w:w="-8" w:type="dxa"/>
        <w:tblCellMar>
          <w:left w:w="10" w:type="dxa"/>
          <w:right w:w="10" w:type="dxa"/>
        </w:tblCellMar>
        <w:tblLook w:val="0000" w:firstRow="0" w:lastRow="0" w:firstColumn="0" w:lastColumn="0" w:noHBand="0" w:noVBand="0"/>
      </w:tblPr>
      <w:tblGrid>
        <w:gridCol w:w="1271"/>
        <w:gridCol w:w="1168"/>
        <w:gridCol w:w="1018"/>
        <w:gridCol w:w="430"/>
        <w:gridCol w:w="1044"/>
        <w:gridCol w:w="1170"/>
        <w:gridCol w:w="1168"/>
        <w:gridCol w:w="1168"/>
        <w:gridCol w:w="1125"/>
      </w:tblGrid>
      <w:tr w:rsidR="009B4233">
        <w:tblPrEx>
          <w:tblCellMar>
            <w:top w:w="0" w:type="dxa"/>
            <w:bottom w:w="0" w:type="dxa"/>
          </w:tblCellMar>
        </w:tblPrEx>
        <w:trPr>
          <w:trHeight w:val="313"/>
        </w:trPr>
        <w:tc>
          <w:tcPr>
            <w:tcW w:w="1271" w:type="dxa"/>
            <w:tcBorders>
              <w:top w:val="single" w:sz="4" w:space="0" w:color="C0C0C0"/>
              <w:left w:val="single" w:sz="4" w:space="0" w:color="C0C0C0"/>
              <w:bottom w:val="single" w:sz="4" w:space="0" w:color="C0C0C0"/>
              <w:right w:val="single" w:sz="4" w:space="0" w:color="000000"/>
            </w:tcBorders>
            <w:shd w:val="clear" w:color="auto" w:fill="auto"/>
            <w:tcMar>
              <w:top w:w="7" w:type="dxa"/>
              <w:left w:w="24" w:type="dxa"/>
              <w:bottom w:w="0" w:type="dxa"/>
              <w:right w:w="30" w:type="dxa"/>
            </w:tcMar>
          </w:tcPr>
          <w:p w:rsidR="009B4233" w:rsidRDefault="009B4233">
            <w:pPr>
              <w:spacing w:after="160" w:line="249" w:lineRule="auto"/>
              <w:rPr>
                <w:rFonts w:ascii="Arial" w:hAnsi="Arial" w:cs="Arial"/>
                <w:b/>
                <w:sz w:val="22"/>
                <w:szCs w:val="22"/>
              </w:rPr>
            </w:pPr>
          </w:p>
        </w:tc>
        <w:tc>
          <w:tcPr>
            <w:tcW w:w="1168" w:type="dxa"/>
            <w:tcBorders>
              <w:top w:val="single" w:sz="4" w:space="0" w:color="000000"/>
              <w:left w:val="single" w:sz="4" w:space="0" w:color="000000"/>
              <w:bottom w:val="single" w:sz="4" w:space="0" w:color="000000"/>
              <w:right w:val="single" w:sz="4" w:space="0" w:color="000000"/>
            </w:tcBorders>
            <w:shd w:val="clear" w:color="auto" w:fill="auto"/>
            <w:tcMar>
              <w:top w:w="7" w:type="dxa"/>
              <w:left w:w="24" w:type="dxa"/>
              <w:bottom w:w="0" w:type="dxa"/>
              <w:right w:w="30" w:type="dxa"/>
            </w:tcMar>
          </w:tcPr>
          <w:p w:rsidR="009B4233" w:rsidRDefault="009B4233">
            <w:pPr>
              <w:spacing w:after="160" w:line="249" w:lineRule="auto"/>
              <w:rPr>
                <w:rFonts w:ascii="Arial" w:hAnsi="Arial" w:cs="Arial"/>
                <w:b/>
                <w:sz w:val="22"/>
                <w:szCs w:val="22"/>
              </w:rPr>
            </w:pPr>
          </w:p>
        </w:tc>
        <w:tc>
          <w:tcPr>
            <w:tcW w:w="1018" w:type="dxa"/>
            <w:tcBorders>
              <w:top w:val="single" w:sz="4" w:space="0" w:color="000000"/>
              <w:left w:val="single" w:sz="4" w:space="0" w:color="000000"/>
              <w:bottom w:val="single" w:sz="4" w:space="0" w:color="000000"/>
              <w:right w:val="single" w:sz="4" w:space="0" w:color="000000"/>
            </w:tcBorders>
            <w:shd w:val="clear" w:color="auto" w:fill="auto"/>
            <w:tcMar>
              <w:top w:w="7" w:type="dxa"/>
              <w:left w:w="24" w:type="dxa"/>
              <w:bottom w:w="0" w:type="dxa"/>
              <w:right w:w="30" w:type="dxa"/>
            </w:tcMar>
          </w:tcPr>
          <w:p w:rsidR="009B4233" w:rsidRDefault="009B4233">
            <w:pPr>
              <w:spacing w:after="160" w:line="249" w:lineRule="auto"/>
              <w:rPr>
                <w:rFonts w:ascii="Arial" w:hAnsi="Arial" w:cs="Arial"/>
                <w:b/>
                <w:sz w:val="22"/>
                <w:szCs w:val="22"/>
              </w:rPr>
            </w:pPr>
          </w:p>
        </w:tc>
        <w:tc>
          <w:tcPr>
            <w:tcW w:w="430" w:type="dxa"/>
            <w:tcBorders>
              <w:top w:val="single" w:sz="4" w:space="0" w:color="000000"/>
              <w:left w:val="single" w:sz="4" w:space="0" w:color="000000"/>
              <w:bottom w:val="single" w:sz="4" w:space="0" w:color="000000"/>
              <w:right w:val="single" w:sz="4" w:space="0" w:color="000000"/>
            </w:tcBorders>
            <w:shd w:val="clear" w:color="auto" w:fill="auto"/>
            <w:tcMar>
              <w:top w:w="7" w:type="dxa"/>
              <w:left w:w="24" w:type="dxa"/>
              <w:bottom w:w="0" w:type="dxa"/>
              <w:right w:w="30" w:type="dxa"/>
            </w:tcMar>
          </w:tcPr>
          <w:p w:rsidR="009B4233" w:rsidRDefault="009B4233">
            <w:pPr>
              <w:spacing w:after="160" w:line="249" w:lineRule="auto"/>
              <w:rPr>
                <w:rFonts w:ascii="Arial" w:hAnsi="Arial" w:cs="Arial"/>
                <w:b/>
                <w:sz w:val="22"/>
                <w:szCs w:val="22"/>
              </w:rPr>
            </w:pPr>
          </w:p>
        </w:tc>
        <w:tc>
          <w:tcPr>
            <w:tcW w:w="1044" w:type="dxa"/>
            <w:tcBorders>
              <w:top w:val="single" w:sz="4" w:space="0" w:color="000000"/>
              <w:left w:val="single" w:sz="4" w:space="0" w:color="000000"/>
              <w:bottom w:val="single" w:sz="4" w:space="0" w:color="000000"/>
              <w:right w:val="single" w:sz="4" w:space="0" w:color="000000"/>
            </w:tcBorders>
            <w:shd w:val="clear" w:color="auto" w:fill="auto"/>
            <w:tcMar>
              <w:top w:w="7" w:type="dxa"/>
              <w:left w:w="24" w:type="dxa"/>
              <w:bottom w:w="0" w:type="dxa"/>
              <w:right w:w="30" w:type="dxa"/>
            </w:tcMar>
          </w:tcPr>
          <w:p w:rsidR="009B4233" w:rsidRDefault="009B4233">
            <w:pPr>
              <w:spacing w:after="160" w:line="249" w:lineRule="auto"/>
              <w:rPr>
                <w:rFonts w:ascii="Arial" w:hAnsi="Arial" w:cs="Arial"/>
                <w:b/>
                <w:sz w:val="22"/>
                <w:szCs w:val="22"/>
              </w:rPr>
            </w:pPr>
          </w:p>
        </w:tc>
        <w:tc>
          <w:tcPr>
            <w:tcW w:w="1170" w:type="dxa"/>
            <w:tcBorders>
              <w:top w:val="single" w:sz="4" w:space="0" w:color="000000"/>
              <w:left w:val="single" w:sz="4" w:space="0" w:color="000000"/>
              <w:bottom w:val="single" w:sz="4" w:space="0" w:color="000000"/>
              <w:right w:val="single" w:sz="4" w:space="0" w:color="000000"/>
            </w:tcBorders>
            <w:shd w:val="clear" w:color="auto" w:fill="auto"/>
            <w:tcMar>
              <w:top w:w="7" w:type="dxa"/>
              <w:left w:w="24" w:type="dxa"/>
              <w:bottom w:w="0" w:type="dxa"/>
              <w:right w:w="30" w:type="dxa"/>
            </w:tcMar>
          </w:tcPr>
          <w:p w:rsidR="009B4233" w:rsidRDefault="009B4233">
            <w:pPr>
              <w:spacing w:after="160" w:line="249" w:lineRule="auto"/>
              <w:rPr>
                <w:rFonts w:ascii="Arial" w:hAnsi="Arial" w:cs="Arial"/>
                <w:b/>
                <w:sz w:val="22"/>
                <w:szCs w:val="22"/>
              </w:rPr>
            </w:pPr>
          </w:p>
        </w:tc>
        <w:tc>
          <w:tcPr>
            <w:tcW w:w="1168" w:type="dxa"/>
            <w:tcBorders>
              <w:top w:val="single" w:sz="4" w:space="0" w:color="000000"/>
              <w:left w:val="single" w:sz="4" w:space="0" w:color="000000"/>
              <w:bottom w:val="single" w:sz="4" w:space="0" w:color="000000"/>
              <w:right w:val="single" w:sz="4" w:space="0" w:color="000000"/>
            </w:tcBorders>
            <w:shd w:val="clear" w:color="auto" w:fill="auto"/>
            <w:tcMar>
              <w:top w:w="7" w:type="dxa"/>
              <w:left w:w="24" w:type="dxa"/>
              <w:bottom w:w="0" w:type="dxa"/>
              <w:right w:w="30" w:type="dxa"/>
            </w:tcMar>
          </w:tcPr>
          <w:p w:rsidR="009B4233" w:rsidRDefault="009B4233">
            <w:pPr>
              <w:spacing w:after="160" w:line="249" w:lineRule="auto"/>
              <w:rPr>
                <w:rFonts w:ascii="Arial" w:hAnsi="Arial" w:cs="Arial"/>
                <w:b/>
                <w:sz w:val="22"/>
                <w:szCs w:val="22"/>
              </w:rPr>
            </w:pPr>
          </w:p>
        </w:tc>
        <w:tc>
          <w:tcPr>
            <w:tcW w:w="1168" w:type="dxa"/>
            <w:tcBorders>
              <w:top w:val="single" w:sz="4" w:space="0" w:color="000000"/>
              <w:left w:val="single" w:sz="4" w:space="0" w:color="000000"/>
              <w:bottom w:val="single" w:sz="4" w:space="0" w:color="000000"/>
              <w:right w:val="single" w:sz="4" w:space="0" w:color="000000"/>
            </w:tcBorders>
            <w:shd w:val="clear" w:color="auto" w:fill="auto"/>
            <w:tcMar>
              <w:top w:w="7" w:type="dxa"/>
              <w:left w:w="24" w:type="dxa"/>
              <w:bottom w:w="0" w:type="dxa"/>
              <w:right w:w="30" w:type="dxa"/>
            </w:tcMar>
          </w:tcPr>
          <w:p w:rsidR="009B4233" w:rsidRDefault="009B4233">
            <w:pPr>
              <w:spacing w:after="160" w:line="249" w:lineRule="auto"/>
              <w:rPr>
                <w:rFonts w:ascii="Arial" w:hAnsi="Arial" w:cs="Arial"/>
                <w:b/>
                <w:sz w:val="22"/>
                <w:szCs w:val="22"/>
              </w:rPr>
            </w:pPr>
          </w:p>
        </w:tc>
        <w:tc>
          <w:tcPr>
            <w:tcW w:w="1125" w:type="dxa"/>
            <w:tcBorders>
              <w:top w:val="single" w:sz="4" w:space="0" w:color="000000"/>
              <w:left w:val="single" w:sz="4" w:space="0" w:color="000000"/>
              <w:bottom w:val="single" w:sz="4" w:space="0" w:color="000000"/>
              <w:right w:val="single" w:sz="4" w:space="0" w:color="000000"/>
            </w:tcBorders>
            <w:shd w:val="clear" w:color="auto" w:fill="auto"/>
            <w:tcMar>
              <w:top w:w="7" w:type="dxa"/>
              <w:left w:w="24" w:type="dxa"/>
              <w:bottom w:w="0" w:type="dxa"/>
              <w:right w:w="30" w:type="dxa"/>
            </w:tcMar>
          </w:tcPr>
          <w:p w:rsidR="009B4233" w:rsidRDefault="009B4233">
            <w:pPr>
              <w:spacing w:after="160" w:line="249" w:lineRule="auto"/>
              <w:rPr>
                <w:rFonts w:ascii="Arial" w:hAnsi="Arial" w:cs="Arial"/>
                <w:b/>
                <w:sz w:val="22"/>
                <w:szCs w:val="22"/>
              </w:rPr>
            </w:pPr>
          </w:p>
        </w:tc>
      </w:tr>
      <w:tr w:rsidR="009B4233">
        <w:tblPrEx>
          <w:tblCellMar>
            <w:top w:w="0" w:type="dxa"/>
            <w:bottom w:w="0" w:type="dxa"/>
          </w:tblCellMar>
        </w:tblPrEx>
        <w:trPr>
          <w:trHeight w:val="529"/>
        </w:trPr>
        <w:tc>
          <w:tcPr>
            <w:tcW w:w="1271" w:type="dxa"/>
            <w:tcBorders>
              <w:top w:val="single" w:sz="4" w:space="0" w:color="C0C0C0"/>
              <w:left w:val="single" w:sz="4" w:space="0" w:color="000000"/>
              <w:bottom w:val="single" w:sz="4" w:space="0" w:color="000000"/>
              <w:right w:val="single" w:sz="4" w:space="0" w:color="000000"/>
            </w:tcBorders>
            <w:shd w:val="clear" w:color="auto" w:fill="D9D9D9"/>
            <w:tcMar>
              <w:top w:w="7" w:type="dxa"/>
              <w:left w:w="24" w:type="dxa"/>
              <w:bottom w:w="0" w:type="dxa"/>
              <w:right w:w="30" w:type="dxa"/>
            </w:tcMar>
          </w:tcPr>
          <w:p w:rsidR="009B4233" w:rsidRDefault="006B08B9">
            <w:pPr>
              <w:spacing w:line="249" w:lineRule="auto"/>
            </w:pPr>
            <w:r>
              <w:rPr>
                <w:rFonts w:ascii="Arial" w:eastAsia="Calibri" w:hAnsi="Arial" w:cs="Arial"/>
                <w:b/>
                <w:sz w:val="22"/>
                <w:szCs w:val="22"/>
              </w:rPr>
              <w:t>Cabildo</w:t>
            </w:r>
          </w:p>
        </w:tc>
        <w:tc>
          <w:tcPr>
            <w:tcW w:w="1168" w:type="dxa"/>
            <w:tcBorders>
              <w:top w:val="single" w:sz="4" w:space="0" w:color="000000"/>
              <w:left w:val="single" w:sz="4" w:space="0" w:color="000000"/>
              <w:bottom w:val="single" w:sz="4" w:space="0" w:color="000000"/>
              <w:right w:val="single" w:sz="4" w:space="0" w:color="000000"/>
            </w:tcBorders>
            <w:shd w:val="clear" w:color="auto" w:fill="auto"/>
            <w:tcMar>
              <w:top w:w="7" w:type="dxa"/>
              <w:left w:w="24" w:type="dxa"/>
              <w:bottom w:w="0" w:type="dxa"/>
              <w:right w:w="30" w:type="dxa"/>
            </w:tcMar>
          </w:tcPr>
          <w:p w:rsidR="009B4233" w:rsidRDefault="006B08B9">
            <w:pPr>
              <w:spacing w:line="249" w:lineRule="auto"/>
              <w:ind w:left="52"/>
              <w:rPr>
                <w:rFonts w:ascii="Arial" w:hAnsi="Arial" w:cs="Arial"/>
                <w:b/>
                <w:sz w:val="22"/>
                <w:szCs w:val="22"/>
              </w:rPr>
            </w:pPr>
            <w:r>
              <w:rPr>
                <w:rFonts w:ascii="Arial" w:hAnsi="Arial" w:cs="Arial"/>
                <w:b/>
                <w:sz w:val="22"/>
                <w:szCs w:val="22"/>
              </w:rPr>
              <w:t>2.369.143,58 €</w:t>
            </w:r>
          </w:p>
        </w:tc>
        <w:tc>
          <w:tcPr>
            <w:tcW w:w="1018" w:type="dxa"/>
            <w:tcBorders>
              <w:top w:val="single" w:sz="4" w:space="0" w:color="000000"/>
              <w:left w:val="single" w:sz="4" w:space="0" w:color="000000"/>
              <w:bottom w:val="single" w:sz="4" w:space="0" w:color="000000"/>
              <w:right w:val="single" w:sz="4" w:space="0" w:color="000000"/>
            </w:tcBorders>
            <w:shd w:val="clear" w:color="auto" w:fill="auto"/>
            <w:tcMar>
              <w:top w:w="7" w:type="dxa"/>
              <w:left w:w="24" w:type="dxa"/>
              <w:bottom w:w="0" w:type="dxa"/>
              <w:right w:w="30" w:type="dxa"/>
            </w:tcMar>
          </w:tcPr>
          <w:p w:rsidR="009B4233" w:rsidRDefault="006B08B9">
            <w:pPr>
              <w:spacing w:line="249" w:lineRule="auto"/>
              <w:ind w:left="12"/>
              <w:jc w:val="center"/>
              <w:rPr>
                <w:rFonts w:ascii="Arial" w:hAnsi="Arial" w:cs="Arial"/>
                <w:b/>
                <w:sz w:val="22"/>
                <w:szCs w:val="22"/>
              </w:rPr>
            </w:pPr>
            <w:r>
              <w:rPr>
                <w:rFonts w:ascii="Arial" w:hAnsi="Arial" w:cs="Arial"/>
                <w:b/>
                <w:sz w:val="22"/>
                <w:szCs w:val="22"/>
              </w:rPr>
              <w:t>0,00 €</w:t>
            </w:r>
          </w:p>
        </w:tc>
        <w:tc>
          <w:tcPr>
            <w:tcW w:w="430" w:type="dxa"/>
            <w:tcBorders>
              <w:top w:val="single" w:sz="4" w:space="0" w:color="000000"/>
              <w:left w:val="single" w:sz="4" w:space="0" w:color="000000"/>
              <w:bottom w:val="single" w:sz="4" w:space="0" w:color="000000"/>
              <w:right w:val="single" w:sz="4" w:space="0" w:color="000000"/>
            </w:tcBorders>
            <w:shd w:val="clear" w:color="auto" w:fill="auto"/>
            <w:tcMar>
              <w:top w:w="7" w:type="dxa"/>
              <w:left w:w="24" w:type="dxa"/>
              <w:bottom w:w="0" w:type="dxa"/>
              <w:right w:w="30" w:type="dxa"/>
            </w:tcMar>
          </w:tcPr>
          <w:p w:rsidR="009B4233" w:rsidRDefault="006B08B9">
            <w:pPr>
              <w:spacing w:line="249" w:lineRule="auto"/>
              <w:ind w:left="22"/>
              <w:jc w:val="center"/>
              <w:rPr>
                <w:rFonts w:ascii="Arial" w:hAnsi="Arial" w:cs="Arial"/>
                <w:b/>
                <w:sz w:val="22"/>
                <w:szCs w:val="22"/>
              </w:rPr>
            </w:pPr>
            <w:r>
              <w:rPr>
                <w:rFonts w:ascii="Arial" w:hAnsi="Arial" w:cs="Arial"/>
                <w:b/>
                <w:sz w:val="22"/>
                <w:szCs w:val="22"/>
              </w:rPr>
              <w:t>0,00 €</w:t>
            </w:r>
          </w:p>
        </w:tc>
        <w:tc>
          <w:tcPr>
            <w:tcW w:w="1044" w:type="dxa"/>
            <w:tcBorders>
              <w:top w:val="single" w:sz="4" w:space="0" w:color="000000"/>
              <w:left w:val="single" w:sz="4" w:space="0" w:color="000000"/>
              <w:bottom w:val="single" w:sz="4" w:space="0" w:color="000000"/>
              <w:right w:val="single" w:sz="4" w:space="0" w:color="000000"/>
            </w:tcBorders>
            <w:shd w:val="clear" w:color="auto" w:fill="auto"/>
            <w:tcMar>
              <w:top w:w="7" w:type="dxa"/>
              <w:left w:w="24" w:type="dxa"/>
              <w:bottom w:w="0" w:type="dxa"/>
              <w:right w:w="30" w:type="dxa"/>
            </w:tcMar>
          </w:tcPr>
          <w:p w:rsidR="009B4233" w:rsidRDefault="006B08B9">
            <w:pPr>
              <w:spacing w:line="249" w:lineRule="auto"/>
              <w:ind w:left="14"/>
              <w:jc w:val="center"/>
              <w:rPr>
                <w:rFonts w:ascii="Arial" w:hAnsi="Arial" w:cs="Arial"/>
                <w:b/>
                <w:sz w:val="22"/>
                <w:szCs w:val="22"/>
              </w:rPr>
            </w:pPr>
            <w:r>
              <w:rPr>
                <w:rFonts w:ascii="Arial" w:hAnsi="Arial" w:cs="Arial"/>
                <w:b/>
                <w:sz w:val="22"/>
                <w:szCs w:val="22"/>
              </w:rPr>
              <w:t>0,00 €</w:t>
            </w:r>
          </w:p>
        </w:tc>
        <w:tc>
          <w:tcPr>
            <w:tcW w:w="1170" w:type="dxa"/>
            <w:tcBorders>
              <w:top w:val="single" w:sz="4" w:space="0" w:color="000000"/>
              <w:left w:val="single" w:sz="4" w:space="0" w:color="000000"/>
              <w:bottom w:val="single" w:sz="4" w:space="0" w:color="000000"/>
              <w:right w:val="single" w:sz="4" w:space="0" w:color="000000"/>
            </w:tcBorders>
            <w:shd w:val="clear" w:color="auto" w:fill="auto"/>
            <w:tcMar>
              <w:top w:w="7" w:type="dxa"/>
              <w:left w:w="24" w:type="dxa"/>
              <w:bottom w:w="0" w:type="dxa"/>
              <w:right w:w="30" w:type="dxa"/>
            </w:tcMar>
          </w:tcPr>
          <w:p w:rsidR="009B4233" w:rsidRDefault="006B08B9">
            <w:pPr>
              <w:spacing w:line="249" w:lineRule="auto"/>
              <w:ind w:left="88"/>
              <w:rPr>
                <w:rFonts w:ascii="Arial" w:hAnsi="Arial" w:cs="Arial"/>
                <w:b/>
                <w:sz w:val="22"/>
                <w:szCs w:val="22"/>
              </w:rPr>
            </w:pPr>
            <w:r>
              <w:rPr>
                <w:rFonts w:ascii="Arial" w:hAnsi="Arial" w:cs="Arial"/>
                <w:b/>
                <w:sz w:val="22"/>
                <w:szCs w:val="22"/>
              </w:rPr>
              <w:t>577.172,10 €</w:t>
            </w:r>
          </w:p>
        </w:tc>
        <w:tc>
          <w:tcPr>
            <w:tcW w:w="1168" w:type="dxa"/>
            <w:tcBorders>
              <w:top w:val="single" w:sz="4" w:space="0" w:color="000000"/>
              <w:left w:val="single" w:sz="4" w:space="0" w:color="000000"/>
              <w:bottom w:val="single" w:sz="4" w:space="0" w:color="000000"/>
              <w:right w:val="single" w:sz="4" w:space="0" w:color="000000"/>
            </w:tcBorders>
            <w:shd w:val="clear" w:color="auto" w:fill="auto"/>
            <w:tcMar>
              <w:top w:w="7" w:type="dxa"/>
              <w:left w:w="24" w:type="dxa"/>
              <w:bottom w:w="0" w:type="dxa"/>
              <w:right w:w="30" w:type="dxa"/>
            </w:tcMar>
          </w:tcPr>
          <w:p w:rsidR="009B4233" w:rsidRDefault="006B08B9">
            <w:pPr>
              <w:spacing w:line="249" w:lineRule="auto"/>
              <w:ind w:left="52"/>
              <w:rPr>
                <w:rFonts w:ascii="Arial" w:hAnsi="Arial" w:cs="Arial"/>
                <w:b/>
                <w:sz w:val="22"/>
                <w:szCs w:val="22"/>
              </w:rPr>
            </w:pPr>
            <w:r>
              <w:rPr>
                <w:rFonts w:ascii="Arial" w:hAnsi="Arial" w:cs="Arial"/>
                <w:b/>
                <w:sz w:val="22"/>
                <w:szCs w:val="22"/>
              </w:rPr>
              <w:t>2.255.353,98 €</w:t>
            </w:r>
          </w:p>
        </w:tc>
        <w:tc>
          <w:tcPr>
            <w:tcW w:w="1168" w:type="dxa"/>
            <w:tcBorders>
              <w:top w:val="single" w:sz="4" w:space="0" w:color="000000"/>
              <w:left w:val="single" w:sz="4" w:space="0" w:color="000000"/>
              <w:bottom w:val="single" w:sz="4" w:space="0" w:color="000000"/>
              <w:right w:val="single" w:sz="4" w:space="0" w:color="000000"/>
            </w:tcBorders>
            <w:shd w:val="clear" w:color="auto" w:fill="auto"/>
            <w:tcMar>
              <w:top w:w="7" w:type="dxa"/>
              <w:left w:w="24" w:type="dxa"/>
              <w:bottom w:w="0" w:type="dxa"/>
              <w:right w:w="30" w:type="dxa"/>
            </w:tcMar>
          </w:tcPr>
          <w:p w:rsidR="009B4233" w:rsidRDefault="006B08B9">
            <w:pPr>
              <w:spacing w:line="249" w:lineRule="auto"/>
              <w:ind w:left="52"/>
              <w:rPr>
                <w:rFonts w:ascii="Arial" w:hAnsi="Arial" w:cs="Arial"/>
                <w:b/>
                <w:sz w:val="22"/>
                <w:szCs w:val="22"/>
              </w:rPr>
            </w:pPr>
            <w:r>
              <w:rPr>
                <w:rFonts w:ascii="Arial" w:hAnsi="Arial" w:cs="Arial"/>
                <w:b/>
                <w:sz w:val="22"/>
                <w:szCs w:val="22"/>
              </w:rPr>
              <w:t xml:space="preserve">2.255.363,98 </w:t>
            </w:r>
          </w:p>
          <w:p w:rsidR="009B4233" w:rsidRDefault="006B08B9">
            <w:pPr>
              <w:spacing w:line="249" w:lineRule="auto"/>
              <w:ind w:left="52"/>
              <w:rPr>
                <w:rFonts w:ascii="Arial" w:hAnsi="Arial" w:cs="Arial"/>
                <w:b/>
                <w:sz w:val="22"/>
                <w:szCs w:val="22"/>
              </w:rPr>
            </w:pPr>
            <w:r>
              <w:rPr>
                <w:rFonts w:ascii="Arial" w:hAnsi="Arial" w:cs="Arial"/>
                <w:b/>
                <w:sz w:val="22"/>
                <w:szCs w:val="22"/>
              </w:rPr>
              <w:t>€</w:t>
            </w:r>
          </w:p>
        </w:tc>
        <w:tc>
          <w:tcPr>
            <w:tcW w:w="1125" w:type="dxa"/>
            <w:tcBorders>
              <w:top w:val="single" w:sz="4" w:space="0" w:color="000000"/>
              <w:left w:val="single" w:sz="4" w:space="0" w:color="000000"/>
              <w:bottom w:val="single" w:sz="4" w:space="0" w:color="000000"/>
              <w:right w:val="single" w:sz="4" w:space="0" w:color="000000"/>
            </w:tcBorders>
            <w:shd w:val="clear" w:color="auto" w:fill="D9D9D9"/>
            <w:tcMar>
              <w:top w:w="7" w:type="dxa"/>
              <w:left w:w="24" w:type="dxa"/>
              <w:bottom w:w="0" w:type="dxa"/>
              <w:right w:w="30" w:type="dxa"/>
            </w:tcMar>
          </w:tcPr>
          <w:p w:rsidR="009B4233" w:rsidRDefault="006B08B9">
            <w:pPr>
              <w:spacing w:line="249" w:lineRule="auto"/>
            </w:pPr>
            <w:r>
              <w:rPr>
                <w:rFonts w:ascii="Arial" w:eastAsia="Calibri" w:hAnsi="Arial" w:cs="Arial"/>
                <w:b/>
                <w:sz w:val="22"/>
                <w:szCs w:val="22"/>
              </w:rPr>
              <w:t>7.457.033,64 €</w:t>
            </w:r>
          </w:p>
        </w:tc>
      </w:tr>
      <w:tr w:rsidR="009B4233">
        <w:tblPrEx>
          <w:tblCellMar>
            <w:top w:w="0" w:type="dxa"/>
            <w:bottom w:w="0" w:type="dxa"/>
          </w:tblCellMar>
        </w:tblPrEx>
        <w:trPr>
          <w:trHeight w:val="301"/>
        </w:trPr>
        <w:tc>
          <w:tcPr>
            <w:tcW w:w="1271" w:type="dxa"/>
            <w:tcBorders>
              <w:top w:val="single" w:sz="4" w:space="0" w:color="000000"/>
              <w:left w:val="single" w:sz="4" w:space="0" w:color="000000"/>
              <w:bottom w:val="single" w:sz="4" w:space="0" w:color="C0C0C0"/>
              <w:right w:val="single" w:sz="4" w:space="0" w:color="000000"/>
            </w:tcBorders>
            <w:shd w:val="clear" w:color="auto" w:fill="D9D9D9"/>
            <w:tcMar>
              <w:top w:w="7" w:type="dxa"/>
              <w:left w:w="24" w:type="dxa"/>
              <w:bottom w:w="0" w:type="dxa"/>
              <w:right w:w="30" w:type="dxa"/>
            </w:tcMar>
          </w:tcPr>
          <w:p w:rsidR="009B4233" w:rsidRDefault="006B08B9">
            <w:pPr>
              <w:spacing w:line="249" w:lineRule="auto"/>
            </w:pPr>
            <w:r>
              <w:rPr>
                <w:rFonts w:ascii="Arial" w:eastAsia="Calibri" w:hAnsi="Arial" w:cs="Arial"/>
                <w:b/>
                <w:sz w:val="22"/>
                <w:szCs w:val="22"/>
              </w:rPr>
              <w:t>Ayuntamiento</w:t>
            </w:r>
          </w:p>
        </w:tc>
        <w:tc>
          <w:tcPr>
            <w:tcW w:w="1168" w:type="dxa"/>
            <w:tcBorders>
              <w:top w:val="single" w:sz="4" w:space="0" w:color="000000"/>
              <w:left w:val="single" w:sz="4" w:space="0" w:color="000000"/>
              <w:bottom w:val="single" w:sz="4" w:space="0" w:color="000000"/>
              <w:right w:val="single" w:sz="4" w:space="0" w:color="000000"/>
            </w:tcBorders>
            <w:shd w:val="clear" w:color="auto" w:fill="auto"/>
            <w:tcMar>
              <w:top w:w="7" w:type="dxa"/>
              <w:left w:w="24" w:type="dxa"/>
              <w:bottom w:w="0" w:type="dxa"/>
              <w:right w:w="30" w:type="dxa"/>
            </w:tcMar>
          </w:tcPr>
          <w:p w:rsidR="009B4233" w:rsidRDefault="006B08B9">
            <w:pPr>
              <w:spacing w:line="249" w:lineRule="auto"/>
              <w:ind w:left="12"/>
              <w:jc w:val="center"/>
              <w:rPr>
                <w:rFonts w:ascii="Arial" w:hAnsi="Arial" w:cs="Arial"/>
                <w:b/>
                <w:sz w:val="22"/>
                <w:szCs w:val="22"/>
              </w:rPr>
            </w:pPr>
            <w:r>
              <w:rPr>
                <w:rFonts w:ascii="Arial" w:hAnsi="Arial" w:cs="Arial"/>
                <w:b/>
                <w:sz w:val="22"/>
                <w:szCs w:val="22"/>
              </w:rPr>
              <w:t>0,00 €</w:t>
            </w:r>
          </w:p>
        </w:tc>
        <w:tc>
          <w:tcPr>
            <w:tcW w:w="1018" w:type="dxa"/>
            <w:tcBorders>
              <w:top w:val="single" w:sz="4" w:space="0" w:color="000000"/>
              <w:left w:val="single" w:sz="4" w:space="0" w:color="000000"/>
              <w:bottom w:val="single" w:sz="4" w:space="0" w:color="000000"/>
              <w:right w:val="single" w:sz="4" w:space="0" w:color="000000"/>
            </w:tcBorders>
            <w:shd w:val="clear" w:color="auto" w:fill="auto"/>
            <w:tcMar>
              <w:top w:w="7" w:type="dxa"/>
              <w:left w:w="24" w:type="dxa"/>
              <w:bottom w:w="0" w:type="dxa"/>
              <w:right w:w="30" w:type="dxa"/>
            </w:tcMar>
          </w:tcPr>
          <w:p w:rsidR="009B4233" w:rsidRDefault="006B08B9">
            <w:pPr>
              <w:spacing w:line="249" w:lineRule="auto"/>
              <w:ind w:left="54"/>
              <w:rPr>
                <w:rFonts w:ascii="Arial" w:hAnsi="Arial" w:cs="Arial"/>
                <w:b/>
                <w:sz w:val="22"/>
                <w:szCs w:val="22"/>
              </w:rPr>
            </w:pPr>
            <w:r>
              <w:rPr>
                <w:rFonts w:ascii="Arial" w:hAnsi="Arial" w:cs="Arial"/>
                <w:b/>
                <w:sz w:val="22"/>
                <w:szCs w:val="22"/>
              </w:rPr>
              <w:t xml:space="preserve">621.419,47 </w:t>
            </w:r>
          </w:p>
          <w:p w:rsidR="009B4233" w:rsidRDefault="006B08B9">
            <w:pPr>
              <w:spacing w:line="249" w:lineRule="auto"/>
              <w:ind w:left="54"/>
              <w:rPr>
                <w:rFonts w:ascii="Arial" w:hAnsi="Arial" w:cs="Arial"/>
                <w:b/>
                <w:sz w:val="22"/>
                <w:szCs w:val="22"/>
              </w:rPr>
            </w:pPr>
            <w:r>
              <w:rPr>
                <w:rFonts w:ascii="Arial" w:hAnsi="Arial" w:cs="Arial"/>
                <w:b/>
                <w:sz w:val="22"/>
                <w:szCs w:val="22"/>
              </w:rPr>
              <w:t>€</w:t>
            </w:r>
          </w:p>
        </w:tc>
        <w:tc>
          <w:tcPr>
            <w:tcW w:w="430" w:type="dxa"/>
            <w:tcBorders>
              <w:top w:val="single" w:sz="4" w:space="0" w:color="000000"/>
              <w:left w:val="single" w:sz="4" w:space="0" w:color="000000"/>
              <w:bottom w:val="single" w:sz="4" w:space="0" w:color="000000"/>
              <w:right w:val="single" w:sz="4" w:space="0" w:color="000000"/>
            </w:tcBorders>
            <w:shd w:val="clear" w:color="auto" w:fill="auto"/>
            <w:tcMar>
              <w:top w:w="7" w:type="dxa"/>
              <w:left w:w="24" w:type="dxa"/>
              <w:bottom w:w="0" w:type="dxa"/>
              <w:right w:w="30" w:type="dxa"/>
            </w:tcMar>
          </w:tcPr>
          <w:p w:rsidR="009B4233" w:rsidRDefault="006B08B9">
            <w:pPr>
              <w:spacing w:line="249" w:lineRule="auto"/>
              <w:ind w:left="22"/>
              <w:jc w:val="center"/>
              <w:rPr>
                <w:rFonts w:ascii="Arial" w:hAnsi="Arial" w:cs="Arial"/>
                <w:b/>
                <w:sz w:val="22"/>
                <w:szCs w:val="22"/>
              </w:rPr>
            </w:pPr>
            <w:r>
              <w:rPr>
                <w:rFonts w:ascii="Arial" w:hAnsi="Arial" w:cs="Arial"/>
                <w:b/>
                <w:sz w:val="22"/>
                <w:szCs w:val="22"/>
              </w:rPr>
              <w:t>0,00 €</w:t>
            </w:r>
          </w:p>
        </w:tc>
        <w:tc>
          <w:tcPr>
            <w:tcW w:w="1044" w:type="dxa"/>
            <w:tcBorders>
              <w:top w:val="single" w:sz="4" w:space="0" w:color="000000"/>
              <w:left w:val="single" w:sz="4" w:space="0" w:color="000000"/>
              <w:bottom w:val="single" w:sz="4" w:space="0" w:color="000000"/>
              <w:right w:val="single" w:sz="4" w:space="0" w:color="000000"/>
            </w:tcBorders>
            <w:shd w:val="clear" w:color="auto" w:fill="auto"/>
            <w:tcMar>
              <w:top w:w="7" w:type="dxa"/>
              <w:left w:w="24" w:type="dxa"/>
              <w:bottom w:w="0" w:type="dxa"/>
              <w:right w:w="30" w:type="dxa"/>
            </w:tcMar>
          </w:tcPr>
          <w:p w:rsidR="009B4233" w:rsidRDefault="006B08B9">
            <w:pPr>
              <w:spacing w:line="249" w:lineRule="auto"/>
              <w:ind w:left="86"/>
              <w:rPr>
                <w:rFonts w:ascii="Arial" w:hAnsi="Arial" w:cs="Arial"/>
                <w:b/>
                <w:sz w:val="22"/>
                <w:szCs w:val="22"/>
              </w:rPr>
            </w:pPr>
            <w:r>
              <w:rPr>
                <w:rFonts w:ascii="Arial" w:hAnsi="Arial" w:cs="Arial"/>
                <w:b/>
                <w:sz w:val="22"/>
                <w:szCs w:val="22"/>
              </w:rPr>
              <w:t>621.419,47 €</w:t>
            </w:r>
          </w:p>
        </w:tc>
        <w:tc>
          <w:tcPr>
            <w:tcW w:w="1170" w:type="dxa"/>
            <w:tcBorders>
              <w:top w:val="single" w:sz="4" w:space="0" w:color="000000"/>
              <w:left w:val="single" w:sz="4" w:space="0" w:color="000000"/>
              <w:bottom w:val="single" w:sz="4" w:space="0" w:color="000000"/>
              <w:right w:val="single" w:sz="4" w:space="0" w:color="000000"/>
            </w:tcBorders>
            <w:shd w:val="clear" w:color="auto" w:fill="auto"/>
            <w:tcMar>
              <w:top w:w="7" w:type="dxa"/>
              <w:left w:w="24" w:type="dxa"/>
              <w:bottom w:w="0" w:type="dxa"/>
              <w:right w:w="30" w:type="dxa"/>
            </w:tcMar>
          </w:tcPr>
          <w:p w:rsidR="009B4233" w:rsidRDefault="006B08B9">
            <w:pPr>
              <w:spacing w:line="249" w:lineRule="auto"/>
              <w:ind w:left="88"/>
              <w:rPr>
                <w:rFonts w:ascii="Arial" w:hAnsi="Arial" w:cs="Arial"/>
                <w:b/>
                <w:sz w:val="22"/>
                <w:szCs w:val="22"/>
              </w:rPr>
            </w:pPr>
            <w:r>
              <w:rPr>
                <w:rFonts w:ascii="Arial" w:hAnsi="Arial" w:cs="Arial"/>
                <w:b/>
                <w:sz w:val="22"/>
                <w:szCs w:val="22"/>
              </w:rPr>
              <w:t>621.419,47 €</w:t>
            </w:r>
          </w:p>
        </w:tc>
        <w:tc>
          <w:tcPr>
            <w:tcW w:w="1168" w:type="dxa"/>
            <w:tcBorders>
              <w:top w:val="single" w:sz="4" w:space="0" w:color="000000"/>
              <w:left w:val="single" w:sz="4" w:space="0" w:color="000000"/>
              <w:bottom w:val="single" w:sz="4" w:space="0" w:color="000000"/>
              <w:right w:val="single" w:sz="4" w:space="0" w:color="000000"/>
            </w:tcBorders>
            <w:shd w:val="clear" w:color="auto" w:fill="auto"/>
            <w:tcMar>
              <w:top w:w="7" w:type="dxa"/>
              <w:left w:w="24" w:type="dxa"/>
              <w:bottom w:w="0" w:type="dxa"/>
              <w:right w:w="30" w:type="dxa"/>
            </w:tcMar>
          </w:tcPr>
          <w:p w:rsidR="009B4233" w:rsidRDefault="006B08B9">
            <w:pPr>
              <w:spacing w:line="249" w:lineRule="auto"/>
              <w:ind w:left="12"/>
              <w:jc w:val="center"/>
              <w:rPr>
                <w:rFonts w:ascii="Arial" w:hAnsi="Arial" w:cs="Arial"/>
                <w:b/>
                <w:sz w:val="22"/>
                <w:szCs w:val="22"/>
              </w:rPr>
            </w:pPr>
            <w:r>
              <w:rPr>
                <w:rFonts w:ascii="Arial" w:hAnsi="Arial" w:cs="Arial"/>
                <w:b/>
                <w:sz w:val="22"/>
                <w:szCs w:val="22"/>
              </w:rPr>
              <w:t>0,00 €</w:t>
            </w:r>
          </w:p>
        </w:tc>
        <w:tc>
          <w:tcPr>
            <w:tcW w:w="1168" w:type="dxa"/>
            <w:tcBorders>
              <w:top w:val="single" w:sz="4" w:space="0" w:color="000000"/>
              <w:left w:val="single" w:sz="4" w:space="0" w:color="000000"/>
              <w:bottom w:val="single" w:sz="4" w:space="0" w:color="000000"/>
              <w:right w:val="single" w:sz="4" w:space="0" w:color="000000"/>
            </w:tcBorders>
            <w:shd w:val="clear" w:color="auto" w:fill="auto"/>
            <w:tcMar>
              <w:top w:w="7" w:type="dxa"/>
              <w:left w:w="24" w:type="dxa"/>
              <w:bottom w:w="0" w:type="dxa"/>
              <w:right w:w="30" w:type="dxa"/>
            </w:tcMar>
          </w:tcPr>
          <w:p w:rsidR="009B4233" w:rsidRDefault="006B08B9">
            <w:pPr>
              <w:spacing w:line="249" w:lineRule="auto"/>
              <w:ind w:left="14"/>
              <w:jc w:val="center"/>
              <w:rPr>
                <w:rFonts w:ascii="Arial" w:hAnsi="Arial" w:cs="Arial"/>
                <w:b/>
                <w:sz w:val="22"/>
                <w:szCs w:val="22"/>
              </w:rPr>
            </w:pPr>
            <w:r>
              <w:rPr>
                <w:rFonts w:ascii="Arial" w:hAnsi="Arial" w:cs="Arial"/>
                <w:b/>
                <w:sz w:val="22"/>
                <w:szCs w:val="22"/>
              </w:rPr>
              <w:t>0,00 €</w:t>
            </w:r>
          </w:p>
        </w:tc>
        <w:tc>
          <w:tcPr>
            <w:tcW w:w="1125" w:type="dxa"/>
            <w:tcBorders>
              <w:top w:val="single" w:sz="4" w:space="0" w:color="000000"/>
              <w:left w:val="single" w:sz="4" w:space="0" w:color="000000"/>
              <w:bottom w:val="single" w:sz="4" w:space="0" w:color="000000"/>
              <w:right w:val="single" w:sz="4" w:space="0" w:color="000000"/>
            </w:tcBorders>
            <w:shd w:val="clear" w:color="auto" w:fill="D9D9D9"/>
            <w:tcMar>
              <w:top w:w="7" w:type="dxa"/>
              <w:left w:w="24" w:type="dxa"/>
              <w:bottom w:w="0" w:type="dxa"/>
              <w:right w:w="30" w:type="dxa"/>
            </w:tcMar>
          </w:tcPr>
          <w:p w:rsidR="009B4233" w:rsidRDefault="006B08B9">
            <w:pPr>
              <w:spacing w:line="249" w:lineRule="auto"/>
            </w:pPr>
            <w:r>
              <w:rPr>
                <w:rFonts w:ascii="Arial" w:eastAsia="Calibri" w:hAnsi="Arial" w:cs="Arial"/>
                <w:b/>
                <w:sz w:val="22"/>
                <w:szCs w:val="22"/>
              </w:rPr>
              <w:t>1.864.258,41 €</w:t>
            </w:r>
          </w:p>
        </w:tc>
      </w:tr>
      <w:tr w:rsidR="009B4233">
        <w:tblPrEx>
          <w:tblCellMar>
            <w:top w:w="0" w:type="dxa"/>
            <w:bottom w:w="0" w:type="dxa"/>
          </w:tblCellMar>
        </w:tblPrEx>
        <w:trPr>
          <w:trHeight w:val="370"/>
        </w:trPr>
        <w:tc>
          <w:tcPr>
            <w:tcW w:w="1271" w:type="dxa"/>
            <w:tcBorders>
              <w:top w:val="single" w:sz="4" w:space="0" w:color="C0C0C0"/>
              <w:left w:val="single" w:sz="4" w:space="0" w:color="C0C0C0"/>
              <w:bottom w:val="single" w:sz="4" w:space="0" w:color="C0C0C0"/>
              <w:right w:val="single" w:sz="4" w:space="0" w:color="000000"/>
            </w:tcBorders>
            <w:shd w:val="clear" w:color="auto" w:fill="auto"/>
            <w:tcMar>
              <w:top w:w="7" w:type="dxa"/>
              <w:left w:w="24" w:type="dxa"/>
              <w:bottom w:w="0" w:type="dxa"/>
              <w:right w:w="30" w:type="dxa"/>
            </w:tcMar>
          </w:tcPr>
          <w:p w:rsidR="009B4233" w:rsidRDefault="006B08B9">
            <w:pPr>
              <w:spacing w:line="249" w:lineRule="auto"/>
            </w:pPr>
            <w:r>
              <w:rPr>
                <w:rFonts w:ascii="Arial" w:eastAsia="Calibri" w:hAnsi="Arial" w:cs="Arial"/>
                <w:b/>
                <w:sz w:val="22"/>
                <w:szCs w:val="22"/>
              </w:rPr>
              <w:t>Total</w:t>
            </w:r>
          </w:p>
        </w:tc>
        <w:tc>
          <w:tcPr>
            <w:tcW w:w="1168" w:type="dxa"/>
            <w:tcBorders>
              <w:top w:val="single" w:sz="4" w:space="0" w:color="000000"/>
              <w:left w:val="single" w:sz="4" w:space="0" w:color="000000"/>
              <w:bottom w:val="single" w:sz="4" w:space="0" w:color="000000"/>
              <w:right w:val="single" w:sz="4" w:space="0" w:color="000000"/>
            </w:tcBorders>
            <w:shd w:val="clear" w:color="auto" w:fill="auto"/>
            <w:tcMar>
              <w:top w:w="7" w:type="dxa"/>
              <w:left w:w="24" w:type="dxa"/>
              <w:bottom w:w="0" w:type="dxa"/>
              <w:right w:w="30" w:type="dxa"/>
            </w:tcMar>
          </w:tcPr>
          <w:p w:rsidR="009B4233" w:rsidRDefault="006B08B9">
            <w:pPr>
              <w:spacing w:line="249" w:lineRule="auto"/>
              <w:ind w:left="52"/>
            </w:pPr>
            <w:r>
              <w:rPr>
                <w:rFonts w:ascii="Arial" w:eastAsia="Calibri" w:hAnsi="Arial" w:cs="Arial"/>
                <w:b/>
                <w:sz w:val="22"/>
                <w:szCs w:val="22"/>
              </w:rPr>
              <w:t>2.369.143,58 €</w:t>
            </w:r>
          </w:p>
        </w:tc>
        <w:tc>
          <w:tcPr>
            <w:tcW w:w="1018" w:type="dxa"/>
            <w:tcBorders>
              <w:top w:val="single" w:sz="4" w:space="0" w:color="000000"/>
              <w:left w:val="single" w:sz="4" w:space="0" w:color="000000"/>
              <w:bottom w:val="single" w:sz="4" w:space="0" w:color="000000"/>
              <w:right w:val="single" w:sz="4" w:space="0" w:color="000000"/>
            </w:tcBorders>
            <w:shd w:val="clear" w:color="auto" w:fill="auto"/>
            <w:tcMar>
              <w:top w:w="7" w:type="dxa"/>
              <w:left w:w="24" w:type="dxa"/>
              <w:bottom w:w="0" w:type="dxa"/>
              <w:right w:w="30" w:type="dxa"/>
            </w:tcMar>
          </w:tcPr>
          <w:p w:rsidR="009B4233" w:rsidRDefault="006B08B9">
            <w:pPr>
              <w:spacing w:line="249" w:lineRule="auto"/>
              <w:ind w:left="54"/>
            </w:pPr>
            <w:r>
              <w:rPr>
                <w:rFonts w:ascii="Arial" w:eastAsia="Calibri" w:hAnsi="Arial" w:cs="Arial"/>
                <w:b/>
                <w:sz w:val="22"/>
                <w:szCs w:val="22"/>
              </w:rPr>
              <w:t xml:space="preserve">621.419,47 </w:t>
            </w:r>
          </w:p>
          <w:p w:rsidR="009B4233" w:rsidRDefault="006B08B9">
            <w:pPr>
              <w:spacing w:line="249" w:lineRule="auto"/>
              <w:ind w:left="54"/>
            </w:pPr>
            <w:r>
              <w:rPr>
                <w:rFonts w:ascii="Arial" w:eastAsia="Calibri" w:hAnsi="Arial" w:cs="Arial"/>
                <w:b/>
                <w:sz w:val="22"/>
                <w:szCs w:val="22"/>
              </w:rPr>
              <w:t>€</w:t>
            </w:r>
          </w:p>
        </w:tc>
        <w:tc>
          <w:tcPr>
            <w:tcW w:w="430" w:type="dxa"/>
            <w:tcBorders>
              <w:top w:val="single" w:sz="4" w:space="0" w:color="000000"/>
              <w:left w:val="single" w:sz="4" w:space="0" w:color="000000"/>
              <w:bottom w:val="single" w:sz="4" w:space="0" w:color="000000"/>
              <w:right w:val="single" w:sz="4" w:space="0" w:color="000000"/>
            </w:tcBorders>
            <w:shd w:val="clear" w:color="auto" w:fill="auto"/>
            <w:tcMar>
              <w:top w:w="7" w:type="dxa"/>
              <w:left w:w="24" w:type="dxa"/>
              <w:bottom w:w="0" w:type="dxa"/>
              <w:right w:w="30" w:type="dxa"/>
            </w:tcMar>
          </w:tcPr>
          <w:p w:rsidR="009B4233" w:rsidRDefault="006B08B9">
            <w:pPr>
              <w:spacing w:line="249" w:lineRule="auto"/>
              <w:ind w:left="22"/>
              <w:jc w:val="center"/>
            </w:pPr>
            <w:r>
              <w:rPr>
                <w:rFonts w:ascii="Arial" w:eastAsia="Calibri" w:hAnsi="Arial" w:cs="Arial"/>
                <w:b/>
                <w:sz w:val="22"/>
                <w:szCs w:val="22"/>
              </w:rPr>
              <w:t>0,00 €</w:t>
            </w:r>
          </w:p>
        </w:tc>
        <w:tc>
          <w:tcPr>
            <w:tcW w:w="1044" w:type="dxa"/>
            <w:tcBorders>
              <w:top w:val="single" w:sz="4" w:space="0" w:color="000000"/>
              <w:left w:val="single" w:sz="4" w:space="0" w:color="000000"/>
              <w:bottom w:val="single" w:sz="4" w:space="0" w:color="000000"/>
              <w:right w:val="single" w:sz="4" w:space="0" w:color="000000"/>
            </w:tcBorders>
            <w:shd w:val="clear" w:color="auto" w:fill="auto"/>
            <w:tcMar>
              <w:top w:w="7" w:type="dxa"/>
              <w:left w:w="24" w:type="dxa"/>
              <w:bottom w:w="0" w:type="dxa"/>
              <w:right w:w="30" w:type="dxa"/>
            </w:tcMar>
          </w:tcPr>
          <w:p w:rsidR="009B4233" w:rsidRDefault="006B08B9">
            <w:pPr>
              <w:spacing w:line="249" w:lineRule="auto"/>
              <w:ind w:left="86"/>
            </w:pPr>
            <w:r>
              <w:rPr>
                <w:rFonts w:ascii="Arial" w:eastAsia="Calibri" w:hAnsi="Arial" w:cs="Arial"/>
                <w:b/>
                <w:sz w:val="22"/>
                <w:szCs w:val="22"/>
              </w:rPr>
              <w:t>621.419,47 €</w:t>
            </w:r>
          </w:p>
        </w:tc>
        <w:tc>
          <w:tcPr>
            <w:tcW w:w="1170" w:type="dxa"/>
            <w:tcBorders>
              <w:top w:val="single" w:sz="4" w:space="0" w:color="000000"/>
              <w:left w:val="single" w:sz="4" w:space="0" w:color="000000"/>
              <w:bottom w:val="single" w:sz="4" w:space="0" w:color="000000"/>
              <w:right w:val="single" w:sz="4" w:space="0" w:color="000000"/>
            </w:tcBorders>
            <w:shd w:val="clear" w:color="auto" w:fill="auto"/>
            <w:tcMar>
              <w:top w:w="7" w:type="dxa"/>
              <w:left w:w="24" w:type="dxa"/>
              <w:bottom w:w="0" w:type="dxa"/>
              <w:right w:w="30" w:type="dxa"/>
            </w:tcMar>
          </w:tcPr>
          <w:p w:rsidR="009B4233" w:rsidRDefault="006B08B9">
            <w:pPr>
              <w:spacing w:line="249" w:lineRule="auto"/>
              <w:ind w:left="54"/>
            </w:pPr>
            <w:r>
              <w:rPr>
                <w:rFonts w:ascii="Arial" w:eastAsia="Calibri" w:hAnsi="Arial" w:cs="Arial"/>
                <w:b/>
                <w:sz w:val="22"/>
                <w:szCs w:val="22"/>
              </w:rPr>
              <w:t>1.198.591,57 €</w:t>
            </w:r>
          </w:p>
        </w:tc>
        <w:tc>
          <w:tcPr>
            <w:tcW w:w="1168" w:type="dxa"/>
            <w:tcBorders>
              <w:top w:val="single" w:sz="4" w:space="0" w:color="000000"/>
              <w:left w:val="single" w:sz="4" w:space="0" w:color="000000"/>
              <w:bottom w:val="single" w:sz="4" w:space="0" w:color="000000"/>
              <w:right w:val="single" w:sz="4" w:space="0" w:color="000000"/>
            </w:tcBorders>
            <w:shd w:val="clear" w:color="auto" w:fill="auto"/>
            <w:tcMar>
              <w:top w:w="7" w:type="dxa"/>
              <w:left w:w="24" w:type="dxa"/>
              <w:bottom w:w="0" w:type="dxa"/>
              <w:right w:w="30" w:type="dxa"/>
            </w:tcMar>
          </w:tcPr>
          <w:p w:rsidR="009B4233" w:rsidRDefault="006B08B9">
            <w:pPr>
              <w:spacing w:line="249" w:lineRule="auto"/>
              <w:ind w:left="52"/>
            </w:pPr>
            <w:r>
              <w:rPr>
                <w:rFonts w:ascii="Arial" w:eastAsia="Calibri" w:hAnsi="Arial" w:cs="Arial"/>
                <w:b/>
                <w:sz w:val="22"/>
                <w:szCs w:val="22"/>
              </w:rPr>
              <w:t>2.255.353,98 €</w:t>
            </w:r>
          </w:p>
        </w:tc>
        <w:tc>
          <w:tcPr>
            <w:tcW w:w="1168" w:type="dxa"/>
            <w:tcBorders>
              <w:top w:val="single" w:sz="4" w:space="0" w:color="000000"/>
              <w:left w:val="single" w:sz="4" w:space="0" w:color="000000"/>
              <w:bottom w:val="single" w:sz="4" w:space="0" w:color="000000"/>
              <w:right w:val="single" w:sz="4" w:space="0" w:color="000000"/>
            </w:tcBorders>
            <w:shd w:val="clear" w:color="auto" w:fill="auto"/>
            <w:tcMar>
              <w:top w:w="7" w:type="dxa"/>
              <w:left w:w="24" w:type="dxa"/>
              <w:bottom w:w="0" w:type="dxa"/>
              <w:right w:w="30" w:type="dxa"/>
            </w:tcMar>
          </w:tcPr>
          <w:p w:rsidR="009B4233" w:rsidRDefault="006B08B9">
            <w:pPr>
              <w:spacing w:line="249" w:lineRule="auto"/>
              <w:ind w:left="52"/>
            </w:pPr>
            <w:r>
              <w:rPr>
                <w:rFonts w:ascii="Arial" w:eastAsia="Calibri" w:hAnsi="Arial" w:cs="Arial"/>
                <w:b/>
                <w:sz w:val="22"/>
                <w:szCs w:val="22"/>
              </w:rPr>
              <w:t xml:space="preserve">2.255.363,98 </w:t>
            </w:r>
          </w:p>
          <w:p w:rsidR="009B4233" w:rsidRDefault="006B08B9">
            <w:pPr>
              <w:spacing w:line="249" w:lineRule="auto"/>
              <w:ind w:left="52"/>
            </w:pPr>
            <w:r>
              <w:rPr>
                <w:rFonts w:ascii="Arial" w:eastAsia="Calibri" w:hAnsi="Arial" w:cs="Arial"/>
                <w:b/>
                <w:sz w:val="22"/>
                <w:szCs w:val="22"/>
              </w:rPr>
              <w:t>€</w:t>
            </w:r>
          </w:p>
        </w:tc>
        <w:tc>
          <w:tcPr>
            <w:tcW w:w="1125" w:type="dxa"/>
            <w:tcBorders>
              <w:top w:val="single" w:sz="4" w:space="0" w:color="000000"/>
              <w:left w:val="single" w:sz="4" w:space="0" w:color="000000"/>
              <w:bottom w:val="single" w:sz="4" w:space="0" w:color="000000"/>
              <w:right w:val="single" w:sz="4" w:space="0" w:color="000000"/>
            </w:tcBorders>
            <w:shd w:val="clear" w:color="auto" w:fill="auto"/>
            <w:tcMar>
              <w:top w:w="7" w:type="dxa"/>
              <w:left w:w="24" w:type="dxa"/>
              <w:bottom w:w="0" w:type="dxa"/>
              <w:right w:w="30" w:type="dxa"/>
            </w:tcMar>
          </w:tcPr>
          <w:p w:rsidR="009B4233" w:rsidRDefault="006B08B9">
            <w:pPr>
              <w:spacing w:line="249" w:lineRule="auto"/>
            </w:pPr>
            <w:r>
              <w:rPr>
                <w:rFonts w:ascii="Arial" w:eastAsia="Calibri" w:hAnsi="Arial" w:cs="Arial"/>
                <w:b/>
                <w:sz w:val="22"/>
                <w:szCs w:val="22"/>
              </w:rPr>
              <w:t>9.321.292,05 €</w:t>
            </w:r>
          </w:p>
        </w:tc>
      </w:tr>
    </w:tbl>
    <w:p w:rsidR="009B4233" w:rsidRDefault="009B4233">
      <w:pPr>
        <w:spacing w:after="605" w:line="218" w:lineRule="auto"/>
        <w:ind w:left="11"/>
        <w:rPr>
          <w:rFonts w:ascii="Arial" w:hAnsi="Arial" w:cs="Arial"/>
          <w:b/>
          <w:sz w:val="22"/>
          <w:szCs w:val="22"/>
        </w:rPr>
      </w:pPr>
    </w:p>
    <w:p w:rsidR="009B4233" w:rsidRDefault="006B08B9">
      <w:pPr>
        <w:spacing w:after="605" w:line="218" w:lineRule="auto"/>
        <w:ind w:left="11"/>
        <w:jc w:val="both"/>
        <w:rPr>
          <w:rFonts w:ascii="Arial" w:hAnsi="Arial" w:cs="Arial"/>
          <w:b/>
          <w:sz w:val="22"/>
          <w:szCs w:val="22"/>
        </w:rPr>
      </w:pPr>
      <w:r>
        <w:rPr>
          <w:rFonts w:ascii="Arial" w:hAnsi="Arial" w:cs="Arial"/>
          <w:b/>
          <w:sz w:val="22"/>
          <w:szCs w:val="22"/>
        </w:rPr>
        <w:t xml:space="preserve">Segundo: Tomar conocimiento de los plazos de ejecución y justificación de las anualidades, según lo acordado en Consejo de Gobierno Insular de fecha 26 de febrero de 2025 y lo establecido en </w:t>
      </w:r>
      <w:r>
        <w:rPr>
          <w:rFonts w:ascii="Arial" w:hAnsi="Arial" w:cs="Arial"/>
          <w:b/>
          <w:sz w:val="22"/>
          <w:szCs w:val="22"/>
        </w:rPr>
        <w:t>las normas reguladoras del Plan.”</w:t>
      </w:r>
    </w:p>
    <w:p w:rsidR="009B4233" w:rsidRDefault="009B4233">
      <w:pPr>
        <w:jc w:val="both"/>
        <w:rPr>
          <w:rFonts w:ascii="Arial" w:hAnsi="Arial" w:cs="Arial"/>
          <w:color w:val="2F3E4D"/>
          <w:sz w:val="22"/>
          <w:szCs w:val="22"/>
          <w:shd w:val="clear" w:color="auto" w:fill="F5F7F9"/>
        </w:rPr>
      </w:pPr>
    </w:p>
    <w:p w:rsidR="009B4233" w:rsidRDefault="009B4233">
      <w:pPr>
        <w:jc w:val="both"/>
        <w:rPr>
          <w:rFonts w:ascii="Arial" w:eastAsia="Times New Roman" w:hAnsi="Arial" w:cs="Arial"/>
          <w:b/>
          <w:color w:val="000000"/>
          <w:sz w:val="22"/>
          <w:szCs w:val="22"/>
          <w:lang w:eastAsia="es-ES"/>
        </w:rPr>
      </w:pPr>
    </w:p>
    <w:p w:rsidR="009B4233" w:rsidRDefault="009B4233">
      <w:pPr>
        <w:jc w:val="both"/>
        <w:rPr>
          <w:rFonts w:ascii="Arial" w:eastAsia="Times New Roman" w:hAnsi="Arial" w:cs="Arial"/>
          <w:b/>
          <w:color w:val="000000"/>
          <w:sz w:val="22"/>
          <w:szCs w:val="22"/>
          <w:lang w:eastAsia="es-ES"/>
        </w:rPr>
      </w:pPr>
    </w:p>
    <w:p w:rsidR="009B4233" w:rsidRDefault="009B4233">
      <w:pPr>
        <w:jc w:val="both"/>
        <w:rPr>
          <w:rFonts w:ascii="Arial" w:eastAsia="Times New Roman" w:hAnsi="Arial" w:cs="Arial"/>
          <w:b/>
          <w:color w:val="000000"/>
          <w:sz w:val="22"/>
          <w:szCs w:val="22"/>
          <w:lang w:eastAsia="es-ES"/>
        </w:rPr>
      </w:pPr>
    </w:p>
    <w:p w:rsidR="009B4233" w:rsidRDefault="006B08B9">
      <w:pPr>
        <w:jc w:val="both"/>
        <w:rPr>
          <w:rFonts w:ascii="Arial" w:eastAsia="Times New Roman" w:hAnsi="Arial" w:cs="Arial"/>
          <w:b/>
          <w:color w:val="000000"/>
          <w:sz w:val="22"/>
          <w:szCs w:val="22"/>
          <w:lang w:eastAsia="es-ES"/>
        </w:rPr>
      </w:pPr>
      <w:r>
        <w:rPr>
          <w:rFonts w:ascii="Arial" w:eastAsia="Times New Roman" w:hAnsi="Arial" w:cs="Arial"/>
          <w:b/>
          <w:color w:val="000000"/>
          <w:sz w:val="22"/>
          <w:szCs w:val="22"/>
          <w:lang w:eastAsia="es-ES"/>
        </w:rPr>
        <w:t>Consta en el expediente propuesta de la Alcaldesa-Presidenta, de fecha 17 de septiembre de 2025, cuyo tenor literal es el siguiente:</w:t>
      </w:r>
    </w:p>
    <w:p w:rsidR="009B4233" w:rsidRDefault="009B4233">
      <w:pPr>
        <w:jc w:val="both"/>
        <w:rPr>
          <w:rFonts w:ascii="Arial" w:eastAsia="Times New Roman" w:hAnsi="Arial" w:cs="Arial"/>
          <w:b/>
          <w:color w:val="000000"/>
          <w:sz w:val="22"/>
          <w:szCs w:val="22"/>
          <w:lang w:eastAsia="es-ES"/>
        </w:rPr>
      </w:pPr>
    </w:p>
    <w:p w:rsidR="009B4233" w:rsidRDefault="009B4233">
      <w:pPr>
        <w:jc w:val="both"/>
        <w:rPr>
          <w:rFonts w:ascii="Arial" w:eastAsia="Times New Roman" w:hAnsi="Arial" w:cs="Arial"/>
          <w:b/>
          <w:color w:val="000000"/>
          <w:sz w:val="22"/>
          <w:szCs w:val="22"/>
          <w:lang w:eastAsia="es-ES"/>
        </w:rPr>
      </w:pPr>
    </w:p>
    <w:p w:rsidR="009B4233" w:rsidRDefault="009B4233">
      <w:pPr>
        <w:jc w:val="both"/>
        <w:rPr>
          <w:rFonts w:ascii="Arial" w:eastAsia="Times New Roman" w:hAnsi="Arial" w:cs="Arial"/>
          <w:b/>
          <w:color w:val="000000"/>
          <w:sz w:val="22"/>
          <w:szCs w:val="22"/>
          <w:lang w:eastAsia="es-ES"/>
        </w:rPr>
      </w:pPr>
    </w:p>
    <w:p w:rsidR="009B4233" w:rsidRDefault="006B08B9">
      <w:pPr>
        <w:pStyle w:val="Ttulo1"/>
        <w:ind w:left="733" w:right="1"/>
        <w:jc w:val="left"/>
      </w:pPr>
      <w:r>
        <w:rPr>
          <w:rFonts w:ascii="Arial" w:hAnsi="Arial" w:cs="Arial"/>
          <w:b w:val="0"/>
          <w:sz w:val="22"/>
          <w:szCs w:val="22"/>
        </w:rPr>
        <w:t xml:space="preserve">                                            </w:t>
      </w:r>
      <w:r>
        <w:rPr>
          <w:rFonts w:ascii="Arial" w:hAnsi="Arial" w:cs="Arial"/>
          <w:sz w:val="22"/>
          <w:szCs w:val="22"/>
        </w:rPr>
        <w:t>“PROPUESTA</w:t>
      </w:r>
    </w:p>
    <w:p w:rsidR="009B4233" w:rsidRDefault="009B4233">
      <w:pPr>
        <w:rPr>
          <w:rFonts w:ascii="Arial" w:hAnsi="Arial" w:cs="Arial"/>
          <w:sz w:val="22"/>
          <w:szCs w:val="22"/>
          <w:lang w:eastAsia="es-ES"/>
        </w:rPr>
      </w:pPr>
    </w:p>
    <w:p w:rsidR="009B4233" w:rsidRDefault="006B08B9">
      <w:pPr>
        <w:spacing w:after="30" w:line="218" w:lineRule="auto"/>
        <w:ind w:left="9" w:hanging="8"/>
        <w:jc w:val="both"/>
      </w:pPr>
      <w:r>
        <w:rPr>
          <w:rFonts w:ascii="Arial" w:eastAsia="Calibri" w:hAnsi="Arial" w:cs="Arial"/>
          <w:sz w:val="22"/>
          <w:szCs w:val="22"/>
        </w:rPr>
        <w:t>Visto expediente nº</w:t>
      </w:r>
      <w:r>
        <w:rPr>
          <w:rFonts w:ascii="Arial" w:eastAsia="Calibri" w:hAnsi="Arial" w:cs="Arial"/>
          <w:b/>
          <w:sz w:val="22"/>
          <w:szCs w:val="22"/>
        </w:rPr>
        <w:t xml:space="preserve">: </w:t>
      </w:r>
      <w:r>
        <w:rPr>
          <w:rFonts w:ascii="Arial" w:eastAsia="Calibri" w:hAnsi="Arial" w:cs="Arial"/>
          <w:b/>
          <w:sz w:val="22"/>
          <w:szCs w:val="22"/>
        </w:rPr>
        <w:t xml:space="preserve">9445/2024 </w:t>
      </w:r>
      <w:r>
        <w:rPr>
          <w:rFonts w:ascii="Arial" w:eastAsia="Calibri" w:hAnsi="Arial" w:cs="Arial"/>
          <w:sz w:val="22"/>
          <w:szCs w:val="22"/>
        </w:rPr>
        <w:t xml:space="preserve">relativo a la financiación de la actuación denominada </w:t>
      </w:r>
    </w:p>
    <w:p w:rsidR="009B4233" w:rsidRDefault="006B08B9">
      <w:pPr>
        <w:spacing w:after="141" w:line="218" w:lineRule="auto"/>
        <w:ind w:left="9" w:hanging="8"/>
        <w:jc w:val="both"/>
        <w:rPr>
          <w:rFonts w:ascii="Arial" w:eastAsia="Calibri" w:hAnsi="Arial" w:cs="Arial"/>
          <w:sz w:val="22"/>
          <w:szCs w:val="22"/>
        </w:rPr>
      </w:pPr>
      <w:r>
        <w:rPr>
          <w:rFonts w:ascii="Arial" w:eastAsia="Calibri" w:hAnsi="Arial" w:cs="Arial"/>
          <w:sz w:val="22"/>
          <w:szCs w:val="22"/>
        </w:rPr>
        <w:t>“Auditorio Municipal”, en el término municipal de Candelaria, dentro del marco del “Plan de Infraestructuras Culturales 2016-2029”, y visto el informe jurídico de fecha 16/09/2025, se eleva l</w:t>
      </w:r>
      <w:r>
        <w:rPr>
          <w:rFonts w:ascii="Arial" w:eastAsia="Calibri" w:hAnsi="Arial" w:cs="Arial"/>
          <w:sz w:val="22"/>
          <w:szCs w:val="22"/>
        </w:rPr>
        <w:t>a siguiente propuesta al Pleno:</w:t>
      </w:r>
    </w:p>
    <w:p w:rsidR="009B4233" w:rsidRDefault="009B4233">
      <w:pPr>
        <w:spacing w:after="141" w:line="218" w:lineRule="auto"/>
        <w:ind w:left="9" w:hanging="8"/>
        <w:jc w:val="both"/>
        <w:rPr>
          <w:rFonts w:ascii="Arial" w:hAnsi="Arial" w:cs="Arial"/>
          <w:sz w:val="22"/>
          <w:szCs w:val="22"/>
        </w:rPr>
      </w:pPr>
    </w:p>
    <w:p w:rsidR="009B4233" w:rsidRDefault="006B08B9">
      <w:pPr>
        <w:pStyle w:val="Ttulo1"/>
        <w:ind w:left="733"/>
        <w:jc w:val="left"/>
      </w:pPr>
      <w:r>
        <w:rPr>
          <w:rFonts w:ascii="Arial" w:hAnsi="Arial" w:cs="Arial"/>
          <w:b w:val="0"/>
          <w:sz w:val="22"/>
          <w:szCs w:val="22"/>
        </w:rPr>
        <w:t xml:space="preserve">                                    “… </w:t>
      </w:r>
      <w:r>
        <w:rPr>
          <w:rFonts w:ascii="Arial" w:hAnsi="Arial" w:cs="Arial"/>
          <w:sz w:val="22"/>
          <w:szCs w:val="22"/>
        </w:rPr>
        <w:t>INFORME JURIDICO</w:t>
      </w:r>
    </w:p>
    <w:p w:rsidR="009B4233" w:rsidRDefault="009B4233">
      <w:pPr>
        <w:rPr>
          <w:rFonts w:ascii="Arial" w:hAnsi="Arial" w:cs="Arial"/>
          <w:sz w:val="22"/>
          <w:szCs w:val="22"/>
          <w:lang w:eastAsia="es-ES"/>
        </w:rPr>
      </w:pPr>
    </w:p>
    <w:p w:rsidR="009B4233" w:rsidRDefault="006B08B9">
      <w:pPr>
        <w:spacing w:after="90" w:line="218" w:lineRule="auto"/>
        <w:ind w:left="9" w:hanging="8"/>
        <w:jc w:val="both"/>
      </w:pPr>
      <w:r>
        <w:rPr>
          <w:rFonts w:ascii="Arial" w:eastAsia="Calibri" w:hAnsi="Arial" w:cs="Arial"/>
          <w:sz w:val="22"/>
          <w:szCs w:val="22"/>
        </w:rPr>
        <w:t xml:space="preserve"> La técnico de Administración General, Olga Fernández Méndez-Bencomo, en el expediente anteriormente indicado emite el siguiente informe,debidamente conformado por el</w:t>
      </w:r>
      <w:r>
        <w:rPr>
          <w:rFonts w:ascii="Arial" w:eastAsia="Calibri" w:hAnsi="Arial" w:cs="Arial"/>
          <w:sz w:val="22"/>
          <w:szCs w:val="22"/>
        </w:rPr>
        <w:t xml:space="preserve"> Secretario General Octavio Manuel Fernández Hernández y fiscalizado por el interventor municipal: </w:t>
      </w:r>
      <w:r>
        <w:rPr>
          <w:rFonts w:ascii="Arial" w:eastAsia="Calibri" w:hAnsi="Arial" w:cs="Arial"/>
          <w:b/>
          <w:sz w:val="22"/>
          <w:szCs w:val="22"/>
          <w:u w:val="single" w:color="000000"/>
        </w:rPr>
        <w:t xml:space="preserve"> ANTE  CEDENTES: </w:t>
      </w:r>
    </w:p>
    <w:p w:rsidR="009B4233" w:rsidRDefault="006B08B9">
      <w:pPr>
        <w:spacing w:after="30" w:line="218" w:lineRule="auto"/>
        <w:ind w:left="9" w:hanging="8"/>
        <w:jc w:val="both"/>
      </w:pPr>
      <w:r>
        <w:rPr>
          <w:rFonts w:ascii="Arial" w:eastAsia="Calibri" w:hAnsi="Arial" w:cs="Arial"/>
          <w:sz w:val="22"/>
          <w:szCs w:val="22"/>
        </w:rPr>
        <w:t xml:space="preserve">Visto el expediente núm: 9445/2024 relativo a la financiación de la actuación denominada </w:t>
      </w:r>
    </w:p>
    <w:p w:rsidR="009B4233" w:rsidRDefault="006B08B9">
      <w:pPr>
        <w:spacing w:after="121" w:line="218" w:lineRule="auto"/>
        <w:ind w:left="9" w:hanging="8"/>
        <w:jc w:val="both"/>
      </w:pPr>
      <w:r>
        <w:rPr>
          <w:rFonts w:ascii="Arial" w:eastAsia="Calibri" w:hAnsi="Arial" w:cs="Arial"/>
          <w:sz w:val="22"/>
          <w:szCs w:val="22"/>
        </w:rPr>
        <w:t>“Auditorio Municipal”, en el término municipal de</w:t>
      </w:r>
      <w:r>
        <w:rPr>
          <w:rFonts w:ascii="Arial" w:eastAsia="Calibri" w:hAnsi="Arial" w:cs="Arial"/>
          <w:sz w:val="22"/>
          <w:szCs w:val="22"/>
        </w:rPr>
        <w:t xml:space="preserve"> Candelaria, dentro del marco del  “Plan de Infraestructuras Culturales 2016-2029”, se informa lo siguiente</w:t>
      </w:r>
    </w:p>
    <w:p w:rsidR="009B4233" w:rsidRDefault="006B08B9">
      <w:pPr>
        <w:spacing w:after="30" w:line="218" w:lineRule="auto"/>
        <w:ind w:left="9" w:hanging="8"/>
        <w:jc w:val="both"/>
      </w:pPr>
      <w:r>
        <w:rPr>
          <w:rFonts w:ascii="Arial" w:eastAsia="Calibri" w:hAnsi="Arial" w:cs="Arial"/>
          <w:sz w:val="22"/>
          <w:szCs w:val="22"/>
        </w:rPr>
        <w:t xml:space="preserve">Visto que con fecha 15/09/2025 y registro de entrada 2025-E-RC-8587 se notificó a este </w:t>
      </w:r>
    </w:p>
    <w:p w:rsidR="009B4233" w:rsidRDefault="006B08B9">
      <w:pPr>
        <w:spacing w:after="475" w:line="218" w:lineRule="auto"/>
        <w:ind w:left="9" w:hanging="8"/>
        <w:jc w:val="both"/>
        <w:rPr>
          <w:rFonts w:ascii="Arial" w:eastAsia="Calibri" w:hAnsi="Arial" w:cs="Arial"/>
          <w:sz w:val="22"/>
          <w:szCs w:val="22"/>
        </w:rPr>
      </w:pPr>
      <w:r>
        <w:rPr>
          <w:rFonts w:ascii="Arial" w:eastAsia="Calibri" w:hAnsi="Arial" w:cs="Arial"/>
          <w:sz w:val="22"/>
          <w:szCs w:val="22"/>
        </w:rPr>
        <w:t xml:space="preserve">Ayuntamiento la resolución adoptada por el Consejo de </w:t>
      </w:r>
      <w:r>
        <w:rPr>
          <w:rFonts w:ascii="Arial" w:eastAsia="Calibri" w:hAnsi="Arial" w:cs="Arial"/>
          <w:sz w:val="22"/>
          <w:szCs w:val="22"/>
        </w:rPr>
        <w:t>Gobierno Insular del Cabildo de Tenerife en sesión ordinaria celebrada el día 10 de septiembre 2025 del siguiente tenor literal:</w:t>
      </w:r>
    </w:p>
    <w:p w:rsidR="009B4233" w:rsidRDefault="009B4233">
      <w:pPr>
        <w:spacing w:after="475" w:line="218" w:lineRule="auto"/>
        <w:ind w:left="9" w:hanging="8"/>
        <w:jc w:val="both"/>
        <w:rPr>
          <w:rFonts w:ascii="Arial" w:eastAsia="Calibri" w:hAnsi="Arial" w:cs="Arial"/>
          <w:sz w:val="22"/>
          <w:szCs w:val="22"/>
        </w:rPr>
      </w:pPr>
    </w:p>
    <w:p w:rsidR="009B4233" w:rsidRDefault="009B4233">
      <w:pPr>
        <w:spacing w:after="475" w:line="218" w:lineRule="auto"/>
        <w:ind w:left="9" w:hanging="8"/>
        <w:jc w:val="both"/>
        <w:rPr>
          <w:rFonts w:ascii="Arial" w:hAnsi="Arial" w:cs="Arial"/>
          <w:sz w:val="22"/>
          <w:szCs w:val="22"/>
        </w:rPr>
      </w:pPr>
    </w:p>
    <w:p w:rsidR="009B4233" w:rsidRDefault="006B08B9">
      <w:pPr>
        <w:spacing w:after="221" w:line="247" w:lineRule="auto"/>
        <w:ind w:left="-5" w:hanging="10"/>
      </w:pPr>
      <w:r>
        <w:rPr>
          <w:rFonts w:ascii="Arial" w:eastAsia="Calibri" w:hAnsi="Arial" w:cs="Arial"/>
          <w:b/>
          <w:sz w:val="22"/>
          <w:szCs w:val="22"/>
        </w:rPr>
        <w:t>“ …“Asunto:  11 - Reajuste de anualidades de la actuación “Auditorio Municipal” en el término municipal de Candelaria, inclui</w:t>
      </w:r>
      <w:r>
        <w:rPr>
          <w:rFonts w:ascii="Arial" w:eastAsia="Calibri" w:hAnsi="Arial" w:cs="Arial"/>
          <w:b/>
          <w:sz w:val="22"/>
          <w:szCs w:val="22"/>
        </w:rPr>
        <w:t>da en el Plan de Infraestructuras Culturales 2016-2029.</w:t>
      </w:r>
      <w:r>
        <w:rPr>
          <w:rFonts w:ascii="Arial" w:eastAsia="Calibri" w:hAnsi="Arial" w:cs="Arial"/>
          <w:sz w:val="22"/>
          <w:szCs w:val="22"/>
        </w:rPr>
        <w:t xml:space="preserve"> </w:t>
      </w:r>
    </w:p>
    <w:p w:rsidR="009B4233" w:rsidRDefault="006B08B9">
      <w:pPr>
        <w:spacing w:line="251" w:lineRule="auto"/>
        <w:ind w:left="5" w:right="46" w:hanging="10"/>
        <w:jc w:val="both"/>
      </w:pPr>
      <w:r>
        <w:rPr>
          <w:rFonts w:ascii="Arial" w:eastAsia="Calibri" w:hAnsi="Arial" w:cs="Arial"/>
          <w:sz w:val="22"/>
          <w:szCs w:val="22"/>
        </w:rPr>
        <w:t xml:space="preserve">Visto expediente </w:t>
      </w:r>
      <w:r>
        <w:rPr>
          <w:rFonts w:ascii="Arial" w:eastAsia="Calibri" w:hAnsi="Arial" w:cs="Arial"/>
          <w:b/>
          <w:sz w:val="22"/>
          <w:szCs w:val="22"/>
        </w:rPr>
        <w:t>E2023002582S00045</w:t>
      </w:r>
      <w:r>
        <w:rPr>
          <w:rFonts w:ascii="Arial" w:eastAsia="Calibri" w:hAnsi="Arial" w:cs="Arial"/>
          <w:sz w:val="22"/>
          <w:szCs w:val="22"/>
        </w:rPr>
        <w:t xml:space="preserve"> relativo a la actuación denominada </w:t>
      </w:r>
      <w:r>
        <w:rPr>
          <w:rFonts w:ascii="Arial" w:eastAsia="Calibri" w:hAnsi="Arial" w:cs="Arial"/>
          <w:b/>
          <w:sz w:val="22"/>
          <w:szCs w:val="22"/>
        </w:rPr>
        <w:t xml:space="preserve">“Auditorio Municipal” </w:t>
      </w:r>
      <w:r>
        <w:rPr>
          <w:rFonts w:ascii="Arial" w:eastAsia="Calibri" w:hAnsi="Arial" w:cs="Arial"/>
          <w:sz w:val="22"/>
          <w:szCs w:val="22"/>
        </w:rPr>
        <w:t xml:space="preserve">en el término municipal de Candelaria, incluida dentro del Plan de Infraestructuras Culturales 2016-2029 </w:t>
      </w:r>
    </w:p>
    <w:p w:rsidR="009B4233" w:rsidRDefault="006B08B9">
      <w:pPr>
        <w:spacing w:after="211" w:line="251" w:lineRule="auto"/>
        <w:ind w:left="5" w:right="46" w:hanging="10"/>
        <w:jc w:val="both"/>
      </w:pPr>
      <w:r>
        <w:rPr>
          <w:rFonts w:ascii="Arial" w:eastAsia="Calibri" w:hAnsi="Arial" w:cs="Arial"/>
          <w:sz w:val="22"/>
          <w:szCs w:val="22"/>
        </w:rPr>
        <w:t>y</w:t>
      </w:r>
      <w:r>
        <w:rPr>
          <w:rFonts w:ascii="Arial" w:eastAsia="Calibri" w:hAnsi="Arial" w:cs="Arial"/>
          <w:sz w:val="22"/>
          <w:szCs w:val="22"/>
        </w:rPr>
        <w:t xml:space="preserve">  </w:t>
      </w:r>
    </w:p>
    <w:p w:rsidR="009B4233" w:rsidRDefault="006B08B9">
      <w:pPr>
        <w:spacing w:after="211" w:line="251" w:lineRule="auto"/>
        <w:ind w:left="5" w:right="46" w:hanging="10"/>
        <w:jc w:val="both"/>
      </w:pPr>
      <w:r>
        <w:rPr>
          <w:rFonts w:ascii="Arial" w:eastAsia="Calibri" w:hAnsi="Arial" w:cs="Arial"/>
          <w:b/>
          <w:sz w:val="22"/>
          <w:szCs w:val="22"/>
        </w:rPr>
        <w:t>Resultando</w:t>
      </w:r>
      <w:r>
        <w:rPr>
          <w:rFonts w:ascii="Arial" w:eastAsia="Calibri" w:hAnsi="Arial" w:cs="Arial"/>
          <w:sz w:val="22"/>
          <w:szCs w:val="22"/>
        </w:rPr>
        <w:t xml:space="preserve"> que el Pleno de esta Corporación en sesión ordinaria celebrada el 28 de octubre de 2016, aprobó definitivamente el Plan de Infraestructuras Culturales 20162021, modificándose su vigencia con posterioridad en diversas ocasiones, siendo ésta ac</w:t>
      </w:r>
      <w:r>
        <w:rPr>
          <w:rFonts w:ascii="Arial" w:eastAsia="Calibri" w:hAnsi="Arial" w:cs="Arial"/>
          <w:sz w:val="22"/>
          <w:szCs w:val="22"/>
        </w:rPr>
        <w:t xml:space="preserve">tualmente hasta el 31 de diciembre de 2029, pasando a denominarse “Plan de Infraestructuras Culturales 2016-2029”, según Acuerdo del Consejo de Gobierno Insular de fecha 3 de septiembre de 2025. </w:t>
      </w:r>
    </w:p>
    <w:p w:rsidR="009B4233" w:rsidRDefault="006B08B9">
      <w:pPr>
        <w:spacing w:line="251" w:lineRule="auto"/>
        <w:ind w:left="5" w:right="46" w:hanging="10"/>
        <w:jc w:val="both"/>
      </w:pPr>
      <w:r>
        <w:rPr>
          <w:rFonts w:ascii="Arial" w:eastAsia="Calibri" w:hAnsi="Arial" w:cs="Arial"/>
          <w:b/>
          <w:sz w:val="22"/>
          <w:szCs w:val="22"/>
        </w:rPr>
        <w:t>Resultando</w:t>
      </w:r>
      <w:r>
        <w:rPr>
          <w:rFonts w:ascii="Arial" w:eastAsia="Calibri" w:hAnsi="Arial" w:cs="Arial"/>
          <w:sz w:val="22"/>
          <w:szCs w:val="22"/>
        </w:rPr>
        <w:t xml:space="preserve"> que, dentro del mencionado Plan, se incluye la ac</w:t>
      </w:r>
      <w:r>
        <w:rPr>
          <w:rFonts w:ascii="Arial" w:eastAsia="Calibri" w:hAnsi="Arial" w:cs="Arial"/>
          <w:sz w:val="22"/>
          <w:szCs w:val="22"/>
        </w:rPr>
        <w:t>tuación “Auditorio Municipal” en el término municipal de Candelaria con una financiación por importe total de 9.321.292,05 € que, actualmente presenta la siguiente distribución de anualidades aprobada por el Consejo de Gobierno Insular del 26 de febrero de</w:t>
      </w:r>
      <w:r>
        <w:rPr>
          <w:rFonts w:ascii="Arial" w:eastAsia="Calibri" w:hAnsi="Arial" w:cs="Arial"/>
          <w:sz w:val="22"/>
          <w:szCs w:val="22"/>
        </w:rPr>
        <w:t xml:space="preserve"> 2025:</w:t>
      </w:r>
      <w:r>
        <w:rPr>
          <w:rFonts w:ascii="Arial" w:eastAsia="Calibri" w:hAnsi="Arial" w:cs="Arial"/>
          <w:b/>
          <w:sz w:val="22"/>
          <w:szCs w:val="22"/>
        </w:rPr>
        <w:t xml:space="preserve"> </w:t>
      </w:r>
    </w:p>
    <w:p w:rsidR="009B4233" w:rsidRDefault="009B4233">
      <w:pPr>
        <w:spacing w:line="251" w:lineRule="auto"/>
        <w:ind w:left="5" w:right="46" w:hanging="10"/>
        <w:jc w:val="both"/>
        <w:rPr>
          <w:rFonts w:ascii="Arial" w:hAnsi="Arial" w:cs="Arial"/>
          <w:sz w:val="22"/>
          <w:szCs w:val="22"/>
        </w:rPr>
      </w:pPr>
    </w:p>
    <w:tbl>
      <w:tblPr>
        <w:tblW w:w="7716" w:type="dxa"/>
        <w:tblInd w:w="-10" w:type="dxa"/>
        <w:tblCellMar>
          <w:left w:w="10" w:type="dxa"/>
          <w:right w:w="10" w:type="dxa"/>
        </w:tblCellMar>
        <w:tblLook w:val="0000" w:firstRow="0" w:lastRow="0" w:firstColumn="0" w:lastColumn="0" w:noHBand="0" w:noVBand="0"/>
      </w:tblPr>
      <w:tblGrid>
        <w:gridCol w:w="1417"/>
        <w:gridCol w:w="1313"/>
        <w:gridCol w:w="1148"/>
        <w:gridCol w:w="597"/>
        <w:gridCol w:w="1150"/>
        <w:gridCol w:w="1313"/>
        <w:gridCol w:w="1313"/>
        <w:gridCol w:w="1313"/>
      </w:tblGrid>
      <w:tr w:rsidR="009B4233">
        <w:tblPrEx>
          <w:tblCellMar>
            <w:top w:w="0" w:type="dxa"/>
            <w:bottom w:w="0" w:type="dxa"/>
          </w:tblCellMar>
        </w:tblPrEx>
        <w:trPr>
          <w:trHeight w:val="416"/>
        </w:trPr>
        <w:tc>
          <w:tcPr>
            <w:tcW w:w="1417" w:type="dxa"/>
            <w:tcBorders>
              <w:top w:val="single" w:sz="4" w:space="0" w:color="C0C0C0"/>
              <w:left w:val="single" w:sz="4" w:space="0" w:color="C0C0C0"/>
              <w:bottom w:val="single" w:sz="4" w:space="0" w:color="000000"/>
              <w:right w:val="single" w:sz="4" w:space="0" w:color="000000"/>
            </w:tcBorders>
            <w:shd w:val="clear" w:color="auto" w:fill="auto"/>
            <w:tcMar>
              <w:top w:w="9" w:type="dxa"/>
              <w:left w:w="26" w:type="dxa"/>
              <w:bottom w:w="0" w:type="dxa"/>
              <w:right w:w="72" w:type="dxa"/>
            </w:tcMar>
          </w:tcPr>
          <w:p w:rsidR="009B4233" w:rsidRDefault="009B4233">
            <w:pPr>
              <w:rPr>
                <w:rFonts w:ascii="Arial" w:hAnsi="Arial" w:cs="Arial"/>
                <w:sz w:val="22"/>
                <w:szCs w:val="22"/>
              </w:rPr>
            </w:pPr>
          </w:p>
        </w:tc>
        <w:tc>
          <w:tcPr>
            <w:tcW w:w="1313" w:type="dxa"/>
            <w:tcBorders>
              <w:top w:val="single" w:sz="4" w:space="0" w:color="000000"/>
              <w:left w:val="single" w:sz="4" w:space="0" w:color="000000"/>
              <w:bottom w:val="single" w:sz="4" w:space="0" w:color="000000"/>
              <w:right w:val="single" w:sz="4" w:space="0" w:color="000000"/>
            </w:tcBorders>
            <w:shd w:val="clear" w:color="auto" w:fill="D9D9D9"/>
            <w:tcMar>
              <w:top w:w="9" w:type="dxa"/>
              <w:left w:w="26" w:type="dxa"/>
              <w:bottom w:w="0" w:type="dxa"/>
              <w:right w:w="72" w:type="dxa"/>
            </w:tcMar>
          </w:tcPr>
          <w:p w:rsidR="009B4233" w:rsidRDefault="006B08B9">
            <w:pPr>
              <w:ind w:left="52"/>
              <w:jc w:val="center"/>
            </w:pPr>
            <w:r>
              <w:rPr>
                <w:rFonts w:ascii="Arial" w:eastAsia="Calibri" w:hAnsi="Arial" w:cs="Arial"/>
                <w:b/>
                <w:sz w:val="22"/>
                <w:szCs w:val="22"/>
              </w:rPr>
              <w:t>2023</w:t>
            </w:r>
          </w:p>
        </w:tc>
        <w:tc>
          <w:tcPr>
            <w:tcW w:w="1148" w:type="dxa"/>
            <w:tcBorders>
              <w:top w:val="single" w:sz="4" w:space="0" w:color="000000"/>
              <w:left w:val="single" w:sz="4" w:space="0" w:color="000000"/>
              <w:bottom w:val="single" w:sz="4" w:space="0" w:color="000000"/>
              <w:right w:val="single" w:sz="4" w:space="0" w:color="000000"/>
            </w:tcBorders>
            <w:shd w:val="clear" w:color="auto" w:fill="D9D9D9"/>
            <w:tcMar>
              <w:top w:w="9" w:type="dxa"/>
              <w:left w:w="26" w:type="dxa"/>
              <w:bottom w:w="0" w:type="dxa"/>
              <w:right w:w="72" w:type="dxa"/>
            </w:tcMar>
          </w:tcPr>
          <w:p w:rsidR="009B4233" w:rsidRDefault="006B08B9">
            <w:pPr>
              <w:ind w:left="54"/>
              <w:jc w:val="center"/>
            </w:pPr>
            <w:r>
              <w:rPr>
                <w:rFonts w:ascii="Arial" w:eastAsia="Calibri" w:hAnsi="Arial" w:cs="Arial"/>
                <w:b/>
                <w:sz w:val="22"/>
                <w:szCs w:val="22"/>
              </w:rPr>
              <w:t>2024</w:t>
            </w:r>
          </w:p>
        </w:tc>
        <w:tc>
          <w:tcPr>
            <w:tcW w:w="597" w:type="dxa"/>
            <w:tcBorders>
              <w:top w:val="single" w:sz="4" w:space="0" w:color="000000"/>
              <w:left w:val="single" w:sz="4" w:space="0" w:color="000000"/>
              <w:bottom w:val="single" w:sz="4" w:space="0" w:color="000000"/>
              <w:right w:val="single" w:sz="4" w:space="0" w:color="000000"/>
            </w:tcBorders>
            <w:shd w:val="clear" w:color="auto" w:fill="D9D9D9"/>
            <w:tcMar>
              <w:top w:w="9" w:type="dxa"/>
              <w:left w:w="26" w:type="dxa"/>
              <w:bottom w:w="0" w:type="dxa"/>
              <w:right w:w="72" w:type="dxa"/>
            </w:tcMar>
          </w:tcPr>
          <w:p w:rsidR="009B4233" w:rsidRDefault="006B08B9">
            <w:pPr>
              <w:ind w:left="62"/>
              <w:jc w:val="center"/>
            </w:pPr>
            <w:r>
              <w:rPr>
                <w:rFonts w:ascii="Arial" w:eastAsia="Calibri" w:hAnsi="Arial" w:cs="Arial"/>
                <w:b/>
                <w:sz w:val="22"/>
                <w:szCs w:val="22"/>
              </w:rPr>
              <w:t>2025</w:t>
            </w:r>
          </w:p>
        </w:tc>
        <w:tc>
          <w:tcPr>
            <w:tcW w:w="1150" w:type="dxa"/>
            <w:tcBorders>
              <w:top w:val="single" w:sz="4" w:space="0" w:color="000000"/>
              <w:left w:val="single" w:sz="4" w:space="0" w:color="000000"/>
              <w:bottom w:val="single" w:sz="4" w:space="0" w:color="000000"/>
              <w:right w:val="single" w:sz="4" w:space="0" w:color="000000"/>
            </w:tcBorders>
            <w:shd w:val="clear" w:color="auto" w:fill="D9D9D9"/>
            <w:tcMar>
              <w:top w:w="9" w:type="dxa"/>
              <w:left w:w="26" w:type="dxa"/>
              <w:bottom w:w="0" w:type="dxa"/>
              <w:right w:w="72" w:type="dxa"/>
            </w:tcMar>
          </w:tcPr>
          <w:p w:rsidR="009B4233" w:rsidRDefault="006B08B9">
            <w:pPr>
              <w:ind w:left="52"/>
              <w:jc w:val="center"/>
            </w:pPr>
            <w:r>
              <w:rPr>
                <w:rFonts w:ascii="Arial" w:eastAsia="Calibri" w:hAnsi="Arial" w:cs="Arial"/>
                <w:b/>
                <w:sz w:val="22"/>
                <w:szCs w:val="22"/>
              </w:rPr>
              <w:t>2026</w:t>
            </w:r>
          </w:p>
        </w:tc>
        <w:tc>
          <w:tcPr>
            <w:tcW w:w="1313" w:type="dxa"/>
            <w:tcBorders>
              <w:top w:val="single" w:sz="4" w:space="0" w:color="000000"/>
              <w:left w:val="single" w:sz="4" w:space="0" w:color="000000"/>
              <w:bottom w:val="single" w:sz="4" w:space="0" w:color="000000"/>
              <w:right w:val="single" w:sz="4" w:space="0" w:color="000000"/>
            </w:tcBorders>
            <w:shd w:val="clear" w:color="auto" w:fill="D9D9D9"/>
            <w:tcMar>
              <w:top w:w="9" w:type="dxa"/>
              <w:left w:w="26" w:type="dxa"/>
              <w:bottom w:w="0" w:type="dxa"/>
              <w:right w:w="72" w:type="dxa"/>
            </w:tcMar>
          </w:tcPr>
          <w:p w:rsidR="009B4233" w:rsidRDefault="006B08B9">
            <w:pPr>
              <w:ind w:left="52"/>
              <w:jc w:val="center"/>
            </w:pPr>
            <w:r>
              <w:rPr>
                <w:rFonts w:ascii="Arial" w:eastAsia="Calibri" w:hAnsi="Arial" w:cs="Arial"/>
                <w:b/>
                <w:sz w:val="22"/>
                <w:szCs w:val="22"/>
              </w:rPr>
              <w:t>2027</w:t>
            </w:r>
          </w:p>
        </w:tc>
        <w:tc>
          <w:tcPr>
            <w:tcW w:w="1313" w:type="dxa"/>
            <w:tcBorders>
              <w:top w:val="single" w:sz="4" w:space="0" w:color="000000"/>
              <w:left w:val="single" w:sz="4" w:space="0" w:color="000000"/>
              <w:bottom w:val="single" w:sz="4" w:space="0" w:color="000000"/>
              <w:right w:val="single" w:sz="4" w:space="0" w:color="000000"/>
            </w:tcBorders>
            <w:shd w:val="clear" w:color="auto" w:fill="D9D9D9"/>
            <w:tcMar>
              <w:top w:w="9" w:type="dxa"/>
              <w:left w:w="26" w:type="dxa"/>
              <w:bottom w:w="0" w:type="dxa"/>
              <w:right w:w="72" w:type="dxa"/>
            </w:tcMar>
          </w:tcPr>
          <w:p w:rsidR="009B4233" w:rsidRDefault="006B08B9">
            <w:pPr>
              <w:ind w:left="54"/>
              <w:jc w:val="center"/>
            </w:pPr>
            <w:r>
              <w:rPr>
                <w:rFonts w:ascii="Arial" w:eastAsia="Calibri" w:hAnsi="Arial" w:cs="Arial"/>
                <w:b/>
                <w:sz w:val="22"/>
                <w:szCs w:val="22"/>
              </w:rPr>
              <w:t>2028</w:t>
            </w:r>
          </w:p>
        </w:tc>
        <w:tc>
          <w:tcPr>
            <w:tcW w:w="1313" w:type="dxa"/>
            <w:tcBorders>
              <w:top w:val="single" w:sz="4" w:space="0" w:color="000000"/>
              <w:left w:val="single" w:sz="4" w:space="0" w:color="000000"/>
              <w:bottom w:val="single" w:sz="4" w:space="0" w:color="000000"/>
              <w:right w:val="single" w:sz="4" w:space="0" w:color="000000"/>
            </w:tcBorders>
            <w:shd w:val="clear" w:color="auto" w:fill="D9D9D9"/>
            <w:tcMar>
              <w:top w:w="9" w:type="dxa"/>
              <w:left w:w="26" w:type="dxa"/>
              <w:bottom w:w="0" w:type="dxa"/>
              <w:right w:w="72" w:type="dxa"/>
            </w:tcMar>
          </w:tcPr>
          <w:p w:rsidR="009B4233" w:rsidRDefault="006B08B9">
            <w:pPr>
              <w:ind w:left="46"/>
              <w:jc w:val="center"/>
            </w:pPr>
            <w:r>
              <w:rPr>
                <w:rFonts w:ascii="Arial" w:eastAsia="Calibri" w:hAnsi="Arial" w:cs="Arial"/>
                <w:b/>
                <w:sz w:val="22"/>
                <w:szCs w:val="22"/>
              </w:rPr>
              <w:t>Total</w:t>
            </w:r>
          </w:p>
        </w:tc>
      </w:tr>
      <w:tr w:rsidR="009B4233">
        <w:tblPrEx>
          <w:tblCellMar>
            <w:top w:w="0" w:type="dxa"/>
            <w:bottom w:w="0" w:type="dxa"/>
          </w:tblCellMar>
        </w:tblPrEx>
        <w:trPr>
          <w:trHeight w:val="170"/>
        </w:trPr>
        <w:tc>
          <w:tcPr>
            <w:tcW w:w="1417" w:type="dxa"/>
            <w:tcBorders>
              <w:top w:val="single" w:sz="4" w:space="0" w:color="000000"/>
              <w:left w:val="single" w:sz="4" w:space="0" w:color="000000"/>
              <w:bottom w:val="single" w:sz="4" w:space="0" w:color="000000"/>
              <w:right w:val="single" w:sz="4" w:space="0" w:color="000000"/>
            </w:tcBorders>
            <w:shd w:val="clear" w:color="auto" w:fill="D9D9D9"/>
            <w:tcMar>
              <w:top w:w="9" w:type="dxa"/>
              <w:left w:w="26" w:type="dxa"/>
              <w:bottom w:w="0" w:type="dxa"/>
              <w:right w:w="72" w:type="dxa"/>
            </w:tcMar>
          </w:tcPr>
          <w:p w:rsidR="009B4233" w:rsidRDefault="006B08B9">
            <w:r>
              <w:rPr>
                <w:rFonts w:ascii="Arial" w:eastAsia="Calibri" w:hAnsi="Arial" w:cs="Arial"/>
                <w:b/>
                <w:sz w:val="22"/>
                <w:szCs w:val="22"/>
              </w:rPr>
              <w:t>Cabildo</w:t>
            </w:r>
          </w:p>
        </w:tc>
        <w:tc>
          <w:tcPr>
            <w:tcW w:w="1313" w:type="dxa"/>
            <w:tcBorders>
              <w:top w:val="single" w:sz="4" w:space="0" w:color="000000"/>
              <w:left w:val="single" w:sz="4" w:space="0" w:color="000000"/>
              <w:bottom w:val="single" w:sz="4" w:space="0" w:color="000000"/>
              <w:right w:val="single" w:sz="4" w:space="0" w:color="000000"/>
            </w:tcBorders>
            <w:shd w:val="clear" w:color="auto" w:fill="auto"/>
            <w:tcMar>
              <w:top w:w="9" w:type="dxa"/>
              <w:left w:w="26" w:type="dxa"/>
              <w:bottom w:w="0" w:type="dxa"/>
              <w:right w:w="72" w:type="dxa"/>
            </w:tcMar>
          </w:tcPr>
          <w:p w:rsidR="009B4233" w:rsidRDefault="006B08B9">
            <w:pPr>
              <w:ind w:left="60"/>
            </w:pPr>
            <w:r>
              <w:rPr>
                <w:rFonts w:ascii="Arial" w:eastAsia="Calibri" w:hAnsi="Arial" w:cs="Arial"/>
                <w:sz w:val="22"/>
                <w:szCs w:val="22"/>
              </w:rPr>
              <w:t xml:space="preserve">2.369.143,58 </w:t>
            </w:r>
          </w:p>
        </w:tc>
        <w:tc>
          <w:tcPr>
            <w:tcW w:w="1148" w:type="dxa"/>
            <w:tcBorders>
              <w:top w:val="single" w:sz="4" w:space="0" w:color="000000"/>
              <w:left w:val="single" w:sz="4" w:space="0" w:color="000000"/>
              <w:bottom w:val="single" w:sz="4" w:space="0" w:color="000000"/>
              <w:right w:val="single" w:sz="4" w:space="0" w:color="000000"/>
            </w:tcBorders>
            <w:shd w:val="clear" w:color="auto" w:fill="auto"/>
            <w:tcMar>
              <w:top w:w="9" w:type="dxa"/>
              <w:left w:w="26" w:type="dxa"/>
              <w:bottom w:w="0" w:type="dxa"/>
              <w:right w:w="72" w:type="dxa"/>
            </w:tcMar>
          </w:tcPr>
          <w:p w:rsidR="009B4233" w:rsidRDefault="006B08B9">
            <w:pPr>
              <w:ind w:left="52"/>
              <w:jc w:val="center"/>
            </w:pPr>
            <w:r>
              <w:rPr>
                <w:rFonts w:ascii="Arial" w:eastAsia="Calibri" w:hAnsi="Arial" w:cs="Arial"/>
                <w:sz w:val="22"/>
                <w:szCs w:val="22"/>
              </w:rPr>
              <w:t>0,00 €</w:t>
            </w:r>
          </w:p>
        </w:tc>
        <w:tc>
          <w:tcPr>
            <w:tcW w:w="597" w:type="dxa"/>
            <w:tcBorders>
              <w:top w:val="single" w:sz="4" w:space="0" w:color="000000"/>
              <w:left w:val="single" w:sz="4" w:space="0" w:color="000000"/>
              <w:bottom w:val="single" w:sz="4" w:space="0" w:color="000000"/>
              <w:right w:val="single" w:sz="4" w:space="0" w:color="000000"/>
            </w:tcBorders>
            <w:shd w:val="clear" w:color="auto" w:fill="auto"/>
            <w:tcMar>
              <w:top w:w="9" w:type="dxa"/>
              <w:left w:w="26" w:type="dxa"/>
              <w:bottom w:w="0" w:type="dxa"/>
              <w:right w:w="72" w:type="dxa"/>
            </w:tcMar>
          </w:tcPr>
          <w:p w:rsidR="009B4233" w:rsidRDefault="006B08B9">
            <w:pPr>
              <w:ind w:left="62"/>
              <w:jc w:val="center"/>
            </w:pPr>
            <w:r>
              <w:rPr>
                <w:rFonts w:ascii="Arial" w:eastAsia="Calibri" w:hAnsi="Arial" w:cs="Arial"/>
                <w:sz w:val="22"/>
                <w:szCs w:val="22"/>
              </w:rPr>
              <w:t>0,00 €</w:t>
            </w:r>
          </w:p>
        </w:tc>
        <w:tc>
          <w:tcPr>
            <w:tcW w:w="1150" w:type="dxa"/>
            <w:tcBorders>
              <w:top w:val="single" w:sz="4" w:space="0" w:color="000000"/>
              <w:left w:val="single" w:sz="4" w:space="0" w:color="000000"/>
              <w:bottom w:val="single" w:sz="4" w:space="0" w:color="000000"/>
              <w:right w:val="single" w:sz="4" w:space="0" w:color="000000"/>
            </w:tcBorders>
            <w:shd w:val="clear" w:color="auto" w:fill="auto"/>
            <w:tcMar>
              <w:top w:w="9" w:type="dxa"/>
              <w:left w:w="26" w:type="dxa"/>
              <w:bottom w:w="0" w:type="dxa"/>
              <w:right w:w="72" w:type="dxa"/>
            </w:tcMar>
          </w:tcPr>
          <w:p w:rsidR="009B4233" w:rsidRDefault="006B08B9">
            <w:pPr>
              <w:ind w:left="52"/>
              <w:jc w:val="center"/>
            </w:pPr>
            <w:r>
              <w:rPr>
                <w:rFonts w:ascii="Arial" w:eastAsia="Calibri" w:hAnsi="Arial" w:cs="Arial"/>
                <w:sz w:val="22"/>
                <w:szCs w:val="22"/>
              </w:rPr>
              <w:t>0,00 €</w:t>
            </w:r>
          </w:p>
        </w:tc>
        <w:tc>
          <w:tcPr>
            <w:tcW w:w="1313" w:type="dxa"/>
            <w:tcBorders>
              <w:top w:val="single" w:sz="4" w:space="0" w:color="000000"/>
              <w:left w:val="single" w:sz="4" w:space="0" w:color="000000"/>
              <w:bottom w:val="single" w:sz="4" w:space="0" w:color="000000"/>
              <w:right w:val="single" w:sz="4" w:space="0" w:color="000000"/>
            </w:tcBorders>
            <w:shd w:val="clear" w:color="auto" w:fill="auto"/>
            <w:tcMar>
              <w:top w:w="9" w:type="dxa"/>
              <w:left w:w="26" w:type="dxa"/>
              <w:bottom w:w="0" w:type="dxa"/>
              <w:right w:w="72" w:type="dxa"/>
            </w:tcMar>
          </w:tcPr>
          <w:p w:rsidR="009B4233" w:rsidRDefault="006B08B9">
            <w:pPr>
              <w:ind w:left="60"/>
            </w:pPr>
            <w:r>
              <w:rPr>
                <w:rFonts w:ascii="Arial" w:eastAsia="Calibri" w:hAnsi="Arial" w:cs="Arial"/>
                <w:sz w:val="22"/>
                <w:szCs w:val="22"/>
              </w:rPr>
              <w:t xml:space="preserve">2.543.945,03 </w:t>
            </w:r>
          </w:p>
        </w:tc>
        <w:tc>
          <w:tcPr>
            <w:tcW w:w="1313" w:type="dxa"/>
            <w:tcBorders>
              <w:top w:val="single" w:sz="4" w:space="0" w:color="000000"/>
              <w:left w:val="single" w:sz="4" w:space="0" w:color="000000"/>
              <w:bottom w:val="single" w:sz="4" w:space="0" w:color="000000"/>
              <w:right w:val="single" w:sz="4" w:space="0" w:color="000000"/>
            </w:tcBorders>
            <w:shd w:val="clear" w:color="auto" w:fill="auto"/>
            <w:tcMar>
              <w:top w:w="9" w:type="dxa"/>
              <w:left w:w="26" w:type="dxa"/>
              <w:bottom w:w="0" w:type="dxa"/>
              <w:right w:w="72" w:type="dxa"/>
            </w:tcMar>
          </w:tcPr>
          <w:p w:rsidR="009B4233" w:rsidRDefault="006B08B9">
            <w:pPr>
              <w:ind w:left="60"/>
            </w:pPr>
            <w:r>
              <w:rPr>
                <w:rFonts w:ascii="Arial" w:eastAsia="Calibri" w:hAnsi="Arial" w:cs="Arial"/>
                <w:sz w:val="22"/>
                <w:szCs w:val="22"/>
              </w:rPr>
              <w:t xml:space="preserve">2.543.945,03 </w:t>
            </w:r>
          </w:p>
        </w:tc>
        <w:tc>
          <w:tcPr>
            <w:tcW w:w="1313" w:type="dxa"/>
            <w:tcBorders>
              <w:top w:val="single" w:sz="4" w:space="0" w:color="000000"/>
              <w:left w:val="single" w:sz="4" w:space="0" w:color="000000"/>
              <w:bottom w:val="single" w:sz="4" w:space="0" w:color="000000"/>
              <w:right w:val="single" w:sz="4" w:space="0" w:color="000000"/>
            </w:tcBorders>
            <w:shd w:val="clear" w:color="auto" w:fill="D9D9D9"/>
            <w:tcMar>
              <w:top w:w="9" w:type="dxa"/>
              <w:left w:w="26" w:type="dxa"/>
              <w:bottom w:w="0" w:type="dxa"/>
              <w:right w:w="72" w:type="dxa"/>
            </w:tcMar>
          </w:tcPr>
          <w:p w:rsidR="009B4233" w:rsidRDefault="006B08B9">
            <w:pPr>
              <w:ind w:left="60"/>
            </w:pPr>
            <w:r>
              <w:rPr>
                <w:rFonts w:ascii="Arial" w:eastAsia="Calibri" w:hAnsi="Arial" w:cs="Arial"/>
                <w:sz w:val="22"/>
                <w:szCs w:val="22"/>
              </w:rPr>
              <w:t>7.457.033,64 €</w:t>
            </w:r>
          </w:p>
        </w:tc>
      </w:tr>
      <w:tr w:rsidR="009B4233">
        <w:tblPrEx>
          <w:tblCellMar>
            <w:top w:w="0" w:type="dxa"/>
            <w:bottom w:w="0" w:type="dxa"/>
          </w:tblCellMar>
        </w:tblPrEx>
        <w:trPr>
          <w:trHeight w:val="169"/>
        </w:trPr>
        <w:tc>
          <w:tcPr>
            <w:tcW w:w="1417" w:type="dxa"/>
            <w:tcBorders>
              <w:top w:val="single" w:sz="4" w:space="0" w:color="000000"/>
              <w:left w:val="single" w:sz="4" w:space="0" w:color="000000"/>
              <w:bottom w:val="single" w:sz="4" w:space="0" w:color="000000"/>
              <w:right w:val="single" w:sz="4" w:space="0" w:color="000000"/>
            </w:tcBorders>
            <w:shd w:val="clear" w:color="auto" w:fill="D9D9D9"/>
            <w:tcMar>
              <w:top w:w="9" w:type="dxa"/>
              <w:left w:w="26" w:type="dxa"/>
              <w:bottom w:w="0" w:type="dxa"/>
              <w:right w:w="72" w:type="dxa"/>
            </w:tcMar>
          </w:tcPr>
          <w:p w:rsidR="009B4233" w:rsidRDefault="009B4233">
            <w:pPr>
              <w:rPr>
                <w:rFonts w:ascii="Arial" w:hAnsi="Arial" w:cs="Arial"/>
                <w:sz w:val="22"/>
                <w:szCs w:val="22"/>
              </w:rPr>
            </w:pPr>
          </w:p>
        </w:tc>
        <w:tc>
          <w:tcPr>
            <w:tcW w:w="1313" w:type="dxa"/>
            <w:tcBorders>
              <w:top w:val="single" w:sz="4" w:space="0" w:color="000000"/>
              <w:left w:val="single" w:sz="4" w:space="0" w:color="000000"/>
              <w:bottom w:val="single" w:sz="4" w:space="0" w:color="000000"/>
              <w:right w:val="single" w:sz="4" w:space="0" w:color="000000"/>
            </w:tcBorders>
            <w:shd w:val="clear" w:color="auto" w:fill="auto"/>
            <w:tcMar>
              <w:top w:w="9" w:type="dxa"/>
              <w:left w:w="26" w:type="dxa"/>
              <w:bottom w:w="0" w:type="dxa"/>
              <w:right w:w="72" w:type="dxa"/>
            </w:tcMar>
          </w:tcPr>
          <w:p w:rsidR="009B4233" w:rsidRDefault="006B08B9">
            <w:pPr>
              <w:ind w:left="60"/>
            </w:pPr>
            <w:r>
              <w:rPr>
                <w:rFonts w:ascii="Arial" w:eastAsia="Calibri" w:hAnsi="Arial" w:cs="Arial"/>
                <w:sz w:val="22"/>
                <w:szCs w:val="22"/>
              </w:rPr>
              <w:t>€</w:t>
            </w:r>
          </w:p>
        </w:tc>
        <w:tc>
          <w:tcPr>
            <w:tcW w:w="1148" w:type="dxa"/>
            <w:tcBorders>
              <w:top w:val="single" w:sz="4" w:space="0" w:color="000000"/>
              <w:left w:val="single" w:sz="4" w:space="0" w:color="000000"/>
              <w:bottom w:val="single" w:sz="4" w:space="0" w:color="000000"/>
              <w:right w:val="single" w:sz="4" w:space="0" w:color="000000"/>
            </w:tcBorders>
            <w:shd w:val="clear" w:color="auto" w:fill="auto"/>
            <w:tcMar>
              <w:top w:w="9" w:type="dxa"/>
              <w:left w:w="26" w:type="dxa"/>
              <w:bottom w:w="0" w:type="dxa"/>
              <w:right w:w="72" w:type="dxa"/>
            </w:tcMar>
          </w:tcPr>
          <w:p w:rsidR="009B4233" w:rsidRDefault="009B4233">
            <w:pPr>
              <w:rPr>
                <w:rFonts w:ascii="Arial" w:hAnsi="Arial" w:cs="Arial"/>
                <w:sz w:val="22"/>
                <w:szCs w:val="22"/>
              </w:rPr>
            </w:pPr>
          </w:p>
        </w:tc>
        <w:tc>
          <w:tcPr>
            <w:tcW w:w="597" w:type="dxa"/>
            <w:tcBorders>
              <w:top w:val="single" w:sz="4" w:space="0" w:color="000000"/>
              <w:left w:val="single" w:sz="4" w:space="0" w:color="000000"/>
              <w:bottom w:val="single" w:sz="4" w:space="0" w:color="000000"/>
              <w:right w:val="single" w:sz="4" w:space="0" w:color="000000"/>
            </w:tcBorders>
            <w:shd w:val="clear" w:color="auto" w:fill="auto"/>
            <w:tcMar>
              <w:top w:w="9" w:type="dxa"/>
              <w:left w:w="26" w:type="dxa"/>
              <w:bottom w:w="0" w:type="dxa"/>
              <w:right w:w="72" w:type="dxa"/>
            </w:tcMar>
          </w:tcPr>
          <w:p w:rsidR="009B4233" w:rsidRDefault="009B4233">
            <w:pPr>
              <w:rPr>
                <w:rFonts w:ascii="Arial" w:hAnsi="Arial" w:cs="Arial"/>
                <w:sz w:val="22"/>
                <w:szCs w:val="22"/>
              </w:rPr>
            </w:pPr>
          </w:p>
        </w:tc>
        <w:tc>
          <w:tcPr>
            <w:tcW w:w="1150" w:type="dxa"/>
            <w:tcBorders>
              <w:top w:val="single" w:sz="4" w:space="0" w:color="000000"/>
              <w:left w:val="single" w:sz="4" w:space="0" w:color="000000"/>
              <w:bottom w:val="single" w:sz="4" w:space="0" w:color="000000"/>
              <w:right w:val="single" w:sz="4" w:space="0" w:color="000000"/>
            </w:tcBorders>
            <w:shd w:val="clear" w:color="auto" w:fill="auto"/>
            <w:tcMar>
              <w:top w:w="9" w:type="dxa"/>
              <w:left w:w="26" w:type="dxa"/>
              <w:bottom w:w="0" w:type="dxa"/>
              <w:right w:w="72" w:type="dxa"/>
            </w:tcMar>
          </w:tcPr>
          <w:p w:rsidR="009B4233" w:rsidRDefault="009B4233">
            <w:pPr>
              <w:rPr>
                <w:rFonts w:ascii="Arial" w:hAnsi="Arial" w:cs="Arial"/>
                <w:sz w:val="22"/>
                <w:szCs w:val="22"/>
              </w:rPr>
            </w:pPr>
          </w:p>
        </w:tc>
        <w:tc>
          <w:tcPr>
            <w:tcW w:w="1313" w:type="dxa"/>
            <w:tcBorders>
              <w:top w:val="single" w:sz="4" w:space="0" w:color="000000"/>
              <w:left w:val="single" w:sz="4" w:space="0" w:color="000000"/>
              <w:bottom w:val="single" w:sz="4" w:space="0" w:color="000000"/>
              <w:right w:val="single" w:sz="4" w:space="0" w:color="000000"/>
            </w:tcBorders>
            <w:shd w:val="clear" w:color="auto" w:fill="auto"/>
            <w:tcMar>
              <w:top w:w="9" w:type="dxa"/>
              <w:left w:w="26" w:type="dxa"/>
              <w:bottom w:w="0" w:type="dxa"/>
              <w:right w:w="72" w:type="dxa"/>
            </w:tcMar>
          </w:tcPr>
          <w:p w:rsidR="009B4233" w:rsidRDefault="006B08B9">
            <w:pPr>
              <w:ind w:left="60"/>
            </w:pPr>
            <w:r>
              <w:rPr>
                <w:rFonts w:ascii="Arial" w:eastAsia="Calibri" w:hAnsi="Arial" w:cs="Arial"/>
                <w:sz w:val="22"/>
                <w:szCs w:val="22"/>
              </w:rPr>
              <w:t>€</w:t>
            </w:r>
          </w:p>
        </w:tc>
        <w:tc>
          <w:tcPr>
            <w:tcW w:w="1313" w:type="dxa"/>
            <w:tcBorders>
              <w:top w:val="single" w:sz="4" w:space="0" w:color="000000"/>
              <w:left w:val="single" w:sz="4" w:space="0" w:color="000000"/>
              <w:bottom w:val="single" w:sz="4" w:space="0" w:color="000000"/>
              <w:right w:val="single" w:sz="4" w:space="0" w:color="000000"/>
            </w:tcBorders>
            <w:shd w:val="clear" w:color="auto" w:fill="auto"/>
            <w:tcMar>
              <w:top w:w="9" w:type="dxa"/>
              <w:left w:w="26" w:type="dxa"/>
              <w:bottom w:w="0" w:type="dxa"/>
              <w:right w:w="72" w:type="dxa"/>
            </w:tcMar>
          </w:tcPr>
          <w:p w:rsidR="009B4233" w:rsidRDefault="006B08B9">
            <w:pPr>
              <w:ind w:left="60"/>
            </w:pPr>
            <w:r>
              <w:rPr>
                <w:rFonts w:ascii="Arial" w:eastAsia="Calibri" w:hAnsi="Arial" w:cs="Arial"/>
                <w:sz w:val="22"/>
                <w:szCs w:val="22"/>
              </w:rPr>
              <w:t>€</w:t>
            </w:r>
          </w:p>
        </w:tc>
        <w:tc>
          <w:tcPr>
            <w:tcW w:w="1313" w:type="dxa"/>
            <w:tcBorders>
              <w:top w:val="single" w:sz="4" w:space="0" w:color="000000"/>
              <w:left w:val="single" w:sz="4" w:space="0" w:color="000000"/>
              <w:bottom w:val="single" w:sz="4" w:space="0" w:color="000000"/>
              <w:right w:val="single" w:sz="4" w:space="0" w:color="000000"/>
            </w:tcBorders>
            <w:shd w:val="clear" w:color="auto" w:fill="D9D9D9"/>
            <w:tcMar>
              <w:top w:w="9" w:type="dxa"/>
              <w:left w:w="26" w:type="dxa"/>
              <w:bottom w:w="0" w:type="dxa"/>
              <w:right w:w="72" w:type="dxa"/>
            </w:tcMar>
          </w:tcPr>
          <w:p w:rsidR="009B4233" w:rsidRDefault="009B4233">
            <w:pPr>
              <w:rPr>
                <w:rFonts w:ascii="Arial" w:hAnsi="Arial" w:cs="Arial"/>
                <w:sz w:val="22"/>
                <w:szCs w:val="22"/>
              </w:rPr>
            </w:pPr>
          </w:p>
        </w:tc>
      </w:tr>
      <w:tr w:rsidR="009B4233">
        <w:tblPrEx>
          <w:tblCellMar>
            <w:top w:w="0" w:type="dxa"/>
            <w:bottom w:w="0" w:type="dxa"/>
          </w:tblCellMar>
        </w:tblPrEx>
        <w:trPr>
          <w:trHeight w:val="326"/>
        </w:trPr>
        <w:tc>
          <w:tcPr>
            <w:tcW w:w="1417" w:type="dxa"/>
            <w:tcBorders>
              <w:top w:val="single" w:sz="4" w:space="0" w:color="000000"/>
              <w:left w:val="single" w:sz="4" w:space="0" w:color="000000"/>
              <w:bottom w:val="single" w:sz="4" w:space="0" w:color="000000"/>
              <w:right w:val="single" w:sz="4" w:space="0" w:color="000000"/>
            </w:tcBorders>
            <w:shd w:val="clear" w:color="auto" w:fill="D9D9D9"/>
            <w:tcMar>
              <w:top w:w="9" w:type="dxa"/>
              <w:left w:w="26" w:type="dxa"/>
              <w:bottom w:w="0" w:type="dxa"/>
              <w:right w:w="72" w:type="dxa"/>
            </w:tcMar>
          </w:tcPr>
          <w:p w:rsidR="009B4233" w:rsidRDefault="006B08B9">
            <w:r>
              <w:rPr>
                <w:rFonts w:ascii="Arial" w:eastAsia="Calibri" w:hAnsi="Arial" w:cs="Arial"/>
                <w:b/>
                <w:sz w:val="22"/>
                <w:szCs w:val="22"/>
              </w:rPr>
              <w:t>Ayuntamiento</w:t>
            </w:r>
          </w:p>
        </w:tc>
        <w:tc>
          <w:tcPr>
            <w:tcW w:w="1313" w:type="dxa"/>
            <w:tcBorders>
              <w:top w:val="single" w:sz="4" w:space="0" w:color="000000"/>
              <w:left w:val="single" w:sz="4" w:space="0" w:color="000000"/>
              <w:bottom w:val="single" w:sz="4" w:space="0" w:color="000000"/>
              <w:right w:val="single" w:sz="4" w:space="0" w:color="000000"/>
            </w:tcBorders>
            <w:shd w:val="clear" w:color="auto" w:fill="auto"/>
            <w:tcMar>
              <w:top w:w="9" w:type="dxa"/>
              <w:left w:w="26" w:type="dxa"/>
              <w:bottom w:w="0" w:type="dxa"/>
              <w:right w:w="72" w:type="dxa"/>
            </w:tcMar>
          </w:tcPr>
          <w:p w:rsidR="009B4233" w:rsidRDefault="006B08B9">
            <w:pPr>
              <w:ind w:left="52"/>
              <w:jc w:val="center"/>
            </w:pPr>
            <w:r>
              <w:rPr>
                <w:rFonts w:ascii="Arial" w:eastAsia="Calibri" w:hAnsi="Arial" w:cs="Arial"/>
                <w:sz w:val="22"/>
                <w:szCs w:val="22"/>
              </w:rPr>
              <w:t>0,00 €</w:t>
            </w:r>
          </w:p>
        </w:tc>
        <w:tc>
          <w:tcPr>
            <w:tcW w:w="1148" w:type="dxa"/>
            <w:tcBorders>
              <w:top w:val="single" w:sz="4" w:space="0" w:color="000000"/>
              <w:left w:val="single" w:sz="4" w:space="0" w:color="000000"/>
              <w:bottom w:val="single" w:sz="4" w:space="0" w:color="000000"/>
              <w:right w:val="single" w:sz="4" w:space="0" w:color="000000"/>
            </w:tcBorders>
            <w:shd w:val="clear" w:color="auto" w:fill="auto"/>
            <w:tcMar>
              <w:top w:w="9" w:type="dxa"/>
              <w:left w:w="26" w:type="dxa"/>
              <w:bottom w:w="0" w:type="dxa"/>
              <w:right w:w="72" w:type="dxa"/>
            </w:tcMar>
          </w:tcPr>
          <w:p w:rsidR="009B4233" w:rsidRDefault="006B08B9">
            <w:pPr>
              <w:ind w:left="60"/>
            </w:pPr>
            <w:r>
              <w:rPr>
                <w:rFonts w:ascii="Arial" w:eastAsia="Calibri" w:hAnsi="Arial" w:cs="Arial"/>
                <w:sz w:val="22"/>
                <w:szCs w:val="22"/>
              </w:rPr>
              <w:t xml:space="preserve">621.419,47 </w:t>
            </w:r>
          </w:p>
          <w:p w:rsidR="009B4233" w:rsidRDefault="006B08B9">
            <w:pPr>
              <w:ind w:left="60"/>
            </w:pPr>
            <w:r>
              <w:rPr>
                <w:rFonts w:ascii="Arial" w:eastAsia="Calibri" w:hAnsi="Arial" w:cs="Arial"/>
                <w:sz w:val="22"/>
                <w:szCs w:val="22"/>
              </w:rPr>
              <w:t>€</w:t>
            </w:r>
          </w:p>
        </w:tc>
        <w:tc>
          <w:tcPr>
            <w:tcW w:w="597" w:type="dxa"/>
            <w:tcBorders>
              <w:top w:val="single" w:sz="4" w:space="0" w:color="000000"/>
              <w:left w:val="single" w:sz="4" w:space="0" w:color="000000"/>
              <w:bottom w:val="single" w:sz="4" w:space="0" w:color="000000"/>
              <w:right w:val="single" w:sz="4" w:space="0" w:color="000000"/>
            </w:tcBorders>
            <w:shd w:val="clear" w:color="auto" w:fill="auto"/>
            <w:tcMar>
              <w:top w:w="9" w:type="dxa"/>
              <w:left w:w="26" w:type="dxa"/>
              <w:bottom w:w="0" w:type="dxa"/>
              <w:right w:w="72" w:type="dxa"/>
            </w:tcMar>
          </w:tcPr>
          <w:p w:rsidR="009B4233" w:rsidRDefault="006B08B9">
            <w:pPr>
              <w:ind w:left="62"/>
              <w:jc w:val="center"/>
            </w:pPr>
            <w:r>
              <w:rPr>
                <w:rFonts w:ascii="Arial" w:eastAsia="Calibri" w:hAnsi="Arial" w:cs="Arial"/>
                <w:sz w:val="22"/>
                <w:szCs w:val="22"/>
              </w:rPr>
              <w:t>0,00 €</w:t>
            </w:r>
          </w:p>
        </w:tc>
        <w:tc>
          <w:tcPr>
            <w:tcW w:w="1150" w:type="dxa"/>
            <w:tcBorders>
              <w:top w:val="single" w:sz="4" w:space="0" w:color="000000"/>
              <w:left w:val="single" w:sz="4" w:space="0" w:color="000000"/>
              <w:bottom w:val="single" w:sz="4" w:space="0" w:color="000000"/>
              <w:right w:val="single" w:sz="4" w:space="0" w:color="000000"/>
            </w:tcBorders>
            <w:shd w:val="clear" w:color="auto" w:fill="auto"/>
            <w:tcMar>
              <w:top w:w="9" w:type="dxa"/>
              <w:left w:w="26" w:type="dxa"/>
              <w:bottom w:w="0" w:type="dxa"/>
              <w:right w:w="72" w:type="dxa"/>
            </w:tcMar>
          </w:tcPr>
          <w:p w:rsidR="009B4233" w:rsidRDefault="006B08B9">
            <w:pPr>
              <w:ind w:left="62"/>
              <w:jc w:val="center"/>
            </w:pPr>
            <w:r>
              <w:rPr>
                <w:rFonts w:ascii="Arial" w:eastAsia="Calibri" w:hAnsi="Arial" w:cs="Arial"/>
                <w:sz w:val="22"/>
                <w:szCs w:val="22"/>
              </w:rPr>
              <w:t>621.419,47 €</w:t>
            </w:r>
          </w:p>
        </w:tc>
        <w:tc>
          <w:tcPr>
            <w:tcW w:w="1313" w:type="dxa"/>
            <w:tcBorders>
              <w:top w:val="single" w:sz="4" w:space="0" w:color="000000"/>
              <w:left w:val="single" w:sz="4" w:space="0" w:color="000000"/>
              <w:bottom w:val="single" w:sz="4" w:space="0" w:color="000000"/>
              <w:right w:val="single" w:sz="4" w:space="0" w:color="000000"/>
            </w:tcBorders>
            <w:shd w:val="clear" w:color="auto" w:fill="auto"/>
            <w:tcMar>
              <w:top w:w="9" w:type="dxa"/>
              <w:left w:w="26" w:type="dxa"/>
              <w:bottom w:w="0" w:type="dxa"/>
              <w:right w:w="72" w:type="dxa"/>
            </w:tcMar>
          </w:tcPr>
          <w:p w:rsidR="009B4233" w:rsidRDefault="006B08B9">
            <w:pPr>
              <w:ind w:left="62"/>
              <w:jc w:val="center"/>
            </w:pPr>
            <w:r>
              <w:rPr>
                <w:rFonts w:ascii="Arial" w:eastAsia="Calibri" w:hAnsi="Arial" w:cs="Arial"/>
                <w:sz w:val="22"/>
                <w:szCs w:val="22"/>
              </w:rPr>
              <w:t>621.419,47 €</w:t>
            </w:r>
          </w:p>
        </w:tc>
        <w:tc>
          <w:tcPr>
            <w:tcW w:w="1313" w:type="dxa"/>
            <w:tcBorders>
              <w:top w:val="single" w:sz="4" w:space="0" w:color="000000"/>
              <w:left w:val="single" w:sz="4" w:space="0" w:color="000000"/>
              <w:bottom w:val="single" w:sz="4" w:space="0" w:color="000000"/>
              <w:right w:val="single" w:sz="4" w:space="0" w:color="000000"/>
            </w:tcBorders>
            <w:shd w:val="clear" w:color="auto" w:fill="auto"/>
            <w:tcMar>
              <w:top w:w="9" w:type="dxa"/>
              <w:left w:w="26" w:type="dxa"/>
              <w:bottom w:w="0" w:type="dxa"/>
              <w:right w:w="72" w:type="dxa"/>
            </w:tcMar>
          </w:tcPr>
          <w:p w:rsidR="009B4233" w:rsidRDefault="006B08B9">
            <w:pPr>
              <w:ind w:left="54"/>
              <w:jc w:val="center"/>
            </w:pPr>
            <w:r>
              <w:rPr>
                <w:rFonts w:ascii="Arial" w:eastAsia="Calibri" w:hAnsi="Arial" w:cs="Arial"/>
                <w:sz w:val="22"/>
                <w:szCs w:val="22"/>
              </w:rPr>
              <w:t>0,00 €</w:t>
            </w:r>
          </w:p>
        </w:tc>
        <w:tc>
          <w:tcPr>
            <w:tcW w:w="1313" w:type="dxa"/>
            <w:tcBorders>
              <w:top w:val="single" w:sz="4" w:space="0" w:color="000000"/>
              <w:left w:val="single" w:sz="4" w:space="0" w:color="000000"/>
              <w:bottom w:val="single" w:sz="4" w:space="0" w:color="000000"/>
              <w:right w:val="single" w:sz="4" w:space="0" w:color="000000"/>
            </w:tcBorders>
            <w:shd w:val="clear" w:color="auto" w:fill="D9D9D9"/>
            <w:tcMar>
              <w:top w:w="9" w:type="dxa"/>
              <w:left w:w="26" w:type="dxa"/>
              <w:bottom w:w="0" w:type="dxa"/>
              <w:right w:w="72" w:type="dxa"/>
            </w:tcMar>
          </w:tcPr>
          <w:p w:rsidR="009B4233" w:rsidRDefault="006B08B9">
            <w:pPr>
              <w:ind w:left="60"/>
            </w:pPr>
            <w:r>
              <w:rPr>
                <w:rFonts w:ascii="Arial" w:eastAsia="Calibri" w:hAnsi="Arial" w:cs="Arial"/>
                <w:sz w:val="22"/>
                <w:szCs w:val="22"/>
              </w:rPr>
              <w:t>1.864.258,41 €</w:t>
            </w:r>
          </w:p>
        </w:tc>
      </w:tr>
      <w:tr w:rsidR="009B4233">
        <w:tblPrEx>
          <w:tblCellMar>
            <w:top w:w="0" w:type="dxa"/>
            <w:bottom w:w="0" w:type="dxa"/>
          </w:tblCellMar>
        </w:tblPrEx>
        <w:trPr>
          <w:trHeight w:val="328"/>
        </w:trPr>
        <w:tc>
          <w:tcPr>
            <w:tcW w:w="1417" w:type="dxa"/>
            <w:tcBorders>
              <w:top w:val="single" w:sz="4" w:space="0" w:color="000000"/>
              <w:left w:val="single" w:sz="4" w:space="0" w:color="C0C0C0"/>
              <w:bottom w:val="single" w:sz="4" w:space="0" w:color="C0C0C0"/>
              <w:right w:val="single" w:sz="4" w:space="0" w:color="000000"/>
            </w:tcBorders>
            <w:shd w:val="clear" w:color="auto" w:fill="auto"/>
            <w:tcMar>
              <w:top w:w="9" w:type="dxa"/>
              <w:left w:w="26" w:type="dxa"/>
              <w:bottom w:w="0" w:type="dxa"/>
              <w:right w:w="72" w:type="dxa"/>
            </w:tcMar>
          </w:tcPr>
          <w:p w:rsidR="009B4233" w:rsidRDefault="006B08B9">
            <w:r>
              <w:rPr>
                <w:rFonts w:ascii="Arial" w:eastAsia="Calibri" w:hAnsi="Arial" w:cs="Arial"/>
                <w:b/>
                <w:sz w:val="22"/>
                <w:szCs w:val="22"/>
              </w:rPr>
              <w:t>Total</w:t>
            </w:r>
          </w:p>
        </w:tc>
        <w:tc>
          <w:tcPr>
            <w:tcW w:w="1313" w:type="dxa"/>
            <w:tcBorders>
              <w:top w:val="single" w:sz="4" w:space="0" w:color="000000"/>
              <w:left w:val="single" w:sz="4" w:space="0" w:color="000000"/>
              <w:bottom w:val="single" w:sz="4" w:space="0" w:color="000000"/>
              <w:right w:val="single" w:sz="4" w:space="0" w:color="000000"/>
            </w:tcBorders>
            <w:shd w:val="clear" w:color="auto" w:fill="D9D9D9"/>
            <w:tcMar>
              <w:top w:w="9" w:type="dxa"/>
              <w:left w:w="26" w:type="dxa"/>
              <w:bottom w:w="0" w:type="dxa"/>
              <w:right w:w="72" w:type="dxa"/>
            </w:tcMar>
          </w:tcPr>
          <w:p w:rsidR="009B4233" w:rsidRDefault="006B08B9">
            <w:pPr>
              <w:ind w:left="60"/>
            </w:pPr>
            <w:r>
              <w:rPr>
                <w:rFonts w:ascii="Arial" w:eastAsia="Calibri" w:hAnsi="Arial" w:cs="Arial"/>
                <w:b/>
                <w:sz w:val="22"/>
                <w:szCs w:val="22"/>
              </w:rPr>
              <w:t xml:space="preserve">2.369.143,58 </w:t>
            </w:r>
          </w:p>
          <w:p w:rsidR="009B4233" w:rsidRDefault="006B08B9">
            <w:pPr>
              <w:ind w:left="60"/>
            </w:pPr>
            <w:r>
              <w:rPr>
                <w:rFonts w:ascii="Arial" w:eastAsia="Calibri" w:hAnsi="Arial" w:cs="Arial"/>
                <w:b/>
                <w:sz w:val="22"/>
                <w:szCs w:val="22"/>
              </w:rPr>
              <w:t>€</w:t>
            </w:r>
          </w:p>
        </w:tc>
        <w:tc>
          <w:tcPr>
            <w:tcW w:w="1148" w:type="dxa"/>
            <w:tcBorders>
              <w:top w:val="single" w:sz="4" w:space="0" w:color="000000"/>
              <w:left w:val="single" w:sz="4" w:space="0" w:color="000000"/>
              <w:bottom w:val="single" w:sz="4" w:space="0" w:color="000000"/>
              <w:right w:val="single" w:sz="4" w:space="0" w:color="000000"/>
            </w:tcBorders>
            <w:shd w:val="clear" w:color="auto" w:fill="D9D9D9"/>
            <w:tcMar>
              <w:top w:w="9" w:type="dxa"/>
              <w:left w:w="26" w:type="dxa"/>
              <w:bottom w:w="0" w:type="dxa"/>
              <w:right w:w="72" w:type="dxa"/>
            </w:tcMar>
          </w:tcPr>
          <w:p w:rsidR="009B4233" w:rsidRDefault="006B08B9">
            <w:pPr>
              <w:ind w:left="60"/>
            </w:pPr>
            <w:r>
              <w:rPr>
                <w:rFonts w:ascii="Arial" w:eastAsia="Calibri" w:hAnsi="Arial" w:cs="Arial"/>
                <w:b/>
                <w:sz w:val="22"/>
                <w:szCs w:val="22"/>
              </w:rPr>
              <w:t xml:space="preserve">621.419,47 </w:t>
            </w:r>
          </w:p>
          <w:p w:rsidR="009B4233" w:rsidRDefault="006B08B9">
            <w:pPr>
              <w:ind w:left="60"/>
            </w:pPr>
            <w:r>
              <w:rPr>
                <w:rFonts w:ascii="Arial" w:eastAsia="Calibri" w:hAnsi="Arial" w:cs="Arial"/>
                <w:b/>
                <w:sz w:val="22"/>
                <w:szCs w:val="22"/>
              </w:rPr>
              <w:t>€</w:t>
            </w:r>
          </w:p>
        </w:tc>
        <w:tc>
          <w:tcPr>
            <w:tcW w:w="597" w:type="dxa"/>
            <w:tcBorders>
              <w:top w:val="single" w:sz="4" w:space="0" w:color="000000"/>
              <w:left w:val="single" w:sz="4" w:space="0" w:color="000000"/>
              <w:bottom w:val="single" w:sz="4" w:space="0" w:color="000000"/>
              <w:right w:val="single" w:sz="4" w:space="0" w:color="000000"/>
            </w:tcBorders>
            <w:shd w:val="clear" w:color="auto" w:fill="D9D9D9"/>
            <w:tcMar>
              <w:top w:w="9" w:type="dxa"/>
              <w:left w:w="26" w:type="dxa"/>
              <w:bottom w:w="0" w:type="dxa"/>
              <w:right w:w="72" w:type="dxa"/>
            </w:tcMar>
          </w:tcPr>
          <w:p w:rsidR="009B4233" w:rsidRDefault="006B08B9">
            <w:pPr>
              <w:ind w:left="62"/>
              <w:jc w:val="center"/>
            </w:pPr>
            <w:r>
              <w:rPr>
                <w:rFonts w:ascii="Arial" w:eastAsia="Calibri" w:hAnsi="Arial" w:cs="Arial"/>
                <w:b/>
                <w:sz w:val="22"/>
                <w:szCs w:val="22"/>
              </w:rPr>
              <w:t>0,00 €</w:t>
            </w:r>
          </w:p>
        </w:tc>
        <w:tc>
          <w:tcPr>
            <w:tcW w:w="1150" w:type="dxa"/>
            <w:tcBorders>
              <w:top w:val="single" w:sz="4" w:space="0" w:color="000000"/>
              <w:left w:val="single" w:sz="4" w:space="0" w:color="000000"/>
              <w:bottom w:val="single" w:sz="4" w:space="0" w:color="000000"/>
              <w:right w:val="single" w:sz="4" w:space="0" w:color="000000"/>
            </w:tcBorders>
            <w:shd w:val="clear" w:color="auto" w:fill="D9D9D9"/>
            <w:tcMar>
              <w:top w:w="9" w:type="dxa"/>
              <w:left w:w="26" w:type="dxa"/>
              <w:bottom w:w="0" w:type="dxa"/>
              <w:right w:w="72" w:type="dxa"/>
            </w:tcMar>
          </w:tcPr>
          <w:p w:rsidR="009B4233" w:rsidRDefault="006B08B9">
            <w:pPr>
              <w:ind w:left="62"/>
              <w:jc w:val="center"/>
            </w:pPr>
            <w:r>
              <w:rPr>
                <w:rFonts w:ascii="Arial" w:eastAsia="Calibri" w:hAnsi="Arial" w:cs="Arial"/>
                <w:b/>
                <w:sz w:val="22"/>
                <w:szCs w:val="22"/>
              </w:rPr>
              <w:t>621.419,47 €</w:t>
            </w:r>
          </w:p>
        </w:tc>
        <w:tc>
          <w:tcPr>
            <w:tcW w:w="1313" w:type="dxa"/>
            <w:tcBorders>
              <w:top w:val="single" w:sz="4" w:space="0" w:color="000000"/>
              <w:left w:val="single" w:sz="4" w:space="0" w:color="000000"/>
              <w:bottom w:val="single" w:sz="4" w:space="0" w:color="000000"/>
              <w:right w:val="single" w:sz="4" w:space="0" w:color="000000"/>
            </w:tcBorders>
            <w:shd w:val="clear" w:color="auto" w:fill="D9D9D9"/>
            <w:tcMar>
              <w:top w:w="9" w:type="dxa"/>
              <w:left w:w="26" w:type="dxa"/>
              <w:bottom w:w="0" w:type="dxa"/>
              <w:right w:w="72" w:type="dxa"/>
            </w:tcMar>
          </w:tcPr>
          <w:p w:rsidR="009B4233" w:rsidRDefault="006B08B9">
            <w:pPr>
              <w:ind w:left="60"/>
            </w:pPr>
            <w:r>
              <w:rPr>
                <w:rFonts w:ascii="Arial" w:eastAsia="Calibri" w:hAnsi="Arial" w:cs="Arial"/>
                <w:b/>
                <w:sz w:val="22"/>
                <w:szCs w:val="22"/>
              </w:rPr>
              <w:t xml:space="preserve">3.165.364,50 </w:t>
            </w:r>
          </w:p>
          <w:p w:rsidR="009B4233" w:rsidRDefault="006B08B9">
            <w:pPr>
              <w:ind w:left="60"/>
            </w:pPr>
            <w:r>
              <w:rPr>
                <w:rFonts w:ascii="Arial" w:eastAsia="Calibri" w:hAnsi="Arial" w:cs="Arial"/>
                <w:b/>
                <w:sz w:val="22"/>
                <w:szCs w:val="22"/>
              </w:rPr>
              <w:t>€</w:t>
            </w:r>
          </w:p>
        </w:tc>
        <w:tc>
          <w:tcPr>
            <w:tcW w:w="1313" w:type="dxa"/>
            <w:tcBorders>
              <w:top w:val="single" w:sz="4" w:space="0" w:color="000000"/>
              <w:left w:val="single" w:sz="4" w:space="0" w:color="000000"/>
              <w:bottom w:val="single" w:sz="4" w:space="0" w:color="000000"/>
              <w:right w:val="single" w:sz="4" w:space="0" w:color="000000"/>
            </w:tcBorders>
            <w:shd w:val="clear" w:color="auto" w:fill="D9D9D9"/>
            <w:tcMar>
              <w:top w:w="9" w:type="dxa"/>
              <w:left w:w="26" w:type="dxa"/>
              <w:bottom w:w="0" w:type="dxa"/>
              <w:right w:w="72" w:type="dxa"/>
            </w:tcMar>
          </w:tcPr>
          <w:p w:rsidR="009B4233" w:rsidRDefault="006B08B9">
            <w:pPr>
              <w:ind w:left="60"/>
            </w:pPr>
            <w:r>
              <w:rPr>
                <w:rFonts w:ascii="Arial" w:eastAsia="Calibri" w:hAnsi="Arial" w:cs="Arial"/>
                <w:b/>
                <w:sz w:val="22"/>
                <w:szCs w:val="22"/>
              </w:rPr>
              <w:t xml:space="preserve">2.543.945,03 </w:t>
            </w:r>
          </w:p>
          <w:p w:rsidR="009B4233" w:rsidRDefault="006B08B9">
            <w:pPr>
              <w:ind w:left="60"/>
            </w:pPr>
            <w:r>
              <w:rPr>
                <w:rFonts w:ascii="Arial" w:eastAsia="Calibri" w:hAnsi="Arial" w:cs="Arial"/>
                <w:b/>
                <w:sz w:val="22"/>
                <w:szCs w:val="22"/>
              </w:rPr>
              <w:t>€</w:t>
            </w:r>
          </w:p>
        </w:tc>
        <w:tc>
          <w:tcPr>
            <w:tcW w:w="1313" w:type="dxa"/>
            <w:tcBorders>
              <w:top w:val="single" w:sz="4" w:space="0" w:color="000000"/>
              <w:left w:val="single" w:sz="4" w:space="0" w:color="000000"/>
              <w:bottom w:val="single" w:sz="4" w:space="0" w:color="000000"/>
              <w:right w:val="single" w:sz="4" w:space="0" w:color="000000"/>
            </w:tcBorders>
            <w:shd w:val="clear" w:color="auto" w:fill="D9D9D9"/>
            <w:tcMar>
              <w:top w:w="9" w:type="dxa"/>
              <w:left w:w="26" w:type="dxa"/>
              <w:bottom w:w="0" w:type="dxa"/>
              <w:right w:w="72" w:type="dxa"/>
            </w:tcMar>
          </w:tcPr>
          <w:p w:rsidR="009B4233" w:rsidRDefault="006B08B9">
            <w:pPr>
              <w:ind w:left="60"/>
            </w:pPr>
            <w:r>
              <w:rPr>
                <w:rFonts w:ascii="Arial" w:eastAsia="Calibri" w:hAnsi="Arial" w:cs="Arial"/>
                <w:b/>
                <w:sz w:val="22"/>
                <w:szCs w:val="22"/>
              </w:rPr>
              <w:t>9.321.292,05 €</w:t>
            </w:r>
          </w:p>
        </w:tc>
      </w:tr>
    </w:tbl>
    <w:p w:rsidR="009B4233" w:rsidRDefault="009B4233">
      <w:pPr>
        <w:spacing w:after="211" w:line="251" w:lineRule="auto"/>
        <w:ind w:left="5" w:right="46" w:hanging="10"/>
        <w:jc w:val="both"/>
        <w:rPr>
          <w:rFonts w:ascii="Arial" w:eastAsia="Calibri" w:hAnsi="Arial" w:cs="Arial"/>
          <w:sz w:val="22"/>
          <w:szCs w:val="22"/>
        </w:rPr>
      </w:pPr>
    </w:p>
    <w:p w:rsidR="009B4233" w:rsidRDefault="006B08B9">
      <w:pPr>
        <w:spacing w:after="211" w:line="251" w:lineRule="auto"/>
        <w:ind w:left="5" w:right="46" w:hanging="10"/>
        <w:jc w:val="both"/>
      </w:pPr>
      <w:r>
        <w:rPr>
          <w:rFonts w:ascii="Arial" w:eastAsia="Calibri" w:hAnsi="Arial" w:cs="Arial"/>
          <w:sz w:val="22"/>
          <w:szCs w:val="22"/>
        </w:rPr>
        <w:t>En el mencionado Acuerdo del Consejo de Gobierno Insular se modificó además el plazo de ejecución y justificación</w:t>
      </w:r>
      <w:r>
        <w:rPr>
          <w:rFonts w:ascii="Arial" w:eastAsia="Calibri" w:hAnsi="Arial" w:cs="Arial"/>
          <w:b/>
          <w:sz w:val="22"/>
          <w:szCs w:val="22"/>
        </w:rPr>
        <w:t xml:space="preserve"> </w:t>
      </w:r>
      <w:r>
        <w:rPr>
          <w:rFonts w:ascii="Arial" w:eastAsia="Calibri" w:hAnsi="Arial" w:cs="Arial"/>
          <w:sz w:val="22"/>
          <w:szCs w:val="22"/>
        </w:rPr>
        <w:t>de las anualidades 2023 y 2024, hasta el 10 de septiembre</w:t>
      </w:r>
      <w:r>
        <w:rPr>
          <w:rFonts w:ascii="Arial" w:eastAsia="Calibri" w:hAnsi="Arial" w:cs="Arial"/>
          <w:sz w:val="22"/>
          <w:szCs w:val="22"/>
        </w:rPr>
        <w:t xml:space="preserve"> y 10 de noviembre de 2026 respectivamente, manteniendo para las anualidades siguientes (2026, 2027 y 2028), el plazo de ejecución y justificación, el 10 de septiembre y 10 de noviembre de la anualidad siguiente al del ejercicio en que sean abonadas, confo</w:t>
      </w:r>
      <w:r>
        <w:rPr>
          <w:rFonts w:ascii="Arial" w:eastAsia="Calibri" w:hAnsi="Arial" w:cs="Arial"/>
          <w:sz w:val="22"/>
          <w:szCs w:val="22"/>
        </w:rPr>
        <w:t>rme establecen las normas del Plan. En todo caso, las restantes anualidades no se abonarán hasta que se proceda, por el Ayuntamiento, a la justificación de los fondos recibidos con anterioridad.</w:t>
      </w:r>
      <w:r>
        <w:rPr>
          <w:rFonts w:ascii="Arial" w:eastAsia="Calibri" w:hAnsi="Arial" w:cs="Arial"/>
          <w:b/>
          <w:sz w:val="22"/>
          <w:szCs w:val="22"/>
        </w:rPr>
        <w:t xml:space="preserve"> </w:t>
      </w:r>
    </w:p>
    <w:p w:rsidR="009B4233" w:rsidRDefault="006B08B9">
      <w:pPr>
        <w:spacing w:after="174" w:line="251" w:lineRule="auto"/>
        <w:ind w:left="5" w:right="46" w:hanging="10"/>
        <w:jc w:val="both"/>
      </w:pPr>
      <w:r>
        <w:rPr>
          <w:rFonts w:ascii="Arial" w:eastAsia="Calibri" w:hAnsi="Arial" w:cs="Arial"/>
          <w:b/>
          <w:sz w:val="22"/>
          <w:szCs w:val="22"/>
        </w:rPr>
        <w:t>Resultando</w:t>
      </w:r>
      <w:r>
        <w:rPr>
          <w:rFonts w:ascii="Arial" w:eastAsia="Calibri" w:hAnsi="Arial" w:cs="Arial"/>
          <w:sz w:val="22"/>
          <w:szCs w:val="22"/>
        </w:rPr>
        <w:t xml:space="preserve"> que, tras establecimiento de nuevos límites presu</w:t>
      </w:r>
      <w:r>
        <w:rPr>
          <w:rFonts w:ascii="Arial" w:eastAsia="Calibri" w:hAnsi="Arial" w:cs="Arial"/>
          <w:sz w:val="22"/>
          <w:szCs w:val="22"/>
        </w:rPr>
        <w:t xml:space="preserve">puestarios para gastos de inversión del área de Cultura, con fecha 26 de agosto de 2025 el Servicio Administrativo de Cultura remitió al Ayuntamiento de Candelaria nueva propuesta de financiación de la citada actuación, con la siguiente distribución, a la </w:t>
      </w:r>
      <w:r>
        <w:rPr>
          <w:rFonts w:ascii="Arial" w:eastAsia="Calibri" w:hAnsi="Arial" w:cs="Arial"/>
          <w:sz w:val="22"/>
          <w:szCs w:val="22"/>
        </w:rPr>
        <w:t xml:space="preserve">cual prestó conformidad con fecha 27 de agosto de 2025: </w:t>
      </w:r>
    </w:p>
    <w:p w:rsidR="009B4233" w:rsidRDefault="009B4233">
      <w:pPr>
        <w:spacing w:after="174" w:line="251" w:lineRule="auto"/>
        <w:ind w:left="5" w:right="46" w:hanging="10"/>
        <w:jc w:val="both"/>
        <w:rPr>
          <w:rFonts w:ascii="Arial" w:hAnsi="Arial" w:cs="Arial"/>
          <w:sz w:val="22"/>
          <w:szCs w:val="22"/>
        </w:rPr>
      </w:pPr>
    </w:p>
    <w:p w:rsidR="009B4233" w:rsidRDefault="009B4233">
      <w:pPr>
        <w:spacing w:after="174" w:line="251" w:lineRule="auto"/>
        <w:ind w:left="5" w:right="46" w:hanging="10"/>
        <w:jc w:val="both"/>
        <w:rPr>
          <w:rFonts w:ascii="Arial" w:hAnsi="Arial" w:cs="Arial"/>
          <w:sz w:val="22"/>
          <w:szCs w:val="22"/>
        </w:rPr>
      </w:pPr>
    </w:p>
    <w:p w:rsidR="009B4233" w:rsidRDefault="006B08B9">
      <w:pPr>
        <w:tabs>
          <w:tab w:val="center" w:pos="1344"/>
          <w:tab w:val="center" w:pos="2198"/>
          <w:tab w:val="center" w:pos="2946"/>
          <w:tab w:val="center" w:pos="3738"/>
          <w:tab w:val="center" w:pos="4646"/>
          <w:tab w:val="center" w:pos="5552"/>
          <w:tab w:val="center" w:pos="6458"/>
          <w:tab w:val="center" w:pos="7318"/>
        </w:tabs>
        <w:spacing w:after="30" w:line="218" w:lineRule="auto"/>
      </w:pPr>
      <w:r>
        <w:rPr>
          <w:rFonts w:ascii="Arial" w:hAnsi="Arial" w:cs="Arial"/>
          <w:sz w:val="22"/>
          <w:szCs w:val="22"/>
        </w:rPr>
        <w:tab/>
      </w:r>
      <w:r>
        <w:rPr>
          <w:rFonts w:ascii="Arial" w:eastAsia="Calibri" w:hAnsi="Arial" w:cs="Arial"/>
          <w:sz w:val="22"/>
          <w:szCs w:val="22"/>
        </w:rPr>
        <w:t>2023</w:t>
      </w:r>
      <w:r>
        <w:rPr>
          <w:rFonts w:ascii="Arial" w:eastAsia="Calibri" w:hAnsi="Arial" w:cs="Arial"/>
          <w:sz w:val="22"/>
          <w:szCs w:val="22"/>
        </w:rPr>
        <w:tab/>
        <w:t>2024</w:t>
      </w:r>
      <w:r>
        <w:rPr>
          <w:rFonts w:ascii="Arial" w:eastAsia="Calibri" w:hAnsi="Arial" w:cs="Arial"/>
          <w:sz w:val="22"/>
          <w:szCs w:val="22"/>
        </w:rPr>
        <w:tab/>
        <w:t>2025</w:t>
      </w:r>
      <w:r>
        <w:rPr>
          <w:rFonts w:ascii="Arial" w:eastAsia="Calibri" w:hAnsi="Arial" w:cs="Arial"/>
          <w:sz w:val="22"/>
          <w:szCs w:val="22"/>
        </w:rPr>
        <w:tab/>
        <w:t>2026</w:t>
      </w:r>
      <w:r>
        <w:rPr>
          <w:rFonts w:ascii="Arial" w:eastAsia="Calibri" w:hAnsi="Arial" w:cs="Arial"/>
          <w:sz w:val="22"/>
          <w:szCs w:val="22"/>
        </w:rPr>
        <w:tab/>
        <w:t>2027</w:t>
      </w:r>
      <w:r>
        <w:rPr>
          <w:rFonts w:ascii="Arial" w:eastAsia="Calibri" w:hAnsi="Arial" w:cs="Arial"/>
          <w:sz w:val="22"/>
          <w:szCs w:val="22"/>
        </w:rPr>
        <w:tab/>
        <w:t>2028</w:t>
      </w:r>
      <w:r>
        <w:rPr>
          <w:rFonts w:ascii="Arial" w:eastAsia="Calibri" w:hAnsi="Arial" w:cs="Arial"/>
          <w:sz w:val="22"/>
          <w:szCs w:val="22"/>
        </w:rPr>
        <w:tab/>
        <w:t>2029</w:t>
      </w:r>
      <w:r>
        <w:rPr>
          <w:rFonts w:ascii="Arial" w:eastAsia="Calibri" w:hAnsi="Arial" w:cs="Arial"/>
          <w:sz w:val="22"/>
          <w:szCs w:val="22"/>
        </w:rPr>
        <w:tab/>
        <w:t>Total</w:t>
      </w:r>
    </w:p>
    <w:tbl>
      <w:tblPr>
        <w:tblW w:w="7716" w:type="dxa"/>
        <w:tblInd w:w="-8" w:type="dxa"/>
        <w:tblCellMar>
          <w:left w:w="10" w:type="dxa"/>
          <w:right w:w="10" w:type="dxa"/>
        </w:tblCellMar>
        <w:tblLook w:val="0000" w:firstRow="0" w:lastRow="0" w:firstColumn="0" w:lastColumn="0" w:noHBand="0" w:noVBand="0"/>
      </w:tblPr>
      <w:tblGrid>
        <w:gridCol w:w="1264"/>
        <w:gridCol w:w="1165"/>
        <w:gridCol w:w="1019"/>
        <w:gridCol w:w="471"/>
        <w:gridCol w:w="1015"/>
        <w:gridCol w:w="1167"/>
        <w:gridCol w:w="1165"/>
        <w:gridCol w:w="1165"/>
        <w:gridCol w:w="1131"/>
      </w:tblGrid>
      <w:tr w:rsidR="009B4233">
        <w:tblPrEx>
          <w:tblCellMar>
            <w:top w:w="0" w:type="dxa"/>
            <w:bottom w:w="0" w:type="dxa"/>
          </w:tblCellMar>
        </w:tblPrEx>
        <w:trPr>
          <w:trHeight w:val="413"/>
        </w:trPr>
        <w:tc>
          <w:tcPr>
            <w:tcW w:w="1264" w:type="dxa"/>
            <w:tcBorders>
              <w:top w:val="single" w:sz="4" w:space="0" w:color="C0C0C0"/>
              <w:left w:val="single" w:sz="4" w:space="0" w:color="C0C0C0"/>
              <w:bottom w:val="single" w:sz="4" w:space="0" w:color="C0C0C0"/>
              <w:right w:val="single" w:sz="4" w:space="0" w:color="000000"/>
            </w:tcBorders>
            <w:shd w:val="clear" w:color="auto" w:fill="auto"/>
            <w:tcMar>
              <w:top w:w="8" w:type="dxa"/>
              <w:left w:w="24" w:type="dxa"/>
              <w:bottom w:w="0" w:type="dxa"/>
              <w:right w:w="59" w:type="dxa"/>
            </w:tcMar>
          </w:tcPr>
          <w:p w:rsidR="009B4233" w:rsidRDefault="009B4233">
            <w:pPr>
              <w:rPr>
                <w:rFonts w:ascii="Arial" w:hAnsi="Arial" w:cs="Arial"/>
                <w:sz w:val="22"/>
                <w:szCs w:val="22"/>
              </w:rPr>
            </w:pPr>
          </w:p>
        </w:tc>
        <w:tc>
          <w:tcPr>
            <w:tcW w:w="1165" w:type="dxa"/>
            <w:tcBorders>
              <w:top w:val="single" w:sz="4" w:space="0" w:color="000000"/>
              <w:left w:val="single" w:sz="4" w:space="0" w:color="000000"/>
              <w:bottom w:val="single" w:sz="4" w:space="0" w:color="000000"/>
              <w:right w:val="single" w:sz="4" w:space="0" w:color="000000"/>
            </w:tcBorders>
            <w:shd w:val="clear" w:color="auto" w:fill="auto"/>
            <w:tcMar>
              <w:top w:w="8" w:type="dxa"/>
              <w:left w:w="24" w:type="dxa"/>
              <w:bottom w:w="0" w:type="dxa"/>
              <w:right w:w="59" w:type="dxa"/>
            </w:tcMar>
          </w:tcPr>
          <w:p w:rsidR="009B4233" w:rsidRDefault="009B4233">
            <w:pPr>
              <w:rPr>
                <w:rFonts w:ascii="Arial" w:hAnsi="Arial" w:cs="Arial"/>
                <w:sz w:val="22"/>
                <w:szCs w:val="22"/>
              </w:rPr>
            </w:pPr>
          </w:p>
        </w:tc>
        <w:tc>
          <w:tcPr>
            <w:tcW w:w="1019" w:type="dxa"/>
            <w:tcBorders>
              <w:top w:val="single" w:sz="4" w:space="0" w:color="000000"/>
              <w:left w:val="single" w:sz="4" w:space="0" w:color="000000"/>
              <w:bottom w:val="single" w:sz="4" w:space="0" w:color="000000"/>
              <w:right w:val="single" w:sz="4" w:space="0" w:color="000000"/>
            </w:tcBorders>
            <w:shd w:val="clear" w:color="auto" w:fill="auto"/>
            <w:tcMar>
              <w:top w:w="8" w:type="dxa"/>
              <w:left w:w="24" w:type="dxa"/>
              <w:bottom w:w="0" w:type="dxa"/>
              <w:right w:w="59" w:type="dxa"/>
            </w:tcMar>
          </w:tcPr>
          <w:p w:rsidR="009B4233" w:rsidRDefault="009B4233">
            <w:pPr>
              <w:rPr>
                <w:rFonts w:ascii="Arial" w:hAnsi="Arial" w:cs="Arial"/>
                <w:sz w:val="22"/>
                <w:szCs w:val="22"/>
              </w:rPr>
            </w:pPr>
          </w:p>
        </w:tc>
        <w:tc>
          <w:tcPr>
            <w:tcW w:w="471" w:type="dxa"/>
            <w:tcBorders>
              <w:top w:val="single" w:sz="4" w:space="0" w:color="000000"/>
              <w:left w:val="single" w:sz="4" w:space="0" w:color="000000"/>
              <w:bottom w:val="single" w:sz="4" w:space="0" w:color="000000"/>
              <w:right w:val="single" w:sz="4" w:space="0" w:color="000000"/>
            </w:tcBorders>
            <w:shd w:val="clear" w:color="auto" w:fill="auto"/>
            <w:tcMar>
              <w:top w:w="8" w:type="dxa"/>
              <w:left w:w="24" w:type="dxa"/>
              <w:bottom w:w="0" w:type="dxa"/>
              <w:right w:w="59" w:type="dxa"/>
            </w:tcMar>
          </w:tcPr>
          <w:p w:rsidR="009B4233" w:rsidRDefault="009B4233">
            <w:pPr>
              <w:rPr>
                <w:rFonts w:ascii="Arial" w:hAnsi="Arial" w:cs="Arial"/>
                <w:sz w:val="22"/>
                <w:szCs w:val="22"/>
              </w:rPr>
            </w:pPr>
          </w:p>
        </w:tc>
        <w:tc>
          <w:tcPr>
            <w:tcW w:w="1015" w:type="dxa"/>
            <w:tcBorders>
              <w:top w:val="single" w:sz="4" w:space="0" w:color="000000"/>
              <w:left w:val="single" w:sz="4" w:space="0" w:color="000000"/>
              <w:bottom w:val="single" w:sz="4" w:space="0" w:color="000000"/>
              <w:right w:val="single" w:sz="4" w:space="0" w:color="000000"/>
            </w:tcBorders>
            <w:shd w:val="clear" w:color="auto" w:fill="auto"/>
            <w:tcMar>
              <w:top w:w="8" w:type="dxa"/>
              <w:left w:w="24" w:type="dxa"/>
              <w:bottom w:w="0" w:type="dxa"/>
              <w:right w:w="59" w:type="dxa"/>
            </w:tcMar>
          </w:tcPr>
          <w:p w:rsidR="009B4233" w:rsidRDefault="009B4233">
            <w:pPr>
              <w:rPr>
                <w:rFonts w:ascii="Arial" w:hAnsi="Arial" w:cs="Arial"/>
                <w:sz w:val="22"/>
                <w:szCs w:val="22"/>
              </w:rPr>
            </w:pPr>
          </w:p>
        </w:tc>
        <w:tc>
          <w:tcPr>
            <w:tcW w:w="1167" w:type="dxa"/>
            <w:tcBorders>
              <w:top w:val="single" w:sz="4" w:space="0" w:color="000000"/>
              <w:left w:val="single" w:sz="4" w:space="0" w:color="000000"/>
              <w:bottom w:val="single" w:sz="4" w:space="0" w:color="000000"/>
              <w:right w:val="single" w:sz="4" w:space="0" w:color="000000"/>
            </w:tcBorders>
            <w:shd w:val="clear" w:color="auto" w:fill="auto"/>
            <w:tcMar>
              <w:top w:w="8" w:type="dxa"/>
              <w:left w:w="24" w:type="dxa"/>
              <w:bottom w:w="0" w:type="dxa"/>
              <w:right w:w="59" w:type="dxa"/>
            </w:tcMar>
          </w:tcPr>
          <w:p w:rsidR="009B4233" w:rsidRDefault="009B4233">
            <w:pPr>
              <w:rPr>
                <w:rFonts w:ascii="Arial" w:hAnsi="Arial" w:cs="Arial"/>
                <w:sz w:val="22"/>
                <w:szCs w:val="22"/>
              </w:rPr>
            </w:pPr>
          </w:p>
        </w:tc>
        <w:tc>
          <w:tcPr>
            <w:tcW w:w="1165" w:type="dxa"/>
            <w:tcBorders>
              <w:top w:val="single" w:sz="4" w:space="0" w:color="000000"/>
              <w:left w:val="single" w:sz="4" w:space="0" w:color="000000"/>
              <w:bottom w:val="single" w:sz="4" w:space="0" w:color="000000"/>
              <w:right w:val="single" w:sz="4" w:space="0" w:color="000000"/>
            </w:tcBorders>
            <w:shd w:val="clear" w:color="auto" w:fill="auto"/>
            <w:tcMar>
              <w:top w:w="8" w:type="dxa"/>
              <w:left w:w="24" w:type="dxa"/>
              <w:bottom w:w="0" w:type="dxa"/>
              <w:right w:w="59" w:type="dxa"/>
            </w:tcMar>
          </w:tcPr>
          <w:p w:rsidR="009B4233" w:rsidRDefault="009B4233">
            <w:pPr>
              <w:rPr>
                <w:rFonts w:ascii="Arial" w:hAnsi="Arial" w:cs="Arial"/>
                <w:sz w:val="22"/>
                <w:szCs w:val="22"/>
              </w:rPr>
            </w:pPr>
          </w:p>
        </w:tc>
        <w:tc>
          <w:tcPr>
            <w:tcW w:w="1165" w:type="dxa"/>
            <w:tcBorders>
              <w:top w:val="single" w:sz="4" w:space="0" w:color="000000"/>
              <w:left w:val="single" w:sz="4" w:space="0" w:color="000000"/>
              <w:bottom w:val="single" w:sz="4" w:space="0" w:color="000000"/>
              <w:right w:val="single" w:sz="4" w:space="0" w:color="000000"/>
            </w:tcBorders>
            <w:shd w:val="clear" w:color="auto" w:fill="auto"/>
            <w:tcMar>
              <w:top w:w="8" w:type="dxa"/>
              <w:left w:w="24" w:type="dxa"/>
              <w:bottom w:w="0" w:type="dxa"/>
              <w:right w:w="59" w:type="dxa"/>
            </w:tcMar>
          </w:tcPr>
          <w:p w:rsidR="009B4233" w:rsidRDefault="009B4233">
            <w:pPr>
              <w:rPr>
                <w:rFonts w:ascii="Arial" w:hAnsi="Arial" w:cs="Arial"/>
                <w:sz w:val="22"/>
                <w:szCs w:val="22"/>
              </w:rPr>
            </w:pPr>
          </w:p>
        </w:tc>
        <w:tc>
          <w:tcPr>
            <w:tcW w:w="1131" w:type="dxa"/>
            <w:tcBorders>
              <w:top w:val="single" w:sz="4" w:space="0" w:color="000000"/>
              <w:left w:val="single" w:sz="4" w:space="0" w:color="000000"/>
              <w:bottom w:val="single" w:sz="4" w:space="0" w:color="000000"/>
              <w:right w:val="single" w:sz="4" w:space="0" w:color="000000"/>
            </w:tcBorders>
            <w:shd w:val="clear" w:color="auto" w:fill="auto"/>
            <w:tcMar>
              <w:top w:w="8" w:type="dxa"/>
              <w:left w:w="24" w:type="dxa"/>
              <w:bottom w:w="0" w:type="dxa"/>
              <w:right w:w="59" w:type="dxa"/>
            </w:tcMar>
          </w:tcPr>
          <w:p w:rsidR="009B4233" w:rsidRDefault="009B4233">
            <w:pPr>
              <w:rPr>
                <w:rFonts w:ascii="Arial" w:hAnsi="Arial" w:cs="Arial"/>
                <w:sz w:val="22"/>
                <w:szCs w:val="22"/>
              </w:rPr>
            </w:pPr>
          </w:p>
        </w:tc>
      </w:tr>
      <w:tr w:rsidR="009B4233">
        <w:tblPrEx>
          <w:tblCellMar>
            <w:top w:w="0" w:type="dxa"/>
            <w:bottom w:w="0" w:type="dxa"/>
          </w:tblCellMar>
        </w:tblPrEx>
        <w:trPr>
          <w:trHeight w:val="151"/>
        </w:trPr>
        <w:tc>
          <w:tcPr>
            <w:tcW w:w="1264" w:type="dxa"/>
            <w:tcBorders>
              <w:top w:val="single" w:sz="4" w:space="0" w:color="C0C0C0"/>
              <w:left w:val="single" w:sz="4" w:space="0" w:color="000000"/>
              <w:bottom w:val="single" w:sz="4" w:space="0" w:color="000000"/>
              <w:right w:val="single" w:sz="4" w:space="0" w:color="000000"/>
            </w:tcBorders>
            <w:shd w:val="clear" w:color="auto" w:fill="D9D9D9"/>
            <w:tcMar>
              <w:top w:w="8" w:type="dxa"/>
              <w:left w:w="24" w:type="dxa"/>
              <w:bottom w:w="0" w:type="dxa"/>
              <w:right w:w="59" w:type="dxa"/>
            </w:tcMar>
          </w:tcPr>
          <w:p w:rsidR="009B4233" w:rsidRDefault="006B08B9">
            <w:r>
              <w:rPr>
                <w:rFonts w:ascii="Arial" w:eastAsia="Calibri" w:hAnsi="Arial" w:cs="Arial"/>
                <w:b/>
                <w:sz w:val="22"/>
                <w:szCs w:val="22"/>
              </w:rPr>
              <w:t>Cabildo</w:t>
            </w:r>
          </w:p>
        </w:tc>
        <w:tc>
          <w:tcPr>
            <w:tcW w:w="1165" w:type="dxa"/>
            <w:tcBorders>
              <w:top w:val="single" w:sz="4" w:space="0" w:color="000000"/>
              <w:left w:val="single" w:sz="4" w:space="0" w:color="000000"/>
              <w:bottom w:val="single" w:sz="4" w:space="0" w:color="000000"/>
              <w:right w:val="single" w:sz="4" w:space="0" w:color="000000"/>
            </w:tcBorders>
            <w:shd w:val="clear" w:color="auto" w:fill="auto"/>
            <w:tcMar>
              <w:top w:w="8" w:type="dxa"/>
              <w:left w:w="24" w:type="dxa"/>
              <w:bottom w:w="0" w:type="dxa"/>
              <w:right w:w="59" w:type="dxa"/>
            </w:tcMar>
          </w:tcPr>
          <w:p w:rsidR="009B4233" w:rsidRDefault="006B08B9">
            <w:pPr>
              <w:ind w:left="52"/>
            </w:pPr>
            <w:r>
              <w:rPr>
                <w:rFonts w:ascii="Arial" w:eastAsia="Calibri" w:hAnsi="Arial" w:cs="Arial"/>
                <w:sz w:val="22"/>
                <w:szCs w:val="22"/>
              </w:rPr>
              <w:t>2.369.143,58 €</w:t>
            </w:r>
          </w:p>
        </w:tc>
        <w:tc>
          <w:tcPr>
            <w:tcW w:w="1019" w:type="dxa"/>
            <w:tcBorders>
              <w:top w:val="single" w:sz="4" w:space="0" w:color="000000"/>
              <w:left w:val="single" w:sz="4" w:space="0" w:color="000000"/>
              <w:bottom w:val="single" w:sz="4" w:space="0" w:color="000000"/>
              <w:right w:val="single" w:sz="4" w:space="0" w:color="000000"/>
            </w:tcBorders>
            <w:shd w:val="clear" w:color="auto" w:fill="auto"/>
            <w:tcMar>
              <w:top w:w="8" w:type="dxa"/>
              <w:left w:w="24" w:type="dxa"/>
              <w:bottom w:w="0" w:type="dxa"/>
              <w:right w:w="59" w:type="dxa"/>
            </w:tcMar>
          </w:tcPr>
          <w:p w:rsidR="009B4233" w:rsidRDefault="006B08B9">
            <w:pPr>
              <w:ind w:left="42"/>
              <w:jc w:val="center"/>
            </w:pPr>
            <w:r>
              <w:rPr>
                <w:rFonts w:ascii="Arial" w:eastAsia="Calibri" w:hAnsi="Arial" w:cs="Arial"/>
                <w:sz w:val="22"/>
                <w:szCs w:val="22"/>
              </w:rPr>
              <w:t>0,00 €</w:t>
            </w:r>
          </w:p>
        </w:tc>
        <w:tc>
          <w:tcPr>
            <w:tcW w:w="471" w:type="dxa"/>
            <w:tcBorders>
              <w:top w:val="single" w:sz="4" w:space="0" w:color="000000"/>
              <w:left w:val="single" w:sz="4" w:space="0" w:color="000000"/>
              <w:bottom w:val="single" w:sz="4" w:space="0" w:color="000000"/>
              <w:right w:val="single" w:sz="4" w:space="0" w:color="000000"/>
            </w:tcBorders>
            <w:shd w:val="clear" w:color="auto" w:fill="auto"/>
            <w:tcMar>
              <w:top w:w="8" w:type="dxa"/>
              <w:left w:w="24" w:type="dxa"/>
              <w:bottom w:w="0" w:type="dxa"/>
              <w:right w:w="59" w:type="dxa"/>
            </w:tcMar>
          </w:tcPr>
          <w:p w:rsidR="009B4233" w:rsidRDefault="006B08B9">
            <w:pPr>
              <w:ind w:left="50"/>
              <w:jc w:val="center"/>
            </w:pPr>
            <w:r>
              <w:rPr>
                <w:rFonts w:ascii="Arial" w:eastAsia="Calibri" w:hAnsi="Arial" w:cs="Arial"/>
                <w:sz w:val="22"/>
                <w:szCs w:val="22"/>
              </w:rPr>
              <w:t>0,00 €</w:t>
            </w:r>
          </w:p>
        </w:tc>
        <w:tc>
          <w:tcPr>
            <w:tcW w:w="1015" w:type="dxa"/>
            <w:tcBorders>
              <w:top w:val="single" w:sz="4" w:space="0" w:color="000000"/>
              <w:left w:val="single" w:sz="4" w:space="0" w:color="000000"/>
              <w:bottom w:val="single" w:sz="4" w:space="0" w:color="000000"/>
              <w:right w:val="single" w:sz="4" w:space="0" w:color="000000"/>
            </w:tcBorders>
            <w:shd w:val="clear" w:color="auto" w:fill="auto"/>
            <w:tcMar>
              <w:top w:w="8" w:type="dxa"/>
              <w:left w:w="24" w:type="dxa"/>
              <w:bottom w:w="0" w:type="dxa"/>
              <w:right w:w="59" w:type="dxa"/>
            </w:tcMar>
          </w:tcPr>
          <w:p w:rsidR="009B4233" w:rsidRDefault="006B08B9">
            <w:pPr>
              <w:ind w:left="42"/>
              <w:jc w:val="center"/>
            </w:pPr>
            <w:r>
              <w:rPr>
                <w:rFonts w:ascii="Arial" w:eastAsia="Calibri" w:hAnsi="Arial" w:cs="Arial"/>
                <w:sz w:val="22"/>
                <w:szCs w:val="22"/>
              </w:rPr>
              <w:t>0,00 €</w:t>
            </w:r>
          </w:p>
        </w:tc>
        <w:tc>
          <w:tcPr>
            <w:tcW w:w="1167" w:type="dxa"/>
            <w:tcBorders>
              <w:top w:val="single" w:sz="4" w:space="0" w:color="000000"/>
              <w:left w:val="single" w:sz="4" w:space="0" w:color="000000"/>
              <w:bottom w:val="single" w:sz="4" w:space="0" w:color="000000"/>
              <w:right w:val="single" w:sz="4" w:space="0" w:color="000000"/>
            </w:tcBorders>
            <w:shd w:val="clear" w:color="auto" w:fill="auto"/>
            <w:tcMar>
              <w:top w:w="8" w:type="dxa"/>
              <w:left w:w="24" w:type="dxa"/>
              <w:bottom w:w="0" w:type="dxa"/>
              <w:right w:w="59" w:type="dxa"/>
            </w:tcMar>
          </w:tcPr>
          <w:p w:rsidR="009B4233" w:rsidRDefault="006B08B9">
            <w:pPr>
              <w:ind w:left="50"/>
              <w:jc w:val="center"/>
            </w:pPr>
            <w:r>
              <w:rPr>
                <w:rFonts w:ascii="Arial" w:eastAsia="Calibri" w:hAnsi="Arial" w:cs="Arial"/>
                <w:sz w:val="22"/>
                <w:szCs w:val="22"/>
              </w:rPr>
              <w:t>577.172,10 €</w:t>
            </w:r>
          </w:p>
        </w:tc>
        <w:tc>
          <w:tcPr>
            <w:tcW w:w="1165" w:type="dxa"/>
            <w:tcBorders>
              <w:top w:val="single" w:sz="4" w:space="0" w:color="000000"/>
              <w:left w:val="single" w:sz="4" w:space="0" w:color="000000"/>
              <w:bottom w:val="single" w:sz="4" w:space="0" w:color="000000"/>
              <w:right w:val="single" w:sz="4" w:space="0" w:color="000000"/>
            </w:tcBorders>
            <w:shd w:val="clear" w:color="auto" w:fill="auto"/>
            <w:tcMar>
              <w:top w:w="8" w:type="dxa"/>
              <w:left w:w="24" w:type="dxa"/>
              <w:bottom w:w="0" w:type="dxa"/>
              <w:right w:w="59" w:type="dxa"/>
            </w:tcMar>
          </w:tcPr>
          <w:p w:rsidR="009B4233" w:rsidRDefault="006B08B9">
            <w:pPr>
              <w:ind w:left="52"/>
            </w:pPr>
            <w:r>
              <w:rPr>
                <w:rFonts w:ascii="Arial" w:eastAsia="Calibri" w:hAnsi="Arial" w:cs="Arial"/>
                <w:sz w:val="22"/>
                <w:szCs w:val="22"/>
              </w:rPr>
              <w:t>2.255.353,98 €</w:t>
            </w:r>
          </w:p>
        </w:tc>
        <w:tc>
          <w:tcPr>
            <w:tcW w:w="1165" w:type="dxa"/>
            <w:tcBorders>
              <w:top w:val="single" w:sz="4" w:space="0" w:color="000000"/>
              <w:left w:val="single" w:sz="4" w:space="0" w:color="000000"/>
              <w:bottom w:val="single" w:sz="4" w:space="0" w:color="000000"/>
              <w:right w:val="single" w:sz="4" w:space="0" w:color="000000"/>
            </w:tcBorders>
            <w:shd w:val="clear" w:color="auto" w:fill="auto"/>
            <w:tcMar>
              <w:top w:w="8" w:type="dxa"/>
              <w:left w:w="24" w:type="dxa"/>
              <w:bottom w:w="0" w:type="dxa"/>
              <w:right w:w="59" w:type="dxa"/>
            </w:tcMar>
          </w:tcPr>
          <w:p w:rsidR="009B4233" w:rsidRDefault="006B08B9">
            <w:pPr>
              <w:ind w:left="52"/>
            </w:pPr>
            <w:r>
              <w:rPr>
                <w:rFonts w:ascii="Arial" w:eastAsia="Calibri" w:hAnsi="Arial" w:cs="Arial"/>
                <w:sz w:val="22"/>
                <w:szCs w:val="22"/>
              </w:rPr>
              <w:t>2.255.363,98 €</w:t>
            </w:r>
          </w:p>
        </w:tc>
        <w:tc>
          <w:tcPr>
            <w:tcW w:w="1131" w:type="dxa"/>
            <w:tcBorders>
              <w:top w:val="single" w:sz="4" w:space="0" w:color="000000"/>
              <w:left w:val="single" w:sz="4" w:space="0" w:color="000000"/>
              <w:bottom w:val="single" w:sz="4" w:space="0" w:color="000000"/>
              <w:right w:val="single" w:sz="4" w:space="0" w:color="000000"/>
            </w:tcBorders>
            <w:shd w:val="clear" w:color="auto" w:fill="D9D9D9"/>
            <w:tcMar>
              <w:top w:w="8" w:type="dxa"/>
              <w:left w:w="24" w:type="dxa"/>
              <w:bottom w:w="0" w:type="dxa"/>
              <w:right w:w="59" w:type="dxa"/>
            </w:tcMar>
          </w:tcPr>
          <w:p w:rsidR="009B4233" w:rsidRDefault="006B08B9">
            <w:pPr>
              <w:ind w:left="10"/>
            </w:pPr>
            <w:r>
              <w:rPr>
                <w:rFonts w:ascii="Arial" w:eastAsia="Calibri" w:hAnsi="Arial" w:cs="Arial"/>
                <w:b/>
                <w:sz w:val="22"/>
                <w:szCs w:val="22"/>
              </w:rPr>
              <w:t>7.457.033,64 €</w:t>
            </w:r>
          </w:p>
        </w:tc>
      </w:tr>
      <w:tr w:rsidR="009B4233">
        <w:tblPrEx>
          <w:tblCellMar>
            <w:top w:w="0" w:type="dxa"/>
            <w:bottom w:w="0" w:type="dxa"/>
          </w:tblCellMar>
        </w:tblPrEx>
        <w:trPr>
          <w:trHeight w:val="225"/>
        </w:trPr>
        <w:tc>
          <w:tcPr>
            <w:tcW w:w="1264" w:type="dxa"/>
            <w:tcBorders>
              <w:top w:val="single" w:sz="4" w:space="0" w:color="000000"/>
              <w:left w:val="single" w:sz="4" w:space="0" w:color="000000"/>
              <w:bottom w:val="single" w:sz="4" w:space="0" w:color="C0C0C0"/>
              <w:right w:val="single" w:sz="4" w:space="0" w:color="000000"/>
            </w:tcBorders>
            <w:shd w:val="clear" w:color="auto" w:fill="D9D9D9"/>
            <w:tcMar>
              <w:top w:w="8" w:type="dxa"/>
              <w:left w:w="24" w:type="dxa"/>
              <w:bottom w:w="0" w:type="dxa"/>
              <w:right w:w="59" w:type="dxa"/>
            </w:tcMar>
          </w:tcPr>
          <w:p w:rsidR="009B4233" w:rsidRDefault="006B08B9">
            <w:r>
              <w:rPr>
                <w:rFonts w:ascii="Arial" w:eastAsia="Calibri" w:hAnsi="Arial" w:cs="Arial"/>
                <w:b/>
                <w:sz w:val="22"/>
                <w:szCs w:val="22"/>
              </w:rPr>
              <w:t>Ayuntamiento</w:t>
            </w:r>
          </w:p>
        </w:tc>
        <w:tc>
          <w:tcPr>
            <w:tcW w:w="1165" w:type="dxa"/>
            <w:tcBorders>
              <w:top w:val="single" w:sz="4" w:space="0" w:color="000000"/>
              <w:left w:val="single" w:sz="4" w:space="0" w:color="000000"/>
              <w:bottom w:val="single" w:sz="4" w:space="0" w:color="000000"/>
              <w:right w:val="single" w:sz="4" w:space="0" w:color="000000"/>
            </w:tcBorders>
            <w:shd w:val="clear" w:color="auto" w:fill="auto"/>
            <w:tcMar>
              <w:top w:w="8" w:type="dxa"/>
              <w:left w:w="24" w:type="dxa"/>
              <w:bottom w:w="0" w:type="dxa"/>
              <w:right w:w="59" w:type="dxa"/>
            </w:tcMar>
          </w:tcPr>
          <w:p w:rsidR="009B4233" w:rsidRDefault="006B08B9">
            <w:pPr>
              <w:ind w:left="42"/>
              <w:jc w:val="center"/>
            </w:pPr>
            <w:r>
              <w:rPr>
                <w:rFonts w:ascii="Arial" w:eastAsia="Calibri" w:hAnsi="Arial" w:cs="Arial"/>
                <w:sz w:val="22"/>
                <w:szCs w:val="22"/>
              </w:rPr>
              <w:t>0,00 €</w:t>
            </w:r>
          </w:p>
        </w:tc>
        <w:tc>
          <w:tcPr>
            <w:tcW w:w="1019" w:type="dxa"/>
            <w:tcBorders>
              <w:top w:val="single" w:sz="4" w:space="0" w:color="000000"/>
              <w:left w:val="single" w:sz="4" w:space="0" w:color="000000"/>
              <w:bottom w:val="single" w:sz="4" w:space="0" w:color="000000"/>
              <w:right w:val="single" w:sz="4" w:space="0" w:color="000000"/>
            </w:tcBorders>
            <w:shd w:val="clear" w:color="auto" w:fill="auto"/>
            <w:tcMar>
              <w:top w:w="8" w:type="dxa"/>
              <w:left w:w="24" w:type="dxa"/>
              <w:bottom w:w="0" w:type="dxa"/>
              <w:right w:w="59" w:type="dxa"/>
            </w:tcMar>
          </w:tcPr>
          <w:p w:rsidR="009B4233" w:rsidRDefault="006B08B9">
            <w:pPr>
              <w:ind w:left="54"/>
            </w:pPr>
            <w:r>
              <w:rPr>
                <w:rFonts w:ascii="Arial" w:eastAsia="Calibri" w:hAnsi="Arial" w:cs="Arial"/>
                <w:sz w:val="22"/>
                <w:szCs w:val="22"/>
              </w:rPr>
              <w:t>621.419,47 €</w:t>
            </w:r>
          </w:p>
        </w:tc>
        <w:tc>
          <w:tcPr>
            <w:tcW w:w="471" w:type="dxa"/>
            <w:tcBorders>
              <w:top w:val="single" w:sz="4" w:space="0" w:color="000000"/>
              <w:left w:val="single" w:sz="4" w:space="0" w:color="000000"/>
              <w:bottom w:val="single" w:sz="4" w:space="0" w:color="000000"/>
              <w:right w:val="single" w:sz="4" w:space="0" w:color="000000"/>
            </w:tcBorders>
            <w:shd w:val="clear" w:color="auto" w:fill="auto"/>
            <w:tcMar>
              <w:top w:w="8" w:type="dxa"/>
              <w:left w:w="24" w:type="dxa"/>
              <w:bottom w:w="0" w:type="dxa"/>
              <w:right w:w="59" w:type="dxa"/>
            </w:tcMar>
          </w:tcPr>
          <w:p w:rsidR="009B4233" w:rsidRDefault="006B08B9">
            <w:pPr>
              <w:ind w:left="50"/>
              <w:jc w:val="center"/>
            </w:pPr>
            <w:r>
              <w:rPr>
                <w:rFonts w:ascii="Arial" w:eastAsia="Calibri" w:hAnsi="Arial" w:cs="Arial"/>
                <w:sz w:val="22"/>
                <w:szCs w:val="22"/>
              </w:rPr>
              <w:t>0,00 €</w:t>
            </w:r>
          </w:p>
        </w:tc>
        <w:tc>
          <w:tcPr>
            <w:tcW w:w="1015" w:type="dxa"/>
            <w:tcBorders>
              <w:top w:val="single" w:sz="4" w:space="0" w:color="000000"/>
              <w:left w:val="single" w:sz="4" w:space="0" w:color="000000"/>
              <w:bottom w:val="single" w:sz="4" w:space="0" w:color="000000"/>
              <w:right w:val="single" w:sz="4" w:space="0" w:color="000000"/>
            </w:tcBorders>
            <w:shd w:val="clear" w:color="auto" w:fill="auto"/>
            <w:tcMar>
              <w:top w:w="8" w:type="dxa"/>
              <w:left w:w="24" w:type="dxa"/>
              <w:bottom w:w="0" w:type="dxa"/>
              <w:right w:w="59" w:type="dxa"/>
            </w:tcMar>
          </w:tcPr>
          <w:p w:rsidR="009B4233" w:rsidRDefault="006B08B9">
            <w:pPr>
              <w:ind w:left="50"/>
              <w:jc w:val="center"/>
            </w:pPr>
            <w:r>
              <w:rPr>
                <w:rFonts w:ascii="Arial" w:eastAsia="Calibri" w:hAnsi="Arial" w:cs="Arial"/>
                <w:sz w:val="22"/>
                <w:szCs w:val="22"/>
              </w:rPr>
              <w:t>621.419,47 €</w:t>
            </w:r>
          </w:p>
        </w:tc>
        <w:tc>
          <w:tcPr>
            <w:tcW w:w="1167" w:type="dxa"/>
            <w:tcBorders>
              <w:top w:val="single" w:sz="4" w:space="0" w:color="000000"/>
              <w:left w:val="single" w:sz="4" w:space="0" w:color="000000"/>
              <w:bottom w:val="single" w:sz="4" w:space="0" w:color="000000"/>
              <w:right w:val="single" w:sz="4" w:space="0" w:color="000000"/>
            </w:tcBorders>
            <w:shd w:val="clear" w:color="auto" w:fill="auto"/>
            <w:tcMar>
              <w:top w:w="8" w:type="dxa"/>
              <w:left w:w="24" w:type="dxa"/>
              <w:bottom w:w="0" w:type="dxa"/>
              <w:right w:w="59" w:type="dxa"/>
            </w:tcMar>
          </w:tcPr>
          <w:p w:rsidR="009B4233" w:rsidRDefault="006B08B9">
            <w:pPr>
              <w:ind w:left="50"/>
              <w:jc w:val="center"/>
            </w:pPr>
            <w:r>
              <w:rPr>
                <w:rFonts w:ascii="Arial" w:eastAsia="Calibri" w:hAnsi="Arial" w:cs="Arial"/>
                <w:sz w:val="22"/>
                <w:szCs w:val="22"/>
              </w:rPr>
              <w:t>621.419,47 €</w:t>
            </w:r>
          </w:p>
        </w:tc>
        <w:tc>
          <w:tcPr>
            <w:tcW w:w="1165" w:type="dxa"/>
            <w:tcBorders>
              <w:top w:val="single" w:sz="4" w:space="0" w:color="000000"/>
              <w:left w:val="single" w:sz="4" w:space="0" w:color="000000"/>
              <w:bottom w:val="single" w:sz="4" w:space="0" w:color="000000"/>
              <w:right w:val="single" w:sz="4" w:space="0" w:color="000000"/>
            </w:tcBorders>
            <w:shd w:val="clear" w:color="auto" w:fill="auto"/>
            <w:tcMar>
              <w:top w:w="8" w:type="dxa"/>
              <w:left w:w="24" w:type="dxa"/>
              <w:bottom w:w="0" w:type="dxa"/>
              <w:right w:w="59" w:type="dxa"/>
            </w:tcMar>
          </w:tcPr>
          <w:p w:rsidR="009B4233" w:rsidRDefault="006B08B9">
            <w:pPr>
              <w:ind w:left="40"/>
              <w:jc w:val="center"/>
            </w:pPr>
            <w:r>
              <w:rPr>
                <w:rFonts w:ascii="Arial" w:eastAsia="Calibri" w:hAnsi="Arial" w:cs="Arial"/>
                <w:sz w:val="22"/>
                <w:szCs w:val="22"/>
              </w:rPr>
              <w:t>0,00 €</w:t>
            </w:r>
          </w:p>
        </w:tc>
        <w:tc>
          <w:tcPr>
            <w:tcW w:w="1165" w:type="dxa"/>
            <w:tcBorders>
              <w:top w:val="single" w:sz="4" w:space="0" w:color="000000"/>
              <w:left w:val="single" w:sz="4" w:space="0" w:color="000000"/>
              <w:bottom w:val="single" w:sz="4" w:space="0" w:color="000000"/>
              <w:right w:val="single" w:sz="4" w:space="0" w:color="000000"/>
            </w:tcBorders>
            <w:shd w:val="clear" w:color="auto" w:fill="auto"/>
            <w:tcMar>
              <w:top w:w="8" w:type="dxa"/>
              <w:left w:w="24" w:type="dxa"/>
              <w:bottom w:w="0" w:type="dxa"/>
              <w:right w:w="59" w:type="dxa"/>
            </w:tcMar>
          </w:tcPr>
          <w:p w:rsidR="009B4233" w:rsidRDefault="006B08B9">
            <w:pPr>
              <w:ind w:left="42"/>
              <w:jc w:val="center"/>
            </w:pPr>
            <w:r>
              <w:rPr>
                <w:rFonts w:ascii="Arial" w:eastAsia="Calibri" w:hAnsi="Arial" w:cs="Arial"/>
                <w:sz w:val="22"/>
                <w:szCs w:val="22"/>
              </w:rPr>
              <w:t>0,00 €</w:t>
            </w:r>
          </w:p>
        </w:tc>
        <w:tc>
          <w:tcPr>
            <w:tcW w:w="1131" w:type="dxa"/>
            <w:tcBorders>
              <w:top w:val="single" w:sz="4" w:space="0" w:color="000000"/>
              <w:left w:val="single" w:sz="4" w:space="0" w:color="000000"/>
              <w:bottom w:val="single" w:sz="4" w:space="0" w:color="000000"/>
              <w:right w:val="single" w:sz="4" w:space="0" w:color="000000"/>
            </w:tcBorders>
            <w:shd w:val="clear" w:color="auto" w:fill="D9D9D9"/>
            <w:tcMar>
              <w:top w:w="8" w:type="dxa"/>
              <w:left w:w="24" w:type="dxa"/>
              <w:bottom w:w="0" w:type="dxa"/>
              <w:right w:w="59" w:type="dxa"/>
            </w:tcMar>
          </w:tcPr>
          <w:p w:rsidR="009B4233" w:rsidRDefault="006B08B9">
            <w:pPr>
              <w:ind w:left="10"/>
            </w:pPr>
            <w:r>
              <w:rPr>
                <w:rFonts w:ascii="Arial" w:eastAsia="Calibri" w:hAnsi="Arial" w:cs="Arial"/>
                <w:b/>
                <w:sz w:val="22"/>
                <w:szCs w:val="22"/>
              </w:rPr>
              <w:t>1.864.258,41 €</w:t>
            </w:r>
          </w:p>
        </w:tc>
      </w:tr>
      <w:tr w:rsidR="009B4233">
        <w:tblPrEx>
          <w:tblCellMar>
            <w:top w:w="0" w:type="dxa"/>
            <w:bottom w:w="0" w:type="dxa"/>
          </w:tblCellMar>
        </w:tblPrEx>
        <w:trPr>
          <w:trHeight w:val="146"/>
        </w:trPr>
        <w:tc>
          <w:tcPr>
            <w:tcW w:w="1264" w:type="dxa"/>
            <w:tcBorders>
              <w:top w:val="single" w:sz="4" w:space="0" w:color="C0C0C0"/>
              <w:left w:val="single" w:sz="4" w:space="0" w:color="C0C0C0"/>
              <w:bottom w:val="single" w:sz="4" w:space="0" w:color="C0C0C0"/>
              <w:right w:val="single" w:sz="4" w:space="0" w:color="000000"/>
            </w:tcBorders>
            <w:shd w:val="clear" w:color="auto" w:fill="auto"/>
            <w:tcMar>
              <w:top w:w="8" w:type="dxa"/>
              <w:left w:w="24" w:type="dxa"/>
              <w:bottom w:w="0" w:type="dxa"/>
              <w:right w:w="59" w:type="dxa"/>
            </w:tcMar>
          </w:tcPr>
          <w:p w:rsidR="009B4233" w:rsidRDefault="006B08B9">
            <w:r>
              <w:rPr>
                <w:rFonts w:ascii="Arial" w:eastAsia="Calibri" w:hAnsi="Arial" w:cs="Arial"/>
                <w:b/>
                <w:sz w:val="22"/>
                <w:szCs w:val="22"/>
              </w:rPr>
              <w:t>Total</w:t>
            </w:r>
          </w:p>
        </w:tc>
        <w:tc>
          <w:tcPr>
            <w:tcW w:w="1165" w:type="dxa"/>
            <w:tcBorders>
              <w:top w:val="single" w:sz="4" w:space="0" w:color="000000"/>
              <w:left w:val="single" w:sz="4" w:space="0" w:color="000000"/>
              <w:bottom w:val="single" w:sz="4" w:space="0" w:color="000000"/>
              <w:right w:val="single" w:sz="4" w:space="0" w:color="000000"/>
            </w:tcBorders>
            <w:shd w:val="clear" w:color="auto" w:fill="auto"/>
            <w:tcMar>
              <w:top w:w="8" w:type="dxa"/>
              <w:left w:w="24" w:type="dxa"/>
              <w:bottom w:w="0" w:type="dxa"/>
              <w:right w:w="59" w:type="dxa"/>
            </w:tcMar>
          </w:tcPr>
          <w:p w:rsidR="009B4233" w:rsidRDefault="006B08B9">
            <w:pPr>
              <w:ind w:left="52"/>
            </w:pPr>
            <w:r>
              <w:rPr>
                <w:rFonts w:ascii="Arial" w:eastAsia="Calibri" w:hAnsi="Arial" w:cs="Arial"/>
                <w:b/>
                <w:sz w:val="22"/>
                <w:szCs w:val="22"/>
              </w:rPr>
              <w:t>2.369.143,58 €</w:t>
            </w:r>
          </w:p>
        </w:tc>
        <w:tc>
          <w:tcPr>
            <w:tcW w:w="1019" w:type="dxa"/>
            <w:tcBorders>
              <w:top w:val="single" w:sz="4" w:space="0" w:color="000000"/>
              <w:left w:val="single" w:sz="4" w:space="0" w:color="000000"/>
              <w:bottom w:val="single" w:sz="4" w:space="0" w:color="000000"/>
              <w:right w:val="single" w:sz="4" w:space="0" w:color="000000"/>
            </w:tcBorders>
            <w:shd w:val="clear" w:color="auto" w:fill="auto"/>
            <w:tcMar>
              <w:top w:w="8" w:type="dxa"/>
              <w:left w:w="24" w:type="dxa"/>
              <w:bottom w:w="0" w:type="dxa"/>
              <w:right w:w="59" w:type="dxa"/>
            </w:tcMar>
          </w:tcPr>
          <w:p w:rsidR="009B4233" w:rsidRDefault="006B08B9">
            <w:pPr>
              <w:ind w:left="54"/>
            </w:pPr>
            <w:r>
              <w:rPr>
                <w:rFonts w:ascii="Arial" w:eastAsia="Calibri" w:hAnsi="Arial" w:cs="Arial"/>
                <w:b/>
                <w:sz w:val="22"/>
                <w:szCs w:val="22"/>
              </w:rPr>
              <w:t>621.419,47 €</w:t>
            </w:r>
          </w:p>
        </w:tc>
        <w:tc>
          <w:tcPr>
            <w:tcW w:w="471" w:type="dxa"/>
            <w:tcBorders>
              <w:top w:val="single" w:sz="4" w:space="0" w:color="000000"/>
              <w:left w:val="single" w:sz="4" w:space="0" w:color="000000"/>
              <w:bottom w:val="single" w:sz="4" w:space="0" w:color="000000"/>
              <w:right w:val="single" w:sz="4" w:space="0" w:color="000000"/>
            </w:tcBorders>
            <w:shd w:val="clear" w:color="auto" w:fill="auto"/>
            <w:tcMar>
              <w:top w:w="8" w:type="dxa"/>
              <w:left w:w="24" w:type="dxa"/>
              <w:bottom w:w="0" w:type="dxa"/>
              <w:right w:w="59" w:type="dxa"/>
            </w:tcMar>
          </w:tcPr>
          <w:p w:rsidR="009B4233" w:rsidRDefault="006B08B9">
            <w:pPr>
              <w:ind w:left="50"/>
              <w:jc w:val="center"/>
            </w:pPr>
            <w:r>
              <w:rPr>
                <w:rFonts w:ascii="Arial" w:eastAsia="Calibri" w:hAnsi="Arial" w:cs="Arial"/>
                <w:b/>
                <w:sz w:val="22"/>
                <w:szCs w:val="22"/>
              </w:rPr>
              <w:t>0,00 €</w:t>
            </w:r>
          </w:p>
        </w:tc>
        <w:tc>
          <w:tcPr>
            <w:tcW w:w="1015" w:type="dxa"/>
            <w:tcBorders>
              <w:top w:val="single" w:sz="4" w:space="0" w:color="000000"/>
              <w:left w:val="single" w:sz="4" w:space="0" w:color="000000"/>
              <w:bottom w:val="single" w:sz="4" w:space="0" w:color="000000"/>
              <w:right w:val="single" w:sz="4" w:space="0" w:color="000000"/>
            </w:tcBorders>
            <w:shd w:val="clear" w:color="auto" w:fill="auto"/>
            <w:tcMar>
              <w:top w:w="8" w:type="dxa"/>
              <w:left w:w="24" w:type="dxa"/>
              <w:bottom w:w="0" w:type="dxa"/>
              <w:right w:w="59" w:type="dxa"/>
            </w:tcMar>
          </w:tcPr>
          <w:p w:rsidR="009B4233" w:rsidRDefault="006B08B9">
            <w:pPr>
              <w:ind w:left="50"/>
              <w:jc w:val="center"/>
            </w:pPr>
            <w:r>
              <w:rPr>
                <w:rFonts w:ascii="Arial" w:eastAsia="Calibri" w:hAnsi="Arial" w:cs="Arial"/>
                <w:b/>
                <w:sz w:val="22"/>
                <w:szCs w:val="22"/>
              </w:rPr>
              <w:t>621.419,47 €</w:t>
            </w:r>
          </w:p>
        </w:tc>
        <w:tc>
          <w:tcPr>
            <w:tcW w:w="1167" w:type="dxa"/>
            <w:tcBorders>
              <w:top w:val="single" w:sz="4" w:space="0" w:color="000000"/>
              <w:left w:val="single" w:sz="4" w:space="0" w:color="000000"/>
              <w:bottom w:val="single" w:sz="4" w:space="0" w:color="000000"/>
              <w:right w:val="single" w:sz="4" w:space="0" w:color="000000"/>
            </w:tcBorders>
            <w:shd w:val="clear" w:color="auto" w:fill="auto"/>
            <w:tcMar>
              <w:top w:w="8" w:type="dxa"/>
              <w:left w:w="24" w:type="dxa"/>
              <w:bottom w:w="0" w:type="dxa"/>
              <w:right w:w="59" w:type="dxa"/>
            </w:tcMar>
          </w:tcPr>
          <w:p w:rsidR="009B4233" w:rsidRDefault="006B08B9">
            <w:pPr>
              <w:ind w:left="54"/>
            </w:pPr>
            <w:r>
              <w:rPr>
                <w:rFonts w:ascii="Arial" w:eastAsia="Calibri" w:hAnsi="Arial" w:cs="Arial"/>
                <w:b/>
                <w:sz w:val="22"/>
                <w:szCs w:val="22"/>
              </w:rPr>
              <w:t>1.198.591,57 €</w:t>
            </w:r>
          </w:p>
        </w:tc>
        <w:tc>
          <w:tcPr>
            <w:tcW w:w="1165" w:type="dxa"/>
            <w:tcBorders>
              <w:top w:val="single" w:sz="4" w:space="0" w:color="000000"/>
              <w:left w:val="single" w:sz="4" w:space="0" w:color="000000"/>
              <w:bottom w:val="single" w:sz="4" w:space="0" w:color="000000"/>
              <w:right w:val="single" w:sz="4" w:space="0" w:color="000000"/>
            </w:tcBorders>
            <w:shd w:val="clear" w:color="auto" w:fill="auto"/>
            <w:tcMar>
              <w:top w:w="8" w:type="dxa"/>
              <w:left w:w="24" w:type="dxa"/>
              <w:bottom w:w="0" w:type="dxa"/>
              <w:right w:w="59" w:type="dxa"/>
            </w:tcMar>
          </w:tcPr>
          <w:p w:rsidR="009B4233" w:rsidRDefault="006B08B9">
            <w:pPr>
              <w:ind w:left="52"/>
            </w:pPr>
            <w:r>
              <w:rPr>
                <w:rFonts w:ascii="Arial" w:eastAsia="Calibri" w:hAnsi="Arial" w:cs="Arial"/>
                <w:b/>
                <w:sz w:val="22"/>
                <w:szCs w:val="22"/>
              </w:rPr>
              <w:t>2.255.353,98 €</w:t>
            </w:r>
          </w:p>
        </w:tc>
        <w:tc>
          <w:tcPr>
            <w:tcW w:w="1165" w:type="dxa"/>
            <w:tcBorders>
              <w:top w:val="single" w:sz="4" w:space="0" w:color="000000"/>
              <w:left w:val="single" w:sz="4" w:space="0" w:color="000000"/>
              <w:bottom w:val="single" w:sz="4" w:space="0" w:color="000000"/>
              <w:right w:val="single" w:sz="4" w:space="0" w:color="000000"/>
            </w:tcBorders>
            <w:shd w:val="clear" w:color="auto" w:fill="auto"/>
            <w:tcMar>
              <w:top w:w="8" w:type="dxa"/>
              <w:left w:w="24" w:type="dxa"/>
              <w:bottom w:w="0" w:type="dxa"/>
              <w:right w:w="59" w:type="dxa"/>
            </w:tcMar>
          </w:tcPr>
          <w:p w:rsidR="009B4233" w:rsidRDefault="006B08B9">
            <w:pPr>
              <w:ind w:left="52"/>
            </w:pPr>
            <w:r>
              <w:rPr>
                <w:rFonts w:ascii="Arial" w:eastAsia="Calibri" w:hAnsi="Arial" w:cs="Arial"/>
                <w:b/>
                <w:sz w:val="22"/>
                <w:szCs w:val="22"/>
              </w:rPr>
              <w:t>2.255.363,98 €</w:t>
            </w:r>
          </w:p>
        </w:tc>
        <w:tc>
          <w:tcPr>
            <w:tcW w:w="1131" w:type="dxa"/>
            <w:tcBorders>
              <w:top w:val="single" w:sz="4" w:space="0" w:color="000000"/>
              <w:left w:val="single" w:sz="4" w:space="0" w:color="000000"/>
              <w:bottom w:val="single" w:sz="4" w:space="0" w:color="000000"/>
              <w:right w:val="single" w:sz="4" w:space="0" w:color="000000"/>
            </w:tcBorders>
            <w:shd w:val="clear" w:color="auto" w:fill="auto"/>
            <w:tcMar>
              <w:top w:w="8" w:type="dxa"/>
              <w:left w:w="24" w:type="dxa"/>
              <w:bottom w:w="0" w:type="dxa"/>
              <w:right w:w="59" w:type="dxa"/>
            </w:tcMar>
          </w:tcPr>
          <w:p w:rsidR="009B4233" w:rsidRDefault="006B08B9">
            <w:pPr>
              <w:ind w:left="10"/>
            </w:pPr>
            <w:r>
              <w:rPr>
                <w:rFonts w:ascii="Arial" w:eastAsia="Calibri" w:hAnsi="Arial" w:cs="Arial"/>
                <w:b/>
                <w:sz w:val="22"/>
                <w:szCs w:val="22"/>
              </w:rPr>
              <w:t>9.321.292,05 €</w:t>
            </w:r>
          </w:p>
        </w:tc>
      </w:tr>
    </w:tbl>
    <w:p w:rsidR="009B4233" w:rsidRDefault="009B4233">
      <w:pPr>
        <w:spacing w:after="211" w:line="251" w:lineRule="auto"/>
        <w:ind w:left="5" w:right="46" w:hanging="10"/>
        <w:jc w:val="both"/>
        <w:rPr>
          <w:rFonts w:ascii="Arial" w:eastAsia="Calibri" w:hAnsi="Arial" w:cs="Arial"/>
          <w:b/>
          <w:sz w:val="22"/>
          <w:szCs w:val="22"/>
        </w:rPr>
      </w:pPr>
    </w:p>
    <w:p w:rsidR="009B4233" w:rsidRDefault="006B08B9">
      <w:pPr>
        <w:spacing w:after="211" w:line="251" w:lineRule="auto"/>
        <w:ind w:left="5" w:right="46" w:hanging="10"/>
        <w:jc w:val="both"/>
      </w:pPr>
      <w:r>
        <w:rPr>
          <w:rFonts w:ascii="Arial" w:eastAsia="Calibri" w:hAnsi="Arial" w:cs="Arial"/>
          <w:b/>
          <w:sz w:val="22"/>
          <w:szCs w:val="22"/>
        </w:rPr>
        <w:t>Resultando</w:t>
      </w:r>
      <w:r>
        <w:rPr>
          <w:rFonts w:ascii="Arial" w:eastAsia="Calibri" w:hAnsi="Arial" w:cs="Arial"/>
          <w:sz w:val="22"/>
          <w:szCs w:val="22"/>
        </w:rPr>
        <w:t xml:space="preserve"> que con fecha 1 de septiembre de 2025, tras solicitud por parte del </w:t>
      </w:r>
      <w:r>
        <w:rPr>
          <w:rFonts w:ascii="Arial" w:eastAsia="Calibri" w:hAnsi="Arial" w:cs="Arial"/>
          <w:sz w:val="22"/>
          <w:szCs w:val="22"/>
        </w:rPr>
        <w:t xml:space="preserve">Servicio Administrativo de Cultura, se emitió informe de cobertura </w:t>
      </w:r>
      <w:r>
        <w:rPr>
          <w:rFonts w:ascii="Arial" w:eastAsia="Calibri" w:hAnsi="Arial" w:cs="Arial"/>
          <w:sz w:val="22"/>
          <w:szCs w:val="22"/>
          <w:u w:val="single" w:color="000000"/>
        </w:rPr>
        <w:t>favorable</w:t>
      </w:r>
      <w:r>
        <w:rPr>
          <w:rFonts w:ascii="Arial" w:eastAsia="Calibri" w:hAnsi="Arial" w:cs="Arial"/>
          <w:sz w:val="22"/>
          <w:szCs w:val="22"/>
        </w:rPr>
        <w:t xml:space="preserve"> por parte del Servicio Administrativo de Presupuestos y Gasto Público, de conformidad con lo dispuesto en la Base 42ª y 43ª de las de ejecución del Presupuesto, para la propuesta </w:t>
      </w:r>
      <w:r>
        <w:rPr>
          <w:rFonts w:ascii="Arial" w:eastAsia="Calibri" w:hAnsi="Arial" w:cs="Arial"/>
          <w:sz w:val="22"/>
          <w:szCs w:val="22"/>
        </w:rPr>
        <w:t xml:space="preserve">de financiación anterior. </w:t>
      </w:r>
    </w:p>
    <w:p w:rsidR="009B4233" w:rsidRDefault="006B08B9">
      <w:pPr>
        <w:spacing w:after="211" w:line="251" w:lineRule="auto"/>
        <w:ind w:left="5" w:right="46" w:hanging="10"/>
        <w:jc w:val="both"/>
      </w:pPr>
      <w:r>
        <w:rPr>
          <w:rFonts w:ascii="Arial" w:eastAsia="Calibri" w:hAnsi="Arial" w:cs="Arial"/>
          <w:b/>
          <w:sz w:val="22"/>
          <w:szCs w:val="22"/>
        </w:rPr>
        <w:t>Resultando</w:t>
      </w:r>
      <w:r>
        <w:rPr>
          <w:rFonts w:ascii="Arial" w:eastAsia="Calibri" w:hAnsi="Arial" w:cs="Arial"/>
          <w:sz w:val="22"/>
          <w:szCs w:val="22"/>
        </w:rPr>
        <w:t xml:space="preserve"> que emitido expediente a la Intervención General para su previa fiscalización, éste fue informado con fecha 5 de septiembre de 2025 favorable con observaciones que fueron tenidas en cuenta por el Servicio Administrativ</w:t>
      </w:r>
      <w:r>
        <w:rPr>
          <w:rFonts w:ascii="Arial" w:eastAsia="Calibri" w:hAnsi="Arial" w:cs="Arial"/>
          <w:sz w:val="22"/>
          <w:szCs w:val="22"/>
        </w:rPr>
        <w:t xml:space="preserve">o de Cultura. </w:t>
      </w:r>
    </w:p>
    <w:p w:rsidR="009B4233" w:rsidRDefault="006B08B9">
      <w:pPr>
        <w:spacing w:after="12" w:line="251" w:lineRule="auto"/>
        <w:ind w:left="5" w:right="46" w:hanging="10"/>
        <w:jc w:val="both"/>
      </w:pPr>
      <w:r>
        <w:rPr>
          <w:rFonts w:ascii="Arial" w:eastAsia="Calibri" w:hAnsi="Arial" w:cs="Arial"/>
          <w:b/>
          <w:sz w:val="22"/>
          <w:szCs w:val="22"/>
        </w:rPr>
        <w:t>Considerando</w:t>
      </w:r>
      <w:r>
        <w:rPr>
          <w:rFonts w:ascii="Arial" w:eastAsia="Calibri" w:hAnsi="Arial" w:cs="Arial"/>
          <w:sz w:val="22"/>
          <w:szCs w:val="22"/>
        </w:rPr>
        <w:t xml:space="preserve"> que de conformidad con lo establecido en el artículo 19.4 de la Ley </w:t>
      </w:r>
    </w:p>
    <w:p w:rsidR="009B4233" w:rsidRDefault="006B08B9">
      <w:pPr>
        <w:spacing w:after="218" w:line="247" w:lineRule="auto"/>
        <w:ind w:left="26" w:right="40" w:hanging="10"/>
        <w:jc w:val="both"/>
      </w:pPr>
      <w:r>
        <w:rPr>
          <w:rFonts w:ascii="Arial" w:eastAsia="Calibri" w:hAnsi="Arial" w:cs="Arial"/>
          <w:sz w:val="22"/>
          <w:szCs w:val="22"/>
        </w:rPr>
        <w:t xml:space="preserve">38/2003, de 17 de noviembre, General de Subvenciones, </w:t>
      </w:r>
      <w:r>
        <w:rPr>
          <w:rFonts w:ascii="Arial" w:eastAsia="Calibri" w:hAnsi="Arial" w:cs="Arial"/>
          <w:i/>
          <w:sz w:val="22"/>
          <w:szCs w:val="22"/>
        </w:rPr>
        <w:t xml:space="preserve">“(…) Toda alteración de las condiciones tenidas en cuenta para la concesión de la subvención, y en todo </w:t>
      </w:r>
      <w:r>
        <w:rPr>
          <w:rFonts w:ascii="Arial" w:eastAsia="Calibri" w:hAnsi="Arial" w:cs="Arial"/>
          <w:i/>
          <w:sz w:val="22"/>
          <w:szCs w:val="22"/>
        </w:rPr>
        <w:t xml:space="preserve">caso la obtención concurrente de otras aportaciones fuera de los casos permitidos en las normas reguladoras, podrá dar lugar a la modificación de la resolución de concesión, en los términos establecidos en la normativa reguladora de la subvención (…)”. </w:t>
      </w:r>
    </w:p>
    <w:p w:rsidR="009B4233" w:rsidRDefault="006B08B9">
      <w:pPr>
        <w:spacing w:after="247" w:line="251" w:lineRule="auto"/>
        <w:ind w:left="5" w:right="46" w:hanging="10"/>
        <w:jc w:val="both"/>
      </w:pPr>
      <w:r>
        <w:rPr>
          <w:rFonts w:ascii="Arial" w:eastAsia="Calibri" w:hAnsi="Arial" w:cs="Arial"/>
          <w:b/>
          <w:sz w:val="22"/>
          <w:szCs w:val="22"/>
        </w:rPr>
        <w:t>Co</w:t>
      </w:r>
      <w:r>
        <w:rPr>
          <w:rFonts w:ascii="Arial" w:eastAsia="Calibri" w:hAnsi="Arial" w:cs="Arial"/>
          <w:b/>
          <w:sz w:val="22"/>
          <w:szCs w:val="22"/>
        </w:rPr>
        <w:t>nsiderando</w:t>
      </w:r>
      <w:r>
        <w:rPr>
          <w:rFonts w:ascii="Arial" w:eastAsia="Calibri" w:hAnsi="Arial" w:cs="Arial"/>
          <w:sz w:val="22"/>
          <w:szCs w:val="22"/>
        </w:rPr>
        <w:t xml:space="preserve"> que, en relación a las causas recogidas en el Plan para fundamentar su posible modificación, en su apartado 7 f) consta literalmente lo siguiente: </w:t>
      </w:r>
    </w:p>
    <w:p w:rsidR="009B4233" w:rsidRDefault="006B08B9">
      <w:pPr>
        <w:spacing w:after="6" w:line="247" w:lineRule="auto"/>
        <w:ind w:left="414" w:right="40" w:hanging="10"/>
        <w:jc w:val="both"/>
      </w:pPr>
      <w:r>
        <w:rPr>
          <w:rFonts w:ascii="Arial" w:eastAsia="Calibri" w:hAnsi="Arial" w:cs="Arial"/>
          <w:i/>
          <w:sz w:val="22"/>
          <w:szCs w:val="22"/>
        </w:rPr>
        <w:t xml:space="preserve">“(…) Las modificaciones podrán consistir en: </w:t>
      </w:r>
    </w:p>
    <w:p w:rsidR="009B4233" w:rsidRDefault="006B08B9">
      <w:pPr>
        <w:widowControl/>
        <w:numPr>
          <w:ilvl w:val="0"/>
          <w:numId w:val="85"/>
        </w:numPr>
        <w:suppressAutoHyphens w:val="0"/>
        <w:spacing w:after="5" w:line="249" w:lineRule="auto"/>
        <w:ind w:right="40" w:hanging="310"/>
        <w:jc w:val="both"/>
        <w:textAlignment w:val="auto"/>
      </w:pPr>
      <w:r>
        <w:rPr>
          <w:rFonts w:ascii="Arial" w:eastAsia="Calibri" w:hAnsi="Arial" w:cs="Arial"/>
          <w:b/>
          <w:i/>
          <w:sz w:val="22"/>
          <w:szCs w:val="22"/>
        </w:rPr>
        <w:t xml:space="preserve">Ajustes de anualidades en función de la ejecución </w:t>
      </w:r>
      <w:r>
        <w:rPr>
          <w:rFonts w:ascii="Arial" w:eastAsia="Calibri" w:hAnsi="Arial" w:cs="Arial"/>
          <w:b/>
          <w:i/>
          <w:sz w:val="22"/>
          <w:szCs w:val="22"/>
        </w:rPr>
        <w:t xml:space="preserve">real de las obras. </w:t>
      </w:r>
    </w:p>
    <w:p w:rsidR="009B4233" w:rsidRDefault="006B08B9">
      <w:pPr>
        <w:widowControl/>
        <w:numPr>
          <w:ilvl w:val="0"/>
          <w:numId w:val="85"/>
        </w:numPr>
        <w:suppressAutoHyphens w:val="0"/>
        <w:spacing w:after="6" w:line="247" w:lineRule="auto"/>
        <w:ind w:right="40" w:hanging="310"/>
        <w:jc w:val="both"/>
        <w:textAlignment w:val="auto"/>
      </w:pPr>
      <w:r>
        <w:rPr>
          <w:rFonts w:ascii="Arial" w:eastAsia="Calibri" w:hAnsi="Arial" w:cs="Arial"/>
          <w:i/>
          <w:sz w:val="22"/>
          <w:szCs w:val="22"/>
        </w:rPr>
        <w:t xml:space="preserve">Modificación del importe asignado.  </w:t>
      </w:r>
    </w:p>
    <w:p w:rsidR="009B4233" w:rsidRDefault="006B08B9">
      <w:pPr>
        <w:widowControl/>
        <w:numPr>
          <w:ilvl w:val="0"/>
          <w:numId w:val="85"/>
        </w:numPr>
        <w:suppressAutoHyphens w:val="0"/>
        <w:spacing w:after="6" w:line="247" w:lineRule="auto"/>
        <w:ind w:right="40" w:hanging="310"/>
        <w:jc w:val="both"/>
        <w:textAlignment w:val="auto"/>
      </w:pPr>
      <w:r>
        <w:rPr>
          <w:rFonts w:ascii="Arial" w:eastAsia="Calibri" w:hAnsi="Arial" w:cs="Arial"/>
          <w:i/>
          <w:sz w:val="22"/>
          <w:szCs w:val="22"/>
        </w:rPr>
        <w:t>Sustitución de una actuación aprobada por otra. La nueva actuación propuesta será valorada con los criterios establecidos en la cláusula quinta y se le aplicarán los criterios de reparto indicados en</w:t>
      </w:r>
      <w:r>
        <w:rPr>
          <w:rFonts w:ascii="Arial" w:eastAsia="Calibri" w:hAnsi="Arial" w:cs="Arial"/>
          <w:i/>
          <w:sz w:val="22"/>
          <w:szCs w:val="22"/>
        </w:rPr>
        <w:t xml:space="preserve"> la cláusula sexta. Si se mantiene la misma puntuación que la actuación sustituida tendrá prioridad en la distribución de las anualidades. </w:t>
      </w:r>
    </w:p>
    <w:p w:rsidR="009B4233" w:rsidRDefault="006B08B9">
      <w:pPr>
        <w:widowControl/>
        <w:numPr>
          <w:ilvl w:val="0"/>
          <w:numId w:val="85"/>
        </w:numPr>
        <w:suppressAutoHyphens w:val="0"/>
        <w:spacing w:after="6" w:line="247" w:lineRule="auto"/>
        <w:ind w:right="40" w:hanging="310"/>
        <w:jc w:val="both"/>
        <w:textAlignment w:val="auto"/>
      </w:pPr>
      <w:r>
        <w:rPr>
          <w:rFonts w:ascii="Arial" w:eastAsia="Calibri" w:hAnsi="Arial" w:cs="Arial"/>
          <w:i/>
          <w:sz w:val="22"/>
          <w:szCs w:val="22"/>
        </w:rPr>
        <w:t xml:space="preserve">Renuncia a la ejecución de una obra incluida en el Plan. </w:t>
      </w:r>
    </w:p>
    <w:p w:rsidR="009B4233" w:rsidRDefault="006B08B9">
      <w:pPr>
        <w:widowControl/>
        <w:numPr>
          <w:ilvl w:val="0"/>
          <w:numId w:val="85"/>
        </w:numPr>
        <w:suppressAutoHyphens w:val="0"/>
        <w:spacing w:after="6" w:line="247" w:lineRule="auto"/>
        <w:ind w:right="40" w:hanging="310"/>
        <w:jc w:val="both"/>
        <w:textAlignment w:val="auto"/>
      </w:pPr>
      <w:r>
        <w:rPr>
          <w:rFonts w:ascii="Arial" w:eastAsia="Calibri" w:hAnsi="Arial" w:cs="Arial"/>
          <w:i/>
          <w:sz w:val="22"/>
          <w:szCs w:val="22"/>
        </w:rPr>
        <w:t xml:space="preserve">Inclusión de nuevas propuestas. </w:t>
      </w:r>
    </w:p>
    <w:p w:rsidR="009B4233" w:rsidRDefault="006B08B9">
      <w:pPr>
        <w:widowControl/>
        <w:numPr>
          <w:ilvl w:val="0"/>
          <w:numId w:val="85"/>
        </w:numPr>
        <w:suppressAutoHyphens w:val="0"/>
        <w:spacing w:after="216" w:line="247" w:lineRule="auto"/>
        <w:ind w:right="40" w:hanging="310"/>
        <w:jc w:val="both"/>
        <w:textAlignment w:val="auto"/>
      </w:pPr>
      <w:r>
        <w:rPr>
          <w:rFonts w:ascii="Arial" w:eastAsia="Calibri" w:hAnsi="Arial" w:cs="Arial"/>
          <w:i/>
          <w:sz w:val="22"/>
          <w:szCs w:val="22"/>
        </w:rPr>
        <w:t>Ajustes en los plazos est</w:t>
      </w:r>
      <w:r>
        <w:rPr>
          <w:rFonts w:ascii="Arial" w:eastAsia="Calibri" w:hAnsi="Arial" w:cs="Arial"/>
          <w:i/>
          <w:sz w:val="22"/>
          <w:szCs w:val="22"/>
        </w:rPr>
        <w:t xml:space="preserve">ablecidos con el objeto de justificar las actuaciones en función de la ejecución real de las mismas, pudiendo procederse por el Servicio gestor a la suspensión del cómputo de los citados plazos tras el estudio de las circunstancias, debidamente motivadas, </w:t>
      </w:r>
      <w:r>
        <w:rPr>
          <w:rFonts w:ascii="Arial" w:eastAsia="Calibri" w:hAnsi="Arial" w:cs="Arial"/>
          <w:i/>
          <w:sz w:val="22"/>
          <w:szCs w:val="22"/>
        </w:rPr>
        <w:t xml:space="preserve">aducidas por los distintos municipios beneficiarios (…).” </w:t>
      </w:r>
    </w:p>
    <w:p w:rsidR="009B4233" w:rsidRDefault="006B08B9">
      <w:pPr>
        <w:spacing w:after="266" w:line="251" w:lineRule="auto"/>
        <w:ind w:left="5" w:right="46" w:hanging="10"/>
        <w:jc w:val="both"/>
      </w:pPr>
      <w:r>
        <w:rPr>
          <w:rFonts w:ascii="Arial" w:eastAsia="Calibri" w:hAnsi="Arial" w:cs="Arial"/>
          <w:b/>
          <w:sz w:val="22"/>
          <w:szCs w:val="22"/>
        </w:rPr>
        <w:t>Considerando</w:t>
      </w:r>
      <w:r>
        <w:rPr>
          <w:rFonts w:ascii="Arial" w:eastAsia="Calibri" w:hAnsi="Arial" w:cs="Arial"/>
          <w:sz w:val="22"/>
          <w:szCs w:val="22"/>
        </w:rPr>
        <w:t xml:space="preserve"> que, a tenor de lo establecido en las normas reguladoras del Plan, en su apartado 7, en lo relativo a la ejecución y justificación, “las obras incluidas en el Plan serán ejecutadas por</w:t>
      </w:r>
      <w:r>
        <w:rPr>
          <w:rFonts w:ascii="Arial" w:eastAsia="Calibri" w:hAnsi="Arial" w:cs="Arial"/>
          <w:sz w:val="22"/>
          <w:szCs w:val="22"/>
        </w:rPr>
        <w:t xml:space="preserve"> los Ayuntamientos de conformidad con el proyecto remitido y en todo caso hasta el 10 de septiembre de la anualidad siguiente al del ejercicio en que dicha subvención fue otorgada”, y “deberán justificarse antes del 10 de noviembre del año siguiente al de </w:t>
      </w:r>
      <w:r>
        <w:rPr>
          <w:rFonts w:ascii="Arial" w:eastAsia="Calibri" w:hAnsi="Arial" w:cs="Arial"/>
          <w:sz w:val="22"/>
          <w:szCs w:val="22"/>
        </w:rPr>
        <w:t xml:space="preserve">la anualidad correspondiente”.   </w:t>
      </w:r>
    </w:p>
    <w:p w:rsidR="009B4233" w:rsidRDefault="006B08B9">
      <w:pPr>
        <w:spacing w:after="211" w:line="251" w:lineRule="auto"/>
        <w:ind w:left="5" w:right="46" w:hanging="10"/>
        <w:jc w:val="both"/>
      </w:pPr>
      <w:r>
        <w:rPr>
          <w:rFonts w:ascii="Arial" w:eastAsia="Calibri" w:hAnsi="Arial" w:cs="Arial"/>
          <w:b/>
          <w:sz w:val="22"/>
          <w:szCs w:val="22"/>
        </w:rPr>
        <w:t>Considerando</w:t>
      </w:r>
      <w:r>
        <w:rPr>
          <w:rFonts w:ascii="Arial" w:eastAsia="Calibri" w:hAnsi="Arial" w:cs="Arial"/>
          <w:sz w:val="22"/>
          <w:szCs w:val="22"/>
        </w:rPr>
        <w:t xml:space="preserve"> que en lo relativo al pago de las anualidades, las normas reguladoras del Plan establecen que “serán libradas por anticipado, mientras que las restantes no se librarán hasta que se proceda por el Ayuntamiento </w:t>
      </w:r>
      <w:r>
        <w:rPr>
          <w:rFonts w:ascii="Arial" w:eastAsia="Calibri" w:hAnsi="Arial" w:cs="Arial"/>
          <w:sz w:val="22"/>
          <w:szCs w:val="22"/>
        </w:rPr>
        <w:t>respectivo a la justificación de los fondos recibidos con anterioridad.”</w:t>
      </w:r>
      <w:r>
        <w:rPr>
          <w:rFonts w:ascii="Arial" w:eastAsia="Calibri" w:hAnsi="Arial" w:cs="Arial"/>
          <w:b/>
          <w:sz w:val="22"/>
          <w:szCs w:val="22"/>
        </w:rPr>
        <w:t xml:space="preserve"> </w:t>
      </w:r>
    </w:p>
    <w:p w:rsidR="009B4233" w:rsidRDefault="006B08B9">
      <w:pPr>
        <w:spacing w:after="211" w:line="251" w:lineRule="auto"/>
        <w:ind w:left="5" w:right="46" w:hanging="10"/>
        <w:jc w:val="both"/>
      </w:pPr>
      <w:r>
        <w:rPr>
          <w:rFonts w:ascii="Arial" w:eastAsia="Calibri" w:hAnsi="Arial" w:cs="Arial"/>
          <w:b/>
          <w:sz w:val="22"/>
          <w:szCs w:val="22"/>
        </w:rPr>
        <w:t>Considerando</w:t>
      </w:r>
      <w:r>
        <w:rPr>
          <w:rFonts w:ascii="Arial" w:eastAsia="Calibri" w:hAnsi="Arial" w:cs="Arial"/>
          <w:sz w:val="22"/>
          <w:szCs w:val="22"/>
        </w:rPr>
        <w:t xml:space="preserve"> que, de conformidad con lo establecido en el Acuerdo plenario de fecha de 28 de octubre de 2016, por el que se aprobó el Plan de Infraestructuras Culturales 2016-2024, e</w:t>
      </w:r>
      <w:r>
        <w:rPr>
          <w:rFonts w:ascii="Arial" w:eastAsia="Calibri" w:hAnsi="Arial" w:cs="Arial"/>
          <w:sz w:val="22"/>
          <w:szCs w:val="22"/>
        </w:rPr>
        <w:t xml:space="preserve">l Consejo de Gobierno Insular tiene delegada la competencia para la aprobación de la modificación del citado Plan, delegación que fue publicada en el BOP con fecha 14 de noviembre de 2016. </w:t>
      </w:r>
    </w:p>
    <w:p w:rsidR="009B4233" w:rsidRDefault="006B08B9">
      <w:pPr>
        <w:spacing w:after="211" w:line="251" w:lineRule="auto"/>
        <w:ind w:left="5" w:right="46" w:hanging="10"/>
        <w:jc w:val="both"/>
      </w:pPr>
      <w:r>
        <w:rPr>
          <w:rFonts w:ascii="Arial" w:eastAsia="Calibri" w:hAnsi="Arial" w:cs="Arial"/>
          <w:b/>
          <w:sz w:val="22"/>
          <w:szCs w:val="22"/>
        </w:rPr>
        <w:t>Considerando</w:t>
      </w:r>
      <w:r>
        <w:rPr>
          <w:rFonts w:ascii="Arial" w:eastAsia="Calibri" w:hAnsi="Arial" w:cs="Arial"/>
          <w:sz w:val="22"/>
          <w:szCs w:val="22"/>
        </w:rPr>
        <w:t xml:space="preserve"> que corresponde al Consejero Insular de Cultura Museo</w:t>
      </w:r>
      <w:r>
        <w:rPr>
          <w:rFonts w:ascii="Arial" w:eastAsia="Calibri" w:hAnsi="Arial" w:cs="Arial"/>
          <w:sz w:val="22"/>
          <w:szCs w:val="22"/>
        </w:rPr>
        <w:t>s y Deportes la presentación ante el Consejo de Gobierno Insular de las propuestas y proyectos en relación a las materias de su competencia, en virtud de lo establecido en el artículo 32.2.a) del Reglamento Orgánico del Gobierno y la Administración del Cab</w:t>
      </w:r>
      <w:r>
        <w:rPr>
          <w:rFonts w:ascii="Arial" w:eastAsia="Calibri" w:hAnsi="Arial" w:cs="Arial"/>
          <w:sz w:val="22"/>
          <w:szCs w:val="22"/>
        </w:rPr>
        <w:t xml:space="preserve">ildo Insular de Tenerife, aprobado el 28 de noviembre de 2024. </w:t>
      </w:r>
    </w:p>
    <w:p w:rsidR="009B4233" w:rsidRDefault="006B08B9">
      <w:pPr>
        <w:spacing w:after="283" w:line="251" w:lineRule="auto"/>
        <w:ind w:left="5" w:right="46" w:hanging="10"/>
        <w:jc w:val="both"/>
      </w:pPr>
      <w:r>
        <w:rPr>
          <w:rFonts w:ascii="Arial" w:eastAsia="Calibri" w:hAnsi="Arial" w:cs="Arial"/>
          <w:sz w:val="22"/>
          <w:szCs w:val="22"/>
        </w:rPr>
        <w:t xml:space="preserve">Por todo lo anteriormente expuesto, el Consejo de Gobierno Insular </w:t>
      </w:r>
      <w:r>
        <w:rPr>
          <w:rFonts w:ascii="Arial" w:eastAsia="Calibri" w:hAnsi="Arial" w:cs="Arial"/>
          <w:b/>
          <w:sz w:val="22"/>
          <w:szCs w:val="22"/>
        </w:rPr>
        <w:t>ACUERDA</w:t>
      </w:r>
      <w:r>
        <w:rPr>
          <w:rFonts w:ascii="Arial" w:eastAsia="Calibri" w:hAnsi="Arial" w:cs="Arial"/>
          <w:sz w:val="22"/>
          <w:szCs w:val="22"/>
        </w:rPr>
        <w:t xml:space="preserve">: </w:t>
      </w:r>
    </w:p>
    <w:p w:rsidR="009B4233" w:rsidRDefault="006B08B9">
      <w:pPr>
        <w:spacing w:after="164" w:line="228" w:lineRule="auto"/>
        <w:ind w:left="5" w:right="38" w:hanging="20"/>
        <w:jc w:val="both"/>
      </w:pPr>
      <w:r>
        <w:rPr>
          <w:rFonts w:ascii="Arial" w:eastAsia="Calibri" w:hAnsi="Arial" w:cs="Arial"/>
          <w:b/>
          <w:sz w:val="22"/>
          <w:szCs w:val="22"/>
        </w:rPr>
        <w:t xml:space="preserve">PRIMERO.- </w:t>
      </w:r>
      <w:r>
        <w:rPr>
          <w:rFonts w:ascii="Arial" w:eastAsia="Calibri" w:hAnsi="Arial" w:cs="Arial"/>
          <w:sz w:val="22"/>
          <w:szCs w:val="22"/>
        </w:rPr>
        <w:t>Aprobar un nuevo ajuste de anualidades para la actuación “Auditorio Municipal” correspondiente al Ayuntam</w:t>
      </w:r>
      <w:r>
        <w:rPr>
          <w:rFonts w:ascii="Arial" w:eastAsia="Calibri" w:hAnsi="Arial" w:cs="Arial"/>
          <w:sz w:val="22"/>
          <w:szCs w:val="22"/>
        </w:rPr>
        <w:t xml:space="preserve">iento de Candelaria con NIF número P3801100C conforme al siguiente detalle: </w:t>
      </w:r>
    </w:p>
    <w:p w:rsidR="009B4233" w:rsidRDefault="006B08B9">
      <w:pPr>
        <w:tabs>
          <w:tab w:val="center" w:pos="1344"/>
          <w:tab w:val="center" w:pos="2198"/>
          <w:tab w:val="center" w:pos="2946"/>
          <w:tab w:val="center" w:pos="3738"/>
          <w:tab w:val="center" w:pos="4646"/>
          <w:tab w:val="center" w:pos="5552"/>
          <w:tab w:val="center" w:pos="6458"/>
          <w:tab w:val="center" w:pos="7318"/>
        </w:tabs>
        <w:spacing w:after="30" w:line="218" w:lineRule="auto"/>
      </w:pPr>
      <w:r>
        <w:rPr>
          <w:rFonts w:ascii="Arial" w:hAnsi="Arial" w:cs="Arial"/>
          <w:sz w:val="22"/>
          <w:szCs w:val="22"/>
        </w:rPr>
        <w:tab/>
      </w:r>
      <w:r>
        <w:rPr>
          <w:rFonts w:ascii="Arial" w:eastAsia="Calibri" w:hAnsi="Arial" w:cs="Arial"/>
          <w:sz w:val="22"/>
          <w:szCs w:val="22"/>
        </w:rPr>
        <w:t>2023</w:t>
      </w:r>
      <w:r>
        <w:rPr>
          <w:rFonts w:ascii="Arial" w:eastAsia="Calibri" w:hAnsi="Arial" w:cs="Arial"/>
          <w:sz w:val="22"/>
          <w:szCs w:val="22"/>
        </w:rPr>
        <w:tab/>
        <w:t>2024</w:t>
      </w:r>
      <w:r>
        <w:rPr>
          <w:rFonts w:ascii="Arial" w:eastAsia="Calibri" w:hAnsi="Arial" w:cs="Arial"/>
          <w:sz w:val="22"/>
          <w:szCs w:val="22"/>
        </w:rPr>
        <w:tab/>
        <w:t>2025</w:t>
      </w:r>
      <w:r>
        <w:rPr>
          <w:rFonts w:ascii="Arial" w:eastAsia="Calibri" w:hAnsi="Arial" w:cs="Arial"/>
          <w:sz w:val="22"/>
          <w:szCs w:val="22"/>
        </w:rPr>
        <w:tab/>
        <w:t>2026</w:t>
      </w:r>
      <w:r>
        <w:rPr>
          <w:rFonts w:ascii="Arial" w:eastAsia="Calibri" w:hAnsi="Arial" w:cs="Arial"/>
          <w:sz w:val="22"/>
          <w:szCs w:val="22"/>
        </w:rPr>
        <w:tab/>
        <w:t>2027</w:t>
      </w:r>
      <w:r>
        <w:rPr>
          <w:rFonts w:ascii="Arial" w:eastAsia="Calibri" w:hAnsi="Arial" w:cs="Arial"/>
          <w:sz w:val="22"/>
          <w:szCs w:val="22"/>
        </w:rPr>
        <w:tab/>
        <w:t>2028</w:t>
      </w:r>
      <w:r>
        <w:rPr>
          <w:rFonts w:ascii="Arial" w:eastAsia="Calibri" w:hAnsi="Arial" w:cs="Arial"/>
          <w:sz w:val="22"/>
          <w:szCs w:val="22"/>
        </w:rPr>
        <w:tab/>
        <w:t>2029</w:t>
      </w:r>
      <w:r>
        <w:rPr>
          <w:rFonts w:ascii="Arial" w:eastAsia="Calibri" w:hAnsi="Arial" w:cs="Arial"/>
          <w:sz w:val="22"/>
          <w:szCs w:val="22"/>
        </w:rPr>
        <w:tab/>
        <w:t>Total</w:t>
      </w:r>
    </w:p>
    <w:tbl>
      <w:tblPr>
        <w:tblW w:w="7716" w:type="dxa"/>
        <w:tblInd w:w="-8" w:type="dxa"/>
        <w:tblCellMar>
          <w:left w:w="10" w:type="dxa"/>
          <w:right w:w="10" w:type="dxa"/>
        </w:tblCellMar>
        <w:tblLook w:val="0000" w:firstRow="0" w:lastRow="0" w:firstColumn="0" w:lastColumn="0" w:noHBand="0" w:noVBand="0"/>
      </w:tblPr>
      <w:tblGrid>
        <w:gridCol w:w="1264"/>
        <w:gridCol w:w="1165"/>
        <w:gridCol w:w="1019"/>
        <w:gridCol w:w="471"/>
        <w:gridCol w:w="1015"/>
        <w:gridCol w:w="1167"/>
        <w:gridCol w:w="1165"/>
        <w:gridCol w:w="1165"/>
        <w:gridCol w:w="1131"/>
      </w:tblGrid>
      <w:tr w:rsidR="009B4233">
        <w:tblPrEx>
          <w:tblCellMar>
            <w:top w:w="0" w:type="dxa"/>
            <w:bottom w:w="0" w:type="dxa"/>
          </w:tblCellMar>
        </w:tblPrEx>
        <w:trPr>
          <w:trHeight w:val="413"/>
        </w:trPr>
        <w:tc>
          <w:tcPr>
            <w:tcW w:w="1264" w:type="dxa"/>
            <w:tcBorders>
              <w:top w:val="single" w:sz="4" w:space="0" w:color="C0C0C0"/>
              <w:left w:val="single" w:sz="4" w:space="0" w:color="C0C0C0"/>
              <w:bottom w:val="single" w:sz="4" w:space="0" w:color="C0C0C0"/>
              <w:right w:val="single" w:sz="4" w:space="0" w:color="000000"/>
            </w:tcBorders>
            <w:shd w:val="clear" w:color="auto" w:fill="auto"/>
            <w:tcMar>
              <w:top w:w="8" w:type="dxa"/>
              <w:left w:w="24" w:type="dxa"/>
              <w:bottom w:w="0" w:type="dxa"/>
              <w:right w:w="59" w:type="dxa"/>
            </w:tcMar>
          </w:tcPr>
          <w:p w:rsidR="009B4233" w:rsidRDefault="009B4233">
            <w:pPr>
              <w:rPr>
                <w:rFonts w:ascii="Arial" w:hAnsi="Arial" w:cs="Arial"/>
                <w:sz w:val="22"/>
                <w:szCs w:val="22"/>
              </w:rPr>
            </w:pPr>
          </w:p>
        </w:tc>
        <w:tc>
          <w:tcPr>
            <w:tcW w:w="1165" w:type="dxa"/>
            <w:tcBorders>
              <w:top w:val="single" w:sz="4" w:space="0" w:color="000000"/>
              <w:left w:val="single" w:sz="4" w:space="0" w:color="000000"/>
              <w:bottom w:val="single" w:sz="4" w:space="0" w:color="000000"/>
              <w:right w:val="single" w:sz="4" w:space="0" w:color="000000"/>
            </w:tcBorders>
            <w:shd w:val="clear" w:color="auto" w:fill="auto"/>
            <w:tcMar>
              <w:top w:w="8" w:type="dxa"/>
              <w:left w:w="24" w:type="dxa"/>
              <w:bottom w:w="0" w:type="dxa"/>
              <w:right w:w="59" w:type="dxa"/>
            </w:tcMar>
          </w:tcPr>
          <w:p w:rsidR="009B4233" w:rsidRDefault="009B4233">
            <w:pPr>
              <w:rPr>
                <w:rFonts w:ascii="Arial" w:hAnsi="Arial" w:cs="Arial"/>
                <w:sz w:val="22"/>
                <w:szCs w:val="22"/>
              </w:rPr>
            </w:pPr>
          </w:p>
        </w:tc>
        <w:tc>
          <w:tcPr>
            <w:tcW w:w="1019" w:type="dxa"/>
            <w:tcBorders>
              <w:top w:val="single" w:sz="4" w:space="0" w:color="000000"/>
              <w:left w:val="single" w:sz="4" w:space="0" w:color="000000"/>
              <w:bottom w:val="single" w:sz="4" w:space="0" w:color="000000"/>
              <w:right w:val="single" w:sz="4" w:space="0" w:color="000000"/>
            </w:tcBorders>
            <w:shd w:val="clear" w:color="auto" w:fill="auto"/>
            <w:tcMar>
              <w:top w:w="8" w:type="dxa"/>
              <w:left w:w="24" w:type="dxa"/>
              <w:bottom w:w="0" w:type="dxa"/>
              <w:right w:w="59" w:type="dxa"/>
            </w:tcMar>
          </w:tcPr>
          <w:p w:rsidR="009B4233" w:rsidRDefault="009B4233">
            <w:pPr>
              <w:rPr>
                <w:rFonts w:ascii="Arial" w:hAnsi="Arial" w:cs="Arial"/>
                <w:sz w:val="22"/>
                <w:szCs w:val="22"/>
              </w:rPr>
            </w:pPr>
          </w:p>
        </w:tc>
        <w:tc>
          <w:tcPr>
            <w:tcW w:w="471" w:type="dxa"/>
            <w:tcBorders>
              <w:top w:val="single" w:sz="4" w:space="0" w:color="000000"/>
              <w:left w:val="single" w:sz="4" w:space="0" w:color="000000"/>
              <w:bottom w:val="single" w:sz="4" w:space="0" w:color="000000"/>
              <w:right w:val="single" w:sz="4" w:space="0" w:color="000000"/>
            </w:tcBorders>
            <w:shd w:val="clear" w:color="auto" w:fill="auto"/>
            <w:tcMar>
              <w:top w:w="8" w:type="dxa"/>
              <w:left w:w="24" w:type="dxa"/>
              <w:bottom w:w="0" w:type="dxa"/>
              <w:right w:w="59" w:type="dxa"/>
            </w:tcMar>
          </w:tcPr>
          <w:p w:rsidR="009B4233" w:rsidRDefault="009B4233">
            <w:pPr>
              <w:rPr>
                <w:rFonts w:ascii="Arial" w:hAnsi="Arial" w:cs="Arial"/>
                <w:sz w:val="22"/>
                <w:szCs w:val="22"/>
              </w:rPr>
            </w:pPr>
          </w:p>
        </w:tc>
        <w:tc>
          <w:tcPr>
            <w:tcW w:w="1015" w:type="dxa"/>
            <w:tcBorders>
              <w:top w:val="single" w:sz="4" w:space="0" w:color="000000"/>
              <w:left w:val="single" w:sz="4" w:space="0" w:color="000000"/>
              <w:bottom w:val="single" w:sz="4" w:space="0" w:color="000000"/>
              <w:right w:val="single" w:sz="4" w:space="0" w:color="000000"/>
            </w:tcBorders>
            <w:shd w:val="clear" w:color="auto" w:fill="auto"/>
            <w:tcMar>
              <w:top w:w="8" w:type="dxa"/>
              <w:left w:w="24" w:type="dxa"/>
              <w:bottom w:w="0" w:type="dxa"/>
              <w:right w:w="59" w:type="dxa"/>
            </w:tcMar>
          </w:tcPr>
          <w:p w:rsidR="009B4233" w:rsidRDefault="009B4233">
            <w:pPr>
              <w:rPr>
                <w:rFonts w:ascii="Arial" w:hAnsi="Arial" w:cs="Arial"/>
                <w:sz w:val="22"/>
                <w:szCs w:val="22"/>
              </w:rPr>
            </w:pPr>
          </w:p>
        </w:tc>
        <w:tc>
          <w:tcPr>
            <w:tcW w:w="1167" w:type="dxa"/>
            <w:tcBorders>
              <w:top w:val="single" w:sz="4" w:space="0" w:color="000000"/>
              <w:left w:val="single" w:sz="4" w:space="0" w:color="000000"/>
              <w:bottom w:val="single" w:sz="4" w:space="0" w:color="000000"/>
              <w:right w:val="single" w:sz="4" w:space="0" w:color="000000"/>
            </w:tcBorders>
            <w:shd w:val="clear" w:color="auto" w:fill="auto"/>
            <w:tcMar>
              <w:top w:w="8" w:type="dxa"/>
              <w:left w:w="24" w:type="dxa"/>
              <w:bottom w:w="0" w:type="dxa"/>
              <w:right w:w="59" w:type="dxa"/>
            </w:tcMar>
          </w:tcPr>
          <w:p w:rsidR="009B4233" w:rsidRDefault="009B4233">
            <w:pPr>
              <w:rPr>
                <w:rFonts w:ascii="Arial" w:hAnsi="Arial" w:cs="Arial"/>
                <w:sz w:val="22"/>
                <w:szCs w:val="22"/>
              </w:rPr>
            </w:pPr>
          </w:p>
        </w:tc>
        <w:tc>
          <w:tcPr>
            <w:tcW w:w="1165" w:type="dxa"/>
            <w:tcBorders>
              <w:top w:val="single" w:sz="4" w:space="0" w:color="000000"/>
              <w:left w:val="single" w:sz="4" w:space="0" w:color="000000"/>
              <w:bottom w:val="single" w:sz="4" w:space="0" w:color="000000"/>
              <w:right w:val="single" w:sz="4" w:space="0" w:color="000000"/>
            </w:tcBorders>
            <w:shd w:val="clear" w:color="auto" w:fill="auto"/>
            <w:tcMar>
              <w:top w:w="8" w:type="dxa"/>
              <w:left w:w="24" w:type="dxa"/>
              <w:bottom w:w="0" w:type="dxa"/>
              <w:right w:w="59" w:type="dxa"/>
            </w:tcMar>
          </w:tcPr>
          <w:p w:rsidR="009B4233" w:rsidRDefault="009B4233">
            <w:pPr>
              <w:rPr>
                <w:rFonts w:ascii="Arial" w:hAnsi="Arial" w:cs="Arial"/>
                <w:sz w:val="22"/>
                <w:szCs w:val="22"/>
              </w:rPr>
            </w:pPr>
          </w:p>
        </w:tc>
        <w:tc>
          <w:tcPr>
            <w:tcW w:w="1165" w:type="dxa"/>
            <w:tcBorders>
              <w:top w:val="single" w:sz="4" w:space="0" w:color="000000"/>
              <w:left w:val="single" w:sz="4" w:space="0" w:color="000000"/>
              <w:bottom w:val="single" w:sz="4" w:space="0" w:color="000000"/>
              <w:right w:val="single" w:sz="4" w:space="0" w:color="000000"/>
            </w:tcBorders>
            <w:shd w:val="clear" w:color="auto" w:fill="auto"/>
            <w:tcMar>
              <w:top w:w="8" w:type="dxa"/>
              <w:left w:w="24" w:type="dxa"/>
              <w:bottom w:w="0" w:type="dxa"/>
              <w:right w:w="59" w:type="dxa"/>
            </w:tcMar>
          </w:tcPr>
          <w:p w:rsidR="009B4233" w:rsidRDefault="009B4233">
            <w:pPr>
              <w:rPr>
                <w:rFonts w:ascii="Arial" w:hAnsi="Arial" w:cs="Arial"/>
                <w:sz w:val="22"/>
                <w:szCs w:val="22"/>
              </w:rPr>
            </w:pPr>
          </w:p>
        </w:tc>
        <w:tc>
          <w:tcPr>
            <w:tcW w:w="1131" w:type="dxa"/>
            <w:tcBorders>
              <w:top w:val="single" w:sz="4" w:space="0" w:color="000000"/>
              <w:left w:val="single" w:sz="4" w:space="0" w:color="000000"/>
              <w:bottom w:val="single" w:sz="4" w:space="0" w:color="000000"/>
              <w:right w:val="single" w:sz="4" w:space="0" w:color="000000"/>
            </w:tcBorders>
            <w:shd w:val="clear" w:color="auto" w:fill="auto"/>
            <w:tcMar>
              <w:top w:w="8" w:type="dxa"/>
              <w:left w:w="24" w:type="dxa"/>
              <w:bottom w:w="0" w:type="dxa"/>
              <w:right w:w="59" w:type="dxa"/>
            </w:tcMar>
          </w:tcPr>
          <w:p w:rsidR="009B4233" w:rsidRDefault="009B4233">
            <w:pPr>
              <w:rPr>
                <w:rFonts w:ascii="Arial" w:hAnsi="Arial" w:cs="Arial"/>
                <w:sz w:val="22"/>
                <w:szCs w:val="22"/>
              </w:rPr>
            </w:pPr>
          </w:p>
        </w:tc>
      </w:tr>
      <w:tr w:rsidR="009B4233">
        <w:tblPrEx>
          <w:tblCellMar>
            <w:top w:w="0" w:type="dxa"/>
            <w:bottom w:w="0" w:type="dxa"/>
          </w:tblCellMar>
        </w:tblPrEx>
        <w:trPr>
          <w:trHeight w:val="151"/>
        </w:trPr>
        <w:tc>
          <w:tcPr>
            <w:tcW w:w="1264" w:type="dxa"/>
            <w:tcBorders>
              <w:top w:val="single" w:sz="4" w:space="0" w:color="C0C0C0"/>
              <w:left w:val="single" w:sz="4" w:space="0" w:color="000000"/>
              <w:bottom w:val="single" w:sz="4" w:space="0" w:color="000000"/>
              <w:right w:val="single" w:sz="4" w:space="0" w:color="000000"/>
            </w:tcBorders>
            <w:shd w:val="clear" w:color="auto" w:fill="D9D9D9"/>
            <w:tcMar>
              <w:top w:w="8" w:type="dxa"/>
              <w:left w:w="24" w:type="dxa"/>
              <w:bottom w:w="0" w:type="dxa"/>
              <w:right w:w="59" w:type="dxa"/>
            </w:tcMar>
          </w:tcPr>
          <w:p w:rsidR="009B4233" w:rsidRDefault="006B08B9">
            <w:r>
              <w:rPr>
                <w:rFonts w:ascii="Arial" w:eastAsia="Calibri" w:hAnsi="Arial" w:cs="Arial"/>
                <w:b/>
                <w:sz w:val="22"/>
                <w:szCs w:val="22"/>
              </w:rPr>
              <w:t>Cabildo</w:t>
            </w:r>
          </w:p>
        </w:tc>
        <w:tc>
          <w:tcPr>
            <w:tcW w:w="1165" w:type="dxa"/>
            <w:tcBorders>
              <w:top w:val="single" w:sz="4" w:space="0" w:color="000000"/>
              <w:left w:val="single" w:sz="4" w:space="0" w:color="000000"/>
              <w:bottom w:val="single" w:sz="4" w:space="0" w:color="000000"/>
              <w:right w:val="single" w:sz="4" w:space="0" w:color="000000"/>
            </w:tcBorders>
            <w:shd w:val="clear" w:color="auto" w:fill="auto"/>
            <w:tcMar>
              <w:top w:w="8" w:type="dxa"/>
              <w:left w:w="24" w:type="dxa"/>
              <w:bottom w:w="0" w:type="dxa"/>
              <w:right w:w="59" w:type="dxa"/>
            </w:tcMar>
          </w:tcPr>
          <w:p w:rsidR="009B4233" w:rsidRDefault="006B08B9">
            <w:pPr>
              <w:ind w:left="52"/>
            </w:pPr>
            <w:r>
              <w:rPr>
                <w:rFonts w:ascii="Arial" w:eastAsia="Calibri" w:hAnsi="Arial" w:cs="Arial"/>
                <w:sz w:val="22"/>
                <w:szCs w:val="22"/>
              </w:rPr>
              <w:t>2.369.143,58 €</w:t>
            </w:r>
          </w:p>
        </w:tc>
        <w:tc>
          <w:tcPr>
            <w:tcW w:w="1019" w:type="dxa"/>
            <w:tcBorders>
              <w:top w:val="single" w:sz="4" w:space="0" w:color="000000"/>
              <w:left w:val="single" w:sz="4" w:space="0" w:color="000000"/>
              <w:bottom w:val="single" w:sz="4" w:space="0" w:color="000000"/>
              <w:right w:val="single" w:sz="4" w:space="0" w:color="000000"/>
            </w:tcBorders>
            <w:shd w:val="clear" w:color="auto" w:fill="auto"/>
            <w:tcMar>
              <w:top w:w="8" w:type="dxa"/>
              <w:left w:w="24" w:type="dxa"/>
              <w:bottom w:w="0" w:type="dxa"/>
              <w:right w:w="59" w:type="dxa"/>
            </w:tcMar>
          </w:tcPr>
          <w:p w:rsidR="009B4233" w:rsidRDefault="006B08B9">
            <w:pPr>
              <w:ind w:left="42"/>
              <w:jc w:val="center"/>
            </w:pPr>
            <w:r>
              <w:rPr>
                <w:rFonts w:ascii="Arial" w:eastAsia="Calibri" w:hAnsi="Arial" w:cs="Arial"/>
                <w:sz w:val="22"/>
                <w:szCs w:val="22"/>
              </w:rPr>
              <w:t>0,00 €</w:t>
            </w:r>
          </w:p>
        </w:tc>
        <w:tc>
          <w:tcPr>
            <w:tcW w:w="471" w:type="dxa"/>
            <w:tcBorders>
              <w:top w:val="single" w:sz="4" w:space="0" w:color="000000"/>
              <w:left w:val="single" w:sz="4" w:space="0" w:color="000000"/>
              <w:bottom w:val="single" w:sz="4" w:space="0" w:color="000000"/>
              <w:right w:val="single" w:sz="4" w:space="0" w:color="000000"/>
            </w:tcBorders>
            <w:shd w:val="clear" w:color="auto" w:fill="auto"/>
            <w:tcMar>
              <w:top w:w="8" w:type="dxa"/>
              <w:left w:w="24" w:type="dxa"/>
              <w:bottom w:w="0" w:type="dxa"/>
              <w:right w:w="59" w:type="dxa"/>
            </w:tcMar>
          </w:tcPr>
          <w:p w:rsidR="009B4233" w:rsidRDefault="006B08B9">
            <w:pPr>
              <w:ind w:left="50"/>
              <w:jc w:val="center"/>
            </w:pPr>
            <w:r>
              <w:rPr>
                <w:rFonts w:ascii="Arial" w:eastAsia="Calibri" w:hAnsi="Arial" w:cs="Arial"/>
                <w:sz w:val="22"/>
                <w:szCs w:val="22"/>
              </w:rPr>
              <w:t>0,00 €</w:t>
            </w:r>
          </w:p>
        </w:tc>
        <w:tc>
          <w:tcPr>
            <w:tcW w:w="1015" w:type="dxa"/>
            <w:tcBorders>
              <w:top w:val="single" w:sz="4" w:space="0" w:color="000000"/>
              <w:left w:val="single" w:sz="4" w:space="0" w:color="000000"/>
              <w:bottom w:val="single" w:sz="4" w:space="0" w:color="000000"/>
              <w:right w:val="single" w:sz="4" w:space="0" w:color="000000"/>
            </w:tcBorders>
            <w:shd w:val="clear" w:color="auto" w:fill="auto"/>
            <w:tcMar>
              <w:top w:w="8" w:type="dxa"/>
              <w:left w:w="24" w:type="dxa"/>
              <w:bottom w:w="0" w:type="dxa"/>
              <w:right w:w="59" w:type="dxa"/>
            </w:tcMar>
          </w:tcPr>
          <w:p w:rsidR="009B4233" w:rsidRDefault="006B08B9">
            <w:pPr>
              <w:ind w:left="42"/>
              <w:jc w:val="center"/>
            </w:pPr>
            <w:r>
              <w:rPr>
                <w:rFonts w:ascii="Arial" w:eastAsia="Calibri" w:hAnsi="Arial" w:cs="Arial"/>
                <w:sz w:val="22"/>
                <w:szCs w:val="22"/>
              </w:rPr>
              <w:t>0,00 €</w:t>
            </w:r>
          </w:p>
        </w:tc>
        <w:tc>
          <w:tcPr>
            <w:tcW w:w="1167" w:type="dxa"/>
            <w:tcBorders>
              <w:top w:val="single" w:sz="4" w:space="0" w:color="000000"/>
              <w:left w:val="single" w:sz="4" w:space="0" w:color="000000"/>
              <w:bottom w:val="single" w:sz="4" w:space="0" w:color="000000"/>
              <w:right w:val="single" w:sz="4" w:space="0" w:color="000000"/>
            </w:tcBorders>
            <w:shd w:val="clear" w:color="auto" w:fill="auto"/>
            <w:tcMar>
              <w:top w:w="8" w:type="dxa"/>
              <w:left w:w="24" w:type="dxa"/>
              <w:bottom w:w="0" w:type="dxa"/>
              <w:right w:w="59" w:type="dxa"/>
            </w:tcMar>
          </w:tcPr>
          <w:p w:rsidR="009B4233" w:rsidRDefault="006B08B9">
            <w:pPr>
              <w:ind w:left="50"/>
              <w:jc w:val="center"/>
            </w:pPr>
            <w:r>
              <w:rPr>
                <w:rFonts w:ascii="Arial" w:eastAsia="Calibri" w:hAnsi="Arial" w:cs="Arial"/>
                <w:sz w:val="22"/>
                <w:szCs w:val="22"/>
              </w:rPr>
              <w:t>577.172,10 €</w:t>
            </w:r>
          </w:p>
        </w:tc>
        <w:tc>
          <w:tcPr>
            <w:tcW w:w="1165" w:type="dxa"/>
            <w:tcBorders>
              <w:top w:val="single" w:sz="4" w:space="0" w:color="000000"/>
              <w:left w:val="single" w:sz="4" w:space="0" w:color="000000"/>
              <w:bottom w:val="single" w:sz="4" w:space="0" w:color="000000"/>
              <w:right w:val="single" w:sz="4" w:space="0" w:color="000000"/>
            </w:tcBorders>
            <w:shd w:val="clear" w:color="auto" w:fill="auto"/>
            <w:tcMar>
              <w:top w:w="8" w:type="dxa"/>
              <w:left w:w="24" w:type="dxa"/>
              <w:bottom w:w="0" w:type="dxa"/>
              <w:right w:w="59" w:type="dxa"/>
            </w:tcMar>
          </w:tcPr>
          <w:p w:rsidR="009B4233" w:rsidRDefault="006B08B9">
            <w:pPr>
              <w:ind w:left="52"/>
            </w:pPr>
            <w:r>
              <w:rPr>
                <w:rFonts w:ascii="Arial" w:eastAsia="Calibri" w:hAnsi="Arial" w:cs="Arial"/>
                <w:sz w:val="22"/>
                <w:szCs w:val="22"/>
              </w:rPr>
              <w:t>2.255.353,98 €</w:t>
            </w:r>
          </w:p>
        </w:tc>
        <w:tc>
          <w:tcPr>
            <w:tcW w:w="1165" w:type="dxa"/>
            <w:tcBorders>
              <w:top w:val="single" w:sz="4" w:space="0" w:color="000000"/>
              <w:left w:val="single" w:sz="4" w:space="0" w:color="000000"/>
              <w:bottom w:val="single" w:sz="4" w:space="0" w:color="000000"/>
              <w:right w:val="single" w:sz="4" w:space="0" w:color="000000"/>
            </w:tcBorders>
            <w:shd w:val="clear" w:color="auto" w:fill="auto"/>
            <w:tcMar>
              <w:top w:w="8" w:type="dxa"/>
              <w:left w:w="24" w:type="dxa"/>
              <w:bottom w:w="0" w:type="dxa"/>
              <w:right w:w="59" w:type="dxa"/>
            </w:tcMar>
          </w:tcPr>
          <w:p w:rsidR="009B4233" w:rsidRDefault="006B08B9">
            <w:pPr>
              <w:ind w:left="52"/>
            </w:pPr>
            <w:r>
              <w:rPr>
                <w:rFonts w:ascii="Arial" w:eastAsia="Calibri" w:hAnsi="Arial" w:cs="Arial"/>
                <w:sz w:val="22"/>
                <w:szCs w:val="22"/>
              </w:rPr>
              <w:t>2.255.363,98 €</w:t>
            </w:r>
          </w:p>
        </w:tc>
        <w:tc>
          <w:tcPr>
            <w:tcW w:w="1131" w:type="dxa"/>
            <w:tcBorders>
              <w:top w:val="single" w:sz="4" w:space="0" w:color="000000"/>
              <w:left w:val="single" w:sz="4" w:space="0" w:color="000000"/>
              <w:bottom w:val="single" w:sz="4" w:space="0" w:color="000000"/>
              <w:right w:val="single" w:sz="4" w:space="0" w:color="000000"/>
            </w:tcBorders>
            <w:shd w:val="clear" w:color="auto" w:fill="D9D9D9"/>
            <w:tcMar>
              <w:top w:w="8" w:type="dxa"/>
              <w:left w:w="24" w:type="dxa"/>
              <w:bottom w:w="0" w:type="dxa"/>
              <w:right w:w="59" w:type="dxa"/>
            </w:tcMar>
          </w:tcPr>
          <w:p w:rsidR="009B4233" w:rsidRDefault="006B08B9">
            <w:pPr>
              <w:ind w:left="10"/>
            </w:pPr>
            <w:r>
              <w:rPr>
                <w:rFonts w:ascii="Arial" w:eastAsia="Calibri" w:hAnsi="Arial" w:cs="Arial"/>
                <w:b/>
                <w:sz w:val="22"/>
                <w:szCs w:val="22"/>
              </w:rPr>
              <w:t>7.457.033,64 €</w:t>
            </w:r>
          </w:p>
        </w:tc>
      </w:tr>
      <w:tr w:rsidR="009B4233">
        <w:tblPrEx>
          <w:tblCellMar>
            <w:top w:w="0" w:type="dxa"/>
            <w:bottom w:w="0" w:type="dxa"/>
          </w:tblCellMar>
        </w:tblPrEx>
        <w:trPr>
          <w:trHeight w:val="225"/>
        </w:trPr>
        <w:tc>
          <w:tcPr>
            <w:tcW w:w="1264" w:type="dxa"/>
            <w:tcBorders>
              <w:top w:val="single" w:sz="4" w:space="0" w:color="000000"/>
              <w:left w:val="single" w:sz="4" w:space="0" w:color="000000"/>
              <w:bottom w:val="single" w:sz="4" w:space="0" w:color="C0C0C0"/>
              <w:right w:val="single" w:sz="4" w:space="0" w:color="000000"/>
            </w:tcBorders>
            <w:shd w:val="clear" w:color="auto" w:fill="D9D9D9"/>
            <w:tcMar>
              <w:top w:w="8" w:type="dxa"/>
              <w:left w:w="24" w:type="dxa"/>
              <w:bottom w:w="0" w:type="dxa"/>
              <w:right w:w="59" w:type="dxa"/>
            </w:tcMar>
          </w:tcPr>
          <w:p w:rsidR="009B4233" w:rsidRDefault="006B08B9">
            <w:r>
              <w:rPr>
                <w:rFonts w:ascii="Arial" w:eastAsia="Calibri" w:hAnsi="Arial" w:cs="Arial"/>
                <w:b/>
                <w:sz w:val="22"/>
                <w:szCs w:val="22"/>
              </w:rPr>
              <w:t>Ayuntamiento</w:t>
            </w:r>
          </w:p>
        </w:tc>
        <w:tc>
          <w:tcPr>
            <w:tcW w:w="1165" w:type="dxa"/>
            <w:tcBorders>
              <w:top w:val="single" w:sz="4" w:space="0" w:color="000000"/>
              <w:left w:val="single" w:sz="4" w:space="0" w:color="000000"/>
              <w:bottom w:val="single" w:sz="4" w:space="0" w:color="000000"/>
              <w:right w:val="single" w:sz="4" w:space="0" w:color="000000"/>
            </w:tcBorders>
            <w:shd w:val="clear" w:color="auto" w:fill="auto"/>
            <w:tcMar>
              <w:top w:w="8" w:type="dxa"/>
              <w:left w:w="24" w:type="dxa"/>
              <w:bottom w:w="0" w:type="dxa"/>
              <w:right w:w="59" w:type="dxa"/>
            </w:tcMar>
          </w:tcPr>
          <w:p w:rsidR="009B4233" w:rsidRDefault="006B08B9">
            <w:pPr>
              <w:ind w:left="42"/>
              <w:jc w:val="center"/>
            </w:pPr>
            <w:r>
              <w:rPr>
                <w:rFonts w:ascii="Arial" w:eastAsia="Calibri" w:hAnsi="Arial" w:cs="Arial"/>
                <w:sz w:val="22"/>
                <w:szCs w:val="22"/>
              </w:rPr>
              <w:t>0,00 €</w:t>
            </w:r>
          </w:p>
        </w:tc>
        <w:tc>
          <w:tcPr>
            <w:tcW w:w="1019" w:type="dxa"/>
            <w:tcBorders>
              <w:top w:val="single" w:sz="4" w:space="0" w:color="000000"/>
              <w:left w:val="single" w:sz="4" w:space="0" w:color="000000"/>
              <w:bottom w:val="single" w:sz="4" w:space="0" w:color="000000"/>
              <w:right w:val="single" w:sz="4" w:space="0" w:color="000000"/>
            </w:tcBorders>
            <w:shd w:val="clear" w:color="auto" w:fill="auto"/>
            <w:tcMar>
              <w:top w:w="8" w:type="dxa"/>
              <w:left w:w="24" w:type="dxa"/>
              <w:bottom w:w="0" w:type="dxa"/>
              <w:right w:w="59" w:type="dxa"/>
            </w:tcMar>
          </w:tcPr>
          <w:p w:rsidR="009B4233" w:rsidRDefault="006B08B9">
            <w:pPr>
              <w:ind w:left="54"/>
            </w:pPr>
            <w:r>
              <w:rPr>
                <w:rFonts w:ascii="Arial" w:eastAsia="Calibri" w:hAnsi="Arial" w:cs="Arial"/>
                <w:sz w:val="22"/>
                <w:szCs w:val="22"/>
              </w:rPr>
              <w:t>621.419,47 €</w:t>
            </w:r>
          </w:p>
        </w:tc>
        <w:tc>
          <w:tcPr>
            <w:tcW w:w="471" w:type="dxa"/>
            <w:tcBorders>
              <w:top w:val="single" w:sz="4" w:space="0" w:color="000000"/>
              <w:left w:val="single" w:sz="4" w:space="0" w:color="000000"/>
              <w:bottom w:val="single" w:sz="4" w:space="0" w:color="000000"/>
              <w:right w:val="single" w:sz="4" w:space="0" w:color="000000"/>
            </w:tcBorders>
            <w:shd w:val="clear" w:color="auto" w:fill="auto"/>
            <w:tcMar>
              <w:top w:w="8" w:type="dxa"/>
              <w:left w:w="24" w:type="dxa"/>
              <w:bottom w:w="0" w:type="dxa"/>
              <w:right w:w="59" w:type="dxa"/>
            </w:tcMar>
          </w:tcPr>
          <w:p w:rsidR="009B4233" w:rsidRDefault="006B08B9">
            <w:pPr>
              <w:ind w:left="50"/>
              <w:jc w:val="center"/>
            </w:pPr>
            <w:r>
              <w:rPr>
                <w:rFonts w:ascii="Arial" w:eastAsia="Calibri" w:hAnsi="Arial" w:cs="Arial"/>
                <w:sz w:val="22"/>
                <w:szCs w:val="22"/>
              </w:rPr>
              <w:t>0,00 €</w:t>
            </w:r>
          </w:p>
        </w:tc>
        <w:tc>
          <w:tcPr>
            <w:tcW w:w="1015" w:type="dxa"/>
            <w:tcBorders>
              <w:top w:val="single" w:sz="4" w:space="0" w:color="000000"/>
              <w:left w:val="single" w:sz="4" w:space="0" w:color="000000"/>
              <w:bottom w:val="single" w:sz="4" w:space="0" w:color="000000"/>
              <w:right w:val="single" w:sz="4" w:space="0" w:color="000000"/>
            </w:tcBorders>
            <w:shd w:val="clear" w:color="auto" w:fill="auto"/>
            <w:tcMar>
              <w:top w:w="8" w:type="dxa"/>
              <w:left w:w="24" w:type="dxa"/>
              <w:bottom w:w="0" w:type="dxa"/>
              <w:right w:w="59" w:type="dxa"/>
            </w:tcMar>
          </w:tcPr>
          <w:p w:rsidR="009B4233" w:rsidRDefault="006B08B9">
            <w:pPr>
              <w:ind w:left="50"/>
              <w:jc w:val="center"/>
            </w:pPr>
            <w:r>
              <w:rPr>
                <w:rFonts w:ascii="Arial" w:eastAsia="Calibri" w:hAnsi="Arial" w:cs="Arial"/>
                <w:sz w:val="22"/>
                <w:szCs w:val="22"/>
              </w:rPr>
              <w:t>621.419,47 €</w:t>
            </w:r>
          </w:p>
        </w:tc>
        <w:tc>
          <w:tcPr>
            <w:tcW w:w="1167" w:type="dxa"/>
            <w:tcBorders>
              <w:top w:val="single" w:sz="4" w:space="0" w:color="000000"/>
              <w:left w:val="single" w:sz="4" w:space="0" w:color="000000"/>
              <w:bottom w:val="single" w:sz="4" w:space="0" w:color="000000"/>
              <w:right w:val="single" w:sz="4" w:space="0" w:color="000000"/>
            </w:tcBorders>
            <w:shd w:val="clear" w:color="auto" w:fill="auto"/>
            <w:tcMar>
              <w:top w:w="8" w:type="dxa"/>
              <w:left w:w="24" w:type="dxa"/>
              <w:bottom w:w="0" w:type="dxa"/>
              <w:right w:w="59" w:type="dxa"/>
            </w:tcMar>
          </w:tcPr>
          <w:p w:rsidR="009B4233" w:rsidRDefault="006B08B9">
            <w:pPr>
              <w:ind w:left="50"/>
              <w:jc w:val="center"/>
            </w:pPr>
            <w:r>
              <w:rPr>
                <w:rFonts w:ascii="Arial" w:eastAsia="Calibri" w:hAnsi="Arial" w:cs="Arial"/>
                <w:sz w:val="22"/>
                <w:szCs w:val="22"/>
              </w:rPr>
              <w:t>621.419,47 €</w:t>
            </w:r>
          </w:p>
        </w:tc>
        <w:tc>
          <w:tcPr>
            <w:tcW w:w="1165" w:type="dxa"/>
            <w:tcBorders>
              <w:top w:val="single" w:sz="4" w:space="0" w:color="000000"/>
              <w:left w:val="single" w:sz="4" w:space="0" w:color="000000"/>
              <w:bottom w:val="single" w:sz="4" w:space="0" w:color="000000"/>
              <w:right w:val="single" w:sz="4" w:space="0" w:color="000000"/>
            </w:tcBorders>
            <w:shd w:val="clear" w:color="auto" w:fill="auto"/>
            <w:tcMar>
              <w:top w:w="8" w:type="dxa"/>
              <w:left w:w="24" w:type="dxa"/>
              <w:bottom w:w="0" w:type="dxa"/>
              <w:right w:w="59" w:type="dxa"/>
            </w:tcMar>
          </w:tcPr>
          <w:p w:rsidR="009B4233" w:rsidRDefault="006B08B9">
            <w:pPr>
              <w:ind w:left="40"/>
              <w:jc w:val="center"/>
            </w:pPr>
            <w:r>
              <w:rPr>
                <w:rFonts w:ascii="Arial" w:eastAsia="Calibri" w:hAnsi="Arial" w:cs="Arial"/>
                <w:sz w:val="22"/>
                <w:szCs w:val="22"/>
              </w:rPr>
              <w:t>0,00 €</w:t>
            </w:r>
          </w:p>
        </w:tc>
        <w:tc>
          <w:tcPr>
            <w:tcW w:w="1165" w:type="dxa"/>
            <w:tcBorders>
              <w:top w:val="single" w:sz="4" w:space="0" w:color="000000"/>
              <w:left w:val="single" w:sz="4" w:space="0" w:color="000000"/>
              <w:bottom w:val="single" w:sz="4" w:space="0" w:color="000000"/>
              <w:right w:val="single" w:sz="4" w:space="0" w:color="000000"/>
            </w:tcBorders>
            <w:shd w:val="clear" w:color="auto" w:fill="auto"/>
            <w:tcMar>
              <w:top w:w="8" w:type="dxa"/>
              <w:left w:w="24" w:type="dxa"/>
              <w:bottom w:w="0" w:type="dxa"/>
              <w:right w:w="59" w:type="dxa"/>
            </w:tcMar>
          </w:tcPr>
          <w:p w:rsidR="009B4233" w:rsidRDefault="006B08B9">
            <w:pPr>
              <w:ind w:left="42"/>
              <w:jc w:val="center"/>
            </w:pPr>
            <w:r>
              <w:rPr>
                <w:rFonts w:ascii="Arial" w:eastAsia="Calibri" w:hAnsi="Arial" w:cs="Arial"/>
                <w:sz w:val="22"/>
                <w:szCs w:val="22"/>
              </w:rPr>
              <w:t>0,00 €</w:t>
            </w:r>
          </w:p>
        </w:tc>
        <w:tc>
          <w:tcPr>
            <w:tcW w:w="1131" w:type="dxa"/>
            <w:tcBorders>
              <w:top w:val="single" w:sz="4" w:space="0" w:color="000000"/>
              <w:left w:val="single" w:sz="4" w:space="0" w:color="000000"/>
              <w:bottom w:val="single" w:sz="4" w:space="0" w:color="000000"/>
              <w:right w:val="single" w:sz="4" w:space="0" w:color="000000"/>
            </w:tcBorders>
            <w:shd w:val="clear" w:color="auto" w:fill="D9D9D9"/>
            <w:tcMar>
              <w:top w:w="8" w:type="dxa"/>
              <w:left w:w="24" w:type="dxa"/>
              <w:bottom w:w="0" w:type="dxa"/>
              <w:right w:w="59" w:type="dxa"/>
            </w:tcMar>
          </w:tcPr>
          <w:p w:rsidR="009B4233" w:rsidRDefault="006B08B9">
            <w:pPr>
              <w:ind w:left="10"/>
            </w:pPr>
            <w:r>
              <w:rPr>
                <w:rFonts w:ascii="Arial" w:eastAsia="Calibri" w:hAnsi="Arial" w:cs="Arial"/>
                <w:b/>
                <w:sz w:val="22"/>
                <w:szCs w:val="22"/>
              </w:rPr>
              <w:t>1.864.258,41 €</w:t>
            </w:r>
          </w:p>
        </w:tc>
      </w:tr>
      <w:tr w:rsidR="009B4233">
        <w:tblPrEx>
          <w:tblCellMar>
            <w:top w:w="0" w:type="dxa"/>
            <w:bottom w:w="0" w:type="dxa"/>
          </w:tblCellMar>
        </w:tblPrEx>
        <w:trPr>
          <w:trHeight w:val="146"/>
        </w:trPr>
        <w:tc>
          <w:tcPr>
            <w:tcW w:w="1264" w:type="dxa"/>
            <w:tcBorders>
              <w:top w:val="single" w:sz="4" w:space="0" w:color="C0C0C0"/>
              <w:left w:val="single" w:sz="4" w:space="0" w:color="C0C0C0"/>
              <w:bottom w:val="single" w:sz="4" w:space="0" w:color="C0C0C0"/>
              <w:right w:val="single" w:sz="4" w:space="0" w:color="000000"/>
            </w:tcBorders>
            <w:shd w:val="clear" w:color="auto" w:fill="auto"/>
            <w:tcMar>
              <w:top w:w="8" w:type="dxa"/>
              <w:left w:w="24" w:type="dxa"/>
              <w:bottom w:w="0" w:type="dxa"/>
              <w:right w:w="59" w:type="dxa"/>
            </w:tcMar>
          </w:tcPr>
          <w:p w:rsidR="009B4233" w:rsidRDefault="006B08B9">
            <w:r>
              <w:rPr>
                <w:rFonts w:ascii="Arial" w:eastAsia="Calibri" w:hAnsi="Arial" w:cs="Arial"/>
                <w:b/>
                <w:sz w:val="22"/>
                <w:szCs w:val="22"/>
              </w:rPr>
              <w:t>Total</w:t>
            </w:r>
          </w:p>
        </w:tc>
        <w:tc>
          <w:tcPr>
            <w:tcW w:w="1165" w:type="dxa"/>
            <w:tcBorders>
              <w:top w:val="single" w:sz="4" w:space="0" w:color="000000"/>
              <w:left w:val="single" w:sz="4" w:space="0" w:color="000000"/>
              <w:bottom w:val="single" w:sz="4" w:space="0" w:color="000000"/>
              <w:right w:val="single" w:sz="4" w:space="0" w:color="000000"/>
            </w:tcBorders>
            <w:shd w:val="clear" w:color="auto" w:fill="auto"/>
            <w:tcMar>
              <w:top w:w="8" w:type="dxa"/>
              <w:left w:w="24" w:type="dxa"/>
              <w:bottom w:w="0" w:type="dxa"/>
              <w:right w:w="59" w:type="dxa"/>
            </w:tcMar>
          </w:tcPr>
          <w:p w:rsidR="009B4233" w:rsidRDefault="006B08B9">
            <w:pPr>
              <w:ind w:left="52"/>
            </w:pPr>
            <w:r>
              <w:rPr>
                <w:rFonts w:ascii="Arial" w:eastAsia="Calibri" w:hAnsi="Arial" w:cs="Arial"/>
                <w:b/>
                <w:sz w:val="22"/>
                <w:szCs w:val="22"/>
              </w:rPr>
              <w:t>2.369.143,58 €</w:t>
            </w:r>
          </w:p>
        </w:tc>
        <w:tc>
          <w:tcPr>
            <w:tcW w:w="1019" w:type="dxa"/>
            <w:tcBorders>
              <w:top w:val="single" w:sz="4" w:space="0" w:color="000000"/>
              <w:left w:val="single" w:sz="4" w:space="0" w:color="000000"/>
              <w:bottom w:val="single" w:sz="4" w:space="0" w:color="000000"/>
              <w:right w:val="single" w:sz="4" w:space="0" w:color="000000"/>
            </w:tcBorders>
            <w:shd w:val="clear" w:color="auto" w:fill="auto"/>
            <w:tcMar>
              <w:top w:w="8" w:type="dxa"/>
              <w:left w:w="24" w:type="dxa"/>
              <w:bottom w:w="0" w:type="dxa"/>
              <w:right w:w="59" w:type="dxa"/>
            </w:tcMar>
          </w:tcPr>
          <w:p w:rsidR="009B4233" w:rsidRDefault="006B08B9">
            <w:pPr>
              <w:ind w:left="54"/>
            </w:pPr>
            <w:r>
              <w:rPr>
                <w:rFonts w:ascii="Arial" w:eastAsia="Calibri" w:hAnsi="Arial" w:cs="Arial"/>
                <w:b/>
                <w:sz w:val="22"/>
                <w:szCs w:val="22"/>
              </w:rPr>
              <w:t>621.419,47 €</w:t>
            </w:r>
          </w:p>
        </w:tc>
        <w:tc>
          <w:tcPr>
            <w:tcW w:w="471" w:type="dxa"/>
            <w:tcBorders>
              <w:top w:val="single" w:sz="4" w:space="0" w:color="000000"/>
              <w:left w:val="single" w:sz="4" w:space="0" w:color="000000"/>
              <w:bottom w:val="single" w:sz="4" w:space="0" w:color="000000"/>
              <w:right w:val="single" w:sz="4" w:space="0" w:color="000000"/>
            </w:tcBorders>
            <w:shd w:val="clear" w:color="auto" w:fill="auto"/>
            <w:tcMar>
              <w:top w:w="8" w:type="dxa"/>
              <w:left w:w="24" w:type="dxa"/>
              <w:bottom w:w="0" w:type="dxa"/>
              <w:right w:w="59" w:type="dxa"/>
            </w:tcMar>
          </w:tcPr>
          <w:p w:rsidR="009B4233" w:rsidRDefault="006B08B9">
            <w:pPr>
              <w:ind w:left="50"/>
              <w:jc w:val="center"/>
            </w:pPr>
            <w:r>
              <w:rPr>
                <w:rFonts w:ascii="Arial" w:eastAsia="Calibri" w:hAnsi="Arial" w:cs="Arial"/>
                <w:b/>
                <w:sz w:val="22"/>
                <w:szCs w:val="22"/>
              </w:rPr>
              <w:t>0,00 €</w:t>
            </w:r>
          </w:p>
        </w:tc>
        <w:tc>
          <w:tcPr>
            <w:tcW w:w="1015" w:type="dxa"/>
            <w:tcBorders>
              <w:top w:val="single" w:sz="4" w:space="0" w:color="000000"/>
              <w:left w:val="single" w:sz="4" w:space="0" w:color="000000"/>
              <w:bottom w:val="single" w:sz="4" w:space="0" w:color="000000"/>
              <w:right w:val="single" w:sz="4" w:space="0" w:color="000000"/>
            </w:tcBorders>
            <w:shd w:val="clear" w:color="auto" w:fill="auto"/>
            <w:tcMar>
              <w:top w:w="8" w:type="dxa"/>
              <w:left w:w="24" w:type="dxa"/>
              <w:bottom w:w="0" w:type="dxa"/>
              <w:right w:w="59" w:type="dxa"/>
            </w:tcMar>
          </w:tcPr>
          <w:p w:rsidR="009B4233" w:rsidRDefault="006B08B9">
            <w:pPr>
              <w:ind w:left="50"/>
              <w:jc w:val="center"/>
            </w:pPr>
            <w:r>
              <w:rPr>
                <w:rFonts w:ascii="Arial" w:eastAsia="Calibri" w:hAnsi="Arial" w:cs="Arial"/>
                <w:b/>
                <w:sz w:val="22"/>
                <w:szCs w:val="22"/>
              </w:rPr>
              <w:t>621.419,47 €</w:t>
            </w:r>
          </w:p>
        </w:tc>
        <w:tc>
          <w:tcPr>
            <w:tcW w:w="1167" w:type="dxa"/>
            <w:tcBorders>
              <w:top w:val="single" w:sz="4" w:space="0" w:color="000000"/>
              <w:left w:val="single" w:sz="4" w:space="0" w:color="000000"/>
              <w:bottom w:val="single" w:sz="4" w:space="0" w:color="000000"/>
              <w:right w:val="single" w:sz="4" w:space="0" w:color="000000"/>
            </w:tcBorders>
            <w:shd w:val="clear" w:color="auto" w:fill="auto"/>
            <w:tcMar>
              <w:top w:w="8" w:type="dxa"/>
              <w:left w:w="24" w:type="dxa"/>
              <w:bottom w:w="0" w:type="dxa"/>
              <w:right w:w="59" w:type="dxa"/>
            </w:tcMar>
          </w:tcPr>
          <w:p w:rsidR="009B4233" w:rsidRDefault="006B08B9">
            <w:pPr>
              <w:ind w:left="54"/>
            </w:pPr>
            <w:r>
              <w:rPr>
                <w:rFonts w:ascii="Arial" w:eastAsia="Calibri" w:hAnsi="Arial" w:cs="Arial"/>
                <w:b/>
                <w:sz w:val="22"/>
                <w:szCs w:val="22"/>
              </w:rPr>
              <w:t>1.198.591,57 €</w:t>
            </w:r>
          </w:p>
        </w:tc>
        <w:tc>
          <w:tcPr>
            <w:tcW w:w="1165" w:type="dxa"/>
            <w:tcBorders>
              <w:top w:val="single" w:sz="4" w:space="0" w:color="000000"/>
              <w:left w:val="single" w:sz="4" w:space="0" w:color="000000"/>
              <w:bottom w:val="single" w:sz="4" w:space="0" w:color="000000"/>
              <w:right w:val="single" w:sz="4" w:space="0" w:color="000000"/>
            </w:tcBorders>
            <w:shd w:val="clear" w:color="auto" w:fill="auto"/>
            <w:tcMar>
              <w:top w:w="8" w:type="dxa"/>
              <w:left w:w="24" w:type="dxa"/>
              <w:bottom w:w="0" w:type="dxa"/>
              <w:right w:w="59" w:type="dxa"/>
            </w:tcMar>
          </w:tcPr>
          <w:p w:rsidR="009B4233" w:rsidRDefault="006B08B9">
            <w:pPr>
              <w:ind w:left="52"/>
            </w:pPr>
            <w:r>
              <w:rPr>
                <w:rFonts w:ascii="Arial" w:eastAsia="Calibri" w:hAnsi="Arial" w:cs="Arial"/>
                <w:b/>
                <w:sz w:val="22"/>
                <w:szCs w:val="22"/>
              </w:rPr>
              <w:t>2.255.353,98 €</w:t>
            </w:r>
          </w:p>
        </w:tc>
        <w:tc>
          <w:tcPr>
            <w:tcW w:w="1165" w:type="dxa"/>
            <w:tcBorders>
              <w:top w:val="single" w:sz="4" w:space="0" w:color="000000"/>
              <w:left w:val="single" w:sz="4" w:space="0" w:color="000000"/>
              <w:bottom w:val="single" w:sz="4" w:space="0" w:color="000000"/>
              <w:right w:val="single" w:sz="4" w:space="0" w:color="000000"/>
            </w:tcBorders>
            <w:shd w:val="clear" w:color="auto" w:fill="auto"/>
            <w:tcMar>
              <w:top w:w="8" w:type="dxa"/>
              <w:left w:w="24" w:type="dxa"/>
              <w:bottom w:w="0" w:type="dxa"/>
              <w:right w:w="59" w:type="dxa"/>
            </w:tcMar>
          </w:tcPr>
          <w:p w:rsidR="009B4233" w:rsidRDefault="006B08B9">
            <w:pPr>
              <w:ind w:left="52"/>
            </w:pPr>
            <w:r>
              <w:rPr>
                <w:rFonts w:ascii="Arial" w:eastAsia="Calibri" w:hAnsi="Arial" w:cs="Arial"/>
                <w:b/>
                <w:sz w:val="22"/>
                <w:szCs w:val="22"/>
              </w:rPr>
              <w:t>2.255.363,98 €</w:t>
            </w:r>
          </w:p>
        </w:tc>
        <w:tc>
          <w:tcPr>
            <w:tcW w:w="1131" w:type="dxa"/>
            <w:tcBorders>
              <w:top w:val="single" w:sz="4" w:space="0" w:color="000000"/>
              <w:left w:val="single" w:sz="4" w:space="0" w:color="000000"/>
              <w:bottom w:val="single" w:sz="4" w:space="0" w:color="000000"/>
              <w:right w:val="single" w:sz="4" w:space="0" w:color="000000"/>
            </w:tcBorders>
            <w:shd w:val="clear" w:color="auto" w:fill="auto"/>
            <w:tcMar>
              <w:top w:w="8" w:type="dxa"/>
              <w:left w:w="24" w:type="dxa"/>
              <w:bottom w:w="0" w:type="dxa"/>
              <w:right w:w="59" w:type="dxa"/>
            </w:tcMar>
          </w:tcPr>
          <w:p w:rsidR="009B4233" w:rsidRDefault="006B08B9">
            <w:pPr>
              <w:ind w:left="10"/>
            </w:pPr>
            <w:r>
              <w:rPr>
                <w:rFonts w:ascii="Arial" w:eastAsia="Calibri" w:hAnsi="Arial" w:cs="Arial"/>
                <w:b/>
                <w:sz w:val="22"/>
                <w:szCs w:val="22"/>
              </w:rPr>
              <w:t>9.321.292,05 €</w:t>
            </w:r>
          </w:p>
        </w:tc>
      </w:tr>
    </w:tbl>
    <w:p w:rsidR="009B4233" w:rsidRDefault="009B4233">
      <w:pPr>
        <w:spacing w:after="211" w:line="251" w:lineRule="auto"/>
        <w:ind w:left="5" w:right="46" w:hanging="10"/>
        <w:jc w:val="both"/>
        <w:rPr>
          <w:rFonts w:ascii="Arial" w:eastAsia="Calibri" w:hAnsi="Arial" w:cs="Arial"/>
          <w:sz w:val="22"/>
          <w:szCs w:val="22"/>
        </w:rPr>
      </w:pPr>
    </w:p>
    <w:p w:rsidR="009B4233" w:rsidRDefault="006B08B9">
      <w:pPr>
        <w:spacing w:after="211" w:line="251" w:lineRule="auto"/>
        <w:ind w:left="5" w:right="46" w:hanging="10"/>
        <w:jc w:val="both"/>
      </w:pPr>
      <w:r>
        <w:rPr>
          <w:rFonts w:ascii="Arial" w:eastAsia="Calibri" w:hAnsi="Arial" w:cs="Arial"/>
          <w:sz w:val="22"/>
          <w:szCs w:val="22"/>
        </w:rPr>
        <w:t xml:space="preserve">Los plazos de ejecución y justificación de las anualidades, </w:t>
      </w:r>
      <w:r>
        <w:rPr>
          <w:rFonts w:ascii="Arial" w:eastAsia="Calibri" w:hAnsi="Arial" w:cs="Arial"/>
          <w:sz w:val="22"/>
          <w:szCs w:val="22"/>
        </w:rPr>
        <w:t>según lo acordado en Consejo de Gobierno Insular de fecha 26 de febrero de 2025 y lo establecido en las normas reguladoras del Plan, serán para 2023 y 2024, hasta el 10 de septiembre y 10 de noviembre de 2026 respectivamente, manteniendo para las anualidad</w:t>
      </w:r>
      <w:r>
        <w:rPr>
          <w:rFonts w:ascii="Arial" w:eastAsia="Calibri" w:hAnsi="Arial" w:cs="Arial"/>
          <w:sz w:val="22"/>
          <w:szCs w:val="22"/>
        </w:rPr>
        <w:t>es siguientes (2026, 2027, 2028 y 2029), el 10 de septiembre y 10 de noviembre de la anualidad siguiente al del ejercicio en que se abonen. En todo caso, las anualidades no serán abonadas hasta que se proceda, por parte del Ayuntamiento, a la justificación</w:t>
      </w:r>
      <w:r>
        <w:rPr>
          <w:rFonts w:ascii="Arial" w:eastAsia="Calibri" w:hAnsi="Arial" w:cs="Arial"/>
          <w:sz w:val="22"/>
          <w:szCs w:val="22"/>
        </w:rPr>
        <w:t xml:space="preserve"> de los fondos recibidos con anterioridad.</w:t>
      </w:r>
      <w:r>
        <w:rPr>
          <w:rFonts w:ascii="Arial" w:eastAsia="Calibri" w:hAnsi="Arial" w:cs="Arial"/>
          <w:b/>
          <w:sz w:val="22"/>
          <w:szCs w:val="22"/>
        </w:rPr>
        <w:t xml:space="preserve"> </w:t>
      </w:r>
    </w:p>
    <w:p w:rsidR="009B4233" w:rsidRDefault="006B08B9">
      <w:pPr>
        <w:spacing w:after="5" w:line="247" w:lineRule="auto"/>
        <w:ind w:left="-5" w:hanging="10"/>
      </w:pPr>
      <w:r>
        <w:rPr>
          <w:rFonts w:ascii="Arial" w:eastAsia="Calibri" w:hAnsi="Arial" w:cs="Arial"/>
          <w:b/>
          <w:sz w:val="22"/>
          <w:szCs w:val="22"/>
        </w:rPr>
        <w:t>SEGUNDO: Anular la autorización y disposición del gasto</w:t>
      </w:r>
      <w:r>
        <w:rPr>
          <w:rFonts w:ascii="Arial" w:eastAsia="Calibri" w:hAnsi="Arial" w:cs="Arial"/>
          <w:sz w:val="22"/>
          <w:szCs w:val="22"/>
        </w:rPr>
        <w:t xml:space="preserve"> efectuada mediante </w:t>
      </w:r>
    </w:p>
    <w:p w:rsidR="009B4233" w:rsidRDefault="006B08B9">
      <w:pPr>
        <w:spacing w:after="211" w:line="251" w:lineRule="auto"/>
        <w:ind w:left="5" w:right="46" w:hanging="10"/>
        <w:jc w:val="both"/>
      </w:pPr>
      <w:r>
        <w:rPr>
          <w:rFonts w:ascii="Arial" w:eastAsia="Calibri" w:hAnsi="Arial" w:cs="Arial"/>
          <w:sz w:val="22"/>
          <w:szCs w:val="22"/>
        </w:rPr>
        <w:t xml:space="preserve">Acuerdo de Consejo de Gobierno de fecha 26 de febrero de 2025, por importe de DOS MILLONES QUINIENTOS CUARENTA Y TRES MIL NOVECIENTOS </w:t>
      </w:r>
      <w:r>
        <w:rPr>
          <w:rFonts w:ascii="Arial" w:eastAsia="Calibri" w:hAnsi="Arial" w:cs="Arial"/>
          <w:sz w:val="22"/>
          <w:szCs w:val="22"/>
        </w:rPr>
        <w:t xml:space="preserve">CUARENTA Y CINCO EUROS CON TRES CÉNTIMOS (2.543.945,03 €) </w:t>
      </w:r>
      <w:r>
        <w:rPr>
          <w:rFonts w:ascii="Arial" w:eastAsia="Calibri" w:hAnsi="Arial" w:cs="Arial"/>
          <w:b/>
          <w:sz w:val="22"/>
          <w:szCs w:val="22"/>
        </w:rPr>
        <w:t>anualidad 2027</w:t>
      </w:r>
      <w:r>
        <w:rPr>
          <w:rFonts w:ascii="Arial" w:eastAsia="Calibri" w:hAnsi="Arial" w:cs="Arial"/>
          <w:sz w:val="22"/>
          <w:szCs w:val="22"/>
        </w:rPr>
        <w:t xml:space="preserve">, a favor del Ayuntamiento de Candelaria con NIF número P3801100C, conforme al siguiente detalle: </w:t>
      </w:r>
    </w:p>
    <w:p w:rsidR="009B4233" w:rsidRDefault="006B08B9">
      <w:pPr>
        <w:spacing w:after="211" w:line="251" w:lineRule="auto"/>
        <w:ind w:left="5" w:right="46" w:hanging="10"/>
        <w:jc w:val="both"/>
      </w:pPr>
      <w:r>
        <w:rPr>
          <w:rFonts w:ascii="Arial" w:eastAsia="Calibri" w:hAnsi="Arial" w:cs="Arial"/>
          <w:sz w:val="22"/>
          <w:szCs w:val="22"/>
        </w:rPr>
        <w:t>AD/, número de baja 2025-000630 por importe de DOS MILLONES QUINIENTOS CUARENTA Y TRE</w:t>
      </w:r>
      <w:r>
        <w:rPr>
          <w:rFonts w:ascii="Arial" w:eastAsia="Calibri" w:hAnsi="Arial" w:cs="Arial"/>
          <w:sz w:val="22"/>
          <w:szCs w:val="22"/>
        </w:rPr>
        <w:t xml:space="preserve">S MIL NOVECIENTOS CUARENTA Y CINCO EUROS CON TRES CÉNTIMOS (2.543.945,03 €), número de proyecto 2023-0709, línea de subvención 2016-001193, aplicación 27-0801-3341-76240, propuesta número 2025-000893 </w:t>
      </w:r>
    </w:p>
    <w:p w:rsidR="009B4233" w:rsidRDefault="006B08B9">
      <w:pPr>
        <w:spacing w:after="5" w:line="247" w:lineRule="auto"/>
        <w:ind w:left="-5" w:hanging="10"/>
      </w:pPr>
      <w:r>
        <w:rPr>
          <w:rFonts w:ascii="Arial" w:eastAsia="Calibri" w:hAnsi="Arial" w:cs="Arial"/>
          <w:b/>
          <w:sz w:val="22"/>
          <w:szCs w:val="22"/>
        </w:rPr>
        <w:t>TERCERO: Anular la autorización y disposición del gasto</w:t>
      </w:r>
      <w:r>
        <w:rPr>
          <w:rFonts w:ascii="Arial" w:eastAsia="Calibri" w:hAnsi="Arial" w:cs="Arial"/>
          <w:sz w:val="22"/>
          <w:szCs w:val="22"/>
        </w:rPr>
        <w:t xml:space="preserve"> efectuada mediante </w:t>
      </w:r>
    </w:p>
    <w:p w:rsidR="009B4233" w:rsidRDefault="006B08B9">
      <w:pPr>
        <w:spacing w:after="211" w:line="251" w:lineRule="auto"/>
        <w:ind w:left="5" w:right="46" w:hanging="10"/>
        <w:jc w:val="both"/>
      </w:pPr>
      <w:r>
        <w:rPr>
          <w:rFonts w:ascii="Arial" w:eastAsia="Calibri" w:hAnsi="Arial" w:cs="Arial"/>
          <w:sz w:val="22"/>
          <w:szCs w:val="22"/>
        </w:rPr>
        <w:t xml:space="preserve">Acuerdo de Consejo de Gobierno de fecha 26 de febrero de 2025, por importe de DOS MILLONES QUINIENTOS CUARENTA Y TRES MIL NOVECIENTOS CUARENTA Y CINCO EUROS CON TRES CÉNTIMOS (2.543.945,03 €) </w:t>
      </w:r>
      <w:r>
        <w:rPr>
          <w:rFonts w:ascii="Arial" w:eastAsia="Calibri" w:hAnsi="Arial" w:cs="Arial"/>
          <w:b/>
          <w:sz w:val="22"/>
          <w:szCs w:val="22"/>
        </w:rPr>
        <w:t>anualidad 2028</w:t>
      </w:r>
      <w:r>
        <w:rPr>
          <w:rFonts w:ascii="Arial" w:eastAsia="Calibri" w:hAnsi="Arial" w:cs="Arial"/>
          <w:sz w:val="22"/>
          <w:szCs w:val="22"/>
        </w:rPr>
        <w:t>, a favor del Ayuntamiento de</w:t>
      </w:r>
      <w:r>
        <w:rPr>
          <w:rFonts w:ascii="Arial" w:eastAsia="Calibri" w:hAnsi="Arial" w:cs="Arial"/>
          <w:sz w:val="22"/>
          <w:szCs w:val="22"/>
        </w:rPr>
        <w:t xml:space="preserve"> Candelaria con NIF número P3801100C, conforme al siguiente detalle: </w:t>
      </w:r>
    </w:p>
    <w:p w:rsidR="009B4233" w:rsidRDefault="006B08B9">
      <w:pPr>
        <w:spacing w:line="251" w:lineRule="auto"/>
        <w:ind w:left="5" w:right="46" w:hanging="10"/>
        <w:jc w:val="both"/>
      </w:pPr>
      <w:r>
        <w:rPr>
          <w:rFonts w:ascii="Arial" w:eastAsia="Calibri" w:hAnsi="Arial" w:cs="Arial"/>
          <w:sz w:val="22"/>
          <w:szCs w:val="22"/>
        </w:rPr>
        <w:t xml:space="preserve">AD/, número de baja 2025-000631 por importe de DOS MILLONES QUINIENTOS </w:t>
      </w:r>
    </w:p>
    <w:p w:rsidR="009B4233" w:rsidRDefault="006B08B9">
      <w:pPr>
        <w:spacing w:line="251" w:lineRule="auto"/>
        <w:ind w:left="5" w:right="46" w:hanging="10"/>
        <w:jc w:val="both"/>
      </w:pPr>
      <w:r>
        <w:rPr>
          <w:rFonts w:ascii="Arial" w:eastAsia="Calibri" w:hAnsi="Arial" w:cs="Arial"/>
          <w:sz w:val="22"/>
          <w:szCs w:val="22"/>
        </w:rPr>
        <w:t xml:space="preserve">CUARENTA Y TRES MIL NOVECIENTOS CUARENTA Y CINCO EUROS CON TRES </w:t>
      </w:r>
    </w:p>
    <w:p w:rsidR="009B4233" w:rsidRDefault="006B08B9">
      <w:pPr>
        <w:spacing w:after="251" w:line="251" w:lineRule="auto"/>
        <w:ind w:left="5" w:right="46" w:hanging="10"/>
        <w:jc w:val="both"/>
      </w:pPr>
      <w:r>
        <w:rPr>
          <w:rFonts w:ascii="Arial" w:eastAsia="Calibri" w:hAnsi="Arial" w:cs="Arial"/>
          <w:sz w:val="22"/>
          <w:szCs w:val="22"/>
        </w:rPr>
        <w:t>CÉNTIMOS (2.543.945,03 €), número de proyecto 202</w:t>
      </w:r>
      <w:r>
        <w:rPr>
          <w:rFonts w:ascii="Arial" w:eastAsia="Calibri" w:hAnsi="Arial" w:cs="Arial"/>
          <w:sz w:val="22"/>
          <w:szCs w:val="22"/>
        </w:rPr>
        <w:t xml:space="preserve">3-0709, línea de subvención 2016-001193, aplicación 28-0801-3341-76240, propuesta número 2025-002350 </w:t>
      </w:r>
    </w:p>
    <w:p w:rsidR="009B4233" w:rsidRDefault="006B08B9">
      <w:pPr>
        <w:spacing w:after="164" w:line="228" w:lineRule="auto"/>
        <w:ind w:left="5" w:right="38" w:hanging="20"/>
        <w:jc w:val="both"/>
      </w:pPr>
      <w:r>
        <w:rPr>
          <w:rFonts w:ascii="Arial" w:eastAsia="Calibri" w:hAnsi="Arial" w:cs="Arial"/>
          <w:b/>
          <w:sz w:val="22"/>
          <w:szCs w:val="22"/>
        </w:rPr>
        <w:t>CUARTO: Autorizar y disponer (fase AD)</w:t>
      </w:r>
      <w:r>
        <w:rPr>
          <w:rFonts w:ascii="Arial" w:eastAsia="Calibri" w:hAnsi="Arial" w:cs="Arial"/>
          <w:sz w:val="22"/>
          <w:szCs w:val="22"/>
        </w:rPr>
        <w:t xml:space="preserve"> a favor del Ayuntamiento de Candelaria con NIF número P3801100C, un gasto por importe de QUINIENTOS SETENTA Y SIETE</w:t>
      </w:r>
      <w:r>
        <w:rPr>
          <w:rFonts w:ascii="Arial" w:eastAsia="Calibri" w:hAnsi="Arial" w:cs="Arial"/>
          <w:sz w:val="22"/>
          <w:szCs w:val="22"/>
        </w:rPr>
        <w:t xml:space="preserve"> MIL CIENTO SETENTA Y DOS EUROS CON DIEZ CÉNTIMOS (577.172,10 €) con cargo a la aplicación presupuestaria </w:t>
      </w:r>
      <w:r>
        <w:rPr>
          <w:rFonts w:ascii="Arial" w:eastAsia="Calibri" w:hAnsi="Arial" w:cs="Arial"/>
          <w:b/>
          <w:sz w:val="22"/>
          <w:szCs w:val="22"/>
        </w:rPr>
        <w:t>27</w:t>
      </w:r>
      <w:r>
        <w:rPr>
          <w:rFonts w:ascii="Arial" w:eastAsia="Calibri" w:hAnsi="Arial" w:cs="Arial"/>
          <w:sz w:val="22"/>
          <w:szCs w:val="22"/>
        </w:rPr>
        <w:t xml:space="preserve">-0801-3341-76240, número de proyecto 2023-0709, línea de subvención 2016-001193, propuesta número 25-008192 ítem número 25-022893 para la </w:t>
      </w:r>
      <w:r>
        <w:rPr>
          <w:rFonts w:ascii="Arial" w:eastAsia="Calibri" w:hAnsi="Arial" w:cs="Arial"/>
          <w:b/>
          <w:sz w:val="22"/>
          <w:szCs w:val="22"/>
        </w:rPr>
        <w:t xml:space="preserve">anualidad </w:t>
      </w:r>
      <w:r>
        <w:rPr>
          <w:rFonts w:ascii="Arial" w:eastAsia="Calibri" w:hAnsi="Arial" w:cs="Arial"/>
          <w:b/>
          <w:sz w:val="22"/>
          <w:szCs w:val="22"/>
        </w:rPr>
        <w:t>2027</w:t>
      </w:r>
      <w:r>
        <w:rPr>
          <w:rFonts w:ascii="Arial" w:eastAsia="Calibri" w:hAnsi="Arial" w:cs="Arial"/>
          <w:sz w:val="22"/>
          <w:szCs w:val="22"/>
        </w:rPr>
        <w:t xml:space="preserve">. </w:t>
      </w:r>
    </w:p>
    <w:p w:rsidR="009B4233" w:rsidRDefault="006B08B9">
      <w:pPr>
        <w:spacing w:after="24" w:line="251" w:lineRule="auto"/>
        <w:ind w:left="5" w:right="46" w:hanging="10"/>
        <w:jc w:val="both"/>
      </w:pPr>
      <w:r>
        <w:rPr>
          <w:rFonts w:ascii="Arial" w:eastAsia="Calibri" w:hAnsi="Arial" w:cs="Arial"/>
          <w:b/>
          <w:sz w:val="22"/>
          <w:szCs w:val="22"/>
        </w:rPr>
        <w:t>QUINTO: Autorizar y disponer (fase AD)</w:t>
      </w:r>
      <w:r>
        <w:rPr>
          <w:rFonts w:ascii="Arial" w:eastAsia="Calibri" w:hAnsi="Arial" w:cs="Arial"/>
          <w:sz w:val="22"/>
          <w:szCs w:val="22"/>
        </w:rPr>
        <w:t xml:space="preserve"> a favor del Ayuntamiento de Candelaria con NIF número P3801100C, un gasto por importe de DOS MILLONES DOSCIENTOS CINCUENTA Y CINCO MIL TRESCIENTOS CINCUENTA Y TRES EUROS CON </w:t>
      </w:r>
    </w:p>
    <w:p w:rsidR="009B4233" w:rsidRDefault="006B08B9">
      <w:pPr>
        <w:spacing w:after="211" w:line="251" w:lineRule="auto"/>
        <w:ind w:left="5" w:right="46" w:hanging="10"/>
        <w:jc w:val="both"/>
      </w:pPr>
      <w:r>
        <w:rPr>
          <w:rFonts w:ascii="Arial" w:eastAsia="Calibri" w:hAnsi="Arial" w:cs="Arial"/>
          <w:sz w:val="22"/>
          <w:szCs w:val="22"/>
        </w:rPr>
        <w:t>NOVENTA Y OCHO CÉNTIMOS (2.255.353,</w:t>
      </w:r>
      <w:r>
        <w:rPr>
          <w:rFonts w:ascii="Arial" w:eastAsia="Calibri" w:hAnsi="Arial" w:cs="Arial"/>
          <w:sz w:val="22"/>
          <w:szCs w:val="22"/>
        </w:rPr>
        <w:t xml:space="preserve">98 €) con cargo a la aplicación presupuestaria </w:t>
      </w:r>
      <w:r>
        <w:rPr>
          <w:rFonts w:ascii="Arial" w:eastAsia="Calibri" w:hAnsi="Arial" w:cs="Arial"/>
          <w:b/>
          <w:sz w:val="22"/>
          <w:szCs w:val="22"/>
        </w:rPr>
        <w:t>28</w:t>
      </w:r>
      <w:r>
        <w:rPr>
          <w:rFonts w:ascii="Arial" w:eastAsia="Calibri" w:hAnsi="Arial" w:cs="Arial"/>
          <w:sz w:val="22"/>
          <w:szCs w:val="22"/>
        </w:rPr>
        <w:t xml:space="preserve">-08013341-76240, número de proyecto 2023-0709, línea de subvención 2016-001193, propuesta número 25-008194 ítem número 25-022894 para la </w:t>
      </w:r>
      <w:r>
        <w:rPr>
          <w:rFonts w:ascii="Arial" w:eastAsia="Calibri" w:hAnsi="Arial" w:cs="Arial"/>
          <w:b/>
          <w:sz w:val="22"/>
          <w:szCs w:val="22"/>
        </w:rPr>
        <w:t>anualidad 2028</w:t>
      </w:r>
      <w:r>
        <w:rPr>
          <w:rFonts w:ascii="Arial" w:eastAsia="Calibri" w:hAnsi="Arial" w:cs="Arial"/>
          <w:sz w:val="22"/>
          <w:szCs w:val="22"/>
        </w:rPr>
        <w:t xml:space="preserve">. </w:t>
      </w:r>
    </w:p>
    <w:p w:rsidR="009B4233" w:rsidRDefault="006B08B9">
      <w:pPr>
        <w:spacing w:line="251" w:lineRule="auto"/>
        <w:ind w:left="5" w:right="46" w:hanging="10"/>
        <w:jc w:val="both"/>
      </w:pPr>
      <w:r>
        <w:rPr>
          <w:rFonts w:ascii="Arial" w:eastAsia="Calibri" w:hAnsi="Arial" w:cs="Arial"/>
          <w:b/>
          <w:sz w:val="22"/>
          <w:szCs w:val="22"/>
        </w:rPr>
        <w:t>SEXTO: Autorizar y disponer (fase AD)</w:t>
      </w:r>
      <w:r>
        <w:rPr>
          <w:rFonts w:ascii="Arial" w:eastAsia="Calibri" w:hAnsi="Arial" w:cs="Arial"/>
          <w:sz w:val="22"/>
          <w:szCs w:val="22"/>
        </w:rPr>
        <w:t xml:space="preserve"> a favor del Ayu</w:t>
      </w:r>
      <w:r>
        <w:rPr>
          <w:rFonts w:ascii="Arial" w:eastAsia="Calibri" w:hAnsi="Arial" w:cs="Arial"/>
          <w:sz w:val="22"/>
          <w:szCs w:val="22"/>
        </w:rPr>
        <w:t xml:space="preserve">ntamiento de Candelaria con NIF número P3801100C, un gasto por importe de DOS MILLONES DOSCIENTOS CINCUENTA Y CINCO MIL TRESCIENTOS SESENTA Y TRES EUROS CON NOVENTA Y OCHO CÉNTIMOS (2.255.363,98 €) con cargo a la aplicación presupuestaria </w:t>
      </w:r>
      <w:r>
        <w:rPr>
          <w:rFonts w:ascii="Arial" w:eastAsia="Calibri" w:hAnsi="Arial" w:cs="Arial"/>
          <w:b/>
          <w:sz w:val="22"/>
          <w:szCs w:val="22"/>
        </w:rPr>
        <w:t>29</w:t>
      </w:r>
      <w:r>
        <w:rPr>
          <w:rFonts w:ascii="Arial" w:eastAsia="Calibri" w:hAnsi="Arial" w:cs="Arial"/>
          <w:sz w:val="22"/>
          <w:szCs w:val="22"/>
        </w:rPr>
        <w:t>-0801-3341-7624</w:t>
      </w:r>
      <w:r>
        <w:rPr>
          <w:rFonts w:ascii="Arial" w:eastAsia="Calibri" w:hAnsi="Arial" w:cs="Arial"/>
          <w:sz w:val="22"/>
          <w:szCs w:val="22"/>
        </w:rPr>
        <w:t xml:space="preserve">0, número de proyecto 2023-0709, línea de subvención 2016-001193, propuesta número 25-008203 ítem número 25-022907 para la </w:t>
      </w:r>
      <w:r>
        <w:rPr>
          <w:rFonts w:ascii="Arial" w:eastAsia="Calibri" w:hAnsi="Arial" w:cs="Arial"/>
          <w:b/>
          <w:sz w:val="22"/>
          <w:szCs w:val="22"/>
        </w:rPr>
        <w:t>anualidad 2029</w:t>
      </w:r>
      <w:r>
        <w:rPr>
          <w:rFonts w:ascii="Arial" w:eastAsia="Calibri" w:hAnsi="Arial" w:cs="Arial"/>
          <w:sz w:val="22"/>
          <w:szCs w:val="22"/>
        </w:rPr>
        <w:t xml:space="preserve">. </w:t>
      </w:r>
    </w:p>
    <w:p w:rsidR="009B4233" w:rsidRDefault="009B4233">
      <w:pPr>
        <w:spacing w:line="251" w:lineRule="auto"/>
        <w:ind w:left="5" w:right="46" w:hanging="10"/>
        <w:jc w:val="both"/>
        <w:rPr>
          <w:rFonts w:ascii="Arial" w:hAnsi="Arial" w:cs="Arial"/>
          <w:sz w:val="22"/>
          <w:szCs w:val="22"/>
        </w:rPr>
      </w:pPr>
    </w:p>
    <w:p w:rsidR="009B4233" w:rsidRDefault="006B08B9">
      <w:pPr>
        <w:spacing w:line="251" w:lineRule="auto"/>
        <w:ind w:left="5" w:right="46" w:hanging="10"/>
        <w:jc w:val="both"/>
      </w:pPr>
      <w:r>
        <w:rPr>
          <w:rFonts w:ascii="Arial" w:eastAsia="Calibri" w:hAnsi="Arial" w:cs="Arial"/>
          <w:b/>
          <w:sz w:val="22"/>
          <w:szCs w:val="22"/>
        </w:rPr>
        <w:t>SÉPTIMO</w:t>
      </w:r>
      <w:r>
        <w:rPr>
          <w:rFonts w:ascii="Arial" w:eastAsia="Calibri" w:hAnsi="Arial" w:cs="Arial"/>
          <w:sz w:val="22"/>
          <w:szCs w:val="22"/>
        </w:rPr>
        <w:t xml:space="preserve">: Publicar el acuerdo adoptado, de conformidad con lo dispuesto en el artículo 20 de la Ley </w:t>
      </w:r>
    </w:p>
    <w:p w:rsidR="009B4233" w:rsidRDefault="006B08B9">
      <w:pPr>
        <w:spacing w:line="251" w:lineRule="auto"/>
        <w:ind w:left="5" w:right="46" w:hanging="10"/>
        <w:jc w:val="both"/>
      </w:pPr>
      <w:r>
        <w:rPr>
          <w:rFonts w:ascii="Arial" w:eastAsia="Calibri" w:hAnsi="Arial" w:cs="Arial"/>
          <w:sz w:val="22"/>
          <w:szCs w:val="22"/>
        </w:rPr>
        <w:t xml:space="preserve">38/2003, de 17 </w:t>
      </w:r>
      <w:r>
        <w:rPr>
          <w:rFonts w:ascii="Arial" w:eastAsia="Calibri" w:hAnsi="Arial" w:cs="Arial"/>
          <w:sz w:val="22"/>
          <w:szCs w:val="22"/>
        </w:rPr>
        <w:t xml:space="preserve">de noviembre, General de Subvenciones en la Base de Datos Nacional de </w:t>
      </w:r>
    </w:p>
    <w:p w:rsidR="009B4233" w:rsidRDefault="006B08B9">
      <w:pPr>
        <w:spacing w:after="642" w:line="251" w:lineRule="auto"/>
        <w:ind w:left="5" w:right="46" w:hanging="10"/>
        <w:jc w:val="both"/>
      </w:pPr>
      <w:r>
        <w:rPr>
          <w:rFonts w:ascii="Arial" w:eastAsia="Calibri" w:hAnsi="Arial" w:cs="Arial"/>
          <w:sz w:val="22"/>
          <w:szCs w:val="22"/>
        </w:rPr>
        <w:t>Subvenciones (BDNS) que opera como sistema nacional de publicidad de las subvenciones…”</w:t>
      </w:r>
      <w:r>
        <w:rPr>
          <w:rFonts w:ascii="Arial" w:eastAsia="Calibri" w:hAnsi="Arial" w:cs="Arial"/>
          <w:b/>
          <w:sz w:val="22"/>
          <w:szCs w:val="22"/>
        </w:rPr>
        <w:t xml:space="preserve"> </w:t>
      </w:r>
    </w:p>
    <w:p w:rsidR="009B4233" w:rsidRDefault="009B4233">
      <w:pPr>
        <w:spacing w:after="642" w:line="251" w:lineRule="auto"/>
        <w:ind w:left="5" w:right="46" w:hanging="10"/>
        <w:jc w:val="both"/>
        <w:rPr>
          <w:rFonts w:ascii="Arial" w:hAnsi="Arial" w:cs="Arial"/>
          <w:sz w:val="22"/>
          <w:szCs w:val="22"/>
        </w:rPr>
      </w:pPr>
    </w:p>
    <w:p w:rsidR="009B4233" w:rsidRDefault="009B4233">
      <w:pPr>
        <w:spacing w:after="162"/>
        <w:ind w:left="14"/>
        <w:jc w:val="center"/>
        <w:rPr>
          <w:rFonts w:ascii="Arial" w:eastAsia="Calibri" w:hAnsi="Arial" w:cs="Arial"/>
          <w:b/>
          <w:sz w:val="22"/>
          <w:szCs w:val="22"/>
          <w:u w:val="single" w:color="000000"/>
        </w:rPr>
      </w:pPr>
    </w:p>
    <w:p w:rsidR="009B4233" w:rsidRDefault="009B4233">
      <w:pPr>
        <w:spacing w:after="162"/>
        <w:ind w:left="14"/>
        <w:jc w:val="center"/>
        <w:rPr>
          <w:rFonts w:ascii="Arial" w:eastAsia="Calibri" w:hAnsi="Arial" w:cs="Arial"/>
          <w:b/>
          <w:sz w:val="22"/>
          <w:szCs w:val="22"/>
          <w:u w:val="single" w:color="000000"/>
        </w:rPr>
      </w:pPr>
    </w:p>
    <w:p w:rsidR="009B4233" w:rsidRDefault="009B4233">
      <w:pPr>
        <w:spacing w:after="162"/>
        <w:ind w:left="14"/>
        <w:jc w:val="center"/>
        <w:rPr>
          <w:rFonts w:ascii="Arial" w:eastAsia="Calibri" w:hAnsi="Arial" w:cs="Arial"/>
          <w:b/>
          <w:sz w:val="22"/>
          <w:szCs w:val="22"/>
          <w:u w:val="single" w:color="000000"/>
        </w:rPr>
      </w:pPr>
    </w:p>
    <w:p w:rsidR="009B4233" w:rsidRDefault="006B08B9">
      <w:pPr>
        <w:spacing w:after="162"/>
      </w:pPr>
      <w:r>
        <w:rPr>
          <w:rFonts w:ascii="Arial" w:eastAsia="Calibri" w:hAnsi="Arial" w:cs="Arial"/>
          <w:b/>
          <w:sz w:val="22"/>
          <w:szCs w:val="22"/>
          <w:u w:val="single" w:color="000000"/>
        </w:rPr>
        <w:t>FUNDAMENTOS JURIDICOS</w:t>
      </w:r>
    </w:p>
    <w:p w:rsidR="009B4233" w:rsidRDefault="006B08B9">
      <w:pPr>
        <w:spacing w:after="30" w:line="218" w:lineRule="auto"/>
        <w:ind w:left="9" w:hanging="8"/>
        <w:jc w:val="both"/>
      </w:pPr>
      <w:r>
        <w:rPr>
          <w:rFonts w:ascii="Arial" w:eastAsia="Calibri" w:hAnsi="Arial" w:cs="Arial"/>
          <w:sz w:val="22"/>
          <w:szCs w:val="22"/>
        </w:rPr>
        <w:t>Primero. - El artículo 140.1 d) de la Ley 40/2015, de 1 de octubre, de</w:t>
      </w:r>
      <w:r>
        <w:rPr>
          <w:rFonts w:ascii="Arial" w:eastAsia="Calibri" w:hAnsi="Arial" w:cs="Arial"/>
          <w:sz w:val="22"/>
          <w:szCs w:val="22"/>
        </w:rPr>
        <w:t xml:space="preserve"> Régimen Jurídico del </w:t>
      </w:r>
    </w:p>
    <w:p w:rsidR="009B4233" w:rsidRDefault="006B08B9">
      <w:pPr>
        <w:spacing w:after="30" w:line="218" w:lineRule="auto"/>
        <w:ind w:left="9" w:hanging="8"/>
        <w:jc w:val="both"/>
      </w:pPr>
      <w:r>
        <w:rPr>
          <w:rFonts w:ascii="Arial" w:eastAsia="Calibri" w:hAnsi="Arial" w:cs="Arial"/>
          <w:sz w:val="22"/>
          <w:szCs w:val="22"/>
        </w:rPr>
        <w:t xml:space="preserve">Sector Público (LRJSP, en adelante), el artículo 14 de la Ley 14/1990, de 26 de julio, de </w:t>
      </w:r>
    </w:p>
    <w:p w:rsidR="009B4233" w:rsidRDefault="006B08B9">
      <w:pPr>
        <w:spacing w:after="101" w:line="218" w:lineRule="auto"/>
        <w:ind w:left="9" w:hanging="8"/>
        <w:jc w:val="both"/>
      </w:pPr>
      <w:r>
        <w:rPr>
          <w:rFonts w:ascii="Arial" w:eastAsia="Calibri" w:hAnsi="Arial" w:cs="Arial"/>
          <w:sz w:val="22"/>
          <w:szCs w:val="22"/>
        </w:rPr>
        <w:t>Régimen Jurídico de las Administraciones Públicas Canarias, el artículo 119 de la Ley 8/2015, de 1 de abril, de Cabildos Insulares, y el artíc</w:t>
      </w:r>
      <w:r>
        <w:rPr>
          <w:rFonts w:ascii="Arial" w:eastAsia="Calibri" w:hAnsi="Arial" w:cs="Arial"/>
          <w:sz w:val="22"/>
          <w:szCs w:val="22"/>
        </w:rPr>
        <w:t>ulo 3,1. k) de la LRJSP, consagran los principios de cooperación, coordinación, colaboración y asistencia activa entre las distintas Administraciones Públicas.</w:t>
      </w:r>
    </w:p>
    <w:p w:rsidR="009B4233" w:rsidRDefault="006B08B9">
      <w:pPr>
        <w:spacing w:after="30" w:line="218" w:lineRule="auto"/>
        <w:ind w:left="9" w:hanging="8"/>
        <w:jc w:val="both"/>
      </w:pPr>
      <w:r>
        <w:rPr>
          <w:rFonts w:ascii="Arial" w:eastAsia="Calibri" w:hAnsi="Arial" w:cs="Arial"/>
          <w:sz w:val="22"/>
          <w:szCs w:val="22"/>
        </w:rPr>
        <w:t>El r´egimen especifico de las atribuciones viene regulado en el  “Plan de Infraestructuras Cultu</w:t>
      </w:r>
      <w:r>
        <w:rPr>
          <w:rFonts w:ascii="Arial" w:eastAsia="Calibri" w:hAnsi="Arial" w:cs="Arial"/>
          <w:sz w:val="22"/>
          <w:szCs w:val="22"/>
        </w:rPr>
        <w:t>rales 2016-2029.</w:t>
      </w:r>
    </w:p>
    <w:p w:rsidR="009B4233" w:rsidRDefault="006B08B9">
      <w:pPr>
        <w:spacing w:after="199" w:line="218" w:lineRule="auto"/>
        <w:ind w:left="9" w:hanging="8"/>
        <w:jc w:val="both"/>
      </w:pPr>
      <w:r>
        <w:rPr>
          <w:rFonts w:ascii="Arial" w:eastAsia="Calibri" w:hAnsi="Arial" w:cs="Arial"/>
          <w:sz w:val="22"/>
          <w:szCs w:val="22"/>
        </w:rPr>
        <w:t>La Ley 38/2003, de 17 de noviembre, General de Subvenciones, “(…) Toda alteración de las condiciones tenidas en cuenta para la concesión de la subvención, y en todo caso la obtención concurrente de otras aportaciones fuera de los casos per</w:t>
      </w:r>
      <w:r>
        <w:rPr>
          <w:rFonts w:ascii="Arial" w:eastAsia="Calibri" w:hAnsi="Arial" w:cs="Arial"/>
          <w:sz w:val="22"/>
          <w:szCs w:val="22"/>
        </w:rPr>
        <w:t xml:space="preserve">mitidos en las normas reguladoras, podrá dar lugar a la modificación de la resolución de concesión, en los términos establecidos en la normativa reguladora de la subvención (…)”. </w:t>
      </w:r>
    </w:p>
    <w:p w:rsidR="009B4233" w:rsidRDefault="006B08B9">
      <w:pPr>
        <w:spacing w:after="81" w:line="218" w:lineRule="auto"/>
        <w:ind w:left="9" w:hanging="8"/>
        <w:jc w:val="both"/>
      </w:pPr>
      <w:r>
        <w:rPr>
          <w:rFonts w:ascii="Arial" w:eastAsia="Calibri" w:hAnsi="Arial" w:cs="Arial"/>
          <w:sz w:val="22"/>
          <w:szCs w:val="22"/>
        </w:rPr>
        <w:t>Considerando que, en relación a las causas recogidas en el Plan para fundame</w:t>
      </w:r>
      <w:r>
        <w:rPr>
          <w:rFonts w:ascii="Arial" w:eastAsia="Calibri" w:hAnsi="Arial" w:cs="Arial"/>
          <w:sz w:val="22"/>
          <w:szCs w:val="22"/>
        </w:rPr>
        <w:t xml:space="preserve">ntar su posible modificación, en su apartado 7 f) consta literalmente lo siguiente: </w:t>
      </w:r>
    </w:p>
    <w:p w:rsidR="009B4233" w:rsidRDefault="006B08B9">
      <w:pPr>
        <w:spacing w:after="6" w:line="247" w:lineRule="auto"/>
        <w:ind w:left="414" w:right="40" w:hanging="10"/>
        <w:jc w:val="both"/>
        <w:rPr>
          <w:rFonts w:ascii="Arial" w:eastAsia="Calibri" w:hAnsi="Arial" w:cs="Arial"/>
          <w:i/>
          <w:sz w:val="22"/>
          <w:szCs w:val="22"/>
        </w:rPr>
      </w:pPr>
      <w:r>
        <w:rPr>
          <w:rFonts w:ascii="Arial" w:eastAsia="Calibri" w:hAnsi="Arial" w:cs="Arial"/>
          <w:i/>
          <w:sz w:val="22"/>
          <w:szCs w:val="22"/>
        </w:rPr>
        <w:t xml:space="preserve">“(…) Las modificaciones podrán consistir en: </w:t>
      </w:r>
    </w:p>
    <w:p w:rsidR="009B4233" w:rsidRDefault="009B4233">
      <w:pPr>
        <w:spacing w:after="6" w:line="247" w:lineRule="auto"/>
        <w:ind w:left="414" w:right="40" w:hanging="10"/>
        <w:jc w:val="both"/>
        <w:rPr>
          <w:rFonts w:ascii="Arial" w:hAnsi="Arial" w:cs="Arial"/>
          <w:sz w:val="22"/>
          <w:szCs w:val="22"/>
        </w:rPr>
      </w:pPr>
    </w:p>
    <w:p w:rsidR="009B4233" w:rsidRDefault="006B08B9">
      <w:pPr>
        <w:widowControl/>
        <w:numPr>
          <w:ilvl w:val="0"/>
          <w:numId w:val="86"/>
        </w:numPr>
        <w:suppressAutoHyphens w:val="0"/>
        <w:spacing w:after="5" w:line="249" w:lineRule="auto"/>
        <w:ind w:right="40" w:hanging="1120"/>
        <w:jc w:val="both"/>
        <w:textAlignment w:val="auto"/>
      </w:pPr>
      <w:r>
        <w:rPr>
          <w:rFonts w:ascii="Arial" w:eastAsia="Calibri" w:hAnsi="Arial" w:cs="Arial"/>
          <w:b/>
          <w:i/>
          <w:sz w:val="22"/>
          <w:szCs w:val="22"/>
        </w:rPr>
        <w:t xml:space="preserve">Ajustes de anualidades en función de la ejecución real de las obras. </w:t>
      </w:r>
    </w:p>
    <w:p w:rsidR="009B4233" w:rsidRDefault="006B08B9">
      <w:pPr>
        <w:widowControl/>
        <w:numPr>
          <w:ilvl w:val="0"/>
          <w:numId w:val="86"/>
        </w:numPr>
        <w:suppressAutoHyphens w:val="0"/>
        <w:spacing w:after="6" w:line="247" w:lineRule="auto"/>
        <w:ind w:right="40" w:hanging="1120"/>
        <w:jc w:val="both"/>
        <w:textAlignment w:val="auto"/>
      </w:pPr>
      <w:r>
        <w:rPr>
          <w:rFonts w:ascii="Arial" w:eastAsia="Calibri" w:hAnsi="Arial" w:cs="Arial"/>
          <w:i/>
          <w:sz w:val="22"/>
          <w:szCs w:val="22"/>
        </w:rPr>
        <w:t xml:space="preserve">Modificación del importe asignado.  </w:t>
      </w:r>
    </w:p>
    <w:p w:rsidR="009B4233" w:rsidRDefault="006B08B9">
      <w:pPr>
        <w:widowControl/>
        <w:numPr>
          <w:ilvl w:val="0"/>
          <w:numId w:val="86"/>
        </w:numPr>
        <w:suppressAutoHyphens w:val="0"/>
        <w:spacing w:after="6" w:line="247" w:lineRule="auto"/>
        <w:ind w:right="40" w:hanging="1120"/>
        <w:jc w:val="both"/>
        <w:textAlignment w:val="auto"/>
      </w:pPr>
      <w:r>
        <w:rPr>
          <w:rFonts w:ascii="Arial" w:eastAsia="Calibri" w:hAnsi="Arial" w:cs="Arial"/>
          <w:i/>
          <w:sz w:val="22"/>
          <w:szCs w:val="22"/>
        </w:rPr>
        <w:t xml:space="preserve">Sustitución de </w:t>
      </w:r>
      <w:r>
        <w:rPr>
          <w:rFonts w:ascii="Arial" w:eastAsia="Calibri" w:hAnsi="Arial" w:cs="Arial"/>
          <w:i/>
          <w:sz w:val="22"/>
          <w:szCs w:val="22"/>
        </w:rPr>
        <w:t xml:space="preserve">una actuación aprobada por otra. La nueva actuación propuesta será valorada con los criterios establecidos en la cláusula quinta y se le aplicarán los criterios de reparto indicados en la cláusula sexta. Si se mantiene la misma puntuación que la actuación </w:t>
      </w:r>
      <w:r>
        <w:rPr>
          <w:rFonts w:ascii="Arial" w:eastAsia="Calibri" w:hAnsi="Arial" w:cs="Arial"/>
          <w:i/>
          <w:sz w:val="22"/>
          <w:szCs w:val="22"/>
        </w:rPr>
        <w:t xml:space="preserve">sustituida tendrá prioridad en la distribución de las anualidades. </w:t>
      </w:r>
    </w:p>
    <w:p w:rsidR="009B4233" w:rsidRDefault="006B08B9">
      <w:pPr>
        <w:widowControl/>
        <w:numPr>
          <w:ilvl w:val="0"/>
          <w:numId w:val="86"/>
        </w:numPr>
        <w:suppressAutoHyphens w:val="0"/>
        <w:spacing w:after="6" w:line="247" w:lineRule="auto"/>
        <w:ind w:right="40" w:hanging="1120"/>
        <w:jc w:val="both"/>
        <w:textAlignment w:val="auto"/>
      </w:pPr>
      <w:r>
        <w:rPr>
          <w:rFonts w:ascii="Arial" w:eastAsia="Calibri" w:hAnsi="Arial" w:cs="Arial"/>
          <w:i/>
          <w:sz w:val="22"/>
          <w:szCs w:val="22"/>
        </w:rPr>
        <w:t xml:space="preserve">Renuncia a la ejecución de una obra incluida en el Plan. </w:t>
      </w:r>
    </w:p>
    <w:p w:rsidR="009B4233" w:rsidRDefault="006B08B9">
      <w:pPr>
        <w:widowControl/>
        <w:numPr>
          <w:ilvl w:val="0"/>
          <w:numId w:val="86"/>
        </w:numPr>
        <w:suppressAutoHyphens w:val="0"/>
        <w:spacing w:after="6" w:line="247" w:lineRule="auto"/>
        <w:ind w:right="40" w:hanging="1120"/>
        <w:jc w:val="both"/>
        <w:textAlignment w:val="auto"/>
      </w:pPr>
      <w:r>
        <w:rPr>
          <w:rFonts w:ascii="Arial" w:eastAsia="Calibri" w:hAnsi="Arial" w:cs="Arial"/>
          <w:i/>
          <w:sz w:val="22"/>
          <w:szCs w:val="22"/>
        </w:rPr>
        <w:t xml:space="preserve">Inclusión de nuevas propuestas. </w:t>
      </w:r>
    </w:p>
    <w:p w:rsidR="009B4233" w:rsidRDefault="006B08B9">
      <w:pPr>
        <w:widowControl/>
        <w:numPr>
          <w:ilvl w:val="0"/>
          <w:numId w:val="86"/>
        </w:numPr>
        <w:suppressAutoHyphens w:val="0"/>
        <w:spacing w:after="234" w:line="247" w:lineRule="auto"/>
        <w:ind w:right="40" w:hanging="1120"/>
        <w:jc w:val="both"/>
        <w:textAlignment w:val="auto"/>
      </w:pPr>
      <w:r>
        <w:rPr>
          <w:rFonts w:ascii="Arial" w:eastAsia="Calibri" w:hAnsi="Arial" w:cs="Arial"/>
          <w:i/>
          <w:sz w:val="22"/>
          <w:szCs w:val="22"/>
        </w:rPr>
        <w:t xml:space="preserve">Ajustes en los plazos establecidos con el objeto de justificar las actuaciones en función de la </w:t>
      </w:r>
      <w:r>
        <w:rPr>
          <w:rFonts w:ascii="Arial" w:eastAsia="Calibri" w:hAnsi="Arial" w:cs="Arial"/>
          <w:i/>
          <w:sz w:val="22"/>
          <w:szCs w:val="22"/>
        </w:rPr>
        <w:t xml:space="preserve">ejecución real de las mismas, pudiendo procederse por el Servicio gestor a la suspensión del cómputo de los citados plazos tras el estudio de las circunstancias, debidamente motivadas, aducidas por los distintos municipios beneficiarios (…).” </w:t>
      </w:r>
    </w:p>
    <w:p w:rsidR="009B4233" w:rsidRDefault="006B08B9">
      <w:pPr>
        <w:spacing w:after="121" w:line="218" w:lineRule="auto"/>
        <w:ind w:left="9" w:hanging="8"/>
        <w:jc w:val="both"/>
        <w:rPr>
          <w:rFonts w:ascii="Arial" w:eastAsia="Calibri" w:hAnsi="Arial" w:cs="Arial"/>
          <w:sz w:val="22"/>
          <w:szCs w:val="22"/>
        </w:rPr>
      </w:pPr>
      <w:r>
        <w:rPr>
          <w:rFonts w:ascii="Arial" w:eastAsia="Calibri" w:hAnsi="Arial" w:cs="Arial"/>
          <w:sz w:val="22"/>
          <w:szCs w:val="22"/>
        </w:rPr>
        <w:t>De conformid</w:t>
      </w:r>
      <w:r>
        <w:rPr>
          <w:rFonts w:ascii="Arial" w:eastAsia="Calibri" w:hAnsi="Arial" w:cs="Arial"/>
          <w:sz w:val="22"/>
          <w:szCs w:val="22"/>
        </w:rPr>
        <w:t>ad con lo previsto en el artículo 2.5 del RD 887/2006, de 21 de julio, por el que se aprueba el Reglamento de la Ley 38/2003, de 17 de noviembre, General de Subvenciones (LGS) y la Disposición Adicional Octava de la LGS, las subvenciones que integran el Pr</w:t>
      </w:r>
      <w:r>
        <w:rPr>
          <w:rFonts w:ascii="Arial" w:eastAsia="Calibri" w:hAnsi="Arial" w:cs="Arial"/>
          <w:sz w:val="22"/>
          <w:szCs w:val="22"/>
        </w:rPr>
        <w:t>ograma de cooperación económica del Estado a las inversiones de las entidades locales, de la misma forma que las subvenciones que integran planes o instrumentos de cooperación municipal, se regirán por su normativa específica, resultando de aplicación supl</w:t>
      </w:r>
      <w:r>
        <w:rPr>
          <w:rFonts w:ascii="Arial" w:eastAsia="Calibri" w:hAnsi="Arial" w:cs="Arial"/>
          <w:sz w:val="22"/>
          <w:szCs w:val="22"/>
        </w:rPr>
        <w:t>etoria las disposiciones de la referida Ley General de Subvenciones.</w:t>
      </w:r>
    </w:p>
    <w:p w:rsidR="009B4233" w:rsidRDefault="009B4233">
      <w:pPr>
        <w:spacing w:after="121" w:line="218" w:lineRule="auto"/>
        <w:ind w:left="9" w:hanging="8"/>
        <w:jc w:val="both"/>
        <w:rPr>
          <w:rFonts w:ascii="Arial" w:eastAsia="Calibri" w:hAnsi="Arial" w:cs="Arial"/>
          <w:sz w:val="22"/>
          <w:szCs w:val="22"/>
        </w:rPr>
      </w:pPr>
    </w:p>
    <w:p w:rsidR="009B4233" w:rsidRDefault="009B4233">
      <w:pPr>
        <w:spacing w:after="121" w:line="218" w:lineRule="auto"/>
        <w:ind w:left="9" w:hanging="8"/>
        <w:jc w:val="both"/>
        <w:rPr>
          <w:rFonts w:ascii="Arial" w:hAnsi="Arial" w:cs="Arial"/>
          <w:sz w:val="22"/>
          <w:szCs w:val="22"/>
        </w:rPr>
      </w:pPr>
    </w:p>
    <w:p w:rsidR="009B4233" w:rsidRDefault="006B08B9">
      <w:pPr>
        <w:spacing w:after="30" w:line="218" w:lineRule="auto"/>
        <w:ind w:left="1158" w:hanging="8"/>
        <w:jc w:val="both"/>
      </w:pPr>
      <w:r>
        <w:rPr>
          <w:rFonts w:ascii="Arial" w:eastAsia="Calibri" w:hAnsi="Arial" w:cs="Arial"/>
          <w:sz w:val="22"/>
          <w:szCs w:val="22"/>
        </w:rPr>
        <w:t xml:space="preserve">Corresponde al Pleno del Ayuntamiento de Candelaria la competencia de </w:t>
      </w:r>
    </w:p>
    <w:p w:rsidR="009B4233" w:rsidRDefault="006B08B9">
      <w:pPr>
        <w:spacing w:after="219" w:line="218" w:lineRule="auto"/>
        <w:ind w:left="9" w:hanging="8"/>
        <w:jc w:val="both"/>
      </w:pPr>
      <w:r>
        <w:rPr>
          <w:rFonts w:ascii="Arial" w:eastAsia="Calibri" w:hAnsi="Arial" w:cs="Arial"/>
          <w:sz w:val="22"/>
          <w:szCs w:val="22"/>
        </w:rPr>
        <w:t>conforme determina el artículo 22 de la Ley 7/1985, de 2 de abril Reguladora de las Bases de Régimen Local.</w:t>
      </w:r>
    </w:p>
    <w:p w:rsidR="009B4233" w:rsidRDefault="006B08B9">
      <w:pPr>
        <w:pStyle w:val="Ttulo2"/>
        <w:spacing w:after="316"/>
        <w:ind w:left="15"/>
        <w:jc w:val="center"/>
        <w:rPr>
          <w:rFonts w:ascii="Arial" w:hAnsi="Arial" w:cs="Arial"/>
          <w:sz w:val="22"/>
          <w:szCs w:val="22"/>
        </w:rPr>
      </w:pPr>
      <w:r>
        <w:rPr>
          <w:rFonts w:ascii="Arial" w:hAnsi="Arial" w:cs="Arial"/>
          <w:sz w:val="22"/>
          <w:szCs w:val="22"/>
        </w:rPr>
        <w:t>PROPUE</w:t>
      </w:r>
      <w:r>
        <w:rPr>
          <w:rFonts w:ascii="Arial" w:hAnsi="Arial" w:cs="Arial"/>
          <w:sz w:val="22"/>
          <w:szCs w:val="22"/>
        </w:rPr>
        <w:t>STA DE RESOLUCIÓN</w:t>
      </w:r>
    </w:p>
    <w:p w:rsidR="009B4233" w:rsidRDefault="006B08B9">
      <w:pPr>
        <w:spacing w:after="493" w:line="218" w:lineRule="auto"/>
        <w:ind w:left="9" w:hanging="8"/>
        <w:jc w:val="both"/>
      </w:pPr>
      <w:r>
        <w:rPr>
          <w:rFonts w:ascii="Arial" w:eastAsia="Calibri" w:hAnsi="Arial" w:cs="Arial"/>
          <w:sz w:val="22"/>
          <w:szCs w:val="22"/>
        </w:rPr>
        <w:t xml:space="preserve">Primero.  Aceptar de forma expresa los términos del acuerdo relativo a la nueva financiación propuesta por el Cabildo Insular de la Isla de Tenerife quedando la propuesta de modificación de las correspondientes anualidades, con el </w:t>
      </w:r>
      <w:r>
        <w:rPr>
          <w:rFonts w:ascii="Arial" w:eastAsia="Calibri" w:hAnsi="Arial" w:cs="Arial"/>
          <w:sz w:val="22"/>
          <w:szCs w:val="22"/>
        </w:rPr>
        <w:t xml:space="preserve">siguiente detalle: </w:t>
      </w:r>
    </w:p>
    <w:tbl>
      <w:tblPr>
        <w:tblW w:w="11120" w:type="dxa"/>
        <w:tblCellMar>
          <w:left w:w="10" w:type="dxa"/>
          <w:right w:w="10" w:type="dxa"/>
        </w:tblCellMar>
        <w:tblLook w:val="0000" w:firstRow="0" w:lastRow="0" w:firstColumn="0" w:lastColumn="0" w:noHBand="0" w:noVBand="0"/>
      </w:tblPr>
      <w:tblGrid>
        <w:gridCol w:w="1513"/>
        <w:gridCol w:w="1391"/>
        <w:gridCol w:w="1210"/>
        <w:gridCol w:w="505"/>
        <w:gridCol w:w="1242"/>
        <w:gridCol w:w="1393"/>
        <w:gridCol w:w="1391"/>
        <w:gridCol w:w="1391"/>
        <w:gridCol w:w="1349"/>
      </w:tblGrid>
      <w:tr w:rsidR="009B4233">
        <w:tblPrEx>
          <w:tblCellMar>
            <w:top w:w="0" w:type="dxa"/>
            <w:bottom w:w="0" w:type="dxa"/>
          </w:tblCellMar>
        </w:tblPrEx>
        <w:trPr>
          <w:trHeight w:val="313"/>
        </w:trPr>
        <w:tc>
          <w:tcPr>
            <w:tcW w:w="1513" w:type="dxa"/>
            <w:tcBorders>
              <w:top w:val="single" w:sz="4" w:space="0" w:color="C0C0C0"/>
              <w:left w:val="single" w:sz="4" w:space="0" w:color="C0C0C0"/>
              <w:bottom w:val="single" w:sz="4" w:space="0" w:color="C0C0C0"/>
              <w:right w:val="single" w:sz="4" w:space="0" w:color="000000"/>
            </w:tcBorders>
            <w:shd w:val="clear" w:color="auto" w:fill="auto"/>
            <w:tcMar>
              <w:top w:w="7" w:type="dxa"/>
              <w:left w:w="24" w:type="dxa"/>
              <w:bottom w:w="0" w:type="dxa"/>
              <w:right w:w="30" w:type="dxa"/>
            </w:tcMar>
          </w:tcPr>
          <w:p w:rsidR="009B4233" w:rsidRDefault="009B4233">
            <w:pPr>
              <w:rPr>
                <w:rFonts w:ascii="Arial" w:hAnsi="Arial" w:cs="Arial"/>
                <w:sz w:val="22"/>
                <w:szCs w:val="22"/>
              </w:rPr>
            </w:pPr>
          </w:p>
        </w:tc>
        <w:tc>
          <w:tcPr>
            <w:tcW w:w="1391" w:type="dxa"/>
            <w:tcBorders>
              <w:top w:val="single" w:sz="4" w:space="0" w:color="000000"/>
              <w:left w:val="single" w:sz="4" w:space="0" w:color="000000"/>
              <w:bottom w:val="single" w:sz="4" w:space="0" w:color="000000"/>
              <w:right w:val="single" w:sz="4" w:space="0" w:color="000000"/>
            </w:tcBorders>
            <w:shd w:val="clear" w:color="auto" w:fill="auto"/>
            <w:tcMar>
              <w:top w:w="7" w:type="dxa"/>
              <w:left w:w="24" w:type="dxa"/>
              <w:bottom w:w="0" w:type="dxa"/>
              <w:right w:w="30" w:type="dxa"/>
            </w:tcMar>
          </w:tcPr>
          <w:p w:rsidR="009B4233" w:rsidRDefault="009B4233">
            <w:pPr>
              <w:rPr>
                <w:rFonts w:ascii="Arial" w:hAnsi="Arial" w:cs="Arial"/>
                <w:sz w:val="22"/>
                <w:szCs w:val="22"/>
              </w:rPr>
            </w:pPr>
          </w:p>
        </w:tc>
        <w:tc>
          <w:tcPr>
            <w:tcW w:w="1210" w:type="dxa"/>
            <w:tcBorders>
              <w:top w:val="single" w:sz="4" w:space="0" w:color="000000"/>
              <w:left w:val="single" w:sz="4" w:space="0" w:color="000000"/>
              <w:bottom w:val="single" w:sz="4" w:space="0" w:color="000000"/>
              <w:right w:val="single" w:sz="4" w:space="0" w:color="000000"/>
            </w:tcBorders>
            <w:shd w:val="clear" w:color="auto" w:fill="auto"/>
            <w:tcMar>
              <w:top w:w="7" w:type="dxa"/>
              <w:left w:w="24" w:type="dxa"/>
              <w:bottom w:w="0" w:type="dxa"/>
              <w:right w:w="30" w:type="dxa"/>
            </w:tcMar>
          </w:tcPr>
          <w:p w:rsidR="009B4233" w:rsidRDefault="009B4233">
            <w:pPr>
              <w:rPr>
                <w:rFonts w:ascii="Arial" w:hAnsi="Arial" w:cs="Arial"/>
                <w:sz w:val="22"/>
                <w:szCs w:val="2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7" w:type="dxa"/>
              <w:left w:w="24" w:type="dxa"/>
              <w:bottom w:w="0" w:type="dxa"/>
              <w:right w:w="30" w:type="dxa"/>
            </w:tcMar>
          </w:tcPr>
          <w:p w:rsidR="009B4233" w:rsidRDefault="009B4233">
            <w:pPr>
              <w:rPr>
                <w:rFonts w:ascii="Arial" w:hAnsi="Arial" w:cs="Arial"/>
                <w:sz w:val="22"/>
                <w:szCs w:val="22"/>
              </w:rPr>
            </w:pPr>
          </w:p>
        </w:tc>
        <w:tc>
          <w:tcPr>
            <w:tcW w:w="1242" w:type="dxa"/>
            <w:tcBorders>
              <w:top w:val="single" w:sz="4" w:space="0" w:color="000000"/>
              <w:left w:val="single" w:sz="4" w:space="0" w:color="000000"/>
              <w:bottom w:val="single" w:sz="4" w:space="0" w:color="000000"/>
              <w:right w:val="single" w:sz="4" w:space="0" w:color="000000"/>
            </w:tcBorders>
            <w:shd w:val="clear" w:color="auto" w:fill="auto"/>
            <w:tcMar>
              <w:top w:w="7" w:type="dxa"/>
              <w:left w:w="24" w:type="dxa"/>
              <w:bottom w:w="0" w:type="dxa"/>
              <w:right w:w="30" w:type="dxa"/>
            </w:tcMar>
          </w:tcPr>
          <w:p w:rsidR="009B4233" w:rsidRDefault="009B4233">
            <w:pPr>
              <w:rPr>
                <w:rFonts w:ascii="Arial" w:hAnsi="Arial" w:cs="Arial"/>
                <w:sz w:val="22"/>
                <w:szCs w:val="22"/>
              </w:rPr>
            </w:pPr>
          </w:p>
        </w:tc>
        <w:tc>
          <w:tcPr>
            <w:tcW w:w="1393" w:type="dxa"/>
            <w:tcBorders>
              <w:top w:val="single" w:sz="4" w:space="0" w:color="000000"/>
              <w:left w:val="single" w:sz="4" w:space="0" w:color="000000"/>
              <w:bottom w:val="single" w:sz="4" w:space="0" w:color="000000"/>
              <w:right w:val="single" w:sz="4" w:space="0" w:color="000000"/>
            </w:tcBorders>
            <w:shd w:val="clear" w:color="auto" w:fill="auto"/>
            <w:tcMar>
              <w:top w:w="7" w:type="dxa"/>
              <w:left w:w="24" w:type="dxa"/>
              <w:bottom w:w="0" w:type="dxa"/>
              <w:right w:w="30" w:type="dxa"/>
            </w:tcMar>
          </w:tcPr>
          <w:p w:rsidR="009B4233" w:rsidRDefault="009B4233">
            <w:pPr>
              <w:rPr>
                <w:rFonts w:ascii="Arial" w:hAnsi="Arial" w:cs="Arial"/>
                <w:sz w:val="22"/>
                <w:szCs w:val="22"/>
              </w:rPr>
            </w:pPr>
          </w:p>
        </w:tc>
        <w:tc>
          <w:tcPr>
            <w:tcW w:w="1391" w:type="dxa"/>
            <w:tcBorders>
              <w:top w:val="single" w:sz="4" w:space="0" w:color="000000"/>
              <w:left w:val="single" w:sz="4" w:space="0" w:color="000000"/>
              <w:bottom w:val="single" w:sz="4" w:space="0" w:color="000000"/>
              <w:right w:val="single" w:sz="4" w:space="0" w:color="000000"/>
            </w:tcBorders>
            <w:shd w:val="clear" w:color="auto" w:fill="auto"/>
            <w:tcMar>
              <w:top w:w="7" w:type="dxa"/>
              <w:left w:w="24" w:type="dxa"/>
              <w:bottom w:w="0" w:type="dxa"/>
              <w:right w:w="30" w:type="dxa"/>
            </w:tcMar>
          </w:tcPr>
          <w:p w:rsidR="009B4233" w:rsidRDefault="009B4233">
            <w:pPr>
              <w:rPr>
                <w:rFonts w:ascii="Arial" w:hAnsi="Arial" w:cs="Arial"/>
                <w:sz w:val="22"/>
                <w:szCs w:val="22"/>
              </w:rPr>
            </w:pPr>
          </w:p>
        </w:tc>
        <w:tc>
          <w:tcPr>
            <w:tcW w:w="1391" w:type="dxa"/>
            <w:tcBorders>
              <w:top w:val="single" w:sz="4" w:space="0" w:color="000000"/>
              <w:left w:val="single" w:sz="4" w:space="0" w:color="000000"/>
              <w:bottom w:val="single" w:sz="4" w:space="0" w:color="000000"/>
              <w:right w:val="single" w:sz="4" w:space="0" w:color="000000"/>
            </w:tcBorders>
            <w:shd w:val="clear" w:color="auto" w:fill="auto"/>
            <w:tcMar>
              <w:top w:w="7" w:type="dxa"/>
              <w:left w:w="24" w:type="dxa"/>
              <w:bottom w:w="0" w:type="dxa"/>
              <w:right w:w="30" w:type="dxa"/>
            </w:tcMar>
          </w:tcPr>
          <w:p w:rsidR="009B4233" w:rsidRDefault="009B4233">
            <w:pPr>
              <w:rPr>
                <w:rFonts w:ascii="Arial" w:hAnsi="Arial" w:cs="Arial"/>
                <w:sz w:val="22"/>
                <w:szCs w:val="22"/>
              </w:rPr>
            </w:pPr>
          </w:p>
        </w:tc>
        <w:tc>
          <w:tcPr>
            <w:tcW w:w="1349" w:type="dxa"/>
            <w:tcBorders>
              <w:top w:val="single" w:sz="4" w:space="0" w:color="000000"/>
              <w:left w:val="single" w:sz="4" w:space="0" w:color="000000"/>
              <w:bottom w:val="single" w:sz="4" w:space="0" w:color="000000"/>
              <w:right w:val="single" w:sz="4" w:space="0" w:color="000000"/>
            </w:tcBorders>
            <w:shd w:val="clear" w:color="auto" w:fill="auto"/>
            <w:tcMar>
              <w:top w:w="7" w:type="dxa"/>
              <w:left w:w="24" w:type="dxa"/>
              <w:bottom w:w="0" w:type="dxa"/>
              <w:right w:w="30" w:type="dxa"/>
            </w:tcMar>
          </w:tcPr>
          <w:p w:rsidR="009B4233" w:rsidRDefault="009B4233">
            <w:pPr>
              <w:rPr>
                <w:rFonts w:ascii="Arial" w:hAnsi="Arial" w:cs="Arial"/>
                <w:sz w:val="22"/>
                <w:szCs w:val="22"/>
              </w:rPr>
            </w:pPr>
          </w:p>
        </w:tc>
      </w:tr>
      <w:tr w:rsidR="009B4233">
        <w:tblPrEx>
          <w:tblCellMar>
            <w:top w:w="0" w:type="dxa"/>
            <w:bottom w:w="0" w:type="dxa"/>
          </w:tblCellMar>
        </w:tblPrEx>
        <w:trPr>
          <w:trHeight w:val="303"/>
        </w:trPr>
        <w:tc>
          <w:tcPr>
            <w:tcW w:w="1513" w:type="dxa"/>
            <w:tcBorders>
              <w:top w:val="single" w:sz="4" w:space="0" w:color="C0C0C0"/>
              <w:left w:val="single" w:sz="4" w:space="0" w:color="000000"/>
              <w:bottom w:val="single" w:sz="4" w:space="0" w:color="000000"/>
              <w:right w:val="single" w:sz="4" w:space="0" w:color="000000"/>
            </w:tcBorders>
            <w:shd w:val="clear" w:color="auto" w:fill="D9D9D9"/>
            <w:tcMar>
              <w:top w:w="7" w:type="dxa"/>
              <w:left w:w="24" w:type="dxa"/>
              <w:bottom w:w="0" w:type="dxa"/>
              <w:right w:w="30" w:type="dxa"/>
            </w:tcMar>
          </w:tcPr>
          <w:p w:rsidR="009B4233" w:rsidRDefault="006B08B9">
            <w:r>
              <w:rPr>
                <w:rFonts w:ascii="Arial" w:eastAsia="Calibri" w:hAnsi="Arial" w:cs="Arial"/>
                <w:b/>
                <w:sz w:val="22"/>
                <w:szCs w:val="22"/>
              </w:rPr>
              <w:t>Cabildo</w:t>
            </w:r>
          </w:p>
        </w:tc>
        <w:tc>
          <w:tcPr>
            <w:tcW w:w="1391" w:type="dxa"/>
            <w:tcBorders>
              <w:top w:val="single" w:sz="4" w:space="0" w:color="000000"/>
              <w:left w:val="single" w:sz="4" w:space="0" w:color="000000"/>
              <w:bottom w:val="single" w:sz="4" w:space="0" w:color="000000"/>
              <w:right w:val="single" w:sz="4" w:space="0" w:color="000000"/>
            </w:tcBorders>
            <w:shd w:val="clear" w:color="auto" w:fill="auto"/>
            <w:tcMar>
              <w:top w:w="7" w:type="dxa"/>
              <w:left w:w="24" w:type="dxa"/>
              <w:bottom w:w="0" w:type="dxa"/>
              <w:right w:w="30" w:type="dxa"/>
            </w:tcMar>
          </w:tcPr>
          <w:p w:rsidR="009B4233" w:rsidRDefault="006B08B9">
            <w:pPr>
              <w:ind w:left="52"/>
            </w:pPr>
            <w:r>
              <w:rPr>
                <w:rFonts w:ascii="Arial" w:eastAsia="Calibri" w:hAnsi="Arial" w:cs="Arial"/>
                <w:sz w:val="22"/>
                <w:szCs w:val="22"/>
              </w:rPr>
              <w:t>2.369.143,58 €</w:t>
            </w:r>
          </w:p>
        </w:tc>
        <w:tc>
          <w:tcPr>
            <w:tcW w:w="1210" w:type="dxa"/>
            <w:tcBorders>
              <w:top w:val="single" w:sz="4" w:space="0" w:color="000000"/>
              <w:left w:val="single" w:sz="4" w:space="0" w:color="000000"/>
              <w:bottom w:val="single" w:sz="4" w:space="0" w:color="000000"/>
              <w:right w:val="single" w:sz="4" w:space="0" w:color="000000"/>
            </w:tcBorders>
            <w:shd w:val="clear" w:color="auto" w:fill="auto"/>
            <w:tcMar>
              <w:top w:w="7" w:type="dxa"/>
              <w:left w:w="24" w:type="dxa"/>
              <w:bottom w:w="0" w:type="dxa"/>
              <w:right w:w="30" w:type="dxa"/>
            </w:tcMar>
          </w:tcPr>
          <w:p w:rsidR="009B4233" w:rsidRDefault="006B08B9">
            <w:pPr>
              <w:ind w:left="12"/>
              <w:jc w:val="center"/>
            </w:pPr>
            <w:r>
              <w:rPr>
                <w:rFonts w:ascii="Arial" w:eastAsia="Calibri" w:hAnsi="Arial" w:cs="Arial"/>
                <w:sz w:val="22"/>
                <w:szCs w:val="22"/>
              </w:rPr>
              <w:t>0,00 €</w:t>
            </w: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7" w:type="dxa"/>
              <w:left w:w="24" w:type="dxa"/>
              <w:bottom w:w="0" w:type="dxa"/>
              <w:right w:w="30" w:type="dxa"/>
            </w:tcMar>
          </w:tcPr>
          <w:p w:rsidR="009B4233" w:rsidRDefault="006B08B9">
            <w:pPr>
              <w:ind w:left="22"/>
              <w:jc w:val="center"/>
            </w:pPr>
            <w:r>
              <w:rPr>
                <w:rFonts w:ascii="Arial" w:eastAsia="Calibri" w:hAnsi="Arial" w:cs="Arial"/>
                <w:sz w:val="22"/>
                <w:szCs w:val="22"/>
              </w:rPr>
              <w:t>0,00 €</w:t>
            </w:r>
          </w:p>
        </w:tc>
        <w:tc>
          <w:tcPr>
            <w:tcW w:w="1242" w:type="dxa"/>
            <w:tcBorders>
              <w:top w:val="single" w:sz="4" w:space="0" w:color="000000"/>
              <w:left w:val="single" w:sz="4" w:space="0" w:color="000000"/>
              <w:bottom w:val="single" w:sz="4" w:space="0" w:color="000000"/>
              <w:right w:val="single" w:sz="4" w:space="0" w:color="000000"/>
            </w:tcBorders>
            <w:shd w:val="clear" w:color="auto" w:fill="auto"/>
            <w:tcMar>
              <w:top w:w="7" w:type="dxa"/>
              <w:left w:w="24" w:type="dxa"/>
              <w:bottom w:w="0" w:type="dxa"/>
              <w:right w:w="30" w:type="dxa"/>
            </w:tcMar>
          </w:tcPr>
          <w:p w:rsidR="009B4233" w:rsidRDefault="006B08B9">
            <w:pPr>
              <w:ind w:left="14"/>
              <w:jc w:val="center"/>
            </w:pPr>
            <w:r>
              <w:rPr>
                <w:rFonts w:ascii="Arial" w:eastAsia="Calibri" w:hAnsi="Arial" w:cs="Arial"/>
                <w:sz w:val="22"/>
                <w:szCs w:val="22"/>
              </w:rPr>
              <w:t>0,00 €</w:t>
            </w:r>
          </w:p>
        </w:tc>
        <w:tc>
          <w:tcPr>
            <w:tcW w:w="1393" w:type="dxa"/>
            <w:tcBorders>
              <w:top w:val="single" w:sz="4" w:space="0" w:color="000000"/>
              <w:left w:val="single" w:sz="4" w:space="0" w:color="000000"/>
              <w:bottom w:val="single" w:sz="4" w:space="0" w:color="000000"/>
              <w:right w:val="single" w:sz="4" w:space="0" w:color="000000"/>
            </w:tcBorders>
            <w:shd w:val="clear" w:color="auto" w:fill="auto"/>
            <w:tcMar>
              <w:top w:w="7" w:type="dxa"/>
              <w:left w:w="24" w:type="dxa"/>
              <w:bottom w:w="0" w:type="dxa"/>
              <w:right w:w="30" w:type="dxa"/>
            </w:tcMar>
          </w:tcPr>
          <w:p w:rsidR="009B4233" w:rsidRDefault="006B08B9">
            <w:pPr>
              <w:ind w:left="88"/>
            </w:pPr>
            <w:r>
              <w:rPr>
                <w:rFonts w:ascii="Arial" w:eastAsia="Calibri" w:hAnsi="Arial" w:cs="Arial"/>
                <w:sz w:val="22"/>
                <w:szCs w:val="22"/>
              </w:rPr>
              <w:t>577.172,10 €</w:t>
            </w:r>
          </w:p>
        </w:tc>
        <w:tc>
          <w:tcPr>
            <w:tcW w:w="1391" w:type="dxa"/>
            <w:tcBorders>
              <w:top w:val="single" w:sz="4" w:space="0" w:color="000000"/>
              <w:left w:val="single" w:sz="4" w:space="0" w:color="000000"/>
              <w:bottom w:val="single" w:sz="4" w:space="0" w:color="000000"/>
              <w:right w:val="single" w:sz="4" w:space="0" w:color="000000"/>
            </w:tcBorders>
            <w:shd w:val="clear" w:color="auto" w:fill="auto"/>
            <w:tcMar>
              <w:top w:w="7" w:type="dxa"/>
              <w:left w:w="24" w:type="dxa"/>
              <w:bottom w:w="0" w:type="dxa"/>
              <w:right w:w="30" w:type="dxa"/>
            </w:tcMar>
          </w:tcPr>
          <w:p w:rsidR="009B4233" w:rsidRDefault="006B08B9">
            <w:pPr>
              <w:ind w:left="52"/>
            </w:pPr>
            <w:r>
              <w:rPr>
                <w:rFonts w:ascii="Arial" w:eastAsia="Calibri" w:hAnsi="Arial" w:cs="Arial"/>
                <w:sz w:val="22"/>
                <w:szCs w:val="22"/>
              </w:rPr>
              <w:t>2.255.353,98 €</w:t>
            </w:r>
          </w:p>
        </w:tc>
        <w:tc>
          <w:tcPr>
            <w:tcW w:w="1391" w:type="dxa"/>
            <w:tcBorders>
              <w:top w:val="single" w:sz="4" w:space="0" w:color="000000"/>
              <w:left w:val="single" w:sz="4" w:space="0" w:color="000000"/>
              <w:bottom w:val="single" w:sz="4" w:space="0" w:color="000000"/>
              <w:right w:val="single" w:sz="4" w:space="0" w:color="000000"/>
            </w:tcBorders>
            <w:shd w:val="clear" w:color="auto" w:fill="auto"/>
            <w:tcMar>
              <w:top w:w="7" w:type="dxa"/>
              <w:left w:w="24" w:type="dxa"/>
              <w:bottom w:w="0" w:type="dxa"/>
              <w:right w:w="30" w:type="dxa"/>
            </w:tcMar>
          </w:tcPr>
          <w:p w:rsidR="009B4233" w:rsidRDefault="006B08B9">
            <w:pPr>
              <w:ind w:left="52"/>
            </w:pPr>
            <w:r>
              <w:rPr>
                <w:rFonts w:ascii="Arial" w:eastAsia="Calibri" w:hAnsi="Arial" w:cs="Arial"/>
                <w:sz w:val="22"/>
                <w:szCs w:val="22"/>
              </w:rPr>
              <w:t xml:space="preserve">2.255.363,98 </w:t>
            </w:r>
          </w:p>
          <w:p w:rsidR="009B4233" w:rsidRDefault="006B08B9">
            <w:pPr>
              <w:ind w:left="52"/>
            </w:pPr>
            <w:r>
              <w:rPr>
                <w:rFonts w:ascii="Arial" w:eastAsia="Calibri" w:hAnsi="Arial" w:cs="Arial"/>
                <w:sz w:val="22"/>
                <w:szCs w:val="22"/>
              </w:rPr>
              <w:t>€</w:t>
            </w:r>
          </w:p>
        </w:tc>
        <w:tc>
          <w:tcPr>
            <w:tcW w:w="1349" w:type="dxa"/>
            <w:tcBorders>
              <w:top w:val="single" w:sz="4" w:space="0" w:color="000000"/>
              <w:left w:val="single" w:sz="4" w:space="0" w:color="000000"/>
              <w:bottom w:val="single" w:sz="4" w:space="0" w:color="000000"/>
              <w:right w:val="single" w:sz="4" w:space="0" w:color="000000"/>
            </w:tcBorders>
            <w:shd w:val="clear" w:color="auto" w:fill="D9D9D9"/>
            <w:tcMar>
              <w:top w:w="7" w:type="dxa"/>
              <w:left w:w="24" w:type="dxa"/>
              <w:bottom w:w="0" w:type="dxa"/>
              <w:right w:w="30" w:type="dxa"/>
            </w:tcMar>
          </w:tcPr>
          <w:p w:rsidR="009B4233" w:rsidRDefault="006B08B9">
            <w:pPr>
              <w:ind w:left="10"/>
            </w:pPr>
            <w:r>
              <w:rPr>
                <w:rFonts w:ascii="Arial" w:eastAsia="Calibri" w:hAnsi="Arial" w:cs="Arial"/>
                <w:b/>
                <w:sz w:val="22"/>
                <w:szCs w:val="22"/>
              </w:rPr>
              <w:t>7.457.033,64 €</w:t>
            </w:r>
          </w:p>
        </w:tc>
      </w:tr>
      <w:tr w:rsidR="009B4233">
        <w:tblPrEx>
          <w:tblCellMar>
            <w:top w:w="0" w:type="dxa"/>
            <w:bottom w:w="0" w:type="dxa"/>
          </w:tblCellMar>
        </w:tblPrEx>
        <w:trPr>
          <w:trHeight w:val="299"/>
        </w:trPr>
        <w:tc>
          <w:tcPr>
            <w:tcW w:w="1513" w:type="dxa"/>
            <w:tcBorders>
              <w:top w:val="single" w:sz="4" w:space="0" w:color="000000"/>
              <w:left w:val="single" w:sz="4" w:space="0" w:color="000000"/>
              <w:bottom w:val="single" w:sz="4" w:space="0" w:color="C0C0C0"/>
              <w:right w:val="single" w:sz="4" w:space="0" w:color="000000"/>
            </w:tcBorders>
            <w:shd w:val="clear" w:color="auto" w:fill="D9D9D9"/>
            <w:tcMar>
              <w:top w:w="7" w:type="dxa"/>
              <w:left w:w="24" w:type="dxa"/>
              <w:bottom w:w="0" w:type="dxa"/>
              <w:right w:w="30" w:type="dxa"/>
            </w:tcMar>
          </w:tcPr>
          <w:p w:rsidR="009B4233" w:rsidRDefault="006B08B9">
            <w:pPr>
              <w:jc w:val="both"/>
            </w:pPr>
            <w:r>
              <w:rPr>
                <w:rFonts w:ascii="Arial" w:eastAsia="Calibri" w:hAnsi="Arial" w:cs="Arial"/>
                <w:b/>
                <w:sz w:val="22"/>
                <w:szCs w:val="22"/>
              </w:rPr>
              <w:t>Ayuntamiento</w:t>
            </w:r>
          </w:p>
        </w:tc>
        <w:tc>
          <w:tcPr>
            <w:tcW w:w="1391" w:type="dxa"/>
            <w:tcBorders>
              <w:top w:val="single" w:sz="4" w:space="0" w:color="000000"/>
              <w:left w:val="single" w:sz="4" w:space="0" w:color="000000"/>
              <w:bottom w:val="single" w:sz="4" w:space="0" w:color="000000"/>
              <w:right w:val="single" w:sz="4" w:space="0" w:color="000000"/>
            </w:tcBorders>
            <w:shd w:val="clear" w:color="auto" w:fill="auto"/>
            <w:tcMar>
              <w:top w:w="7" w:type="dxa"/>
              <w:left w:w="24" w:type="dxa"/>
              <w:bottom w:w="0" w:type="dxa"/>
              <w:right w:w="30" w:type="dxa"/>
            </w:tcMar>
          </w:tcPr>
          <w:p w:rsidR="009B4233" w:rsidRDefault="006B08B9">
            <w:pPr>
              <w:ind w:left="12"/>
              <w:jc w:val="center"/>
            </w:pPr>
            <w:r>
              <w:rPr>
                <w:rFonts w:ascii="Arial" w:eastAsia="Calibri" w:hAnsi="Arial" w:cs="Arial"/>
                <w:sz w:val="22"/>
                <w:szCs w:val="22"/>
              </w:rPr>
              <w:t>0,00 €</w:t>
            </w:r>
          </w:p>
        </w:tc>
        <w:tc>
          <w:tcPr>
            <w:tcW w:w="1210" w:type="dxa"/>
            <w:tcBorders>
              <w:top w:val="single" w:sz="4" w:space="0" w:color="000000"/>
              <w:left w:val="single" w:sz="4" w:space="0" w:color="000000"/>
              <w:bottom w:val="single" w:sz="4" w:space="0" w:color="000000"/>
              <w:right w:val="single" w:sz="4" w:space="0" w:color="000000"/>
            </w:tcBorders>
            <w:shd w:val="clear" w:color="auto" w:fill="auto"/>
            <w:tcMar>
              <w:top w:w="7" w:type="dxa"/>
              <w:left w:w="24" w:type="dxa"/>
              <w:bottom w:w="0" w:type="dxa"/>
              <w:right w:w="30" w:type="dxa"/>
            </w:tcMar>
          </w:tcPr>
          <w:p w:rsidR="009B4233" w:rsidRDefault="006B08B9">
            <w:pPr>
              <w:ind w:left="54"/>
            </w:pPr>
            <w:r>
              <w:rPr>
                <w:rFonts w:ascii="Arial" w:eastAsia="Calibri" w:hAnsi="Arial" w:cs="Arial"/>
                <w:sz w:val="22"/>
                <w:szCs w:val="22"/>
              </w:rPr>
              <w:t xml:space="preserve">621.419,47 </w:t>
            </w:r>
          </w:p>
          <w:p w:rsidR="009B4233" w:rsidRDefault="006B08B9">
            <w:pPr>
              <w:ind w:left="54"/>
            </w:pPr>
            <w:r>
              <w:rPr>
                <w:rFonts w:ascii="Arial" w:eastAsia="Calibri" w:hAnsi="Arial" w:cs="Arial"/>
                <w:sz w:val="22"/>
                <w:szCs w:val="22"/>
              </w:rPr>
              <w:t>€</w:t>
            </w: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7" w:type="dxa"/>
              <w:left w:w="24" w:type="dxa"/>
              <w:bottom w:w="0" w:type="dxa"/>
              <w:right w:w="30" w:type="dxa"/>
            </w:tcMar>
          </w:tcPr>
          <w:p w:rsidR="009B4233" w:rsidRDefault="006B08B9">
            <w:pPr>
              <w:ind w:left="22"/>
              <w:jc w:val="center"/>
            </w:pPr>
            <w:r>
              <w:rPr>
                <w:rFonts w:ascii="Arial" w:eastAsia="Calibri" w:hAnsi="Arial" w:cs="Arial"/>
                <w:sz w:val="22"/>
                <w:szCs w:val="22"/>
              </w:rPr>
              <w:t>0,00 €</w:t>
            </w:r>
          </w:p>
        </w:tc>
        <w:tc>
          <w:tcPr>
            <w:tcW w:w="1242" w:type="dxa"/>
            <w:tcBorders>
              <w:top w:val="single" w:sz="4" w:space="0" w:color="000000"/>
              <w:left w:val="single" w:sz="4" w:space="0" w:color="000000"/>
              <w:bottom w:val="single" w:sz="4" w:space="0" w:color="000000"/>
              <w:right w:val="single" w:sz="4" w:space="0" w:color="000000"/>
            </w:tcBorders>
            <w:shd w:val="clear" w:color="auto" w:fill="auto"/>
            <w:tcMar>
              <w:top w:w="7" w:type="dxa"/>
              <w:left w:w="24" w:type="dxa"/>
              <w:bottom w:w="0" w:type="dxa"/>
              <w:right w:w="30" w:type="dxa"/>
            </w:tcMar>
          </w:tcPr>
          <w:p w:rsidR="009B4233" w:rsidRDefault="006B08B9">
            <w:pPr>
              <w:ind w:left="86"/>
            </w:pPr>
            <w:r>
              <w:rPr>
                <w:rFonts w:ascii="Arial" w:eastAsia="Calibri" w:hAnsi="Arial" w:cs="Arial"/>
                <w:sz w:val="22"/>
                <w:szCs w:val="22"/>
              </w:rPr>
              <w:t>621.419,47 €</w:t>
            </w:r>
          </w:p>
        </w:tc>
        <w:tc>
          <w:tcPr>
            <w:tcW w:w="1393" w:type="dxa"/>
            <w:tcBorders>
              <w:top w:val="single" w:sz="4" w:space="0" w:color="000000"/>
              <w:left w:val="single" w:sz="4" w:space="0" w:color="000000"/>
              <w:bottom w:val="single" w:sz="4" w:space="0" w:color="000000"/>
              <w:right w:val="single" w:sz="4" w:space="0" w:color="000000"/>
            </w:tcBorders>
            <w:shd w:val="clear" w:color="auto" w:fill="auto"/>
            <w:tcMar>
              <w:top w:w="7" w:type="dxa"/>
              <w:left w:w="24" w:type="dxa"/>
              <w:bottom w:w="0" w:type="dxa"/>
              <w:right w:w="30" w:type="dxa"/>
            </w:tcMar>
          </w:tcPr>
          <w:p w:rsidR="009B4233" w:rsidRDefault="006B08B9">
            <w:pPr>
              <w:ind w:left="88"/>
            </w:pPr>
            <w:r>
              <w:rPr>
                <w:rFonts w:ascii="Arial" w:eastAsia="Calibri" w:hAnsi="Arial" w:cs="Arial"/>
                <w:sz w:val="22"/>
                <w:szCs w:val="22"/>
              </w:rPr>
              <w:t>621.419,47 €</w:t>
            </w:r>
          </w:p>
        </w:tc>
        <w:tc>
          <w:tcPr>
            <w:tcW w:w="1391" w:type="dxa"/>
            <w:tcBorders>
              <w:top w:val="single" w:sz="4" w:space="0" w:color="000000"/>
              <w:left w:val="single" w:sz="4" w:space="0" w:color="000000"/>
              <w:bottom w:val="single" w:sz="4" w:space="0" w:color="000000"/>
              <w:right w:val="single" w:sz="4" w:space="0" w:color="000000"/>
            </w:tcBorders>
            <w:shd w:val="clear" w:color="auto" w:fill="auto"/>
            <w:tcMar>
              <w:top w:w="7" w:type="dxa"/>
              <w:left w:w="24" w:type="dxa"/>
              <w:bottom w:w="0" w:type="dxa"/>
              <w:right w:w="30" w:type="dxa"/>
            </w:tcMar>
          </w:tcPr>
          <w:p w:rsidR="009B4233" w:rsidRDefault="006B08B9">
            <w:pPr>
              <w:ind w:left="12"/>
              <w:jc w:val="center"/>
            </w:pPr>
            <w:r>
              <w:rPr>
                <w:rFonts w:ascii="Arial" w:eastAsia="Calibri" w:hAnsi="Arial" w:cs="Arial"/>
                <w:sz w:val="22"/>
                <w:szCs w:val="22"/>
              </w:rPr>
              <w:t>0,00 €</w:t>
            </w:r>
          </w:p>
        </w:tc>
        <w:tc>
          <w:tcPr>
            <w:tcW w:w="1391" w:type="dxa"/>
            <w:tcBorders>
              <w:top w:val="single" w:sz="4" w:space="0" w:color="000000"/>
              <w:left w:val="single" w:sz="4" w:space="0" w:color="000000"/>
              <w:bottom w:val="single" w:sz="4" w:space="0" w:color="000000"/>
              <w:right w:val="single" w:sz="4" w:space="0" w:color="000000"/>
            </w:tcBorders>
            <w:shd w:val="clear" w:color="auto" w:fill="auto"/>
            <w:tcMar>
              <w:top w:w="7" w:type="dxa"/>
              <w:left w:w="24" w:type="dxa"/>
              <w:bottom w:w="0" w:type="dxa"/>
              <w:right w:w="30" w:type="dxa"/>
            </w:tcMar>
          </w:tcPr>
          <w:p w:rsidR="009B4233" w:rsidRDefault="006B08B9">
            <w:pPr>
              <w:ind w:left="14"/>
              <w:jc w:val="center"/>
            </w:pPr>
            <w:r>
              <w:rPr>
                <w:rFonts w:ascii="Arial" w:eastAsia="Calibri" w:hAnsi="Arial" w:cs="Arial"/>
                <w:sz w:val="22"/>
                <w:szCs w:val="22"/>
              </w:rPr>
              <w:t>0,00 €</w:t>
            </w:r>
          </w:p>
        </w:tc>
        <w:tc>
          <w:tcPr>
            <w:tcW w:w="1349" w:type="dxa"/>
            <w:tcBorders>
              <w:top w:val="single" w:sz="4" w:space="0" w:color="000000"/>
              <w:left w:val="single" w:sz="4" w:space="0" w:color="000000"/>
              <w:bottom w:val="single" w:sz="4" w:space="0" w:color="000000"/>
              <w:right w:val="single" w:sz="4" w:space="0" w:color="000000"/>
            </w:tcBorders>
            <w:shd w:val="clear" w:color="auto" w:fill="D9D9D9"/>
            <w:tcMar>
              <w:top w:w="7" w:type="dxa"/>
              <w:left w:w="24" w:type="dxa"/>
              <w:bottom w:w="0" w:type="dxa"/>
              <w:right w:w="30" w:type="dxa"/>
            </w:tcMar>
          </w:tcPr>
          <w:p w:rsidR="009B4233" w:rsidRDefault="006B08B9">
            <w:pPr>
              <w:ind w:left="10"/>
            </w:pPr>
            <w:r>
              <w:rPr>
                <w:rFonts w:ascii="Arial" w:eastAsia="Calibri" w:hAnsi="Arial" w:cs="Arial"/>
                <w:b/>
                <w:sz w:val="22"/>
                <w:szCs w:val="22"/>
              </w:rPr>
              <w:t>1.864.258,41 €</w:t>
            </w:r>
          </w:p>
        </w:tc>
      </w:tr>
      <w:tr w:rsidR="009B4233">
        <w:tblPrEx>
          <w:tblCellMar>
            <w:top w:w="0" w:type="dxa"/>
            <w:bottom w:w="0" w:type="dxa"/>
          </w:tblCellMar>
        </w:tblPrEx>
        <w:trPr>
          <w:trHeight w:val="372"/>
        </w:trPr>
        <w:tc>
          <w:tcPr>
            <w:tcW w:w="1513" w:type="dxa"/>
            <w:tcBorders>
              <w:top w:val="single" w:sz="4" w:space="0" w:color="C0C0C0"/>
              <w:left w:val="single" w:sz="4" w:space="0" w:color="C0C0C0"/>
              <w:bottom w:val="single" w:sz="4" w:space="0" w:color="C0C0C0"/>
              <w:right w:val="single" w:sz="4" w:space="0" w:color="000000"/>
            </w:tcBorders>
            <w:shd w:val="clear" w:color="auto" w:fill="auto"/>
            <w:tcMar>
              <w:top w:w="7" w:type="dxa"/>
              <w:left w:w="24" w:type="dxa"/>
              <w:bottom w:w="0" w:type="dxa"/>
              <w:right w:w="30" w:type="dxa"/>
            </w:tcMar>
          </w:tcPr>
          <w:p w:rsidR="009B4233" w:rsidRDefault="006B08B9">
            <w:r>
              <w:rPr>
                <w:rFonts w:ascii="Arial" w:eastAsia="Calibri" w:hAnsi="Arial" w:cs="Arial"/>
                <w:b/>
                <w:sz w:val="22"/>
                <w:szCs w:val="22"/>
              </w:rPr>
              <w:t>Total</w:t>
            </w:r>
          </w:p>
        </w:tc>
        <w:tc>
          <w:tcPr>
            <w:tcW w:w="1391" w:type="dxa"/>
            <w:tcBorders>
              <w:top w:val="single" w:sz="4" w:space="0" w:color="000000"/>
              <w:left w:val="single" w:sz="4" w:space="0" w:color="000000"/>
              <w:bottom w:val="single" w:sz="4" w:space="0" w:color="000000"/>
              <w:right w:val="single" w:sz="4" w:space="0" w:color="000000"/>
            </w:tcBorders>
            <w:shd w:val="clear" w:color="auto" w:fill="auto"/>
            <w:tcMar>
              <w:top w:w="7" w:type="dxa"/>
              <w:left w:w="24" w:type="dxa"/>
              <w:bottom w:w="0" w:type="dxa"/>
              <w:right w:w="30" w:type="dxa"/>
            </w:tcMar>
          </w:tcPr>
          <w:p w:rsidR="009B4233" w:rsidRDefault="006B08B9">
            <w:pPr>
              <w:ind w:left="52"/>
            </w:pPr>
            <w:r>
              <w:rPr>
                <w:rFonts w:ascii="Arial" w:eastAsia="Calibri" w:hAnsi="Arial" w:cs="Arial"/>
                <w:b/>
                <w:sz w:val="22"/>
                <w:szCs w:val="22"/>
              </w:rPr>
              <w:t>2.369.143,58 €</w:t>
            </w:r>
          </w:p>
        </w:tc>
        <w:tc>
          <w:tcPr>
            <w:tcW w:w="1210" w:type="dxa"/>
            <w:tcBorders>
              <w:top w:val="single" w:sz="4" w:space="0" w:color="000000"/>
              <w:left w:val="single" w:sz="4" w:space="0" w:color="000000"/>
              <w:bottom w:val="single" w:sz="4" w:space="0" w:color="000000"/>
              <w:right w:val="single" w:sz="4" w:space="0" w:color="000000"/>
            </w:tcBorders>
            <w:shd w:val="clear" w:color="auto" w:fill="auto"/>
            <w:tcMar>
              <w:top w:w="7" w:type="dxa"/>
              <w:left w:w="24" w:type="dxa"/>
              <w:bottom w:w="0" w:type="dxa"/>
              <w:right w:w="30" w:type="dxa"/>
            </w:tcMar>
          </w:tcPr>
          <w:p w:rsidR="009B4233" w:rsidRDefault="006B08B9">
            <w:pPr>
              <w:ind w:left="54"/>
            </w:pPr>
            <w:r>
              <w:rPr>
                <w:rFonts w:ascii="Arial" w:eastAsia="Calibri" w:hAnsi="Arial" w:cs="Arial"/>
                <w:b/>
                <w:sz w:val="22"/>
                <w:szCs w:val="22"/>
              </w:rPr>
              <w:t xml:space="preserve">621.419,47 </w:t>
            </w:r>
          </w:p>
          <w:p w:rsidR="009B4233" w:rsidRDefault="006B08B9">
            <w:pPr>
              <w:ind w:left="54"/>
            </w:pPr>
            <w:r>
              <w:rPr>
                <w:rFonts w:ascii="Arial" w:eastAsia="Calibri" w:hAnsi="Arial" w:cs="Arial"/>
                <w:b/>
                <w:sz w:val="22"/>
                <w:szCs w:val="22"/>
              </w:rPr>
              <w:t>€</w:t>
            </w: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7" w:type="dxa"/>
              <w:left w:w="24" w:type="dxa"/>
              <w:bottom w:w="0" w:type="dxa"/>
              <w:right w:w="30" w:type="dxa"/>
            </w:tcMar>
          </w:tcPr>
          <w:p w:rsidR="009B4233" w:rsidRDefault="006B08B9">
            <w:pPr>
              <w:ind w:left="22"/>
              <w:jc w:val="center"/>
            </w:pPr>
            <w:r>
              <w:rPr>
                <w:rFonts w:ascii="Arial" w:eastAsia="Calibri" w:hAnsi="Arial" w:cs="Arial"/>
                <w:b/>
                <w:sz w:val="22"/>
                <w:szCs w:val="22"/>
              </w:rPr>
              <w:t>0,00 €</w:t>
            </w:r>
          </w:p>
        </w:tc>
        <w:tc>
          <w:tcPr>
            <w:tcW w:w="1242" w:type="dxa"/>
            <w:tcBorders>
              <w:top w:val="single" w:sz="4" w:space="0" w:color="000000"/>
              <w:left w:val="single" w:sz="4" w:space="0" w:color="000000"/>
              <w:bottom w:val="single" w:sz="4" w:space="0" w:color="000000"/>
              <w:right w:val="single" w:sz="4" w:space="0" w:color="000000"/>
            </w:tcBorders>
            <w:shd w:val="clear" w:color="auto" w:fill="auto"/>
            <w:tcMar>
              <w:top w:w="7" w:type="dxa"/>
              <w:left w:w="24" w:type="dxa"/>
              <w:bottom w:w="0" w:type="dxa"/>
              <w:right w:w="30" w:type="dxa"/>
            </w:tcMar>
          </w:tcPr>
          <w:p w:rsidR="009B4233" w:rsidRDefault="006B08B9">
            <w:pPr>
              <w:ind w:left="86"/>
            </w:pPr>
            <w:r>
              <w:rPr>
                <w:rFonts w:ascii="Arial" w:eastAsia="Calibri" w:hAnsi="Arial" w:cs="Arial"/>
                <w:b/>
                <w:sz w:val="22"/>
                <w:szCs w:val="22"/>
              </w:rPr>
              <w:t>621.419,47 €</w:t>
            </w:r>
          </w:p>
        </w:tc>
        <w:tc>
          <w:tcPr>
            <w:tcW w:w="1393" w:type="dxa"/>
            <w:tcBorders>
              <w:top w:val="single" w:sz="4" w:space="0" w:color="000000"/>
              <w:left w:val="single" w:sz="4" w:space="0" w:color="000000"/>
              <w:bottom w:val="single" w:sz="4" w:space="0" w:color="000000"/>
              <w:right w:val="single" w:sz="4" w:space="0" w:color="000000"/>
            </w:tcBorders>
            <w:shd w:val="clear" w:color="auto" w:fill="auto"/>
            <w:tcMar>
              <w:top w:w="7" w:type="dxa"/>
              <w:left w:w="24" w:type="dxa"/>
              <w:bottom w:w="0" w:type="dxa"/>
              <w:right w:w="30" w:type="dxa"/>
            </w:tcMar>
          </w:tcPr>
          <w:p w:rsidR="009B4233" w:rsidRDefault="006B08B9">
            <w:pPr>
              <w:ind w:left="54"/>
            </w:pPr>
            <w:r>
              <w:rPr>
                <w:rFonts w:ascii="Arial" w:eastAsia="Calibri" w:hAnsi="Arial" w:cs="Arial"/>
                <w:b/>
                <w:sz w:val="22"/>
                <w:szCs w:val="22"/>
              </w:rPr>
              <w:t>1.198.591,57 €</w:t>
            </w:r>
          </w:p>
        </w:tc>
        <w:tc>
          <w:tcPr>
            <w:tcW w:w="1391" w:type="dxa"/>
            <w:tcBorders>
              <w:top w:val="single" w:sz="4" w:space="0" w:color="000000"/>
              <w:left w:val="single" w:sz="4" w:space="0" w:color="000000"/>
              <w:bottom w:val="single" w:sz="4" w:space="0" w:color="000000"/>
              <w:right w:val="single" w:sz="4" w:space="0" w:color="000000"/>
            </w:tcBorders>
            <w:shd w:val="clear" w:color="auto" w:fill="auto"/>
            <w:tcMar>
              <w:top w:w="7" w:type="dxa"/>
              <w:left w:w="24" w:type="dxa"/>
              <w:bottom w:w="0" w:type="dxa"/>
              <w:right w:w="30" w:type="dxa"/>
            </w:tcMar>
          </w:tcPr>
          <w:p w:rsidR="009B4233" w:rsidRDefault="006B08B9">
            <w:pPr>
              <w:ind w:left="52"/>
            </w:pPr>
            <w:r>
              <w:rPr>
                <w:rFonts w:ascii="Arial" w:eastAsia="Calibri" w:hAnsi="Arial" w:cs="Arial"/>
                <w:b/>
                <w:sz w:val="22"/>
                <w:szCs w:val="22"/>
              </w:rPr>
              <w:t>2.255.353,98 €</w:t>
            </w:r>
          </w:p>
        </w:tc>
        <w:tc>
          <w:tcPr>
            <w:tcW w:w="1391" w:type="dxa"/>
            <w:tcBorders>
              <w:top w:val="single" w:sz="4" w:space="0" w:color="000000"/>
              <w:left w:val="single" w:sz="4" w:space="0" w:color="000000"/>
              <w:bottom w:val="single" w:sz="4" w:space="0" w:color="000000"/>
              <w:right w:val="single" w:sz="4" w:space="0" w:color="000000"/>
            </w:tcBorders>
            <w:shd w:val="clear" w:color="auto" w:fill="auto"/>
            <w:tcMar>
              <w:top w:w="7" w:type="dxa"/>
              <w:left w:w="24" w:type="dxa"/>
              <w:bottom w:w="0" w:type="dxa"/>
              <w:right w:w="30" w:type="dxa"/>
            </w:tcMar>
          </w:tcPr>
          <w:p w:rsidR="009B4233" w:rsidRDefault="006B08B9">
            <w:pPr>
              <w:ind w:left="52"/>
            </w:pPr>
            <w:r>
              <w:rPr>
                <w:rFonts w:ascii="Arial" w:eastAsia="Calibri" w:hAnsi="Arial" w:cs="Arial"/>
                <w:b/>
                <w:sz w:val="22"/>
                <w:szCs w:val="22"/>
              </w:rPr>
              <w:t xml:space="preserve">2.255.363,98 </w:t>
            </w:r>
          </w:p>
          <w:p w:rsidR="009B4233" w:rsidRDefault="006B08B9">
            <w:pPr>
              <w:ind w:left="52"/>
            </w:pPr>
            <w:r>
              <w:rPr>
                <w:rFonts w:ascii="Arial" w:eastAsia="Calibri" w:hAnsi="Arial" w:cs="Arial"/>
                <w:b/>
                <w:sz w:val="22"/>
                <w:szCs w:val="22"/>
              </w:rPr>
              <w:t>€</w:t>
            </w:r>
          </w:p>
        </w:tc>
        <w:tc>
          <w:tcPr>
            <w:tcW w:w="1349" w:type="dxa"/>
            <w:tcBorders>
              <w:top w:val="single" w:sz="4" w:space="0" w:color="000000"/>
              <w:left w:val="single" w:sz="4" w:space="0" w:color="000000"/>
              <w:bottom w:val="single" w:sz="4" w:space="0" w:color="000000"/>
              <w:right w:val="single" w:sz="4" w:space="0" w:color="000000"/>
            </w:tcBorders>
            <w:shd w:val="clear" w:color="auto" w:fill="auto"/>
            <w:tcMar>
              <w:top w:w="7" w:type="dxa"/>
              <w:left w:w="24" w:type="dxa"/>
              <w:bottom w:w="0" w:type="dxa"/>
              <w:right w:w="30" w:type="dxa"/>
            </w:tcMar>
          </w:tcPr>
          <w:p w:rsidR="009B4233" w:rsidRDefault="006B08B9">
            <w:pPr>
              <w:ind w:left="10"/>
            </w:pPr>
            <w:r>
              <w:rPr>
                <w:rFonts w:ascii="Arial" w:eastAsia="Calibri" w:hAnsi="Arial" w:cs="Arial"/>
                <w:b/>
                <w:sz w:val="22"/>
                <w:szCs w:val="22"/>
              </w:rPr>
              <w:t>9.321.292,05 €</w:t>
            </w:r>
          </w:p>
        </w:tc>
      </w:tr>
    </w:tbl>
    <w:p w:rsidR="009B4233" w:rsidRDefault="006B08B9">
      <w:pPr>
        <w:tabs>
          <w:tab w:val="center" w:pos="1344"/>
          <w:tab w:val="center" w:pos="2198"/>
          <w:tab w:val="center" w:pos="2946"/>
          <w:tab w:val="center" w:pos="3738"/>
          <w:tab w:val="center" w:pos="4646"/>
          <w:tab w:val="center" w:pos="5552"/>
          <w:tab w:val="center" w:pos="6458"/>
          <w:tab w:val="center" w:pos="7318"/>
        </w:tabs>
        <w:spacing w:after="30" w:line="218" w:lineRule="auto"/>
      </w:pPr>
      <w:r>
        <w:rPr>
          <w:rFonts w:ascii="Arial" w:hAnsi="Arial" w:cs="Arial"/>
          <w:sz w:val="22"/>
          <w:szCs w:val="22"/>
        </w:rPr>
        <w:tab/>
      </w:r>
      <w:r>
        <w:rPr>
          <w:rFonts w:ascii="Arial" w:eastAsia="Calibri" w:hAnsi="Arial" w:cs="Arial"/>
          <w:sz w:val="22"/>
          <w:szCs w:val="22"/>
        </w:rPr>
        <w:t>2023</w:t>
      </w:r>
      <w:r>
        <w:rPr>
          <w:rFonts w:ascii="Arial" w:eastAsia="Calibri" w:hAnsi="Arial" w:cs="Arial"/>
          <w:sz w:val="22"/>
          <w:szCs w:val="22"/>
        </w:rPr>
        <w:tab/>
        <w:t>2024</w:t>
      </w:r>
      <w:r>
        <w:rPr>
          <w:rFonts w:ascii="Arial" w:eastAsia="Calibri" w:hAnsi="Arial" w:cs="Arial"/>
          <w:sz w:val="22"/>
          <w:szCs w:val="22"/>
        </w:rPr>
        <w:tab/>
        <w:t>2025</w:t>
      </w:r>
      <w:r>
        <w:rPr>
          <w:rFonts w:ascii="Arial" w:eastAsia="Calibri" w:hAnsi="Arial" w:cs="Arial"/>
          <w:sz w:val="22"/>
          <w:szCs w:val="22"/>
        </w:rPr>
        <w:tab/>
        <w:t>2026</w:t>
      </w:r>
      <w:r>
        <w:rPr>
          <w:rFonts w:ascii="Arial" w:eastAsia="Calibri" w:hAnsi="Arial" w:cs="Arial"/>
          <w:sz w:val="22"/>
          <w:szCs w:val="22"/>
        </w:rPr>
        <w:tab/>
        <w:t>2027</w:t>
      </w:r>
      <w:r>
        <w:rPr>
          <w:rFonts w:ascii="Arial" w:eastAsia="Calibri" w:hAnsi="Arial" w:cs="Arial"/>
          <w:sz w:val="22"/>
          <w:szCs w:val="22"/>
        </w:rPr>
        <w:tab/>
        <w:t>2028</w:t>
      </w:r>
      <w:r>
        <w:rPr>
          <w:rFonts w:ascii="Arial" w:eastAsia="Calibri" w:hAnsi="Arial" w:cs="Arial"/>
          <w:sz w:val="22"/>
          <w:szCs w:val="22"/>
        </w:rPr>
        <w:tab/>
        <w:t>2029</w:t>
      </w:r>
      <w:r>
        <w:rPr>
          <w:rFonts w:ascii="Arial" w:eastAsia="Calibri" w:hAnsi="Arial" w:cs="Arial"/>
          <w:sz w:val="22"/>
          <w:szCs w:val="22"/>
        </w:rPr>
        <w:tab/>
        <w:t>Total</w:t>
      </w:r>
    </w:p>
    <w:p w:rsidR="009B4233" w:rsidRDefault="009B4233">
      <w:pPr>
        <w:spacing w:after="30" w:line="218" w:lineRule="auto"/>
        <w:ind w:left="9" w:hanging="8"/>
        <w:jc w:val="both"/>
        <w:rPr>
          <w:rFonts w:ascii="Arial" w:eastAsia="Calibri" w:hAnsi="Arial" w:cs="Arial"/>
          <w:sz w:val="22"/>
          <w:szCs w:val="22"/>
        </w:rPr>
      </w:pPr>
    </w:p>
    <w:p w:rsidR="009B4233" w:rsidRDefault="006B08B9">
      <w:pPr>
        <w:spacing w:after="30" w:line="218" w:lineRule="auto"/>
        <w:ind w:left="9" w:hanging="8"/>
        <w:jc w:val="both"/>
        <w:rPr>
          <w:rFonts w:ascii="Arial" w:eastAsia="Calibri" w:hAnsi="Arial" w:cs="Arial"/>
          <w:sz w:val="22"/>
          <w:szCs w:val="22"/>
        </w:rPr>
      </w:pPr>
      <w:r>
        <w:rPr>
          <w:rFonts w:ascii="Arial" w:eastAsia="Calibri" w:hAnsi="Arial" w:cs="Arial"/>
          <w:sz w:val="22"/>
          <w:szCs w:val="22"/>
        </w:rPr>
        <w:t xml:space="preserve">Segundo: Tomar conocimiento de los plazos de ejecución y justificación de las anualidades, según lo acordado en </w:t>
      </w:r>
      <w:r>
        <w:rPr>
          <w:rFonts w:ascii="Arial" w:eastAsia="Calibri" w:hAnsi="Arial" w:cs="Arial"/>
          <w:sz w:val="22"/>
          <w:szCs w:val="22"/>
        </w:rPr>
        <w:t>Consejo de Gobierno Insular de fecha 26 de febrero de 2025 y lo establecido en las normas reguladoras del Plan.</w:t>
      </w:r>
    </w:p>
    <w:p w:rsidR="009B4233" w:rsidRDefault="009B4233">
      <w:pPr>
        <w:spacing w:after="30" w:line="218" w:lineRule="auto"/>
        <w:ind w:left="9" w:hanging="8"/>
        <w:jc w:val="both"/>
        <w:rPr>
          <w:rFonts w:ascii="Arial" w:hAnsi="Arial" w:cs="Arial"/>
          <w:sz w:val="22"/>
          <w:szCs w:val="22"/>
        </w:rPr>
      </w:pPr>
    </w:p>
    <w:p w:rsidR="009B4233" w:rsidRDefault="006B08B9">
      <w:pPr>
        <w:spacing w:after="101" w:line="218" w:lineRule="auto"/>
        <w:ind w:left="1" w:firstLine="708"/>
        <w:jc w:val="both"/>
      </w:pPr>
      <w:r>
        <w:rPr>
          <w:rFonts w:ascii="Arial" w:eastAsia="Calibri" w:hAnsi="Arial" w:cs="Arial"/>
          <w:sz w:val="22"/>
          <w:szCs w:val="22"/>
        </w:rPr>
        <w:t xml:space="preserve">Por lo que se eleva a esta propuesta al Pleno del Ayuntamiento, que resolverá como mejor proceda </w:t>
      </w:r>
    </w:p>
    <w:p w:rsidR="009B4233" w:rsidRDefault="009B4233">
      <w:pPr>
        <w:jc w:val="both"/>
        <w:rPr>
          <w:rFonts w:ascii="Arial" w:eastAsia="Times New Roman" w:hAnsi="Arial" w:cs="Arial"/>
          <w:b/>
          <w:color w:val="000000"/>
          <w:sz w:val="22"/>
          <w:szCs w:val="22"/>
          <w:lang w:eastAsia="es-ES"/>
        </w:rPr>
      </w:pPr>
    </w:p>
    <w:p w:rsidR="009B4233" w:rsidRDefault="009B4233">
      <w:pPr>
        <w:jc w:val="both"/>
        <w:rPr>
          <w:rFonts w:ascii="Arial" w:hAnsi="Arial" w:cs="Arial"/>
          <w:color w:val="2F3E4D"/>
          <w:sz w:val="22"/>
          <w:szCs w:val="22"/>
          <w:shd w:val="clear" w:color="auto" w:fill="F5F7F9"/>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6B08B9">
      <w:pPr>
        <w:jc w:val="both"/>
        <w:rPr>
          <w:rFonts w:ascii="Arial" w:hAnsi="Arial" w:cs="Arial"/>
          <w:b/>
          <w:sz w:val="22"/>
          <w:szCs w:val="22"/>
        </w:rPr>
      </w:pPr>
      <w:r>
        <w:rPr>
          <w:rFonts w:ascii="Arial" w:hAnsi="Arial" w:cs="Arial"/>
          <w:b/>
          <w:sz w:val="22"/>
          <w:szCs w:val="22"/>
        </w:rPr>
        <w:t xml:space="preserve">DICTAMEN FAVORABLE DE </w:t>
      </w:r>
      <w:r>
        <w:rPr>
          <w:rFonts w:ascii="Arial" w:hAnsi="Arial" w:cs="Arial"/>
          <w:b/>
          <w:sz w:val="22"/>
          <w:szCs w:val="22"/>
        </w:rPr>
        <w:t>LA COMISIÓN INFORMATIVA DE P.G. URBANÍSTICA Y AMBIENTAL, OBRAS y SERVICIOS PÚBLICOS DE 22 DE SEPTIEMBRE DE 2025.</w:t>
      </w:r>
    </w:p>
    <w:p w:rsidR="009B4233" w:rsidRDefault="009B4233">
      <w:pPr>
        <w:rPr>
          <w:rFonts w:ascii="Arial" w:hAnsi="Arial" w:cs="Arial"/>
          <w:sz w:val="22"/>
          <w:szCs w:val="22"/>
        </w:rPr>
      </w:pPr>
    </w:p>
    <w:p w:rsidR="009B4233" w:rsidRDefault="006B08B9">
      <w:pPr>
        <w:rPr>
          <w:rFonts w:ascii="Arial" w:hAnsi="Arial" w:cs="Arial"/>
          <w:sz w:val="22"/>
          <w:szCs w:val="22"/>
        </w:rPr>
      </w:pPr>
      <w:r>
        <w:rPr>
          <w:rFonts w:ascii="Arial" w:hAnsi="Arial" w:cs="Arial"/>
          <w:sz w:val="22"/>
          <w:szCs w:val="22"/>
        </w:rPr>
        <w:t>Votos a favor: 5.</w:t>
      </w:r>
    </w:p>
    <w:p w:rsidR="009B4233" w:rsidRDefault="009B4233">
      <w:pPr>
        <w:jc w:val="both"/>
        <w:rPr>
          <w:rFonts w:ascii="Arial" w:hAnsi="Arial" w:cs="Arial"/>
          <w:sz w:val="22"/>
          <w:szCs w:val="22"/>
        </w:rPr>
      </w:pPr>
    </w:p>
    <w:p w:rsidR="009B4233" w:rsidRDefault="006B08B9">
      <w:pPr>
        <w:jc w:val="both"/>
        <w:rPr>
          <w:rFonts w:ascii="Arial" w:hAnsi="Arial" w:cs="Arial"/>
          <w:sz w:val="22"/>
          <w:szCs w:val="22"/>
        </w:rPr>
      </w:pPr>
      <w:r>
        <w:rPr>
          <w:rFonts w:ascii="Arial" w:hAnsi="Arial" w:cs="Arial"/>
          <w:sz w:val="22"/>
          <w:szCs w:val="22"/>
        </w:rPr>
        <w:t>Los 4 concejales del Grupo Socialista: D. Reinaldo José Triviño Blanco, Don Jorge Baute Delgado, Doña Margarita Eva Tendero</w:t>
      </w:r>
      <w:r>
        <w:rPr>
          <w:rFonts w:ascii="Arial" w:hAnsi="Arial" w:cs="Arial"/>
          <w:sz w:val="22"/>
          <w:szCs w:val="22"/>
        </w:rPr>
        <w:t xml:space="preserve"> Barroso y Doña Mónica Montserrat Yanes Delgado. </w:t>
      </w:r>
    </w:p>
    <w:p w:rsidR="009B4233" w:rsidRDefault="009B4233">
      <w:pPr>
        <w:jc w:val="both"/>
        <w:rPr>
          <w:rFonts w:ascii="Arial" w:hAnsi="Arial" w:cs="Arial"/>
          <w:sz w:val="22"/>
          <w:szCs w:val="22"/>
        </w:rPr>
      </w:pPr>
    </w:p>
    <w:p w:rsidR="009B4233" w:rsidRDefault="006B08B9">
      <w:pPr>
        <w:jc w:val="both"/>
        <w:rPr>
          <w:rFonts w:ascii="Arial" w:hAnsi="Arial" w:cs="Arial"/>
          <w:sz w:val="22"/>
          <w:szCs w:val="22"/>
        </w:rPr>
      </w:pPr>
      <w:r>
        <w:rPr>
          <w:rFonts w:ascii="Arial" w:hAnsi="Arial" w:cs="Arial"/>
          <w:sz w:val="22"/>
          <w:szCs w:val="22"/>
        </w:rPr>
        <w:t>1 del concejal del Grupo Mixto (USP): Doña Violeta López Jiménez.</w:t>
      </w:r>
    </w:p>
    <w:p w:rsidR="009B4233" w:rsidRDefault="009B4233">
      <w:pPr>
        <w:jc w:val="both"/>
        <w:rPr>
          <w:rFonts w:ascii="Arial" w:hAnsi="Arial" w:cs="Arial"/>
          <w:sz w:val="22"/>
          <w:szCs w:val="22"/>
        </w:rPr>
      </w:pPr>
    </w:p>
    <w:p w:rsidR="009B4233" w:rsidRDefault="006B08B9">
      <w:pPr>
        <w:jc w:val="both"/>
        <w:rPr>
          <w:rFonts w:ascii="Arial" w:hAnsi="Arial" w:cs="Arial"/>
          <w:sz w:val="22"/>
          <w:szCs w:val="22"/>
        </w:rPr>
      </w:pPr>
      <w:r>
        <w:rPr>
          <w:rFonts w:ascii="Arial" w:hAnsi="Arial" w:cs="Arial"/>
          <w:sz w:val="22"/>
          <w:szCs w:val="22"/>
        </w:rPr>
        <w:t>Votos en contra: 0.</w:t>
      </w:r>
    </w:p>
    <w:p w:rsidR="009B4233" w:rsidRDefault="009B4233">
      <w:pPr>
        <w:jc w:val="both"/>
        <w:rPr>
          <w:rFonts w:ascii="Arial" w:hAnsi="Arial" w:cs="Arial"/>
          <w:sz w:val="22"/>
          <w:szCs w:val="22"/>
        </w:rPr>
      </w:pPr>
    </w:p>
    <w:p w:rsidR="009B4233" w:rsidRDefault="009B4233">
      <w:pPr>
        <w:jc w:val="both"/>
        <w:rPr>
          <w:rFonts w:ascii="Arial" w:hAnsi="Arial" w:cs="Arial"/>
          <w:sz w:val="22"/>
          <w:szCs w:val="22"/>
        </w:rPr>
      </w:pPr>
    </w:p>
    <w:p w:rsidR="009B4233" w:rsidRDefault="006B08B9">
      <w:pPr>
        <w:jc w:val="both"/>
        <w:rPr>
          <w:rFonts w:ascii="Arial" w:hAnsi="Arial" w:cs="Arial"/>
          <w:sz w:val="22"/>
          <w:szCs w:val="22"/>
        </w:rPr>
      </w:pPr>
      <w:r>
        <w:rPr>
          <w:rFonts w:ascii="Arial" w:hAnsi="Arial" w:cs="Arial"/>
          <w:sz w:val="22"/>
          <w:szCs w:val="22"/>
        </w:rPr>
        <w:t>Abstenciones: 1.</w:t>
      </w:r>
    </w:p>
    <w:p w:rsidR="009B4233" w:rsidRDefault="009B4233">
      <w:pPr>
        <w:rPr>
          <w:rFonts w:ascii="Arial" w:hAnsi="Arial" w:cs="Arial"/>
          <w:sz w:val="22"/>
          <w:szCs w:val="22"/>
        </w:rPr>
      </w:pPr>
    </w:p>
    <w:p w:rsidR="009B4233" w:rsidRDefault="006B08B9">
      <w:pPr>
        <w:jc w:val="both"/>
        <w:rPr>
          <w:rFonts w:ascii="Arial" w:hAnsi="Arial" w:cs="Arial"/>
          <w:sz w:val="22"/>
          <w:szCs w:val="22"/>
        </w:rPr>
      </w:pPr>
      <w:r>
        <w:rPr>
          <w:rFonts w:ascii="Arial" w:hAnsi="Arial" w:cs="Arial"/>
          <w:sz w:val="22"/>
          <w:szCs w:val="22"/>
        </w:rPr>
        <w:t>1 concejal del Grupo Popular: D. Jacobo López Fariña.</w:t>
      </w:r>
    </w:p>
    <w:p w:rsidR="009B4233" w:rsidRDefault="009B4233">
      <w:pPr>
        <w:jc w:val="both"/>
        <w:rPr>
          <w:rFonts w:ascii="Arial" w:hAnsi="Arial" w:cs="Arial"/>
          <w:sz w:val="22"/>
          <w:szCs w:val="22"/>
        </w:rPr>
      </w:pPr>
    </w:p>
    <w:p w:rsidR="009B4233" w:rsidRDefault="009B4233">
      <w:pPr>
        <w:pStyle w:val="Textoindependiente"/>
        <w:jc w:val="both"/>
        <w:rPr>
          <w:rFonts w:cs="Arial"/>
          <w:szCs w:val="22"/>
        </w:rPr>
      </w:pPr>
    </w:p>
    <w:p w:rsidR="009B4233" w:rsidRDefault="006B08B9">
      <w:pPr>
        <w:pStyle w:val="Textoindependiente"/>
        <w:jc w:val="both"/>
        <w:rPr>
          <w:rFonts w:cs="Arial"/>
          <w:b/>
          <w:szCs w:val="22"/>
        </w:rPr>
      </w:pPr>
      <w:r>
        <w:rPr>
          <w:rFonts w:cs="Arial"/>
          <w:b/>
          <w:szCs w:val="22"/>
        </w:rPr>
        <w:t>JUNTA DE PORTAVOCES DE 25 DE SEPTIEMBRE DE</w:t>
      </w:r>
      <w:r>
        <w:rPr>
          <w:rFonts w:cs="Arial"/>
          <w:b/>
          <w:szCs w:val="22"/>
        </w:rPr>
        <w:t xml:space="preserve"> 2025.</w:t>
      </w:r>
    </w:p>
    <w:p w:rsidR="009B4233" w:rsidRDefault="006B08B9">
      <w:pPr>
        <w:pStyle w:val="Textoindependiente"/>
        <w:jc w:val="both"/>
        <w:rPr>
          <w:rFonts w:cs="Arial"/>
          <w:szCs w:val="22"/>
        </w:rPr>
      </w:pPr>
      <w:r>
        <w:rPr>
          <w:rFonts w:cs="Arial"/>
          <w:szCs w:val="22"/>
        </w:rPr>
        <w:t>Quedó oída.</w:t>
      </w:r>
    </w:p>
    <w:p w:rsidR="009B4233" w:rsidRDefault="009B4233">
      <w:pPr>
        <w:rPr>
          <w:rFonts w:ascii="Arial" w:hAnsi="Arial" w:cs="Arial"/>
          <w:sz w:val="22"/>
          <w:szCs w:val="22"/>
        </w:rPr>
      </w:pPr>
    </w:p>
    <w:p w:rsidR="009B4233" w:rsidRDefault="009B4233">
      <w:pPr>
        <w:rPr>
          <w:rFonts w:ascii="Arial" w:hAnsi="Arial" w:cs="Arial"/>
          <w:sz w:val="22"/>
          <w:szCs w:val="22"/>
        </w:rPr>
      </w:pPr>
    </w:p>
    <w:p w:rsidR="009B4233" w:rsidRDefault="006B08B9">
      <w:r>
        <w:rPr>
          <w:rFonts w:ascii="Arial" w:hAnsi="Arial" w:cs="Arial"/>
          <w:b/>
          <w:sz w:val="22"/>
          <w:szCs w:val="22"/>
        </w:rPr>
        <w:t>VOTACIÓN EN EL PLENO DE 25 DE SEPTIEMBRE DE 2025.</w:t>
      </w:r>
    </w:p>
    <w:p w:rsidR="009B4233" w:rsidRDefault="009B4233">
      <w:pPr>
        <w:ind w:firstLine="709"/>
        <w:jc w:val="both"/>
        <w:rPr>
          <w:rFonts w:ascii="Arial" w:hAnsi="Arial" w:cs="Arial"/>
          <w:sz w:val="22"/>
          <w:szCs w:val="22"/>
        </w:rPr>
      </w:pPr>
    </w:p>
    <w:p w:rsidR="009B4233" w:rsidRDefault="006B08B9">
      <w:pPr>
        <w:ind w:firstLine="709"/>
        <w:jc w:val="both"/>
        <w:rPr>
          <w:rFonts w:ascii="Arial" w:hAnsi="Arial" w:cs="Arial"/>
          <w:sz w:val="22"/>
          <w:szCs w:val="22"/>
        </w:rPr>
      </w:pPr>
      <w:r>
        <w:rPr>
          <w:rFonts w:ascii="Arial" w:hAnsi="Arial" w:cs="Arial"/>
          <w:sz w:val="22"/>
          <w:szCs w:val="22"/>
        </w:rPr>
        <w:t>Votos a favor: La unanimidad de los 20 concejales presentes:</w:t>
      </w:r>
    </w:p>
    <w:p w:rsidR="009B4233" w:rsidRDefault="009B4233">
      <w:pPr>
        <w:jc w:val="both"/>
        <w:rPr>
          <w:rFonts w:ascii="Arial" w:hAnsi="Arial" w:cs="Arial"/>
          <w:sz w:val="22"/>
          <w:szCs w:val="22"/>
        </w:rPr>
      </w:pPr>
    </w:p>
    <w:p w:rsidR="009B4233" w:rsidRDefault="006B08B9">
      <w:pPr>
        <w:ind w:firstLine="709"/>
        <w:jc w:val="both"/>
        <w:rPr>
          <w:rFonts w:ascii="Arial" w:hAnsi="Arial" w:cs="Arial"/>
          <w:sz w:val="22"/>
          <w:szCs w:val="22"/>
        </w:rPr>
      </w:pPr>
      <w:r>
        <w:rPr>
          <w:rFonts w:ascii="Arial" w:hAnsi="Arial" w:cs="Arial"/>
          <w:sz w:val="22"/>
          <w:szCs w:val="22"/>
        </w:rPr>
        <w:t>11 concejales del Grupo Socialista: Doña María Concepción Brito Núñez, Don Jorge Baute Delgado, Don José Francisco Pinto R</w:t>
      </w:r>
      <w:r>
        <w:rPr>
          <w:rFonts w:ascii="Arial" w:hAnsi="Arial" w:cs="Arial"/>
          <w:sz w:val="22"/>
          <w:szCs w:val="22"/>
        </w:rPr>
        <w:t>amos, Doña Olivia Concepción Pérez Díaz, Don Reinaldo José Triviño Blanco, Don Manuel Alberto González Pestano, Doña Margarita Eva Tendero Barroso, Don Airam Pérez Chinea, Doña María del Carmen Clemente Díaz, Don Olegario Francisco Alonso Bello, Doña Mónic</w:t>
      </w:r>
      <w:r>
        <w:rPr>
          <w:rFonts w:ascii="Arial" w:hAnsi="Arial" w:cs="Arial"/>
          <w:sz w:val="22"/>
          <w:szCs w:val="22"/>
        </w:rPr>
        <w:t xml:space="preserve">a Monserrat Yanes Delgado. </w:t>
      </w:r>
    </w:p>
    <w:p w:rsidR="009B4233" w:rsidRDefault="009B4233">
      <w:pPr>
        <w:jc w:val="both"/>
        <w:rPr>
          <w:rFonts w:ascii="Arial" w:hAnsi="Arial" w:cs="Arial"/>
          <w:sz w:val="22"/>
          <w:szCs w:val="22"/>
        </w:rPr>
      </w:pPr>
    </w:p>
    <w:p w:rsidR="009B4233" w:rsidRDefault="006B08B9">
      <w:pPr>
        <w:ind w:firstLine="709"/>
        <w:jc w:val="both"/>
        <w:rPr>
          <w:rFonts w:ascii="Arial" w:hAnsi="Arial" w:cs="Arial"/>
          <w:sz w:val="22"/>
          <w:szCs w:val="22"/>
        </w:rPr>
      </w:pPr>
      <w:r>
        <w:rPr>
          <w:rFonts w:ascii="Arial" w:hAnsi="Arial" w:cs="Arial"/>
          <w:sz w:val="22"/>
          <w:szCs w:val="22"/>
        </w:rPr>
        <w:t xml:space="preserve">5 concejales del Grupo Popular: Don Jacobo López Fariña, Don Miguel Eduardo Hernández Chitty, Doña María Carlota Díaz González, Don José Daniel Sosa González, y Doña Shaila Castellano Batista. </w:t>
      </w:r>
    </w:p>
    <w:p w:rsidR="009B4233" w:rsidRDefault="009B4233">
      <w:pPr>
        <w:jc w:val="both"/>
        <w:rPr>
          <w:rFonts w:ascii="Arial" w:hAnsi="Arial" w:cs="Arial"/>
          <w:sz w:val="22"/>
          <w:szCs w:val="22"/>
        </w:rPr>
      </w:pPr>
    </w:p>
    <w:p w:rsidR="009B4233" w:rsidRDefault="006B08B9">
      <w:pPr>
        <w:ind w:firstLine="709"/>
        <w:jc w:val="both"/>
      </w:pPr>
      <w:r>
        <w:rPr>
          <w:rFonts w:ascii="Arial" w:hAnsi="Arial" w:cs="Arial"/>
          <w:sz w:val="22"/>
          <w:szCs w:val="22"/>
        </w:rPr>
        <w:t xml:space="preserve">4 concejales del Grupo Mixto: </w:t>
      </w:r>
      <w:r>
        <w:rPr>
          <w:rFonts w:ascii="Arial" w:hAnsi="Arial" w:cs="Arial"/>
          <w:sz w:val="22"/>
          <w:szCs w:val="22"/>
        </w:rPr>
        <w:t>Doña Ángela Cruz Perera Armas y Don José Yeray Padilla Cruz (CC), Don José Tortosa Pallarés (VOX) y Doña Violeta López Jiménez (USP).</w:t>
      </w:r>
    </w:p>
    <w:p w:rsidR="009B4233" w:rsidRDefault="006B08B9">
      <w:pPr>
        <w:jc w:val="both"/>
        <w:rPr>
          <w:rFonts w:ascii="Arial" w:hAnsi="Arial" w:cs="Arial"/>
          <w:b/>
          <w:sz w:val="22"/>
          <w:szCs w:val="22"/>
        </w:rPr>
      </w:pPr>
      <w:r>
        <w:rPr>
          <w:rFonts w:ascii="Arial" w:hAnsi="Arial" w:cs="Arial"/>
          <w:b/>
          <w:sz w:val="22"/>
          <w:szCs w:val="22"/>
        </w:rPr>
        <w:t xml:space="preserve">                          </w:t>
      </w:r>
    </w:p>
    <w:p w:rsidR="009B4233" w:rsidRDefault="009B4233">
      <w:pPr>
        <w:pStyle w:val="Textoindependiente"/>
        <w:ind w:left="709" w:firstLine="709"/>
        <w:rPr>
          <w:rFonts w:cs="Arial"/>
          <w:b/>
          <w:szCs w:val="22"/>
        </w:rPr>
      </w:pPr>
    </w:p>
    <w:p w:rsidR="009B4233" w:rsidRDefault="009B4233">
      <w:pPr>
        <w:rPr>
          <w:rFonts w:ascii="Arial" w:hAnsi="Arial" w:cs="Arial"/>
          <w:b/>
          <w:sz w:val="22"/>
          <w:szCs w:val="22"/>
        </w:rPr>
      </w:pPr>
    </w:p>
    <w:p w:rsidR="009B4233" w:rsidRDefault="009B4233">
      <w:pPr>
        <w:pStyle w:val="Textoindependiente"/>
        <w:ind w:left="709" w:firstLine="709"/>
        <w:rPr>
          <w:rFonts w:cs="Arial"/>
          <w:b/>
          <w:szCs w:val="22"/>
        </w:rPr>
      </w:pPr>
    </w:p>
    <w:p w:rsidR="009B4233" w:rsidRDefault="009B4233">
      <w:pPr>
        <w:pStyle w:val="Textoindependiente"/>
        <w:ind w:left="709" w:firstLine="709"/>
        <w:rPr>
          <w:rFonts w:cs="Arial"/>
          <w:b/>
          <w:szCs w:val="22"/>
        </w:rPr>
      </w:pPr>
    </w:p>
    <w:p w:rsidR="009B4233" w:rsidRDefault="009B4233">
      <w:pPr>
        <w:pStyle w:val="Textoindependiente"/>
        <w:ind w:left="709" w:firstLine="709"/>
        <w:rPr>
          <w:rFonts w:cs="Arial"/>
          <w:b/>
          <w:szCs w:val="22"/>
        </w:rPr>
      </w:pPr>
    </w:p>
    <w:p w:rsidR="009B4233" w:rsidRDefault="009B4233">
      <w:pPr>
        <w:pStyle w:val="Textoindependiente"/>
        <w:ind w:left="709" w:firstLine="709"/>
        <w:rPr>
          <w:rFonts w:cs="Arial"/>
          <w:b/>
          <w:szCs w:val="22"/>
        </w:rPr>
      </w:pPr>
    </w:p>
    <w:p w:rsidR="009B4233" w:rsidRDefault="009B4233">
      <w:pPr>
        <w:pStyle w:val="Textoindependiente"/>
        <w:ind w:left="709" w:firstLine="709"/>
        <w:rPr>
          <w:rFonts w:cs="Arial"/>
          <w:b/>
          <w:szCs w:val="22"/>
        </w:rPr>
      </w:pPr>
    </w:p>
    <w:p w:rsidR="009B4233" w:rsidRDefault="009B4233">
      <w:pPr>
        <w:pStyle w:val="Textoindependiente"/>
        <w:ind w:left="709" w:firstLine="709"/>
        <w:rPr>
          <w:rFonts w:cs="Arial"/>
          <w:b/>
          <w:szCs w:val="22"/>
        </w:rPr>
      </w:pPr>
    </w:p>
    <w:p w:rsidR="009B4233" w:rsidRDefault="009B4233">
      <w:pPr>
        <w:pStyle w:val="Textoindependiente"/>
        <w:ind w:left="709" w:firstLine="709"/>
        <w:rPr>
          <w:rFonts w:cs="Arial"/>
          <w:b/>
          <w:szCs w:val="22"/>
        </w:rPr>
      </w:pPr>
    </w:p>
    <w:p w:rsidR="009B4233" w:rsidRDefault="009B4233">
      <w:pPr>
        <w:pStyle w:val="Textoindependiente"/>
        <w:ind w:left="709" w:firstLine="709"/>
        <w:rPr>
          <w:rFonts w:cs="Arial"/>
          <w:b/>
          <w:szCs w:val="22"/>
        </w:rPr>
      </w:pPr>
    </w:p>
    <w:p w:rsidR="009B4233" w:rsidRDefault="006B08B9">
      <w:pPr>
        <w:pStyle w:val="Textoindependiente"/>
        <w:ind w:left="709" w:firstLine="709"/>
        <w:rPr>
          <w:rFonts w:cs="Arial"/>
          <w:b/>
          <w:szCs w:val="22"/>
        </w:rPr>
      </w:pPr>
      <w:r>
        <w:rPr>
          <w:rFonts w:cs="Arial"/>
          <w:b/>
          <w:szCs w:val="22"/>
        </w:rPr>
        <w:t>ACUERDO DEL PLENO DE 25 DE SEPTIEMBRE DE 2025.</w:t>
      </w: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6B08B9">
      <w:pPr>
        <w:spacing w:after="493" w:line="218" w:lineRule="auto"/>
        <w:ind w:left="9" w:hanging="8"/>
        <w:jc w:val="both"/>
      </w:pPr>
      <w:r>
        <w:rPr>
          <w:rFonts w:ascii="Arial" w:eastAsia="Calibri" w:hAnsi="Arial" w:cs="Arial"/>
          <w:b/>
          <w:sz w:val="22"/>
          <w:szCs w:val="22"/>
        </w:rPr>
        <w:t>Primero.  Aceptar de forma expresa l</w:t>
      </w:r>
      <w:r>
        <w:rPr>
          <w:rFonts w:ascii="Arial" w:eastAsia="Calibri" w:hAnsi="Arial" w:cs="Arial"/>
          <w:b/>
          <w:sz w:val="22"/>
          <w:szCs w:val="22"/>
        </w:rPr>
        <w:t xml:space="preserve">os términos del acuerdo relativo a la nueva financiación propuesta por el Cabildo Insular de la Isla de Tenerife quedando la propuesta de modificación de las correspondientes anualidades, con el siguiente detalle: </w:t>
      </w:r>
    </w:p>
    <w:tbl>
      <w:tblPr>
        <w:tblW w:w="11120" w:type="dxa"/>
        <w:tblCellMar>
          <w:left w:w="10" w:type="dxa"/>
          <w:right w:w="10" w:type="dxa"/>
        </w:tblCellMar>
        <w:tblLook w:val="0000" w:firstRow="0" w:lastRow="0" w:firstColumn="0" w:lastColumn="0" w:noHBand="0" w:noVBand="0"/>
      </w:tblPr>
      <w:tblGrid>
        <w:gridCol w:w="1513"/>
        <w:gridCol w:w="1391"/>
        <w:gridCol w:w="1210"/>
        <w:gridCol w:w="505"/>
        <w:gridCol w:w="1242"/>
        <w:gridCol w:w="1393"/>
        <w:gridCol w:w="1391"/>
        <w:gridCol w:w="1391"/>
        <w:gridCol w:w="1349"/>
      </w:tblGrid>
      <w:tr w:rsidR="009B4233">
        <w:tblPrEx>
          <w:tblCellMar>
            <w:top w:w="0" w:type="dxa"/>
            <w:bottom w:w="0" w:type="dxa"/>
          </w:tblCellMar>
        </w:tblPrEx>
        <w:trPr>
          <w:trHeight w:val="313"/>
        </w:trPr>
        <w:tc>
          <w:tcPr>
            <w:tcW w:w="1513" w:type="dxa"/>
            <w:tcBorders>
              <w:top w:val="single" w:sz="4" w:space="0" w:color="C0C0C0"/>
              <w:left w:val="single" w:sz="4" w:space="0" w:color="C0C0C0"/>
              <w:bottom w:val="single" w:sz="4" w:space="0" w:color="C0C0C0"/>
              <w:right w:val="single" w:sz="4" w:space="0" w:color="000000"/>
            </w:tcBorders>
            <w:shd w:val="clear" w:color="auto" w:fill="auto"/>
            <w:tcMar>
              <w:top w:w="7" w:type="dxa"/>
              <w:left w:w="24" w:type="dxa"/>
              <w:bottom w:w="0" w:type="dxa"/>
              <w:right w:w="30" w:type="dxa"/>
            </w:tcMar>
          </w:tcPr>
          <w:p w:rsidR="009B4233" w:rsidRDefault="009B4233">
            <w:pPr>
              <w:rPr>
                <w:rFonts w:ascii="Arial" w:hAnsi="Arial" w:cs="Arial"/>
                <w:b/>
                <w:sz w:val="22"/>
                <w:szCs w:val="22"/>
              </w:rPr>
            </w:pPr>
          </w:p>
        </w:tc>
        <w:tc>
          <w:tcPr>
            <w:tcW w:w="1391" w:type="dxa"/>
            <w:tcBorders>
              <w:top w:val="single" w:sz="4" w:space="0" w:color="000000"/>
              <w:left w:val="single" w:sz="4" w:space="0" w:color="000000"/>
              <w:bottom w:val="single" w:sz="4" w:space="0" w:color="000000"/>
              <w:right w:val="single" w:sz="4" w:space="0" w:color="000000"/>
            </w:tcBorders>
            <w:shd w:val="clear" w:color="auto" w:fill="auto"/>
            <w:tcMar>
              <w:top w:w="7" w:type="dxa"/>
              <w:left w:w="24" w:type="dxa"/>
              <w:bottom w:w="0" w:type="dxa"/>
              <w:right w:w="30" w:type="dxa"/>
            </w:tcMar>
          </w:tcPr>
          <w:p w:rsidR="009B4233" w:rsidRDefault="009B4233">
            <w:pPr>
              <w:rPr>
                <w:rFonts w:ascii="Arial" w:hAnsi="Arial" w:cs="Arial"/>
                <w:b/>
                <w:sz w:val="22"/>
                <w:szCs w:val="22"/>
              </w:rPr>
            </w:pPr>
          </w:p>
        </w:tc>
        <w:tc>
          <w:tcPr>
            <w:tcW w:w="1210" w:type="dxa"/>
            <w:tcBorders>
              <w:top w:val="single" w:sz="4" w:space="0" w:color="000000"/>
              <w:left w:val="single" w:sz="4" w:space="0" w:color="000000"/>
              <w:bottom w:val="single" w:sz="4" w:space="0" w:color="000000"/>
              <w:right w:val="single" w:sz="4" w:space="0" w:color="000000"/>
            </w:tcBorders>
            <w:shd w:val="clear" w:color="auto" w:fill="auto"/>
            <w:tcMar>
              <w:top w:w="7" w:type="dxa"/>
              <w:left w:w="24" w:type="dxa"/>
              <w:bottom w:w="0" w:type="dxa"/>
              <w:right w:w="30" w:type="dxa"/>
            </w:tcMar>
          </w:tcPr>
          <w:p w:rsidR="009B4233" w:rsidRDefault="009B4233">
            <w:pPr>
              <w:rPr>
                <w:rFonts w:ascii="Arial" w:hAnsi="Arial" w:cs="Arial"/>
                <w:b/>
                <w:sz w:val="22"/>
                <w:szCs w:val="2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7" w:type="dxa"/>
              <w:left w:w="24" w:type="dxa"/>
              <w:bottom w:w="0" w:type="dxa"/>
              <w:right w:w="30" w:type="dxa"/>
            </w:tcMar>
          </w:tcPr>
          <w:p w:rsidR="009B4233" w:rsidRDefault="009B4233">
            <w:pPr>
              <w:rPr>
                <w:rFonts w:ascii="Arial" w:hAnsi="Arial" w:cs="Arial"/>
                <w:b/>
                <w:sz w:val="22"/>
                <w:szCs w:val="22"/>
              </w:rPr>
            </w:pPr>
          </w:p>
        </w:tc>
        <w:tc>
          <w:tcPr>
            <w:tcW w:w="1242" w:type="dxa"/>
            <w:tcBorders>
              <w:top w:val="single" w:sz="4" w:space="0" w:color="000000"/>
              <w:left w:val="single" w:sz="4" w:space="0" w:color="000000"/>
              <w:bottom w:val="single" w:sz="4" w:space="0" w:color="000000"/>
              <w:right w:val="single" w:sz="4" w:space="0" w:color="000000"/>
            </w:tcBorders>
            <w:shd w:val="clear" w:color="auto" w:fill="auto"/>
            <w:tcMar>
              <w:top w:w="7" w:type="dxa"/>
              <w:left w:w="24" w:type="dxa"/>
              <w:bottom w:w="0" w:type="dxa"/>
              <w:right w:w="30" w:type="dxa"/>
            </w:tcMar>
          </w:tcPr>
          <w:p w:rsidR="009B4233" w:rsidRDefault="009B4233">
            <w:pPr>
              <w:rPr>
                <w:rFonts w:ascii="Arial" w:hAnsi="Arial" w:cs="Arial"/>
                <w:b/>
                <w:sz w:val="22"/>
                <w:szCs w:val="22"/>
              </w:rPr>
            </w:pPr>
          </w:p>
        </w:tc>
        <w:tc>
          <w:tcPr>
            <w:tcW w:w="1393" w:type="dxa"/>
            <w:tcBorders>
              <w:top w:val="single" w:sz="4" w:space="0" w:color="000000"/>
              <w:left w:val="single" w:sz="4" w:space="0" w:color="000000"/>
              <w:bottom w:val="single" w:sz="4" w:space="0" w:color="000000"/>
              <w:right w:val="single" w:sz="4" w:space="0" w:color="000000"/>
            </w:tcBorders>
            <w:shd w:val="clear" w:color="auto" w:fill="auto"/>
            <w:tcMar>
              <w:top w:w="7" w:type="dxa"/>
              <w:left w:w="24" w:type="dxa"/>
              <w:bottom w:w="0" w:type="dxa"/>
              <w:right w:w="30" w:type="dxa"/>
            </w:tcMar>
          </w:tcPr>
          <w:p w:rsidR="009B4233" w:rsidRDefault="009B4233">
            <w:pPr>
              <w:rPr>
                <w:rFonts w:ascii="Arial" w:hAnsi="Arial" w:cs="Arial"/>
                <w:b/>
                <w:sz w:val="22"/>
                <w:szCs w:val="22"/>
              </w:rPr>
            </w:pPr>
          </w:p>
        </w:tc>
        <w:tc>
          <w:tcPr>
            <w:tcW w:w="1391" w:type="dxa"/>
            <w:tcBorders>
              <w:top w:val="single" w:sz="4" w:space="0" w:color="000000"/>
              <w:left w:val="single" w:sz="4" w:space="0" w:color="000000"/>
              <w:bottom w:val="single" w:sz="4" w:space="0" w:color="000000"/>
              <w:right w:val="single" w:sz="4" w:space="0" w:color="000000"/>
            </w:tcBorders>
            <w:shd w:val="clear" w:color="auto" w:fill="auto"/>
            <w:tcMar>
              <w:top w:w="7" w:type="dxa"/>
              <w:left w:w="24" w:type="dxa"/>
              <w:bottom w:w="0" w:type="dxa"/>
              <w:right w:w="30" w:type="dxa"/>
            </w:tcMar>
          </w:tcPr>
          <w:p w:rsidR="009B4233" w:rsidRDefault="009B4233">
            <w:pPr>
              <w:rPr>
                <w:rFonts w:ascii="Arial" w:hAnsi="Arial" w:cs="Arial"/>
                <w:b/>
                <w:sz w:val="22"/>
                <w:szCs w:val="22"/>
              </w:rPr>
            </w:pPr>
          </w:p>
        </w:tc>
        <w:tc>
          <w:tcPr>
            <w:tcW w:w="1391" w:type="dxa"/>
            <w:tcBorders>
              <w:top w:val="single" w:sz="4" w:space="0" w:color="000000"/>
              <w:left w:val="single" w:sz="4" w:space="0" w:color="000000"/>
              <w:bottom w:val="single" w:sz="4" w:space="0" w:color="000000"/>
              <w:right w:val="single" w:sz="4" w:space="0" w:color="000000"/>
            </w:tcBorders>
            <w:shd w:val="clear" w:color="auto" w:fill="auto"/>
            <w:tcMar>
              <w:top w:w="7" w:type="dxa"/>
              <w:left w:w="24" w:type="dxa"/>
              <w:bottom w:w="0" w:type="dxa"/>
              <w:right w:w="30" w:type="dxa"/>
            </w:tcMar>
          </w:tcPr>
          <w:p w:rsidR="009B4233" w:rsidRDefault="009B4233">
            <w:pPr>
              <w:rPr>
                <w:rFonts w:ascii="Arial" w:hAnsi="Arial" w:cs="Arial"/>
                <w:b/>
                <w:sz w:val="22"/>
                <w:szCs w:val="22"/>
              </w:rPr>
            </w:pPr>
          </w:p>
        </w:tc>
        <w:tc>
          <w:tcPr>
            <w:tcW w:w="1349" w:type="dxa"/>
            <w:tcBorders>
              <w:top w:val="single" w:sz="4" w:space="0" w:color="000000"/>
              <w:left w:val="single" w:sz="4" w:space="0" w:color="000000"/>
              <w:bottom w:val="single" w:sz="4" w:space="0" w:color="000000"/>
              <w:right w:val="single" w:sz="4" w:space="0" w:color="000000"/>
            </w:tcBorders>
            <w:shd w:val="clear" w:color="auto" w:fill="auto"/>
            <w:tcMar>
              <w:top w:w="7" w:type="dxa"/>
              <w:left w:w="24" w:type="dxa"/>
              <w:bottom w:w="0" w:type="dxa"/>
              <w:right w:w="30" w:type="dxa"/>
            </w:tcMar>
          </w:tcPr>
          <w:p w:rsidR="009B4233" w:rsidRDefault="009B4233">
            <w:pPr>
              <w:rPr>
                <w:rFonts w:ascii="Arial" w:hAnsi="Arial" w:cs="Arial"/>
                <w:b/>
                <w:sz w:val="22"/>
                <w:szCs w:val="22"/>
              </w:rPr>
            </w:pPr>
          </w:p>
        </w:tc>
      </w:tr>
      <w:tr w:rsidR="009B4233">
        <w:tblPrEx>
          <w:tblCellMar>
            <w:top w:w="0" w:type="dxa"/>
            <w:bottom w:w="0" w:type="dxa"/>
          </w:tblCellMar>
        </w:tblPrEx>
        <w:trPr>
          <w:trHeight w:val="303"/>
        </w:trPr>
        <w:tc>
          <w:tcPr>
            <w:tcW w:w="1513" w:type="dxa"/>
            <w:tcBorders>
              <w:top w:val="single" w:sz="4" w:space="0" w:color="C0C0C0"/>
              <w:left w:val="single" w:sz="4" w:space="0" w:color="000000"/>
              <w:bottom w:val="single" w:sz="4" w:space="0" w:color="000000"/>
              <w:right w:val="single" w:sz="4" w:space="0" w:color="000000"/>
            </w:tcBorders>
            <w:shd w:val="clear" w:color="auto" w:fill="D9D9D9"/>
            <w:tcMar>
              <w:top w:w="7" w:type="dxa"/>
              <w:left w:w="24" w:type="dxa"/>
              <w:bottom w:w="0" w:type="dxa"/>
              <w:right w:w="30" w:type="dxa"/>
            </w:tcMar>
          </w:tcPr>
          <w:p w:rsidR="009B4233" w:rsidRDefault="006B08B9">
            <w:r>
              <w:rPr>
                <w:rFonts w:ascii="Arial" w:eastAsia="Calibri" w:hAnsi="Arial" w:cs="Arial"/>
                <w:b/>
                <w:sz w:val="22"/>
                <w:szCs w:val="22"/>
              </w:rPr>
              <w:t>Cabildo</w:t>
            </w:r>
          </w:p>
        </w:tc>
        <w:tc>
          <w:tcPr>
            <w:tcW w:w="1391" w:type="dxa"/>
            <w:tcBorders>
              <w:top w:val="single" w:sz="4" w:space="0" w:color="000000"/>
              <w:left w:val="single" w:sz="4" w:space="0" w:color="000000"/>
              <w:bottom w:val="single" w:sz="4" w:space="0" w:color="000000"/>
              <w:right w:val="single" w:sz="4" w:space="0" w:color="000000"/>
            </w:tcBorders>
            <w:shd w:val="clear" w:color="auto" w:fill="auto"/>
            <w:tcMar>
              <w:top w:w="7" w:type="dxa"/>
              <w:left w:w="24" w:type="dxa"/>
              <w:bottom w:w="0" w:type="dxa"/>
              <w:right w:w="30" w:type="dxa"/>
            </w:tcMar>
          </w:tcPr>
          <w:p w:rsidR="009B4233" w:rsidRDefault="006B08B9">
            <w:pPr>
              <w:ind w:left="52"/>
            </w:pPr>
            <w:r>
              <w:rPr>
                <w:rFonts w:ascii="Arial" w:eastAsia="Calibri" w:hAnsi="Arial" w:cs="Arial"/>
                <w:b/>
                <w:sz w:val="22"/>
                <w:szCs w:val="22"/>
              </w:rPr>
              <w:t>2.369.143,58 €</w:t>
            </w:r>
          </w:p>
        </w:tc>
        <w:tc>
          <w:tcPr>
            <w:tcW w:w="1210" w:type="dxa"/>
            <w:tcBorders>
              <w:top w:val="single" w:sz="4" w:space="0" w:color="000000"/>
              <w:left w:val="single" w:sz="4" w:space="0" w:color="000000"/>
              <w:bottom w:val="single" w:sz="4" w:space="0" w:color="000000"/>
              <w:right w:val="single" w:sz="4" w:space="0" w:color="000000"/>
            </w:tcBorders>
            <w:shd w:val="clear" w:color="auto" w:fill="auto"/>
            <w:tcMar>
              <w:top w:w="7" w:type="dxa"/>
              <w:left w:w="24" w:type="dxa"/>
              <w:bottom w:w="0" w:type="dxa"/>
              <w:right w:w="30" w:type="dxa"/>
            </w:tcMar>
          </w:tcPr>
          <w:p w:rsidR="009B4233" w:rsidRDefault="006B08B9">
            <w:pPr>
              <w:ind w:left="12"/>
              <w:jc w:val="center"/>
            </w:pPr>
            <w:r>
              <w:rPr>
                <w:rFonts w:ascii="Arial" w:eastAsia="Calibri" w:hAnsi="Arial" w:cs="Arial"/>
                <w:b/>
                <w:sz w:val="22"/>
                <w:szCs w:val="22"/>
              </w:rPr>
              <w:t>0,00 €</w:t>
            </w: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7" w:type="dxa"/>
              <w:left w:w="24" w:type="dxa"/>
              <w:bottom w:w="0" w:type="dxa"/>
              <w:right w:w="30" w:type="dxa"/>
            </w:tcMar>
          </w:tcPr>
          <w:p w:rsidR="009B4233" w:rsidRDefault="006B08B9">
            <w:pPr>
              <w:ind w:left="22"/>
              <w:jc w:val="center"/>
            </w:pPr>
            <w:r>
              <w:rPr>
                <w:rFonts w:ascii="Arial" w:eastAsia="Calibri" w:hAnsi="Arial" w:cs="Arial"/>
                <w:b/>
                <w:sz w:val="22"/>
                <w:szCs w:val="22"/>
              </w:rPr>
              <w:t>0,00 €</w:t>
            </w:r>
          </w:p>
        </w:tc>
        <w:tc>
          <w:tcPr>
            <w:tcW w:w="1242" w:type="dxa"/>
            <w:tcBorders>
              <w:top w:val="single" w:sz="4" w:space="0" w:color="000000"/>
              <w:left w:val="single" w:sz="4" w:space="0" w:color="000000"/>
              <w:bottom w:val="single" w:sz="4" w:space="0" w:color="000000"/>
              <w:right w:val="single" w:sz="4" w:space="0" w:color="000000"/>
            </w:tcBorders>
            <w:shd w:val="clear" w:color="auto" w:fill="auto"/>
            <w:tcMar>
              <w:top w:w="7" w:type="dxa"/>
              <w:left w:w="24" w:type="dxa"/>
              <w:bottom w:w="0" w:type="dxa"/>
              <w:right w:w="30" w:type="dxa"/>
            </w:tcMar>
          </w:tcPr>
          <w:p w:rsidR="009B4233" w:rsidRDefault="006B08B9">
            <w:pPr>
              <w:ind w:left="14"/>
              <w:jc w:val="center"/>
            </w:pPr>
            <w:r>
              <w:rPr>
                <w:rFonts w:ascii="Arial" w:eastAsia="Calibri" w:hAnsi="Arial" w:cs="Arial"/>
                <w:b/>
                <w:sz w:val="22"/>
                <w:szCs w:val="22"/>
              </w:rPr>
              <w:t>0,00 €</w:t>
            </w:r>
          </w:p>
        </w:tc>
        <w:tc>
          <w:tcPr>
            <w:tcW w:w="1393" w:type="dxa"/>
            <w:tcBorders>
              <w:top w:val="single" w:sz="4" w:space="0" w:color="000000"/>
              <w:left w:val="single" w:sz="4" w:space="0" w:color="000000"/>
              <w:bottom w:val="single" w:sz="4" w:space="0" w:color="000000"/>
              <w:right w:val="single" w:sz="4" w:space="0" w:color="000000"/>
            </w:tcBorders>
            <w:shd w:val="clear" w:color="auto" w:fill="auto"/>
            <w:tcMar>
              <w:top w:w="7" w:type="dxa"/>
              <w:left w:w="24" w:type="dxa"/>
              <w:bottom w:w="0" w:type="dxa"/>
              <w:right w:w="30" w:type="dxa"/>
            </w:tcMar>
          </w:tcPr>
          <w:p w:rsidR="009B4233" w:rsidRDefault="006B08B9">
            <w:pPr>
              <w:ind w:left="88"/>
            </w:pPr>
            <w:r>
              <w:rPr>
                <w:rFonts w:ascii="Arial" w:eastAsia="Calibri" w:hAnsi="Arial" w:cs="Arial"/>
                <w:b/>
                <w:sz w:val="22"/>
                <w:szCs w:val="22"/>
              </w:rPr>
              <w:t>577.172,10 €</w:t>
            </w:r>
          </w:p>
        </w:tc>
        <w:tc>
          <w:tcPr>
            <w:tcW w:w="1391" w:type="dxa"/>
            <w:tcBorders>
              <w:top w:val="single" w:sz="4" w:space="0" w:color="000000"/>
              <w:left w:val="single" w:sz="4" w:space="0" w:color="000000"/>
              <w:bottom w:val="single" w:sz="4" w:space="0" w:color="000000"/>
              <w:right w:val="single" w:sz="4" w:space="0" w:color="000000"/>
            </w:tcBorders>
            <w:shd w:val="clear" w:color="auto" w:fill="auto"/>
            <w:tcMar>
              <w:top w:w="7" w:type="dxa"/>
              <w:left w:w="24" w:type="dxa"/>
              <w:bottom w:w="0" w:type="dxa"/>
              <w:right w:w="30" w:type="dxa"/>
            </w:tcMar>
          </w:tcPr>
          <w:p w:rsidR="009B4233" w:rsidRDefault="006B08B9">
            <w:pPr>
              <w:ind w:left="52"/>
            </w:pPr>
            <w:r>
              <w:rPr>
                <w:rFonts w:ascii="Arial" w:eastAsia="Calibri" w:hAnsi="Arial" w:cs="Arial"/>
                <w:b/>
                <w:sz w:val="22"/>
                <w:szCs w:val="22"/>
              </w:rPr>
              <w:t>2.255.353,98 €</w:t>
            </w:r>
          </w:p>
        </w:tc>
        <w:tc>
          <w:tcPr>
            <w:tcW w:w="1391" w:type="dxa"/>
            <w:tcBorders>
              <w:top w:val="single" w:sz="4" w:space="0" w:color="000000"/>
              <w:left w:val="single" w:sz="4" w:space="0" w:color="000000"/>
              <w:bottom w:val="single" w:sz="4" w:space="0" w:color="000000"/>
              <w:right w:val="single" w:sz="4" w:space="0" w:color="000000"/>
            </w:tcBorders>
            <w:shd w:val="clear" w:color="auto" w:fill="auto"/>
            <w:tcMar>
              <w:top w:w="7" w:type="dxa"/>
              <w:left w:w="24" w:type="dxa"/>
              <w:bottom w:w="0" w:type="dxa"/>
              <w:right w:w="30" w:type="dxa"/>
            </w:tcMar>
          </w:tcPr>
          <w:p w:rsidR="009B4233" w:rsidRDefault="006B08B9">
            <w:pPr>
              <w:ind w:left="52"/>
            </w:pPr>
            <w:r>
              <w:rPr>
                <w:rFonts w:ascii="Arial" w:eastAsia="Calibri" w:hAnsi="Arial" w:cs="Arial"/>
                <w:b/>
                <w:sz w:val="22"/>
                <w:szCs w:val="22"/>
              </w:rPr>
              <w:t xml:space="preserve">2.255.363,98 </w:t>
            </w:r>
          </w:p>
          <w:p w:rsidR="009B4233" w:rsidRDefault="006B08B9">
            <w:pPr>
              <w:ind w:left="52"/>
            </w:pPr>
            <w:r>
              <w:rPr>
                <w:rFonts w:ascii="Arial" w:eastAsia="Calibri" w:hAnsi="Arial" w:cs="Arial"/>
                <w:b/>
                <w:sz w:val="22"/>
                <w:szCs w:val="22"/>
              </w:rPr>
              <w:t>€</w:t>
            </w:r>
          </w:p>
        </w:tc>
        <w:tc>
          <w:tcPr>
            <w:tcW w:w="1349" w:type="dxa"/>
            <w:tcBorders>
              <w:top w:val="single" w:sz="4" w:space="0" w:color="000000"/>
              <w:left w:val="single" w:sz="4" w:space="0" w:color="000000"/>
              <w:bottom w:val="single" w:sz="4" w:space="0" w:color="000000"/>
              <w:right w:val="single" w:sz="4" w:space="0" w:color="000000"/>
            </w:tcBorders>
            <w:shd w:val="clear" w:color="auto" w:fill="D9D9D9"/>
            <w:tcMar>
              <w:top w:w="7" w:type="dxa"/>
              <w:left w:w="24" w:type="dxa"/>
              <w:bottom w:w="0" w:type="dxa"/>
              <w:right w:w="30" w:type="dxa"/>
            </w:tcMar>
          </w:tcPr>
          <w:p w:rsidR="009B4233" w:rsidRDefault="006B08B9">
            <w:pPr>
              <w:ind w:left="10"/>
            </w:pPr>
            <w:r>
              <w:rPr>
                <w:rFonts w:ascii="Arial" w:eastAsia="Calibri" w:hAnsi="Arial" w:cs="Arial"/>
                <w:b/>
                <w:sz w:val="22"/>
                <w:szCs w:val="22"/>
              </w:rPr>
              <w:t>7.457.033,64 €</w:t>
            </w:r>
          </w:p>
        </w:tc>
      </w:tr>
      <w:tr w:rsidR="009B4233">
        <w:tblPrEx>
          <w:tblCellMar>
            <w:top w:w="0" w:type="dxa"/>
            <w:bottom w:w="0" w:type="dxa"/>
          </w:tblCellMar>
        </w:tblPrEx>
        <w:trPr>
          <w:trHeight w:val="299"/>
        </w:trPr>
        <w:tc>
          <w:tcPr>
            <w:tcW w:w="1513" w:type="dxa"/>
            <w:tcBorders>
              <w:top w:val="single" w:sz="4" w:space="0" w:color="000000"/>
              <w:left w:val="single" w:sz="4" w:space="0" w:color="000000"/>
              <w:bottom w:val="single" w:sz="4" w:space="0" w:color="C0C0C0"/>
              <w:right w:val="single" w:sz="4" w:space="0" w:color="000000"/>
            </w:tcBorders>
            <w:shd w:val="clear" w:color="auto" w:fill="D9D9D9"/>
            <w:tcMar>
              <w:top w:w="7" w:type="dxa"/>
              <w:left w:w="24" w:type="dxa"/>
              <w:bottom w:w="0" w:type="dxa"/>
              <w:right w:w="30" w:type="dxa"/>
            </w:tcMar>
          </w:tcPr>
          <w:p w:rsidR="009B4233" w:rsidRDefault="006B08B9">
            <w:pPr>
              <w:jc w:val="both"/>
            </w:pPr>
            <w:r>
              <w:rPr>
                <w:rFonts w:ascii="Arial" w:eastAsia="Calibri" w:hAnsi="Arial" w:cs="Arial"/>
                <w:b/>
                <w:sz w:val="22"/>
                <w:szCs w:val="22"/>
              </w:rPr>
              <w:t>Ayuntamiento</w:t>
            </w:r>
          </w:p>
        </w:tc>
        <w:tc>
          <w:tcPr>
            <w:tcW w:w="1391" w:type="dxa"/>
            <w:tcBorders>
              <w:top w:val="single" w:sz="4" w:space="0" w:color="000000"/>
              <w:left w:val="single" w:sz="4" w:space="0" w:color="000000"/>
              <w:bottom w:val="single" w:sz="4" w:space="0" w:color="000000"/>
              <w:right w:val="single" w:sz="4" w:space="0" w:color="000000"/>
            </w:tcBorders>
            <w:shd w:val="clear" w:color="auto" w:fill="auto"/>
            <w:tcMar>
              <w:top w:w="7" w:type="dxa"/>
              <w:left w:w="24" w:type="dxa"/>
              <w:bottom w:w="0" w:type="dxa"/>
              <w:right w:w="30" w:type="dxa"/>
            </w:tcMar>
          </w:tcPr>
          <w:p w:rsidR="009B4233" w:rsidRDefault="006B08B9">
            <w:pPr>
              <w:ind w:left="12"/>
              <w:jc w:val="center"/>
            </w:pPr>
            <w:r>
              <w:rPr>
                <w:rFonts w:ascii="Arial" w:eastAsia="Calibri" w:hAnsi="Arial" w:cs="Arial"/>
                <w:b/>
                <w:sz w:val="22"/>
                <w:szCs w:val="22"/>
              </w:rPr>
              <w:t>0,00 €</w:t>
            </w:r>
          </w:p>
        </w:tc>
        <w:tc>
          <w:tcPr>
            <w:tcW w:w="1210" w:type="dxa"/>
            <w:tcBorders>
              <w:top w:val="single" w:sz="4" w:space="0" w:color="000000"/>
              <w:left w:val="single" w:sz="4" w:space="0" w:color="000000"/>
              <w:bottom w:val="single" w:sz="4" w:space="0" w:color="000000"/>
              <w:right w:val="single" w:sz="4" w:space="0" w:color="000000"/>
            </w:tcBorders>
            <w:shd w:val="clear" w:color="auto" w:fill="auto"/>
            <w:tcMar>
              <w:top w:w="7" w:type="dxa"/>
              <w:left w:w="24" w:type="dxa"/>
              <w:bottom w:w="0" w:type="dxa"/>
              <w:right w:w="30" w:type="dxa"/>
            </w:tcMar>
          </w:tcPr>
          <w:p w:rsidR="009B4233" w:rsidRDefault="006B08B9">
            <w:pPr>
              <w:ind w:left="54"/>
            </w:pPr>
            <w:r>
              <w:rPr>
                <w:rFonts w:ascii="Arial" w:eastAsia="Calibri" w:hAnsi="Arial" w:cs="Arial"/>
                <w:b/>
                <w:sz w:val="22"/>
                <w:szCs w:val="22"/>
              </w:rPr>
              <w:t xml:space="preserve">621.419,47 </w:t>
            </w:r>
          </w:p>
          <w:p w:rsidR="009B4233" w:rsidRDefault="006B08B9">
            <w:pPr>
              <w:ind w:left="54"/>
            </w:pPr>
            <w:r>
              <w:rPr>
                <w:rFonts w:ascii="Arial" w:eastAsia="Calibri" w:hAnsi="Arial" w:cs="Arial"/>
                <w:b/>
                <w:sz w:val="22"/>
                <w:szCs w:val="22"/>
              </w:rPr>
              <w:t>€</w:t>
            </w: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7" w:type="dxa"/>
              <w:left w:w="24" w:type="dxa"/>
              <w:bottom w:w="0" w:type="dxa"/>
              <w:right w:w="30" w:type="dxa"/>
            </w:tcMar>
          </w:tcPr>
          <w:p w:rsidR="009B4233" w:rsidRDefault="006B08B9">
            <w:pPr>
              <w:ind w:left="22"/>
              <w:jc w:val="center"/>
            </w:pPr>
            <w:r>
              <w:rPr>
                <w:rFonts w:ascii="Arial" w:eastAsia="Calibri" w:hAnsi="Arial" w:cs="Arial"/>
                <w:b/>
                <w:sz w:val="22"/>
                <w:szCs w:val="22"/>
              </w:rPr>
              <w:t>0,00 €</w:t>
            </w:r>
          </w:p>
        </w:tc>
        <w:tc>
          <w:tcPr>
            <w:tcW w:w="1242" w:type="dxa"/>
            <w:tcBorders>
              <w:top w:val="single" w:sz="4" w:space="0" w:color="000000"/>
              <w:left w:val="single" w:sz="4" w:space="0" w:color="000000"/>
              <w:bottom w:val="single" w:sz="4" w:space="0" w:color="000000"/>
              <w:right w:val="single" w:sz="4" w:space="0" w:color="000000"/>
            </w:tcBorders>
            <w:shd w:val="clear" w:color="auto" w:fill="auto"/>
            <w:tcMar>
              <w:top w:w="7" w:type="dxa"/>
              <w:left w:w="24" w:type="dxa"/>
              <w:bottom w:w="0" w:type="dxa"/>
              <w:right w:w="30" w:type="dxa"/>
            </w:tcMar>
          </w:tcPr>
          <w:p w:rsidR="009B4233" w:rsidRDefault="006B08B9">
            <w:pPr>
              <w:ind w:left="86"/>
            </w:pPr>
            <w:r>
              <w:rPr>
                <w:rFonts w:ascii="Arial" w:eastAsia="Calibri" w:hAnsi="Arial" w:cs="Arial"/>
                <w:b/>
                <w:sz w:val="22"/>
                <w:szCs w:val="22"/>
              </w:rPr>
              <w:t>621.419,47 €</w:t>
            </w:r>
          </w:p>
        </w:tc>
        <w:tc>
          <w:tcPr>
            <w:tcW w:w="1393" w:type="dxa"/>
            <w:tcBorders>
              <w:top w:val="single" w:sz="4" w:space="0" w:color="000000"/>
              <w:left w:val="single" w:sz="4" w:space="0" w:color="000000"/>
              <w:bottom w:val="single" w:sz="4" w:space="0" w:color="000000"/>
              <w:right w:val="single" w:sz="4" w:space="0" w:color="000000"/>
            </w:tcBorders>
            <w:shd w:val="clear" w:color="auto" w:fill="auto"/>
            <w:tcMar>
              <w:top w:w="7" w:type="dxa"/>
              <w:left w:w="24" w:type="dxa"/>
              <w:bottom w:w="0" w:type="dxa"/>
              <w:right w:w="30" w:type="dxa"/>
            </w:tcMar>
          </w:tcPr>
          <w:p w:rsidR="009B4233" w:rsidRDefault="006B08B9">
            <w:pPr>
              <w:ind w:left="88"/>
            </w:pPr>
            <w:r>
              <w:rPr>
                <w:rFonts w:ascii="Arial" w:eastAsia="Calibri" w:hAnsi="Arial" w:cs="Arial"/>
                <w:b/>
                <w:sz w:val="22"/>
                <w:szCs w:val="22"/>
              </w:rPr>
              <w:t>621.419,47 €</w:t>
            </w:r>
          </w:p>
        </w:tc>
        <w:tc>
          <w:tcPr>
            <w:tcW w:w="1391" w:type="dxa"/>
            <w:tcBorders>
              <w:top w:val="single" w:sz="4" w:space="0" w:color="000000"/>
              <w:left w:val="single" w:sz="4" w:space="0" w:color="000000"/>
              <w:bottom w:val="single" w:sz="4" w:space="0" w:color="000000"/>
              <w:right w:val="single" w:sz="4" w:space="0" w:color="000000"/>
            </w:tcBorders>
            <w:shd w:val="clear" w:color="auto" w:fill="auto"/>
            <w:tcMar>
              <w:top w:w="7" w:type="dxa"/>
              <w:left w:w="24" w:type="dxa"/>
              <w:bottom w:w="0" w:type="dxa"/>
              <w:right w:w="30" w:type="dxa"/>
            </w:tcMar>
          </w:tcPr>
          <w:p w:rsidR="009B4233" w:rsidRDefault="006B08B9">
            <w:pPr>
              <w:ind w:left="12"/>
              <w:jc w:val="center"/>
            </w:pPr>
            <w:r>
              <w:rPr>
                <w:rFonts w:ascii="Arial" w:eastAsia="Calibri" w:hAnsi="Arial" w:cs="Arial"/>
                <w:b/>
                <w:sz w:val="22"/>
                <w:szCs w:val="22"/>
              </w:rPr>
              <w:t>0,00 €</w:t>
            </w:r>
          </w:p>
        </w:tc>
        <w:tc>
          <w:tcPr>
            <w:tcW w:w="1391" w:type="dxa"/>
            <w:tcBorders>
              <w:top w:val="single" w:sz="4" w:space="0" w:color="000000"/>
              <w:left w:val="single" w:sz="4" w:space="0" w:color="000000"/>
              <w:bottom w:val="single" w:sz="4" w:space="0" w:color="000000"/>
              <w:right w:val="single" w:sz="4" w:space="0" w:color="000000"/>
            </w:tcBorders>
            <w:shd w:val="clear" w:color="auto" w:fill="auto"/>
            <w:tcMar>
              <w:top w:w="7" w:type="dxa"/>
              <w:left w:w="24" w:type="dxa"/>
              <w:bottom w:w="0" w:type="dxa"/>
              <w:right w:w="30" w:type="dxa"/>
            </w:tcMar>
          </w:tcPr>
          <w:p w:rsidR="009B4233" w:rsidRDefault="006B08B9">
            <w:pPr>
              <w:ind w:left="14"/>
              <w:jc w:val="center"/>
            </w:pPr>
            <w:r>
              <w:rPr>
                <w:rFonts w:ascii="Arial" w:eastAsia="Calibri" w:hAnsi="Arial" w:cs="Arial"/>
                <w:b/>
                <w:sz w:val="22"/>
                <w:szCs w:val="22"/>
              </w:rPr>
              <w:t>0,00 €</w:t>
            </w:r>
          </w:p>
        </w:tc>
        <w:tc>
          <w:tcPr>
            <w:tcW w:w="1349" w:type="dxa"/>
            <w:tcBorders>
              <w:top w:val="single" w:sz="4" w:space="0" w:color="000000"/>
              <w:left w:val="single" w:sz="4" w:space="0" w:color="000000"/>
              <w:bottom w:val="single" w:sz="4" w:space="0" w:color="000000"/>
              <w:right w:val="single" w:sz="4" w:space="0" w:color="000000"/>
            </w:tcBorders>
            <w:shd w:val="clear" w:color="auto" w:fill="D9D9D9"/>
            <w:tcMar>
              <w:top w:w="7" w:type="dxa"/>
              <w:left w:w="24" w:type="dxa"/>
              <w:bottom w:w="0" w:type="dxa"/>
              <w:right w:w="30" w:type="dxa"/>
            </w:tcMar>
          </w:tcPr>
          <w:p w:rsidR="009B4233" w:rsidRDefault="006B08B9">
            <w:pPr>
              <w:ind w:left="10"/>
            </w:pPr>
            <w:r>
              <w:rPr>
                <w:rFonts w:ascii="Arial" w:eastAsia="Calibri" w:hAnsi="Arial" w:cs="Arial"/>
                <w:b/>
                <w:sz w:val="22"/>
                <w:szCs w:val="22"/>
              </w:rPr>
              <w:t>1.864.258,41 €</w:t>
            </w:r>
          </w:p>
        </w:tc>
      </w:tr>
      <w:tr w:rsidR="009B4233">
        <w:tblPrEx>
          <w:tblCellMar>
            <w:top w:w="0" w:type="dxa"/>
            <w:bottom w:w="0" w:type="dxa"/>
          </w:tblCellMar>
        </w:tblPrEx>
        <w:trPr>
          <w:trHeight w:val="372"/>
        </w:trPr>
        <w:tc>
          <w:tcPr>
            <w:tcW w:w="1513" w:type="dxa"/>
            <w:tcBorders>
              <w:top w:val="single" w:sz="4" w:space="0" w:color="C0C0C0"/>
              <w:left w:val="single" w:sz="4" w:space="0" w:color="C0C0C0"/>
              <w:bottom w:val="single" w:sz="4" w:space="0" w:color="C0C0C0"/>
              <w:right w:val="single" w:sz="4" w:space="0" w:color="000000"/>
            </w:tcBorders>
            <w:shd w:val="clear" w:color="auto" w:fill="auto"/>
            <w:tcMar>
              <w:top w:w="7" w:type="dxa"/>
              <w:left w:w="24" w:type="dxa"/>
              <w:bottom w:w="0" w:type="dxa"/>
              <w:right w:w="30" w:type="dxa"/>
            </w:tcMar>
          </w:tcPr>
          <w:p w:rsidR="009B4233" w:rsidRDefault="006B08B9">
            <w:r>
              <w:rPr>
                <w:rFonts w:ascii="Arial" w:eastAsia="Calibri" w:hAnsi="Arial" w:cs="Arial"/>
                <w:b/>
                <w:sz w:val="22"/>
                <w:szCs w:val="22"/>
              </w:rPr>
              <w:t>Total</w:t>
            </w:r>
          </w:p>
        </w:tc>
        <w:tc>
          <w:tcPr>
            <w:tcW w:w="1391" w:type="dxa"/>
            <w:tcBorders>
              <w:top w:val="single" w:sz="4" w:space="0" w:color="000000"/>
              <w:left w:val="single" w:sz="4" w:space="0" w:color="000000"/>
              <w:bottom w:val="single" w:sz="4" w:space="0" w:color="000000"/>
              <w:right w:val="single" w:sz="4" w:space="0" w:color="000000"/>
            </w:tcBorders>
            <w:shd w:val="clear" w:color="auto" w:fill="auto"/>
            <w:tcMar>
              <w:top w:w="7" w:type="dxa"/>
              <w:left w:w="24" w:type="dxa"/>
              <w:bottom w:w="0" w:type="dxa"/>
              <w:right w:w="30" w:type="dxa"/>
            </w:tcMar>
          </w:tcPr>
          <w:p w:rsidR="009B4233" w:rsidRDefault="006B08B9">
            <w:pPr>
              <w:ind w:left="52"/>
            </w:pPr>
            <w:r>
              <w:rPr>
                <w:rFonts w:ascii="Arial" w:eastAsia="Calibri" w:hAnsi="Arial" w:cs="Arial"/>
                <w:b/>
                <w:sz w:val="22"/>
                <w:szCs w:val="22"/>
              </w:rPr>
              <w:t>2.369.143,58 €</w:t>
            </w:r>
          </w:p>
        </w:tc>
        <w:tc>
          <w:tcPr>
            <w:tcW w:w="1210" w:type="dxa"/>
            <w:tcBorders>
              <w:top w:val="single" w:sz="4" w:space="0" w:color="000000"/>
              <w:left w:val="single" w:sz="4" w:space="0" w:color="000000"/>
              <w:bottom w:val="single" w:sz="4" w:space="0" w:color="000000"/>
              <w:right w:val="single" w:sz="4" w:space="0" w:color="000000"/>
            </w:tcBorders>
            <w:shd w:val="clear" w:color="auto" w:fill="auto"/>
            <w:tcMar>
              <w:top w:w="7" w:type="dxa"/>
              <w:left w:w="24" w:type="dxa"/>
              <w:bottom w:w="0" w:type="dxa"/>
              <w:right w:w="30" w:type="dxa"/>
            </w:tcMar>
          </w:tcPr>
          <w:p w:rsidR="009B4233" w:rsidRDefault="006B08B9">
            <w:pPr>
              <w:ind w:left="54"/>
            </w:pPr>
            <w:r>
              <w:rPr>
                <w:rFonts w:ascii="Arial" w:eastAsia="Calibri" w:hAnsi="Arial" w:cs="Arial"/>
                <w:b/>
                <w:sz w:val="22"/>
                <w:szCs w:val="22"/>
              </w:rPr>
              <w:t xml:space="preserve">621.419,47 </w:t>
            </w:r>
          </w:p>
          <w:p w:rsidR="009B4233" w:rsidRDefault="006B08B9">
            <w:pPr>
              <w:ind w:left="54"/>
            </w:pPr>
            <w:r>
              <w:rPr>
                <w:rFonts w:ascii="Arial" w:eastAsia="Calibri" w:hAnsi="Arial" w:cs="Arial"/>
                <w:b/>
                <w:sz w:val="22"/>
                <w:szCs w:val="22"/>
              </w:rPr>
              <w:t>€</w:t>
            </w: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7" w:type="dxa"/>
              <w:left w:w="24" w:type="dxa"/>
              <w:bottom w:w="0" w:type="dxa"/>
              <w:right w:w="30" w:type="dxa"/>
            </w:tcMar>
          </w:tcPr>
          <w:p w:rsidR="009B4233" w:rsidRDefault="006B08B9">
            <w:pPr>
              <w:ind w:left="22"/>
              <w:jc w:val="center"/>
            </w:pPr>
            <w:r>
              <w:rPr>
                <w:rFonts w:ascii="Arial" w:eastAsia="Calibri" w:hAnsi="Arial" w:cs="Arial"/>
                <w:b/>
                <w:sz w:val="22"/>
                <w:szCs w:val="22"/>
              </w:rPr>
              <w:t>0,00 €</w:t>
            </w:r>
          </w:p>
        </w:tc>
        <w:tc>
          <w:tcPr>
            <w:tcW w:w="1242" w:type="dxa"/>
            <w:tcBorders>
              <w:top w:val="single" w:sz="4" w:space="0" w:color="000000"/>
              <w:left w:val="single" w:sz="4" w:space="0" w:color="000000"/>
              <w:bottom w:val="single" w:sz="4" w:space="0" w:color="000000"/>
              <w:right w:val="single" w:sz="4" w:space="0" w:color="000000"/>
            </w:tcBorders>
            <w:shd w:val="clear" w:color="auto" w:fill="auto"/>
            <w:tcMar>
              <w:top w:w="7" w:type="dxa"/>
              <w:left w:w="24" w:type="dxa"/>
              <w:bottom w:w="0" w:type="dxa"/>
              <w:right w:w="30" w:type="dxa"/>
            </w:tcMar>
          </w:tcPr>
          <w:p w:rsidR="009B4233" w:rsidRDefault="006B08B9">
            <w:pPr>
              <w:ind w:left="86"/>
            </w:pPr>
            <w:r>
              <w:rPr>
                <w:rFonts w:ascii="Arial" w:eastAsia="Calibri" w:hAnsi="Arial" w:cs="Arial"/>
                <w:b/>
                <w:sz w:val="22"/>
                <w:szCs w:val="22"/>
              </w:rPr>
              <w:t>621.419,47 €</w:t>
            </w:r>
          </w:p>
        </w:tc>
        <w:tc>
          <w:tcPr>
            <w:tcW w:w="1393" w:type="dxa"/>
            <w:tcBorders>
              <w:top w:val="single" w:sz="4" w:space="0" w:color="000000"/>
              <w:left w:val="single" w:sz="4" w:space="0" w:color="000000"/>
              <w:bottom w:val="single" w:sz="4" w:space="0" w:color="000000"/>
              <w:right w:val="single" w:sz="4" w:space="0" w:color="000000"/>
            </w:tcBorders>
            <w:shd w:val="clear" w:color="auto" w:fill="auto"/>
            <w:tcMar>
              <w:top w:w="7" w:type="dxa"/>
              <w:left w:w="24" w:type="dxa"/>
              <w:bottom w:w="0" w:type="dxa"/>
              <w:right w:w="30" w:type="dxa"/>
            </w:tcMar>
          </w:tcPr>
          <w:p w:rsidR="009B4233" w:rsidRDefault="006B08B9">
            <w:pPr>
              <w:ind w:left="54"/>
            </w:pPr>
            <w:r>
              <w:rPr>
                <w:rFonts w:ascii="Arial" w:eastAsia="Calibri" w:hAnsi="Arial" w:cs="Arial"/>
                <w:b/>
                <w:sz w:val="22"/>
                <w:szCs w:val="22"/>
              </w:rPr>
              <w:t>1.198.591,57 €</w:t>
            </w:r>
          </w:p>
        </w:tc>
        <w:tc>
          <w:tcPr>
            <w:tcW w:w="1391" w:type="dxa"/>
            <w:tcBorders>
              <w:top w:val="single" w:sz="4" w:space="0" w:color="000000"/>
              <w:left w:val="single" w:sz="4" w:space="0" w:color="000000"/>
              <w:bottom w:val="single" w:sz="4" w:space="0" w:color="000000"/>
              <w:right w:val="single" w:sz="4" w:space="0" w:color="000000"/>
            </w:tcBorders>
            <w:shd w:val="clear" w:color="auto" w:fill="auto"/>
            <w:tcMar>
              <w:top w:w="7" w:type="dxa"/>
              <w:left w:w="24" w:type="dxa"/>
              <w:bottom w:w="0" w:type="dxa"/>
              <w:right w:w="30" w:type="dxa"/>
            </w:tcMar>
          </w:tcPr>
          <w:p w:rsidR="009B4233" w:rsidRDefault="006B08B9">
            <w:pPr>
              <w:ind w:left="52"/>
            </w:pPr>
            <w:r>
              <w:rPr>
                <w:rFonts w:ascii="Arial" w:eastAsia="Calibri" w:hAnsi="Arial" w:cs="Arial"/>
                <w:b/>
                <w:sz w:val="22"/>
                <w:szCs w:val="22"/>
              </w:rPr>
              <w:t>2.255.353,98 €</w:t>
            </w:r>
          </w:p>
        </w:tc>
        <w:tc>
          <w:tcPr>
            <w:tcW w:w="1391" w:type="dxa"/>
            <w:tcBorders>
              <w:top w:val="single" w:sz="4" w:space="0" w:color="000000"/>
              <w:left w:val="single" w:sz="4" w:space="0" w:color="000000"/>
              <w:bottom w:val="single" w:sz="4" w:space="0" w:color="000000"/>
              <w:right w:val="single" w:sz="4" w:space="0" w:color="000000"/>
            </w:tcBorders>
            <w:shd w:val="clear" w:color="auto" w:fill="auto"/>
            <w:tcMar>
              <w:top w:w="7" w:type="dxa"/>
              <w:left w:w="24" w:type="dxa"/>
              <w:bottom w:w="0" w:type="dxa"/>
              <w:right w:w="30" w:type="dxa"/>
            </w:tcMar>
          </w:tcPr>
          <w:p w:rsidR="009B4233" w:rsidRDefault="006B08B9">
            <w:pPr>
              <w:ind w:left="52"/>
            </w:pPr>
            <w:r>
              <w:rPr>
                <w:rFonts w:ascii="Arial" w:eastAsia="Calibri" w:hAnsi="Arial" w:cs="Arial"/>
                <w:b/>
                <w:sz w:val="22"/>
                <w:szCs w:val="22"/>
              </w:rPr>
              <w:t xml:space="preserve">2.255.363,98 </w:t>
            </w:r>
          </w:p>
          <w:p w:rsidR="009B4233" w:rsidRDefault="006B08B9">
            <w:pPr>
              <w:ind w:left="52"/>
            </w:pPr>
            <w:r>
              <w:rPr>
                <w:rFonts w:ascii="Arial" w:eastAsia="Calibri" w:hAnsi="Arial" w:cs="Arial"/>
                <w:b/>
                <w:sz w:val="22"/>
                <w:szCs w:val="22"/>
              </w:rPr>
              <w:t>€</w:t>
            </w:r>
          </w:p>
        </w:tc>
        <w:tc>
          <w:tcPr>
            <w:tcW w:w="1349" w:type="dxa"/>
            <w:tcBorders>
              <w:top w:val="single" w:sz="4" w:space="0" w:color="000000"/>
              <w:left w:val="single" w:sz="4" w:space="0" w:color="000000"/>
              <w:bottom w:val="single" w:sz="4" w:space="0" w:color="000000"/>
              <w:right w:val="single" w:sz="4" w:space="0" w:color="000000"/>
            </w:tcBorders>
            <w:shd w:val="clear" w:color="auto" w:fill="auto"/>
            <w:tcMar>
              <w:top w:w="7" w:type="dxa"/>
              <w:left w:w="24" w:type="dxa"/>
              <w:bottom w:w="0" w:type="dxa"/>
              <w:right w:w="30" w:type="dxa"/>
            </w:tcMar>
          </w:tcPr>
          <w:p w:rsidR="009B4233" w:rsidRDefault="006B08B9">
            <w:pPr>
              <w:ind w:left="10"/>
            </w:pPr>
            <w:r>
              <w:rPr>
                <w:rFonts w:ascii="Arial" w:eastAsia="Calibri" w:hAnsi="Arial" w:cs="Arial"/>
                <w:b/>
                <w:sz w:val="22"/>
                <w:szCs w:val="22"/>
              </w:rPr>
              <w:t>9.321.292,05 €</w:t>
            </w:r>
          </w:p>
        </w:tc>
      </w:tr>
    </w:tbl>
    <w:p w:rsidR="009B4233" w:rsidRDefault="006B08B9">
      <w:pPr>
        <w:tabs>
          <w:tab w:val="center" w:pos="1344"/>
          <w:tab w:val="center" w:pos="2198"/>
          <w:tab w:val="center" w:pos="2946"/>
          <w:tab w:val="center" w:pos="3738"/>
          <w:tab w:val="center" w:pos="4646"/>
          <w:tab w:val="center" w:pos="5552"/>
          <w:tab w:val="center" w:pos="6458"/>
          <w:tab w:val="center" w:pos="7318"/>
        </w:tabs>
        <w:spacing w:after="30" w:line="218" w:lineRule="auto"/>
      </w:pPr>
      <w:r>
        <w:rPr>
          <w:rFonts w:ascii="Arial" w:hAnsi="Arial" w:cs="Arial"/>
          <w:b/>
          <w:sz w:val="22"/>
          <w:szCs w:val="22"/>
        </w:rPr>
        <w:tab/>
      </w:r>
      <w:r>
        <w:rPr>
          <w:rFonts w:ascii="Arial" w:eastAsia="Calibri" w:hAnsi="Arial" w:cs="Arial"/>
          <w:b/>
          <w:sz w:val="22"/>
          <w:szCs w:val="22"/>
        </w:rPr>
        <w:t>2023</w:t>
      </w:r>
      <w:r>
        <w:rPr>
          <w:rFonts w:ascii="Arial" w:eastAsia="Calibri" w:hAnsi="Arial" w:cs="Arial"/>
          <w:b/>
          <w:sz w:val="22"/>
          <w:szCs w:val="22"/>
        </w:rPr>
        <w:tab/>
        <w:t>2024</w:t>
      </w:r>
      <w:r>
        <w:rPr>
          <w:rFonts w:ascii="Arial" w:eastAsia="Calibri" w:hAnsi="Arial" w:cs="Arial"/>
          <w:b/>
          <w:sz w:val="22"/>
          <w:szCs w:val="22"/>
        </w:rPr>
        <w:tab/>
        <w:t>2025</w:t>
      </w:r>
      <w:r>
        <w:rPr>
          <w:rFonts w:ascii="Arial" w:eastAsia="Calibri" w:hAnsi="Arial" w:cs="Arial"/>
          <w:b/>
          <w:sz w:val="22"/>
          <w:szCs w:val="22"/>
        </w:rPr>
        <w:tab/>
        <w:t>2026</w:t>
      </w:r>
      <w:r>
        <w:rPr>
          <w:rFonts w:ascii="Arial" w:eastAsia="Calibri" w:hAnsi="Arial" w:cs="Arial"/>
          <w:b/>
          <w:sz w:val="22"/>
          <w:szCs w:val="22"/>
        </w:rPr>
        <w:tab/>
        <w:t>2027</w:t>
      </w:r>
      <w:r>
        <w:rPr>
          <w:rFonts w:ascii="Arial" w:eastAsia="Calibri" w:hAnsi="Arial" w:cs="Arial"/>
          <w:b/>
          <w:sz w:val="22"/>
          <w:szCs w:val="22"/>
        </w:rPr>
        <w:tab/>
        <w:t>2028</w:t>
      </w:r>
      <w:r>
        <w:rPr>
          <w:rFonts w:ascii="Arial" w:eastAsia="Calibri" w:hAnsi="Arial" w:cs="Arial"/>
          <w:b/>
          <w:sz w:val="22"/>
          <w:szCs w:val="22"/>
        </w:rPr>
        <w:tab/>
        <w:t>2029</w:t>
      </w:r>
      <w:r>
        <w:rPr>
          <w:rFonts w:ascii="Arial" w:eastAsia="Calibri" w:hAnsi="Arial" w:cs="Arial"/>
          <w:b/>
          <w:sz w:val="22"/>
          <w:szCs w:val="22"/>
        </w:rPr>
        <w:tab/>
        <w:t>Total</w:t>
      </w:r>
    </w:p>
    <w:p w:rsidR="009B4233" w:rsidRDefault="009B4233">
      <w:pPr>
        <w:spacing w:after="30" w:line="218" w:lineRule="auto"/>
        <w:ind w:left="9" w:hanging="8"/>
        <w:jc w:val="both"/>
        <w:rPr>
          <w:rFonts w:ascii="Arial" w:eastAsia="Calibri" w:hAnsi="Arial" w:cs="Arial"/>
          <w:b/>
          <w:sz w:val="22"/>
          <w:szCs w:val="22"/>
        </w:rPr>
      </w:pPr>
    </w:p>
    <w:p w:rsidR="009B4233" w:rsidRDefault="009B4233">
      <w:pPr>
        <w:spacing w:after="30" w:line="218" w:lineRule="auto"/>
        <w:ind w:left="9" w:hanging="8"/>
        <w:jc w:val="both"/>
        <w:rPr>
          <w:rFonts w:ascii="Arial" w:eastAsia="Calibri" w:hAnsi="Arial" w:cs="Arial"/>
          <w:b/>
          <w:sz w:val="22"/>
          <w:szCs w:val="22"/>
        </w:rPr>
      </w:pPr>
    </w:p>
    <w:p w:rsidR="009B4233" w:rsidRDefault="006B08B9">
      <w:pPr>
        <w:spacing w:after="30" w:line="218" w:lineRule="auto"/>
        <w:ind w:left="9" w:hanging="8"/>
        <w:jc w:val="both"/>
        <w:rPr>
          <w:rFonts w:ascii="Arial" w:eastAsia="Calibri" w:hAnsi="Arial" w:cs="Arial"/>
          <w:b/>
          <w:sz w:val="22"/>
          <w:szCs w:val="22"/>
        </w:rPr>
      </w:pPr>
      <w:r>
        <w:rPr>
          <w:rFonts w:ascii="Arial" w:eastAsia="Calibri" w:hAnsi="Arial" w:cs="Arial"/>
          <w:b/>
          <w:sz w:val="22"/>
          <w:szCs w:val="22"/>
        </w:rPr>
        <w:t xml:space="preserve">Segundo: Tomar conocimiento de los plazos de ejecución y justificación de las anualidades, según lo acordado en Consejo de Gobierno Insular de fecha 26 de febrero de 2025 y lo </w:t>
      </w:r>
      <w:r>
        <w:rPr>
          <w:rFonts w:ascii="Arial" w:eastAsia="Calibri" w:hAnsi="Arial" w:cs="Arial"/>
          <w:b/>
          <w:sz w:val="22"/>
          <w:szCs w:val="22"/>
        </w:rPr>
        <w:t>establecido en las normas reguladoras del Plan.</w:t>
      </w:r>
    </w:p>
    <w:p w:rsidR="009B4233" w:rsidRDefault="009B4233">
      <w:pPr>
        <w:spacing w:after="30" w:line="218" w:lineRule="auto"/>
        <w:ind w:left="9" w:hanging="8"/>
        <w:jc w:val="both"/>
        <w:rPr>
          <w:rFonts w:ascii="Arial" w:eastAsia="Calibri" w:hAnsi="Arial" w:cs="Arial"/>
          <w:b/>
          <w:sz w:val="22"/>
          <w:szCs w:val="22"/>
        </w:rPr>
      </w:pPr>
    </w:p>
    <w:p w:rsidR="009B4233" w:rsidRDefault="009B4233">
      <w:pPr>
        <w:spacing w:after="30" w:line="218" w:lineRule="auto"/>
        <w:ind w:left="9" w:hanging="8"/>
        <w:jc w:val="both"/>
        <w:rPr>
          <w:rFonts w:ascii="Arial" w:eastAsia="Calibri" w:hAnsi="Arial" w:cs="Arial"/>
          <w:b/>
          <w:sz w:val="22"/>
          <w:szCs w:val="22"/>
        </w:rPr>
      </w:pPr>
    </w:p>
    <w:p w:rsidR="009B4233" w:rsidRDefault="009B4233">
      <w:pPr>
        <w:spacing w:after="30" w:line="218" w:lineRule="auto"/>
        <w:ind w:left="9" w:hanging="8"/>
        <w:jc w:val="both"/>
        <w:rPr>
          <w:rFonts w:ascii="Arial" w:eastAsia="Calibri"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6B08B9">
      <w:pPr>
        <w:jc w:val="both"/>
        <w:rPr>
          <w:rFonts w:ascii="Arial" w:hAnsi="Arial" w:cs="Arial"/>
          <w:b/>
        </w:rPr>
      </w:pPr>
      <w:r>
        <w:rPr>
          <w:rFonts w:ascii="Arial" w:hAnsi="Arial" w:cs="Arial"/>
          <w:b/>
        </w:rPr>
        <w:t>10.- Expediente 12319/2022. Propuesta de la Alcaldesa-Presidenta al Pleno de 2 de septiembre de 2025 de requerimiento a la entidad como medio propio GESTUR CANARIAS, S.A., para que presente la document</w:t>
      </w:r>
      <w:r>
        <w:rPr>
          <w:rFonts w:ascii="Arial" w:hAnsi="Arial" w:cs="Arial"/>
          <w:b/>
        </w:rPr>
        <w:t>ación del informe técnico de fecha 12 de agosto de 2025 sobre la redacción del proyecto de urbanización y la dirección de las obras de urbanización de Rubén Marichal, en Barranco Hondo.</w:t>
      </w:r>
    </w:p>
    <w:p w:rsidR="009B4233" w:rsidRDefault="009B4233">
      <w:pPr>
        <w:jc w:val="both"/>
        <w:rPr>
          <w:rFonts w:ascii="Arial" w:hAnsi="Arial" w:cs="Arial"/>
          <w:b/>
        </w:rPr>
      </w:pPr>
    </w:p>
    <w:p w:rsidR="009B4233" w:rsidRDefault="006B08B9">
      <w:pPr>
        <w:jc w:val="both"/>
        <w:rPr>
          <w:rFonts w:ascii="Arial" w:hAnsi="Arial" w:cs="Arial"/>
          <w:b/>
          <w:sz w:val="22"/>
          <w:szCs w:val="22"/>
        </w:rPr>
      </w:pPr>
      <w:r>
        <w:rPr>
          <w:rFonts w:ascii="Arial" w:hAnsi="Arial" w:cs="Arial"/>
          <w:b/>
          <w:sz w:val="22"/>
          <w:szCs w:val="22"/>
        </w:rPr>
        <w:t xml:space="preserve">Consta en el expediente Informe Técnico emitido por Don Javier </w:t>
      </w:r>
      <w:r>
        <w:rPr>
          <w:rFonts w:ascii="Arial" w:hAnsi="Arial" w:cs="Arial"/>
          <w:b/>
          <w:sz w:val="22"/>
          <w:szCs w:val="22"/>
        </w:rPr>
        <w:t>González Gómez, que desempeña el puesto de trabajo de Arquitecto Técnico, de 12 de agosto de 2025, del siguiente tenor literal:</w:t>
      </w: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6B08B9">
      <w:pPr>
        <w:pStyle w:val="Ttulo1"/>
        <w:ind w:right="1"/>
        <w:rPr>
          <w:rFonts w:ascii="Arial" w:hAnsi="Arial" w:cs="Arial"/>
          <w:sz w:val="22"/>
          <w:szCs w:val="22"/>
        </w:rPr>
      </w:pPr>
      <w:r>
        <w:rPr>
          <w:rFonts w:ascii="Arial" w:hAnsi="Arial" w:cs="Arial"/>
          <w:sz w:val="22"/>
          <w:szCs w:val="22"/>
        </w:rPr>
        <w:t>“INFORME</w:t>
      </w:r>
    </w:p>
    <w:p w:rsidR="009B4233" w:rsidRDefault="006B08B9">
      <w:pPr>
        <w:spacing w:after="342"/>
        <w:ind w:left="-5"/>
        <w:jc w:val="both"/>
      </w:pPr>
      <w:r>
        <w:rPr>
          <w:rFonts w:ascii="Arial" w:eastAsia="Calibri" w:hAnsi="Arial" w:cs="Arial"/>
          <w:b/>
          <w:sz w:val="22"/>
          <w:szCs w:val="22"/>
        </w:rPr>
        <w:t xml:space="preserve">   Visto el expediente antedicho, Javier González Gómez, arquitecto técnico municipal, emite el siguiente informe:</w:t>
      </w:r>
    </w:p>
    <w:p w:rsidR="009B4233" w:rsidRDefault="006B08B9">
      <w:pPr>
        <w:pStyle w:val="Ttulo1"/>
        <w:ind w:right="2"/>
        <w:rPr>
          <w:rFonts w:ascii="Arial" w:hAnsi="Arial" w:cs="Arial"/>
          <w:sz w:val="22"/>
          <w:szCs w:val="22"/>
        </w:rPr>
      </w:pPr>
      <w:r>
        <w:rPr>
          <w:rFonts w:ascii="Arial" w:hAnsi="Arial" w:cs="Arial"/>
          <w:sz w:val="22"/>
          <w:szCs w:val="22"/>
        </w:rPr>
        <w:t>AN</w:t>
      </w:r>
      <w:r>
        <w:rPr>
          <w:rFonts w:ascii="Arial" w:hAnsi="Arial" w:cs="Arial"/>
          <w:sz w:val="22"/>
          <w:szCs w:val="22"/>
        </w:rPr>
        <w:t>TECEDENTES</w:t>
      </w:r>
    </w:p>
    <w:p w:rsidR="009B4233" w:rsidRDefault="006B08B9">
      <w:pPr>
        <w:ind w:left="-5"/>
        <w:jc w:val="both"/>
      </w:pPr>
      <w:r>
        <w:rPr>
          <w:rFonts w:ascii="Arial" w:hAnsi="Arial" w:cs="Arial"/>
          <w:sz w:val="22"/>
          <w:szCs w:val="22"/>
        </w:rPr>
        <w:t>Consta oficio remitido por el Concejal Delegado de Planificación y Gestión Urbanística y Ambiental; Vivienda y Agenda Urbana, Don Reinaldo José Triviño Blanco solicitud de oferta económica a Gestur Canarias S.A., de fecha 04 de noviembre de 2022</w:t>
      </w:r>
      <w:r>
        <w:rPr>
          <w:rFonts w:ascii="Arial" w:hAnsi="Arial" w:cs="Arial"/>
          <w:sz w:val="22"/>
          <w:szCs w:val="22"/>
        </w:rPr>
        <w:t xml:space="preserve">, para </w:t>
      </w:r>
      <w:r>
        <w:rPr>
          <w:rFonts w:ascii="Arial" w:eastAsia="Calibri" w:hAnsi="Arial" w:cs="Arial"/>
          <w:i/>
          <w:sz w:val="22"/>
          <w:szCs w:val="22"/>
        </w:rPr>
        <w:t>“la reparación, actualización y mejora de las obras de urbanización, cuyo alcance deberá valorarse y estudiar entre otros los siguientes servicios:</w:t>
      </w:r>
    </w:p>
    <w:p w:rsidR="009B4233" w:rsidRDefault="009B4233">
      <w:pPr>
        <w:ind w:left="-5"/>
        <w:jc w:val="both"/>
        <w:rPr>
          <w:rFonts w:ascii="Arial" w:hAnsi="Arial" w:cs="Arial"/>
          <w:sz w:val="22"/>
          <w:szCs w:val="22"/>
        </w:rPr>
      </w:pPr>
    </w:p>
    <w:p w:rsidR="009B4233" w:rsidRDefault="006B08B9">
      <w:pPr>
        <w:widowControl/>
        <w:numPr>
          <w:ilvl w:val="0"/>
          <w:numId w:val="87"/>
        </w:numPr>
        <w:suppressAutoHyphens w:val="0"/>
        <w:spacing w:after="129" w:line="249" w:lineRule="auto"/>
        <w:ind w:hanging="360"/>
        <w:textAlignment w:val="auto"/>
      </w:pPr>
      <w:r>
        <w:rPr>
          <w:rFonts w:ascii="Arial" w:eastAsia="Calibri" w:hAnsi="Arial" w:cs="Arial"/>
          <w:i/>
          <w:sz w:val="22"/>
          <w:szCs w:val="22"/>
        </w:rPr>
        <w:t>Saneamiento</w:t>
      </w:r>
    </w:p>
    <w:p w:rsidR="009B4233" w:rsidRDefault="006B08B9">
      <w:pPr>
        <w:widowControl/>
        <w:numPr>
          <w:ilvl w:val="0"/>
          <w:numId w:val="87"/>
        </w:numPr>
        <w:suppressAutoHyphens w:val="0"/>
        <w:spacing w:after="129" w:line="249" w:lineRule="auto"/>
        <w:ind w:hanging="360"/>
        <w:textAlignment w:val="auto"/>
      </w:pPr>
      <w:r>
        <w:rPr>
          <w:rFonts w:ascii="Arial" w:eastAsia="Calibri" w:hAnsi="Arial" w:cs="Arial"/>
          <w:i/>
          <w:sz w:val="22"/>
          <w:szCs w:val="22"/>
        </w:rPr>
        <w:t>Abastecimiento</w:t>
      </w:r>
    </w:p>
    <w:p w:rsidR="009B4233" w:rsidRDefault="006B08B9">
      <w:pPr>
        <w:widowControl/>
        <w:numPr>
          <w:ilvl w:val="0"/>
          <w:numId w:val="87"/>
        </w:numPr>
        <w:suppressAutoHyphens w:val="0"/>
        <w:spacing w:after="129" w:line="249" w:lineRule="auto"/>
        <w:ind w:hanging="360"/>
        <w:textAlignment w:val="auto"/>
      </w:pPr>
      <w:r>
        <w:rPr>
          <w:rFonts w:ascii="Arial" w:eastAsia="Calibri" w:hAnsi="Arial" w:cs="Arial"/>
          <w:i/>
          <w:sz w:val="22"/>
          <w:szCs w:val="22"/>
        </w:rPr>
        <w:t>Alumbrado público y eficiencia energía</w:t>
      </w:r>
    </w:p>
    <w:p w:rsidR="009B4233" w:rsidRDefault="006B08B9">
      <w:pPr>
        <w:widowControl/>
        <w:numPr>
          <w:ilvl w:val="0"/>
          <w:numId w:val="87"/>
        </w:numPr>
        <w:suppressAutoHyphens w:val="0"/>
        <w:spacing w:after="129" w:line="249" w:lineRule="auto"/>
        <w:ind w:hanging="360"/>
        <w:textAlignment w:val="auto"/>
      </w:pPr>
      <w:r>
        <w:rPr>
          <w:rFonts w:ascii="Arial" w:eastAsia="Calibri" w:hAnsi="Arial" w:cs="Arial"/>
          <w:i/>
          <w:sz w:val="22"/>
          <w:szCs w:val="22"/>
        </w:rPr>
        <w:t>Pluviales</w:t>
      </w:r>
    </w:p>
    <w:p w:rsidR="009B4233" w:rsidRDefault="006B08B9">
      <w:pPr>
        <w:widowControl/>
        <w:numPr>
          <w:ilvl w:val="0"/>
          <w:numId w:val="87"/>
        </w:numPr>
        <w:suppressAutoHyphens w:val="0"/>
        <w:spacing w:after="129" w:line="249" w:lineRule="auto"/>
        <w:ind w:hanging="360"/>
        <w:textAlignment w:val="auto"/>
      </w:pPr>
      <w:r>
        <w:rPr>
          <w:rFonts w:ascii="Arial" w:eastAsia="Calibri" w:hAnsi="Arial" w:cs="Arial"/>
          <w:i/>
          <w:sz w:val="22"/>
          <w:szCs w:val="22"/>
        </w:rPr>
        <w:t xml:space="preserve">Cumplimiento de la </w:t>
      </w:r>
      <w:r>
        <w:rPr>
          <w:rFonts w:ascii="Arial" w:eastAsia="Calibri" w:hAnsi="Arial" w:cs="Arial"/>
          <w:i/>
          <w:sz w:val="22"/>
          <w:szCs w:val="22"/>
        </w:rPr>
        <w:t>normativa de accesibilidad</w:t>
      </w:r>
    </w:p>
    <w:p w:rsidR="009B4233" w:rsidRDefault="006B08B9">
      <w:pPr>
        <w:widowControl/>
        <w:numPr>
          <w:ilvl w:val="0"/>
          <w:numId w:val="87"/>
        </w:numPr>
        <w:suppressAutoHyphens w:val="0"/>
        <w:spacing w:after="129" w:line="249" w:lineRule="auto"/>
        <w:ind w:hanging="360"/>
        <w:textAlignment w:val="auto"/>
      </w:pPr>
      <w:r>
        <w:rPr>
          <w:rFonts w:ascii="Arial" w:eastAsia="Calibri" w:hAnsi="Arial" w:cs="Arial"/>
          <w:i/>
          <w:sz w:val="22"/>
          <w:szCs w:val="22"/>
        </w:rPr>
        <w:t>Riego y jardinería</w:t>
      </w:r>
    </w:p>
    <w:p w:rsidR="009B4233" w:rsidRDefault="006B08B9">
      <w:pPr>
        <w:widowControl/>
        <w:numPr>
          <w:ilvl w:val="0"/>
          <w:numId w:val="87"/>
        </w:numPr>
        <w:suppressAutoHyphens w:val="0"/>
        <w:spacing w:after="129" w:line="249" w:lineRule="auto"/>
        <w:ind w:hanging="360"/>
        <w:textAlignment w:val="auto"/>
      </w:pPr>
      <w:r>
        <w:rPr>
          <w:rFonts w:ascii="Arial" w:eastAsia="Calibri" w:hAnsi="Arial" w:cs="Arial"/>
          <w:i/>
          <w:sz w:val="22"/>
          <w:szCs w:val="22"/>
        </w:rPr>
        <w:t>Descolgamientos de los muros perimetrales de la urbanización</w:t>
      </w:r>
    </w:p>
    <w:p w:rsidR="009B4233" w:rsidRDefault="006B08B9">
      <w:pPr>
        <w:widowControl/>
        <w:numPr>
          <w:ilvl w:val="0"/>
          <w:numId w:val="87"/>
        </w:numPr>
        <w:suppressAutoHyphens w:val="0"/>
        <w:spacing w:after="129" w:line="249" w:lineRule="auto"/>
        <w:ind w:hanging="360"/>
        <w:textAlignment w:val="auto"/>
      </w:pPr>
      <w:r>
        <w:rPr>
          <w:rFonts w:ascii="Arial" w:eastAsia="Calibri" w:hAnsi="Arial" w:cs="Arial"/>
          <w:i/>
          <w:sz w:val="22"/>
          <w:szCs w:val="22"/>
        </w:rPr>
        <w:t>Pavimentos</w:t>
      </w:r>
    </w:p>
    <w:p w:rsidR="009B4233" w:rsidRDefault="006B08B9">
      <w:pPr>
        <w:widowControl/>
        <w:numPr>
          <w:ilvl w:val="0"/>
          <w:numId w:val="87"/>
        </w:numPr>
        <w:suppressAutoHyphens w:val="0"/>
        <w:spacing w:after="129" w:line="249" w:lineRule="auto"/>
        <w:ind w:hanging="360"/>
        <w:textAlignment w:val="auto"/>
      </w:pPr>
      <w:r>
        <w:rPr>
          <w:rFonts w:ascii="Arial" w:eastAsia="Calibri" w:hAnsi="Arial" w:cs="Arial"/>
          <w:i/>
          <w:sz w:val="22"/>
          <w:szCs w:val="22"/>
        </w:rPr>
        <w:t>Telecomunicaciones</w:t>
      </w:r>
    </w:p>
    <w:p w:rsidR="009B4233" w:rsidRDefault="006B08B9">
      <w:pPr>
        <w:widowControl/>
        <w:numPr>
          <w:ilvl w:val="0"/>
          <w:numId w:val="87"/>
        </w:numPr>
        <w:suppressAutoHyphens w:val="0"/>
        <w:spacing w:after="129" w:line="249" w:lineRule="auto"/>
        <w:ind w:hanging="360"/>
        <w:textAlignment w:val="auto"/>
      </w:pPr>
      <w:r>
        <w:rPr>
          <w:rFonts w:ascii="Arial" w:eastAsia="Calibri" w:hAnsi="Arial" w:cs="Arial"/>
          <w:i/>
          <w:sz w:val="22"/>
          <w:szCs w:val="22"/>
        </w:rPr>
        <w:t>…”</w:t>
      </w:r>
    </w:p>
    <w:p w:rsidR="009B4233" w:rsidRDefault="006B08B9">
      <w:pPr>
        <w:ind w:left="-5"/>
        <w:jc w:val="both"/>
        <w:rPr>
          <w:rFonts w:ascii="Arial" w:hAnsi="Arial" w:cs="Arial"/>
          <w:sz w:val="22"/>
          <w:szCs w:val="22"/>
        </w:rPr>
      </w:pPr>
      <w:r>
        <w:rPr>
          <w:rFonts w:ascii="Arial" w:hAnsi="Arial" w:cs="Arial"/>
          <w:sz w:val="22"/>
          <w:szCs w:val="22"/>
        </w:rPr>
        <w:t>Consta propuesta de encomienda de la Alcaldesa-Presidenta del Ayuntamiento de la Villa de Candelaria María Concepció</w:t>
      </w:r>
      <w:r>
        <w:rPr>
          <w:rFonts w:ascii="Arial" w:hAnsi="Arial" w:cs="Arial"/>
          <w:sz w:val="22"/>
          <w:szCs w:val="22"/>
        </w:rPr>
        <w:t>n Brito Núñez de 28 de julio de 2023 a Gestur Canarias S.A.</w:t>
      </w:r>
    </w:p>
    <w:p w:rsidR="009B4233" w:rsidRDefault="009B4233">
      <w:pPr>
        <w:ind w:left="-5"/>
        <w:jc w:val="both"/>
        <w:rPr>
          <w:rFonts w:ascii="Arial" w:hAnsi="Arial" w:cs="Arial"/>
          <w:sz w:val="22"/>
          <w:szCs w:val="22"/>
        </w:rPr>
      </w:pPr>
    </w:p>
    <w:p w:rsidR="009B4233" w:rsidRDefault="006B08B9">
      <w:pPr>
        <w:ind w:left="-5"/>
        <w:jc w:val="both"/>
        <w:rPr>
          <w:rFonts w:ascii="Arial" w:hAnsi="Arial" w:cs="Arial"/>
          <w:sz w:val="22"/>
          <w:szCs w:val="22"/>
        </w:rPr>
      </w:pPr>
      <w:r>
        <w:rPr>
          <w:rFonts w:ascii="Arial" w:hAnsi="Arial" w:cs="Arial"/>
          <w:sz w:val="22"/>
          <w:szCs w:val="22"/>
        </w:rPr>
        <w:t>Consta registro de entrada REGAGE24e00058549190, de fecha 02 de agosto de 2024, como documento anexado del “PROYECTO DE REHABILITACIÓN Y</w:t>
      </w:r>
    </w:p>
    <w:p w:rsidR="009B4233" w:rsidRDefault="006B08B9">
      <w:pPr>
        <w:spacing w:after="120"/>
        <w:ind w:left="-5"/>
        <w:jc w:val="both"/>
        <w:rPr>
          <w:rFonts w:ascii="Arial" w:hAnsi="Arial" w:cs="Arial"/>
          <w:sz w:val="22"/>
          <w:szCs w:val="22"/>
        </w:rPr>
      </w:pPr>
      <w:r>
        <w:rPr>
          <w:rFonts w:ascii="Arial" w:hAnsi="Arial" w:cs="Arial"/>
          <w:sz w:val="22"/>
          <w:szCs w:val="22"/>
        </w:rPr>
        <w:t>MEJORAS DE LA URBANIZACIÓN RUBENS MARICHAL” por parte de G</w:t>
      </w:r>
      <w:r>
        <w:rPr>
          <w:rFonts w:ascii="Arial" w:hAnsi="Arial" w:cs="Arial"/>
          <w:sz w:val="22"/>
          <w:szCs w:val="22"/>
        </w:rPr>
        <w:t>estur Canarias S.A. con NIF A38021762 mediante el Sistema de Interconexión de Registros.</w:t>
      </w:r>
    </w:p>
    <w:p w:rsidR="009B4233" w:rsidRDefault="009B4233">
      <w:pPr>
        <w:spacing w:after="120"/>
        <w:ind w:left="-5"/>
        <w:jc w:val="both"/>
        <w:rPr>
          <w:rFonts w:ascii="Arial" w:hAnsi="Arial" w:cs="Arial"/>
          <w:sz w:val="22"/>
          <w:szCs w:val="22"/>
        </w:rPr>
      </w:pPr>
    </w:p>
    <w:p w:rsidR="009B4233" w:rsidRDefault="006B08B9">
      <w:pPr>
        <w:spacing w:after="120"/>
        <w:ind w:left="-5"/>
        <w:jc w:val="both"/>
        <w:rPr>
          <w:rFonts w:ascii="Arial" w:hAnsi="Arial" w:cs="Arial"/>
          <w:sz w:val="22"/>
          <w:szCs w:val="22"/>
        </w:rPr>
      </w:pPr>
      <w:r>
        <w:rPr>
          <w:rFonts w:ascii="Arial" w:hAnsi="Arial" w:cs="Arial"/>
          <w:sz w:val="22"/>
          <w:szCs w:val="22"/>
        </w:rPr>
        <w:t xml:space="preserve">El 09 de julio de 2025, mediante tarea T/2025/12352, el concejal delegado solicita al técnico que suscribe este informe, la supervisión y aprobación, si procede, del </w:t>
      </w:r>
      <w:r>
        <w:rPr>
          <w:rFonts w:ascii="Arial" w:hAnsi="Arial" w:cs="Arial"/>
          <w:sz w:val="22"/>
          <w:szCs w:val="22"/>
        </w:rPr>
        <w:t>proyecto del asunto.</w:t>
      </w:r>
    </w:p>
    <w:p w:rsidR="009B4233" w:rsidRDefault="009B4233">
      <w:pPr>
        <w:spacing w:after="120"/>
        <w:ind w:left="-5"/>
        <w:jc w:val="both"/>
        <w:rPr>
          <w:rFonts w:ascii="Arial" w:hAnsi="Arial" w:cs="Arial"/>
          <w:sz w:val="22"/>
          <w:szCs w:val="22"/>
        </w:rPr>
      </w:pPr>
    </w:p>
    <w:p w:rsidR="009B4233" w:rsidRDefault="006B08B9">
      <w:pPr>
        <w:spacing w:after="120"/>
        <w:ind w:left="-5"/>
        <w:jc w:val="both"/>
        <w:rPr>
          <w:rFonts w:ascii="Arial" w:hAnsi="Arial" w:cs="Arial"/>
          <w:sz w:val="22"/>
          <w:szCs w:val="22"/>
        </w:rPr>
      </w:pPr>
      <w:r>
        <w:rPr>
          <w:rFonts w:ascii="Arial" w:hAnsi="Arial" w:cs="Arial"/>
          <w:sz w:val="22"/>
          <w:szCs w:val="22"/>
        </w:rPr>
        <w:t>El concejal delegado del encargo dispone del personal Manuel Pais Chávez como colaborador en la valoración del proyecto.</w:t>
      </w:r>
    </w:p>
    <w:p w:rsidR="009B4233" w:rsidRDefault="009B4233">
      <w:pPr>
        <w:spacing w:after="770"/>
        <w:ind w:left="-5"/>
        <w:jc w:val="both"/>
        <w:rPr>
          <w:rFonts w:ascii="Arial" w:hAnsi="Arial" w:cs="Arial"/>
          <w:sz w:val="22"/>
          <w:szCs w:val="22"/>
        </w:rPr>
      </w:pPr>
    </w:p>
    <w:p w:rsidR="009B4233" w:rsidRDefault="006B08B9">
      <w:pPr>
        <w:spacing w:after="770"/>
        <w:ind w:left="-5"/>
        <w:jc w:val="both"/>
        <w:rPr>
          <w:rFonts w:ascii="Arial" w:hAnsi="Arial" w:cs="Arial"/>
          <w:sz w:val="22"/>
          <w:szCs w:val="22"/>
        </w:rPr>
      </w:pPr>
      <w:r>
        <w:rPr>
          <w:rFonts w:ascii="Arial" w:hAnsi="Arial" w:cs="Arial"/>
          <w:sz w:val="22"/>
          <w:szCs w:val="22"/>
        </w:rPr>
        <w:t>Consta expediente 12455/2024 de fecha 11 de noviembre de 2024 “Encomienda a Gesplan redacción de proyecto para s</w:t>
      </w:r>
      <w:r>
        <w:rPr>
          <w:rFonts w:ascii="Arial" w:hAnsi="Arial" w:cs="Arial"/>
          <w:sz w:val="22"/>
          <w:szCs w:val="22"/>
        </w:rPr>
        <w:t>aneamiento y Estación Depuradora de Aguas Residuales (EDAR) de Barranco Hondo”.</w:t>
      </w:r>
    </w:p>
    <w:p w:rsidR="009B4233" w:rsidRDefault="006B08B9">
      <w:pPr>
        <w:spacing w:after="84"/>
        <w:ind w:right="6"/>
        <w:jc w:val="center"/>
      </w:pPr>
      <w:r>
        <w:rPr>
          <w:rFonts w:ascii="Arial" w:eastAsia="Calibri" w:hAnsi="Arial" w:cs="Arial"/>
          <w:b/>
          <w:sz w:val="22"/>
          <w:szCs w:val="22"/>
          <w:u w:val="single" w:color="000000"/>
        </w:rPr>
        <w:t>INFORME TÉCNICO – CONTENIDO DEL PROYECTO</w:t>
      </w:r>
    </w:p>
    <w:p w:rsidR="009B4233" w:rsidRDefault="009B4233">
      <w:pPr>
        <w:spacing w:after="86"/>
        <w:ind w:left="-5"/>
        <w:rPr>
          <w:rFonts w:ascii="Arial" w:eastAsia="Calibri" w:hAnsi="Arial" w:cs="Arial"/>
          <w:b/>
          <w:sz w:val="22"/>
          <w:szCs w:val="22"/>
        </w:rPr>
      </w:pPr>
    </w:p>
    <w:p w:rsidR="009B4233" w:rsidRDefault="006B08B9">
      <w:pPr>
        <w:spacing w:after="86"/>
        <w:ind w:left="-5"/>
      </w:pPr>
      <w:r>
        <w:rPr>
          <w:rFonts w:ascii="Arial" w:eastAsia="Calibri" w:hAnsi="Arial" w:cs="Arial"/>
          <w:b/>
          <w:sz w:val="22"/>
          <w:szCs w:val="22"/>
        </w:rPr>
        <w:t xml:space="preserve">DESCRIPCIÓN DE LAS OBRAS </w:t>
      </w:r>
    </w:p>
    <w:p w:rsidR="009B4233" w:rsidRDefault="006B08B9">
      <w:pPr>
        <w:spacing w:after="240"/>
        <w:ind w:left="-5"/>
        <w:jc w:val="both"/>
        <w:rPr>
          <w:rFonts w:ascii="Arial" w:hAnsi="Arial" w:cs="Arial"/>
          <w:sz w:val="22"/>
          <w:szCs w:val="22"/>
        </w:rPr>
      </w:pPr>
      <w:r>
        <w:rPr>
          <w:rFonts w:ascii="Arial" w:hAnsi="Arial" w:cs="Arial"/>
          <w:sz w:val="22"/>
          <w:szCs w:val="22"/>
        </w:rPr>
        <w:t xml:space="preserve">El proyecto tiene por objeto definir el conjunto de características, normas, condiciones y tipo de </w:t>
      </w:r>
      <w:r>
        <w:rPr>
          <w:rFonts w:ascii="Arial" w:hAnsi="Arial" w:cs="Arial"/>
          <w:sz w:val="22"/>
          <w:szCs w:val="22"/>
        </w:rPr>
        <w:t>materiales que deberán corresponder a las obras que en él se definen, siendo estas las siguientes:</w:t>
      </w:r>
    </w:p>
    <w:p w:rsidR="009B4233" w:rsidRDefault="006B08B9">
      <w:pPr>
        <w:spacing w:after="120"/>
        <w:ind w:left="-5"/>
        <w:jc w:val="both"/>
        <w:rPr>
          <w:rFonts w:ascii="Arial" w:hAnsi="Arial" w:cs="Arial"/>
          <w:b/>
          <w:sz w:val="22"/>
          <w:szCs w:val="22"/>
        </w:rPr>
      </w:pPr>
      <w:r>
        <w:rPr>
          <w:rFonts w:ascii="Arial" w:hAnsi="Arial" w:cs="Arial"/>
          <w:b/>
          <w:sz w:val="22"/>
          <w:szCs w:val="22"/>
        </w:rPr>
        <w:t>DEMOLICIONES Y MOVIMIENTO DE TIERRAS</w:t>
      </w:r>
    </w:p>
    <w:p w:rsidR="009B4233" w:rsidRDefault="006B08B9">
      <w:pPr>
        <w:ind w:left="-5"/>
        <w:jc w:val="both"/>
        <w:rPr>
          <w:rFonts w:ascii="Arial" w:hAnsi="Arial" w:cs="Arial"/>
          <w:sz w:val="22"/>
          <w:szCs w:val="22"/>
        </w:rPr>
      </w:pPr>
      <w:r>
        <w:rPr>
          <w:rFonts w:ascii="Arial" w:hAnsi="Arial" w:cs="Arial"/>
          <w:sz w:val="22"/>
          <w:szCs w:val="22"/>
        </w:rPr>
        <w:t xml:space="preserve">Comprende los trabajos necesarios para efectuar la instalación de las redes de abastecimiento, saneamiento y pluviales, </w:t>
      </w:r>
      <w:r>
        <w:rPr>
          <w:rFonts w:ascii="Arial" w:hAnsi="Arial" w:cs="Arial"/>
          <w:sz w:val="22"/>
          <w:szCs w:val="22"/>
        </w:rPr>
        <w:t>tanto principales como terciarias. Para ello, se contempla el corte y levantado de asfalto para la apertura de zanjas en la calzada, así como la demolición del pavimento de aceras.</w:t>
      </w:r>
    </w:p>
    <w:p w:rsidR="009B4233" w:rsidRDefault="006B08B9">
      <w:pPr>
        <w:ind w:left="-5"/>
        <w:jc w:val="both"/>
        <w:rPr>
          <w:rFonts w:ascii="Arial" w:hAnsi="Arial" w:cs="Arial"/>
          <w:sz w:val="22"/>
          <w:szCs w:val="22"/>
        </w:rPr>
      </w:pPr>
      <w:r>
        <w:rPr>
          <w:rFonts w:ascii="Arial" w:hAnsi="Arial" w:cs="Arial"/>
          <w:sz w:val="22"/>
          <w:szCs w:val="22"/>
        </w:rPr>
        <w:t>También son precisas demoliciones de aceras y pavimentos para la reestructu</w:t>
      </w:r>
      <w:r>
        <w:rPr>
          <w:rFonts w:ascii="Arial" w:hAnsi="Arial" w:cs="Arial"/>
          <w:sz w:val="22"/>
          <w:szCs w:val="22"/>
        </w:rPr>
        <w:t>ración de la sección de dos de las calles de la urbanización, Álvaro Peña Ramos y Adelina Peña Ramos Maestra, con el fin de permitir la circulación de vehículos de manera segura en dos carriles diferenciados, aparcamiento en línea e itinerario peatonal acc</w:t>
      </w:r>
      <w:r>
        <w:rPr>
          <w:rFonts w:ascii="Arial" w:hAnsi="Arial" w:cs="Arial"/>
          <w:sz w:val="22"/>
          <w:szCs w:val="22"/>
        </w:rPr>
        <w:t>esible.</w:t>
      </w:r>
    </w:p>
    <w:p w:rsidR="009B4233" w:rsidRDefault="006B08B9">
      <w:pPr>
        <w:spacing w:after="240"/>
        <w:ind w:left="-5"/>
        <w:jc w:val="both"/>
        <w:rPr>
          <w:rFonts w:ascii="Arial" w:hAnsi="Arial" w:cs="Arial"/>
          <w:sz w:val="22"/>
          <w:szCs w:val="22"/>
        </w:rPr>
      </w:pPr>
      <w:r>
        <w:rPr>
          <w:rFonts w:ascii="Arial" w:hAnsi="Arial" w:cs="Arial"/>
          <w:sz w:val="22"/>
          <w:szCs w:val="22"/>
        </w:rPr>
        <w:t>Por otro lado, se incluyen en este capítulo también todas aquellas labores que sean requeridas para la ejecución de los muros de contención proyectados. Para ello, se contempla la demolición total de algunos tramos de calle y/o peatonales, con el d</w:t>
      </w:r>
      <w:r>
        <w:rPr>
          <w:rFonts w:ascii="Arial" w:hAnsi="Arial" w:cs="Arial"/>
          <w:sz w:val="22"/>
          <w:szCs w:val="22"/>
        </w:rPr>
        <w:t>esmonte necesario para la ejecución de las estructuras de contención, así como su posterior relleno con material.</w:t>
      </w:r>
    </w:p>
    <w:p w:rsidR="009B4233" w:rsidRDefault="006B08B9">
      <w:pPr>
        <w:spacing w:after="120"/>
        <w:ind w:left="-5"/>
        <w:rPr>
          <w:rFonts w:ascii="Arial" w:hAnsi="Arial" w:cs="Arial"/>
          <w:sz w:val="22"/>
          <w:szCs w:val="22"/>
        </w:rPr>
      </w:pPr>
      <w:r>
        <w:rPr>
          <w:rFonts w:ascii="Arial" w:hAnsi="Arial" w:cs="Arial"/>
          <w:sz w:val="22"/>
          <w:szCs w:val="22"/>
        </w:rPr>
        <w:t>MUROS</w:t>
      </w:r>
    </w:p>
    <w:p w:rsidR="009B4233" w:rsidRDefault="006B08B9">
      <w:pPr>
        <w:ind w:left="-5"/>
        <w:jc w:val="both"/>
        <w:rPr>
          <w:rFonts w:ascii="Arial" w:hAnsi="Arial" w:cs="Arial"/>
          <w:sz w:val="22"/>
          <w:szCs w:val="22"/>
        </w:rPr>
      </w:pPr>
      <w:r>
        <w:rPr>
          <w:rFonts w:ascii="Arial" w:hAnsi="Arial" w:cs="Arial"/>
          <w:sz w:val="22"/>
          <w:szCs w:val="22"/>
        </w:rPr>
        <w:t>Se proyecta la ejecución de muros de hormigón en masa, como restitución de los existentes, para la contención de las escalinatas peatona</w:t>
      </w:r>
      <w:r>
        <w:rPr>
          <w:rFonts w:ascii="Arial" w:hAnsi="Arial" w:cs="Arial"/>
          <w:sz w:val="22"/>
          <w:szCs w:val="22"/>
        </w:rPr>
        <w:t>les que bordean el perímetro del ámbito. También se ejecutarán nuevos muros para la contención del fondo de saco de la Calle Álvaro Peña Ramos y de la explanación de la estación depuradora.</w:t>
      </w:r>
    </w:p>
    <w:p w:rsidR="009B4233" w:rsidRDefault="006B08B9">
      <w:pPr>
        <w:ind w:left="-5"/>
        <w:jc w:val="both"/>
        <w:rPr>
          <w:rFonts w:ascii="Arial" w:hAnsi="Arial" w:cs="Arial"/>
          <w:sz w:val="22"/>
          <w:szCs w:val="22"/>
        </w:rPr>
      </w:pPr>
      <w:r>
        <w:rPr>
          <w:rFonts w:ascii="Arial" w:hAnsi="Arial" w:cs="Arial"/>
          <w:sz w:val="22"/>
          <w:szCs w:val="22"/>
        </w:rPr>
        <w:t xml:space="preserve">Los muros de contención proyectados cuentan con trasdós inclinado </w:t>
      </w:r>
      <w:r>
        <w:rPr>
          <w:rFonts w:ascii="Arial" w:hAnsi="Arial" w:cs="Arial"/>
          <w:sz w:val="22"/>
          <w:szCs w:val="22"/>
        </w:rPr>
        <w:t>en relación 1:3 e intradós vertical con cara vista de piedra, para minimizar el impacto paisajístico y mimetizarlos con el entorno próximo. La definición de los muros queda definida en los planos de secciones y detalles.</w:t>
      </w:r>
    </w:p>
    <w:p w:rsidR="009B4233" w:rsidRDefault="009B4233">
      <w:pPr>
        <w:ind w:left="-5"/>
        <w:jc w:val="both"/>
        <w:rPr>
          <w:rFonts w:ascii="Arial" w:hAnsi="Arial" w:cs="Arial"/>
          <w:sz w:val="22"/>
          <w:szCs w:val="22"/>
        </w:rPr>
      </w:pPr>
    </w:p>
    <w:p w:rsidR="009B4233" w:rsidRDefault="006B08B9">
      <w:pPr>
        <w:spacing w:after="240"/>
        <w:ind w:left="-5"/>
        <w:jc w:val="both"/>
        <w:rPr>
          <w:rFonts w:ascii="Arial" w:hAnsi="Arial" w:cs="Arial"/>
          <w:sz w:val="22"/>
          <w:szCs w:val="22"/>
        </w:rPr>
      </w:pPr>
      <w:r>
        <w:rPr>
          <w:rFonts w:ascii="Arial" w:hAnsi="Arial" w:cs="Arial"/>
          <w:sz w:val="22"/>
          <w:szCs w:val="22"/>
        </w:rPr>
        <w:t>Las características de los muros a</w:t>
      </w:r>
      <w:r>
        <w:rPr>
          <w:rFonts w:ascii="Arial" w:hAnsi="Arial" w:cs="Arial"/>
          <w:sz w:val="22"/>
          <w:szCs w:val="22"/>
        </w:rPr>
        <w:t xml:space="preserve"> ejecutar, así como los cálculos estructurales de los mismos quedan definidos en el Anejo nº 7 de Justificación de la estabilidad de muros. Por otro lado, en los planos correspondientes se recogen todos los detalles necesarios para la correcta definición d</w:t>
      </w:r>
      <w:r>
        <w:rPr>
          <w:rFonts w:ascii="Arial" w:hAnsi="Arial" w:cs="Arial"/>
          <w:sz w:val="22"/>
          <w:szCs w:val="22"/>
        </w:rPr>
        <w:t>e estas estructuras.</w:t>
      </w:r>
    </w:p>
    <w:p w:rsidR="009B4233" w:rsidRDefault="006B08B9">
      <w:pPr>
        <w:spacing w:after="120"/>
        <w:ind w:left="-5"/>
        <w:rPr>
          <w:rFonts w:ascii="Arial" w:hAnsi="Arial" w:cs="Arial"/>
          <w:sz w:val="22"/>
          <w:szCs w:val="22"/>
        </w:rPr>
      </w:pPr>
      <w:r>
        <w:rPr>
          <w:rFonts w:ascii="Arial" w:hAnsi="Arial" w:cs="Arial"/>
          <w:sz w:val="22"/>
          <w:szCs w:val="22"/>
        </w:rPr>
        <w:t>RED DE ABASTECIMIENTO</w:t>
      </w:r>
    </w:p>
    <w:p w:rsidR="009B4233" w:rsidRDefault="006B08B9">
      <w:pPr>
        <w:ind w:left="-5"/>
        <w:jc w:val="both"/>
        <w:rPr>
          <w:rFonts w:ascii="Arial" w:hAnsi="Arial" w:cs="Arial"/>
          <w:sz w:val="22"/>
          <w:szCs w:val="22"/>
        </w:rPr>
      </w:pPr>
      <w:r>
        <w:rPr>
          <w:rFonts w:ascii="Arial" w:hAnsi="Arial" w:cs="Arial"/>
          <w:sz w:val="22"/>
          <w:szCs w:val="22"/>
        </w:rPr>
        <w:t>Se proyecta la sustitución de la red terciaria, que discurre bajo acera, diseñada en polietileno (PE) de diámetro 63 mm, a las que se acoplan las acometidas a cada una de las parcelas en diámetro 32 mm mediante ar</w:t>
      </w:r>
      <w:r>
        <w:rPr>
          <w:rFonts w:ascii="Arial" w:hAnsi="Arial" w:cs="Arial"/>
          <w:sz w:val="22"/>
          <w:szCs w:val="22"/>
        </w:rPr>
        <w:t>queta y válvula.</w:t>
      </w:r>
    </w:p>
    <w:p w:rsidR="009B4233" w:rsidRDefault="006B08B9">
      <w:pPr>
        <w:spacing w:after="240"/>
        <w:ind w:left="-5"/>
        <w:jc w:val="both"/>
        <w:rPr>
          <w:rFonts w:ascii="Arial" w:hAnsi="Arial" w:cs="Arial"/>
          <w:sz w:val="22"/>
          <w:szCs w:val="22"/>
        </w:rPr>
      </w:pPr>
      <w:r>
        <w:rPr>
          <w:rFonts w:ascii="Arial" w:hAnsi="Arial" w:cs="Arial"/>
          <w:sz w:val="22"/>
          <w:szCs w:val="22"/>
        </w:rPr>
        <w:t>Por otro lado, en cuanto a la seguridad frente a incendios, se proyecta la sustitución de los hidrantes existentes por hidrantes enterrados.</w:t>
      </w:r>
    </w:p>
    <w:p w:rsidR="009B4233" w:rsidRDefault="006B08B9">
      <w:pPr>
        <w:spacing w:after="120"/>
        <w:ind w:left="-5"/>
        <w:rPr>
          <w:rFonts w:ascii="Arial" w:hAnsi="Arial" w:cs="Arial"/>
          <w:sz w:val="22"/>
          <w:szCs w:val="22"/>
        </w:rPr>
      </w:pPr>
      <w:r>
        <w:rPr>
          <w:rFonts w:ascii="Arial" w:hAnsi="Arial" w:cs="Arial"/>
          <w:sz w:val="22"/>
          <w:szCs w:val="22"/>
        </w:rPr>
        <w:t>ESTACIÓN DEPURADORA DE AGUAS RESIDUALES</w:t>
      </w:r>
    </w:p>
    <w:p w:rsidR="009B4233" w:rsidRDefault="006B08B9">
      <w:pPr>
        <w:ind w:left="-5"/>
        <w:jc w:val="both"/>
        <w:rPr>
          <w:rFonts w:ascii="Arial" w:hAnsi="Arial" w:cs="Arial"/>
          <w:sz w:val="22"/>
          <w:szCs w:val="22"/>
        </w:rPr>
      </w:pPr>
      <w:r>
        <w:rPr>
          <w:rFonts w:ascii="Arial" w:hAnsi="Arial" w:cs="Arial"/>
          <w:sz w:val="22"/>
          <w:szCs w:val="22"/>
        </w:rPr>
        <w:t>Se proyecta una estación depuradora de aguas residuales ur</w:t>
      </w:r>
      <w:r>
        <w:rPr>
          <w:rFonts w:ascii="Arial" w:hAnsi="Arial" w:cs="Arial"/>
          <w:sz w:val="22"/>
          <w:szCs w:val="22"/>
        </w:rPr>
        <w:t>banas (EDAR) mediante sistema MBBR (lecho móvil) con sistema de eliminación de nitrógeno. Se proyecta una estación prefabricada, consistente en tanques cilíndricos construidos en P.R.F.V. El Tratamiento Biológico estará dimensionado para el caudal diario d</w:t>
      </w:r>
      <w:r>
        <w:rPr>
          <w:rFonts w:ascii="Arial" w:hAnsi="Arial" w:cs="Arial"/>
          <w:sz w:val="22"/>
          <w:szCs w:val="22"/>
        </w:rPr>
        <w:t>e tratamiento considerando un factor horario punta. En caso de red unitaria, será necesaria la disposición de un aliviadero a la entrada de la planta para evacuar el posible exceso de caudal, teniendo en cuenta que, al menos durante un tiempo, la mayor par</w:t>
      </w:r>
      <w:r>
        <w:rPr>
          <w:rFonts w:ascii="Arial" w:hAnsi="Arial" w:cs="Arial"/>
          <w:sz w:val="22"/>
          <w:szCs w:val="22"/>
        </w:rPr>
        <w:t>te de las parcelas seguirán vertiendo las aguas pluviales a la red de saneamiento.</w:t>
      </w:r>
    </w:p>
    <w:p w:rsidR="009B4233" w:rsidRDefault="006B08B9">
      <w:pPr>
        <w:widowControl/>
        <w:numPr>
          <w:ilvl w:val="0"/>
          <w:numId w:val="88"/>
        </w:numPr>
        <w:suppressAutoHyphens w:val="0"/>
        <w:spacing w:after="3" w:line="249" w:lineRule="auto"/>
        <w:ind w:hanging="138"/>
        <w:jc w:val="both"/>
        <w:textAlignment w:val="auto"/>
        <w:rPr>
          <w:rFonts w:ascii="Arial" w:hAnsi="Arial" w:cs="Arial"/>
          <w:sz w:val="22"/>
          <w:szCs w:val="22"/>
        </w:rPr>
      </w:pPr>
      <w:r>
        <w:rPr>
          <w:rFonts w:ascii="Arial" w:hAnsi="Arial" w:cs="Arial"/>
          <w:sz w:val="22"/>
          <w:szCs w:val="22"/>
        </w:rPr>
        <w:t>Alimentación considerada: 400 V III, 50 Hz.</w:t>
      </w:r>
    </w:p>
    <w:p w:rsidR="009B4233" w:rsidRDefault="006B08B9">
      <w:pPr>
        <w:widowControl/>
        <w:numPr>
          <w:ilvl w:val="0"/>
          <w:numId w:val="88"/>
        </w:numPr>
        <w:suppressAutoHyphens w:val="0"/>
        <w:spacing w:after="3" w:line="249" w:lineRule="auto"/>
        <w:ind w:hanging="138"/>
        <w:jc w:val="both"/>
        <w:textAlignment w:val="auto"/>
        <w:rPr>
          <w:rFonts w:ascii="Arial" w:hAnsi="Arial" w:cs="Arial"/>
          <w:sz w:val="22"/>
          <w:szCs w:val="22"/>
        </w:rPr>
      </w:pPr>
      <w:r>
        <w:rPr>
          <w:rFonts w:ascii="Arial" w:hAnsi="Arial" w:cs="Arial"/>
          <w:sz w:val="22"/>
          <w:szCs w:val="22"/>
        </w:rPr>
        <w:t>Caudal de diseño:</w:t>
      </w:r>
    </w:p>
    <w:p w:rsidR="009B4233" w:rsidRDefault="006B08B9">
      <w:pPr>
        <w:spacing w:after="30" w:line="218" w:lineRule="auto"/>
        <w:ind w:left="-5" w:right="1696"/>
        <w:jc w:val="both"/>
        <w:rPr>
          <w:rFonts w:ascii="Arial" w:hAnsi="Arial" w:cs="Arial"/>
          <w:sz w:val="22"/>
          <w:szCs w:val="22"/>
        </w:rPr>
      </w:pPr>
      <w:r>
        <w:rPr>
          <w:rFonts w:ascii="Arial" w:hAnsi="Arial" w:cs="Arial"/>
          <w:sz w:val="22"/>
          <w:szCs w:val="22"/>
        </w:rPr>
        <w:t>o Caudal diario: 538,00 m3/día. o Caudal medio horario (24 h): 22,42 m3/h. o Caudal punta (coeficiente de punta</w:t>
      </w:r>
      <w:r>
        <w:rPr>
          <w:rFonts w:ascii="Arial" w:hAnsi="Arial" w:cs="Arial"/>
          <w:sz w:val="22"/>
          <w:szCs w:val="22"/>
        </w:rPr>
        <w:t xml:space="preserve"> = 2): 44,84 m3/h ≈ 45,00 m3/h.</w:t>
      </w:r>
    </w:p>
    <w:p w:rsidR="009B4233" w:rsidRDefault="006B08B9">
      <w:pPr>
        <w:spacing w:after="240"/>
        <w:ind w:left="-5"/>
        <w:jc w:val="both"/>
        <w:rPr>
          <w:rFonts w:ascii="Arial" w:hAnsi="Arial" w:cs="Arial"/>
          <w:sz w:val="22"/>
          <w:szCs w:val="22"/>
        </w:rPr>
      </w:pPr>
      <w:r>
        <w:rPr>
          <w:rFonts w:ascii="Arial" w:hAnsi="Arial" w:cs="Arial"/>
          <w:sz w:val="22"/>
          <w:szCs w:val="22"/>
        </w:rPr>
        <w:t xml:space="preserve">Las características de la red de saneamiento y todos sus elementos y de la estación depuradora, así como los cálculos hidráulicos de la misma, quedan definidos en el Anejo nº 6 de Justificación de depuración. Por otro lado, </w:t>
      </w:r>
      <w:r>
        <w:rPr>
          <w:rFonts w:ascii="Arial" w:hAnsi="Arial" w:cs="Arial"/>
          <w:sz w:val="22"/>
          <w:szCs w:val="22"/>
        </w:rPr>
        <w:t>en los planos correspondientes se recogen todos los detalles necesarios para la definición de todos los elementos.</w:t>
      </w:r>
    </w:p>
    <w:p w:rsidR="009B4233" w:rsidRDefault="006B08B9">
      <w:pPr>
        <w:spacing w:after="120"/>
        <w:ind w:left="-5"/>
        <w:rPr>
          <w:rFonts w:ascii="Arial" w:hAnsi="Arial" w:cs="Arial"/>
          <w:sz w:val="22"/>
          <w:szCs w:val="22"/>
        </w:rPr>
      </w:pPr>
      <w:r>
        <w:rPr>
          <w:rFonts w:ascii="Arial" w:hAnsi="Arial" w:cs="Arial"/>
          <w:sz w:val="22"/>
          <w:szCs w:val="22"/>
        </w:rPr>
        <w:t>RED DE PLUVIALES</w:t>
      </w:r>
    </w:p>
    <w:p w:rsidR="009B4233" w:rsidRDefault="006B08B9">
      <w:pPr>
        <w:ind w:left="-5"/>
        <w:jc w:val="both"/>
        <w:rPr>
          <w:rFonts w:ascii="Arial" w:hAnsi="Arial" w:cs="Arial"/>
          <w:sz w:val="22"/>
          <w:szCs w:val="22"/>
        </w:rPr>
      </w:pPr>
      <w:r>
        <w:rPr>
          <w:rFonts w:ascii="Arial" w:hAnsi="Arial" w:cs="Arial"/>
          <w:sz w:val="22"/>
          <w:szCs w:val="22"/>
        </w:rPr>
        <w:t xml:space="preserve">La red de pluviales existente en la actualidad recoge únicamente la escorrentía que se genera en los espacios públicos, </w:t>
      </w:r>
      <w:r>
        <w:rPr>
          <w:rFonts w:ascii="Arial" w:hAnsi="Arial" w:cs="Arial"/>
          <w:sz w:val="22"/>
          <w:szCs w:val="22"/>
        </w:rPr>
        <w:t>viario y aceras.</w:t>
      </w:r>
    </w:p>
    <w:p w:rsidR="009B4233" w:rsidRDefault="009B4233">
      <w:pPr>
        <w:ind w:left="-5"/>
        <w:jc w:val="both"/>
        <w:rPr>
          <w:rFonts w:ascii="Arial" w:hAnsi="Arial" w:cs="Arial"/>
          <w:sz w:val="22"/>
          <w:szCs w:val="22"/>
        </w:rPr>
      </w:pPr>
    </w:p>
    <w:p w:rsidR="009B4233" w:rsidRDefault="006B08B9">
      <w:pPr>
        <w:ind w:left="-5"/>
        <w:jc w:val="both"/>
        <w:rPr>
          <w:rFonts w:ascii="Arial" w:hAnsi="Arial" w:cs="Arial"/>
          <w:sz w:val="22"/>
          <w:szCs w:val="22"/>
        </w:rPr>
      </w:pPr>
      <w:r>
        <w:rPr>
          <w:rFonts w:ascii="Arial" w:hAnsi="Arial" w:cs="Arial"/>
          <w:sz w:val="22"/>
          <w:szCs w:val="22"/>
        </w:rPr>
        <w:t>Se proyecta ahora el acople de las viviendas a la red existente de recogida de aguas pluviales, para lo cual se ha comprobado que dicha red, con los diámetros actuales, es capaz de asumir ese nuevo aporte de caudal, además del de viario y</w:t>
      </w:r>
      <w:r>
        <w:rPr>
          <w:rFonts w:ascii="Arial" w:hAnsi="Arial" w:cs="Arial"/>
          <w:sz w:val="22"/>
          <w:szCs w:val="22"/>
        </w:rPr>
        <w:t xml:space="preserve"> aceras que ya recogía. Para los cálculos, tanto de parcelas, como de espacios públicos, se ha considerado un periodo de retorno de 10 años.</w:t>
      </w:r>
    </w:p>
    <w:p w:rsidR="009B4233" w:rsidRDefault="009B4233">
      <w:pPr>
        <w:ind w:left="-5"/>
        <w:jc w:val="both"/>
        <w:rPr>
          <w:rFonts w:ascii="Arial" w:hAnsi="Arial" w:cs="Arial"/>
          <w:sz w:val="22"/>
          <w:szCs w:val="22"/>
        </w:rPr>
      </w:pPr>
    </w:p>
    <w:p w:rsidR="009B4233" w:rsidRDefault="006B08B9">
      <w:pPr>
        <w:ind w:left="-5"/>
        <w:jc w:val="both"/>
        <w:rPr>
          <w:rFonts w:ascii="Arial" w:hAnsi="Arial" w:cs="Arial"/>
          <w:sz w:val="22"/>
          <w:szCs w:val="22"/>
        </w:rPr>
      </w:pPr>
      <w:r>
        <w:rPr>
          <w:rFonts w:ascii="Arial" w:hAnsi="Arial" w:cs="Arial"/>
          <w:sz w:val="22"/>
          <w:szCs w:val="22"/>
        </w:rPr>
        <w:t xml:space="preserve">Debido a las modificaciones realizadas en las calzadas, elevando los pasos de peatones a la altura de las aceras, </w:t>
      </w:r>
      <w:r>
        <w:rPr>
          <w:rFonts w:ascii="Arial" w:hAnsi="Arial" w:cs="Arial"/>
          <w:sz w:val="22"/>
          <w:szCs w:val="22"/>
        </w:rPr>
        <w:t>y teniendo en cuenta las rasantes de las vías, se hace necesaria la reubicación de algunos tragaderos existentes, teniendo en cuenta que dichos pasos de peatones van a suponer una barrera a la escorrentía.</w:t>
      </w:r>
    </w:p>
    <w:p w:rsidR="009B4233" w:rsidRDefault="006B08B9">
      <w:pPr>
        <w:spacing w:after="240"/>
        <w:ind w:left="-5"/>
        <w:jc w:val="both"/>
        <w:rPr>
          <w:rFonts w:ascii="Arial" w:hAnsi="Arial" w:cs="Arial"/>
          <w:sz w:val="22"/>
          <w:szCs w:val="22"/>
        </w:rPr>
      </w:pPr>
      <w:r>
        <w:rPr>
          <w:rFonts w:ascii="Arial" w:hAnsi="Arial" w:cs="Arial"/>
          <w:sz w:val="22"/>
          <w:szCs w:val="22"/>
        </w:rPr>
        <w:t>Las características de la red de pluviales existen</w:t>
      </w:r>
      <w:r>
        <w:rPr>
          <w:rFonts w:ascii="Arial" w:hAnsi="Arial" w:cs="Arial"/>
          <w:sz w:val="22"/>
          <w:szCs w:val="22"/>
        </w:rPr>
        <w:t>te y todos sus elementos, así como las comprobaciones hidráulicas llevadas a cabo, quedan definidos en el Anejo nº 5 de Justificación de la red de pluviales. Por otro lado, en los planos correspondientes se recogen los detalles necesarios para la definició</w:t>
      </w:r>
      <w:r>
        <w:rPr>
          <w:rFonts w:ascii="Arial" w:hAnsi="Arial" w:cs="Arial"/>
          <w:sz w:val="22"/>
          <w:szCs w:val="22"/>
        </w:rPr>
        <w:t>n de todos los elementos.</w:t>
      </w:r>
    </w:p>
    <w:p w:rsidR="009B4233" w:rsidRDefault="006B08B9">
      <w:pPr>
        <w:spacing w:after="120"/>
        <w:ind w:left="-5"/>
        <w:rPr>
          <w:rFonts w:ascii="Arial" w:hAnsi="Arial" w:cs="Arial"/>
          <w:sz w:val="22"/>
          <w:szCs w:val="22"/>
        </w:rPr>
      </w:pPr>
      <w:r>
        <w:rPr>
          <w:rFonts w:ascii="Arial" w:hAnsi="Arial" w:cs="Arial"/>
          <w:sz w:val="22"/>
          <w:szCs w:val="22"/>
        </w:rPr>
        <w:t>FIRME Y PAVIMENTOS</w:t>
      </w:r>
    </w:p>
    <w:p w:rsidR="009B4233" w:rsidRDefault="006B08B9">
      <w:pPr>
        <w:ind w:left="-5"/>
        <w:jc w:val="both"/>
        <w:rPr>
          <w:rFonts w:ascii="Arial" w:hAnsi="Arial" w:cs="Arial"/>
          <w:sz w:val="22"/>
          <w:szCs w:val="22"/>
        </w:rPr>
      </w:pPr>
      <w:r>
        <w:rPr>
          <w:rFonts w:ascii="Arial" w:hAnsi="Arial" w:cs="Arial"/>
          <w:sz w:val="22"/>
          <w:szCs w:val="22"/>
        </w:rPr>
        <w:t>Dado el estado actual de la capa más superficial del firme, se procederá al fresado del mismo en todo el ámbito y a la ejecución de una nueva capa de rodadura.</w:t>
      </w:r>
    </w:p>
    <w:p w:rsidR="009B4233" w:rsidRDefault="006B08B9">
      <w:pPr>
        <w:ind w:left="-5"/>
        <w:jc w:val="both"/>
        <w:rPr>
          <w:rFonts w:ascii="Arial" w:hAnsi="Arial" w:cs="Arial"/>
          <w:sz w:val="22"/>
          <w:szCs w:val="22"/>
        </w:rPr>
      </w:pPr>
      <w:r>
        <w:rPr>
          <w:rFonts w:ascii="Arial" w:hAnsi="Arial" w:cs="Arial"/>
          <w:sz w:val="22"/>
          <w:szCs w:val="22"/>
        </w:rPr>
        <w:t>En aquellas zonas donde sea necesario la completa r</w:t>
      </w:r>
      <w:r>
        <w:rPr>
          <w:rFonts w:ascii="Arial" w:hAnsi="Arial" w:cs="Arial"/>
          <w:sz w:val="22"/>
          <w:szCs w:val="22"/>
        </w:rPr>
        <w:t xml:space="preserve">estitución del firme por su demolición, se establece que la sección de firme a reponer es la 4221 definida en la Instrucción de Carreteras 6.1. Esta se compone de 25 cm de zahorra artificial y 10 cm de mezcla bituminosa, con 5 cm de capa base AC 22 base G </w:t>
      </w:r>
      <w:r>
        <w:rPr>
          <w:rFonts w:ascii="Arial" w:hAnsi="Arial" w:cs="Arial"/>
          <w:sz w:val="22"/>
          <w:szCs w:val="22"/>
        </w:rPr>
        <w:t>y 5 cm de capa de rodadura AC 16 surf D.</w:t>
      </w:r>
    </w:p>
    <w:p w:rsidR="009B4233" w:rsidRDefault="006B08B9">
      <w:pPr>
        <w:ind w:left="-5"/>
        <w:jc w:val="both"/>
        <w:rPr>
          <w:rFonts w:ascii="Arial" w:hAnsi="Arial" w:cs="Arial"/>
          <w:sz w:val="22"/>
          <w:szCs w:val="22"/>
        </w:rPr>
      </w:pPr>
      <w:r>
        <w:rPr>
          <w:rFonts w:ascii="Arial" w:hAnsi="Arial" w:cs="Arial"/>
          <w:sz w:val="22"/>
          <w:szCs w:val="22"/>
        </w:rPr>
        <w:t>Para el pavimento de las aceras se fresará la superficie existente de hormigón, y se empleará el sistema Paviland Plus, que permite la ejecución de pavimentos de muy poco espesor. Donde sea necesaria la demolición c</w:t>
      </w:r>
      <w:r>
        <w:rPr>
          <w:rFonts w:ascii="Arial" w:hAnsi="Arial" w:cs="Arial"/>
          <w:sz w:val="22"/>
          <w:szCs w:val="22"/>
        </w:rPr>
        <w:t>ompleta de la acera, la sección tipo consistirá en una solera de hormigón en masa HM-20/P/16/X0 de 15 cm de espesor.</w:t>
      </w:r>
    </w:p>
    <w:p w:rsidR="009B4233" w:rsidRDefault="006B08B9">
      <w:pPr>
        <w:ind w:left="-5"/>
        <w:jc w:val="both"/>
        <w:rPr>
          <w:rFonts w:ascii="Arial" w:hAnsi="Arial" w:cs="Arial"/>
          <w:sz w:val="22"/>
          <w:szCs w:val="22"/>
        </w:rPr>
      </w:pPr>
      <w:r>
        <w:rPr>
          <w:rFonts w:ascii="Arial" w:hAnsi="Arial" w:cs="Arial"/>
          <w:sz w:val="22"/>
          <w:szCs w:val="22"/>
        </w:rPr>
        <w:t>En los dos tramos del peatonal del Barranco de los Santos Frailes que se van a reponer, se proyecta la misma sección de acera, con peldaños</w:t>
      </w:r>
      <w:r>
        <w:rPr>
          <w:rFonts w:ascii="Arial" w:hAnsi="Arial" w:cs="Arial"/>
          <w:sz w:val="22"/>
          <w:szCs w:val="22"/>
        </w:rPr>
        <w:t xml:space="preserve"> prefabricados con banda texturada de 5 cm de ancho y diferente color al peldaño. En ambos tramos se respetará la rasante actual del peatonal.</w:t>
      </w:r>
    </w:p>
    <w:p w:rsidR="009B4233" w:rsidRDefault="006B08B9">
      <w:pPr>
        <w:ind w:left="-5"/>
        <w:jc w:val="both"/>
        <w:rPr>
          <w:rFonts w:ascii="Arial" w:hAnsi="Arial" w:cs="Arial"/>
          <w:sz w:val="22"/>
          <w:szCs w:val="22"/>
        </w:rPr>
      </w:pPr>
      <w:r>
        <w:rPr>
          <w:rFonts w:ascii="Arial" w:hAnsi="Arial" w:cs="Arial"/>
          <w:sz w:val="22"/>
          <w:szCs w:val="22"/>
        </w:rPr>
        <w:t>En las aceras, los pasos de peatones, donde coincidan con aparcamientos en línea, se adelantarán hasta la línea e</w:t>
      </w:r>
      <w:r>
        <w:rPr>
          <w:rFonts w:ascii="Arial" w:hAnsi="Arial" w:cs="Arial"/>
          <w:sz w:val="22"/>
          <w:szCs w:val="22"/>
        </w:rPr>
        <w:t>xterior del aparcamiento, con la correspondiente señalización táctil a nivel de pavimento. A nivel de calzada, los pasos de peatones se realizarán sobreelevados respecto de la rasante actual de las vías, para quedar a nivel con las zonas peatonales.</w:t>
      </w:r>
    </w:p>
    <w:p w:rsidR="009B4233" w:rsidRDefault="006B08B9">
      <w:pPr>
        <w:spacing w:after="240"/>
        <w:ind w:left="-5"/>
        <w:jc w:val="both"/>
        <w:rPr>
          <w:rFonts w:ascii="Arial" w:hAnsi="Arial" w:cs="Arial"/>
          <w:sz w:val="22"/>
          <w:szCs w:val="22"/>
        </w:rPr>
      </w:pPr>
      <w:r>
        <w:rPr>
          <w:rFonts w:ascii="Arial" w:hAnsi="Arial" w:cs="Arial"/>
          <w:sz w:val="22"/>
          <w:szCs w:val="22"/>
        </w:rPr>
        <w:t>Se pro</w:t>
      </w:r>
      <w:r>
        <w:rPr>
          <w:rFonts w:ascii="Arial" w:hAnsi="Arial" w:cs="Arial"/>
          <w:sz w:val="22"/>
          <w:szCs w:val="22"/>
        </w:rPr>
        <w:t>cederá también a la instalación de las barandillas dentro del ámbito donde existan desniveles, cumpliendo con criterios de accesibilidad.</w:t>
      </w:r>
    </w:p>
    <w:p w:rsidR="009B4233" w:rsidRDefault="006B08B9">
      <w:pPr>
        <w:spacing w:after="120"/>
        <w:ind w:left="-5"/>
        <w:rPr>
          <w:rFonts w:ascii="Arial" w:hAnsi="Arial" w:cs="Arial"/>
          <w:sz w:val="22"/>
          <w:szCs w:val="22"/>
        </w:rPr>
      </w:pPr>
      <w:r>
        <w:rPr>
          <w:rFonts w:ascii="Arial" w:hAnsi="Arial" w:cs="Arial"/>
          <w:sz w:val="22"/>
          <w:szCs w:val="22"/>
        </w:rPr>
        <w:t>SEÑALIZACIÓN, JARDINERÍA Y MOBILIARIO URBANO</w:t>
      </w:r>
    </w:p>
    <w:p w:rsidR="009B4233" w:rsidRDefault="006B08B9">
      <w:pPr>
        <w:ind w:left="-5"/>
        <w:jc w:val="both"/>
        <w:rPr>
          <w:rFonts w:ascii="Arial" w:hAnsi="Arial" w:cs="Arial"/>
          <w:sz w:val="22"/>
          <w:szCs w:val="22"/>
        </w:rPr>
      </w:pPr>
      <w:r>
        <w:rPr>
          <w:rFonts w:ascii="Arial" w:hAnsi="Arial" w:cs="Arial"/>
          <w:sz w:val="22"/>
          <w:szCs w:val="22"/>
        </w:rPr>
        <w:t xml:space="preserve">Con motivo del fresado de la capa más superficial del firme en todas las </w:t>
      </w:r>
      <w:r>
        <w:rPr>
          <w:rFonts w:ascii="Arial" w:hAnsi="Arial" w:cs="Arial"/>
          <w:sz w:val="22"/>
          <w:szCs w:val="22"/>
        </w:rPr>
        <w:t>vías pertenecientes al ámbito de actuación, se hace necesaria la reposición de toda la señalización horizontal, que se ejecutará siguiendo las directrices establecidas en la Instrucción de Carreteras 8.2.</w:t>
      </w:r>
    </w:p>
    <w:p w:rsidR="009B4233" w:rsidRDefault="006B08B9">
      <w:pPr>
        <w:ind w:left="-5"/>
        <w:jc w:val="both"/>
        <w:rPr>
          <w:rFonts w:ascii="Arial" w:hAnsi="Arial" w:cs="Arial"/>
          <w:sz w:val="22"/>
          <w:szCs w:val="22"/>
        </w:rPr>
      </w:pPr>
      <w:r>
        <w:rPr>
          <w:rFonts w:ascii="Arial" w:hAnsi="Arial" w:cs="Arial"/>
          <w:sz w:val="22"/>
          <w:szCs w:val="22"/>
        </w:rPr>
        <w:t>Asimismo, se disponen un total de 12 plazas de apar</w:t>
      </w:r>
      <w:r>
        <w:rPr>
          <w:rFonts w:ascii="Arial" w:hAnsi="Arial" w:cs="Arial"/>
          <w:sz w:val="22"/>
          <w:szCs w:val="22"/>
        </w:rPr>
        <w:t xml:space="preserve">camiento PMR, respetando la proporción establecida en la Orden TMA/851/2021, de 23 de julio, por la que se desarrolla el documento técnico de condiciones básicas de accesibilidad y no discriminación para el acceso y la utilización de los espacios públicos </w:t>
      </w:r>
      <w:r>
        <w:rPr>
          <w:rFonts w:ascii="Arial" w:hAnsi="Arial" w:cs="Arial"/>
          <w:sz w:val="22"/>
          <w:szCs w:val="22"/>
        </w:rPr>
        <w:t>urbanizados. Estas plazas se encontrarán debidamente señalizadas vertical y horizontalmente y ubicadas en vías de pendiente reducida próximas a los principales centros de actividad de la urbanización.</w:t>
      </w:r>
    </w:p>
    <w:p w:rsidR="009B4233" w:rsidRDefault="006B08B9">
      <w:pPr>
        <w:ind w:left="-5"/>
        <w:jc w:val="both"/>
        <w:rPr>
          <w:rFonts w:ascii="Arial" w:hAnsi="Arial" w:cs="Arial"/>
          <w:sz w:val="22"/>
          <w:szCs w:val="22"/>
        </w:rPr>
      </w:pPr>
      <w:r>
        <w:rPr>
          <w:rFonts w:ascii="Arial" w:hAnsi="Arial" w:cs="Arial"/>
          <w:sz w:val="22"/>
          <w:szCs w:val="22"/>
        </w:rPr>
        <w:t xml:space="preserve">Por razones de accesibilidad en el ancho disponible en </w:t>
      </w:r>
      <w:r>
        <w:rPr>
          <w:rFonts w:ascii="Arial" w:hAnsi="Arial" w:cs="Arial"/>
          <w:sz w:val="22"/>
          <w:szCs w:val="22"/>
        </w:rPr>
        <w:t>los itinerarios peatonales, se proyecta, por un lado, la reubicación de algunos de los alcorques existentes, eliminándolos de las aceras y situándolos en las zonas destinadas a aparcamiento; y, por otro, la eliminación de otra serie de alcorques, con el co</w:t>
      </w:r>
      <w:r>
        <w:rPr>
          <w:rFonts w:ascii="Arial" w:hAnsi="Arial" w:cs="Arial"/>
          <w:sz w:val="22"/>
          <w:szCs w:val="22"/>
        </w:rPr>
        <w:t>rrespondiente trasplante de las especies vegetales al parque urbano existente dentro de la urbanización. Estos alcorques se proyectan de dimensiones 1,50x1,50 m.</w:t>
      </w:r>
    </w:p>
    <w:p w:rsidR="009B4233" w:rsidRDefault="006B08B9">
      <w:pPr>
        <w:spacing w:after="240"/>
        <w:ind w:left="-5"/>
        <w:jc w:val="both"/>
        <w:rPr>
          <w:rFonts w:ascii="Arial" w:hAnsi="Arial" w:cs="Arial"/>
          <w:sz w:val="22"/>
          <w:szCs w:val="22"/>
        </w:rPr>
      </w:pPr>
      <w:r>
        <w:rPr>
          <w:rFonts w:ascii="Arial" w:hAnsi="Arial" w:cs="Arial"/>
          <w:sz w:val="22"/>
          <w:szCs w:val="22"/>
        </w:rPr>
        <w:t xml:space="preserve">La elección del arbolado debe respetar el rango de medidas donde, la altura mínima permite la </w:t>
      </w:r>
      <w:r>
        <w:rPr>
          <w:rFonts w:ascii="Arial" w:hAnsi="Arial" w:cs="Arial"/>
          <w:sz w:val="22"/>
          <w:szCs w:val="22"/>
        </w:rPr>
        <w:t>accesibilidad de las personas y la altura máxima no afecta a la luminaria.</w:t>
      </w:r>
    </w:p>
    <w:p w:rsidR="009B4233" w:rsidRDefault="006B08B9">
      <w:pPr>
        <w:spacing w:after="120"/>
        <w:ind w:left="-5"/>
        <w:rPr>
          <w:rFonts w:ascii="Arial" w:hAnsi="Arial" w:cs="Arial"/>
          <w:sz w:val="22"/>
          <w:szCs w:val="22"/>
        </w:rPr>
      </w:pPr>
      <w:r>
        <w:rPr>
          <w:rFonts w:ascii="Arial" w:hAnsi="Arial" w:cs="Arial"/>
          <w:sz w:val="22"/>
          <w:szCs w:val="22"/>
        </w:rPr>
        <w:t>REPOSICIÓN DE SERVICIOS AFECTADOS</w:t>
      </w:r>
    </w:p>
    <w:p w:rsidR="009B4233" w:rsidRDefault="006B08B9">
      <w:pPr>
        <w:spacing w:after="290"/>
        <w:ind w:left="-5"/>
        <w:jc w:val="both"/>
        <w:rPr>
          <w:rFonts w:ascii="Arial" w:hAnsi="Arial" w:cs="Arial"/>
          <w:sz w:val="22"/>
          <w:szCs w:val="22"/>
        </w:rPr>
      </w:pPr>
      <w:r>
        <w:rPr>
          <w:rFonts w:ascii="Arial" w:hAnsi="Arial" w:cs="Arial"/>
          <w:sz w:val="22"/>
          <w:szCs w:val="22"/>
        </w:rPr>
        <w:t>Conociendo los servicios existentes en todas las calles de la urbanización, se ha estimado una partida de reposición de servicios afectados ante la</w:t>
      </w:r>
      <w:r>
        <w:rPr>
          <w:rFonts w:ascii="Arial" w:hAnsi="Arial" w:cs="Arial"/>
          <w:sz w:val="22"/>
          <w:szCs w:val="22"/>
        </w:rPr>
        <w:t xml:space="preserve"> posible afección a las redes de servicios existentes en el ámbito de la obra, que se puedan ver afectadas por la ejecución de los trabajos.</w:t>
      </w:r>
    </w:p>
    <w:p w:rsidR="009B4233" w:rsidRDefault="006B08B9">
      <w:pPr>
        <w:spacing w:after="120"/>
        <w:ind w:left="-5"/>
      </w:pPr>
      <w:r>
        <w:rPr>
          <w:rFonts w:ascii="Arial" w:eastAsia="Calibri" w:hAnsi="Arial" w:cs="Arial"/>
          <w:b/>
          <w:sz w:val="22"/>
          <w:szCs w:val="22"/>
        </w:rPr>
        <w:t xml:space="preserve">PLAZO DE EJECUCIÓN </w:t>
      </w:r>
    </w:p>
    <w:p w:rsidR="009B4233" w:rsidRDefault="006B08B9">
      <w:pPr>
        <w:spacing w:after="290"/>
        <w:ind w:left="-5"/>
      </w:pPr>
      <w:r>
        <w:rPr>
          <w:rFonts w:ascii="Arial" w:hAnsi="Arial" w:cs="Arial"/>
          <w:sz w:val="22"/>
          <w:szCs w:val="22"/>
        </w:rPr>
        <w:t xml:space="preserve">Plazo de Ejecución de </w:t>
      </w:r>
      <w:r>
        <w:rPr>
          <w:rFonts w:ascii="Arial" w:eastAsia="Calibri" w:hAnsi="Arial" w:cs="Arial"/>
          <w:b/>
          <w:sz w:val="22"/>
          <w:szCs w:val="22"/>
        </w:rPr>
        <w:t>veinticuatro (24)</w:t>
      </w:r>
      <w:r>
        <w:rPr>
          <w:rFonts w:ascii="Arial" w:hAnsi="Arial" w:cs="Arial"/>
          <w:sz w:val="22"/>
          <w:szCs w:val="22"/>
        </w:rPr>
        <w:t xml:space="preserve"> meses para la completa ejecución de los trabajos.</w:t>
      </w:r>
    </w:p>
    <w:p w:rsidR="009B4233" w:rsidRDefault="006B08B9">
      <w:pPr>
        <w:spacing w:after="120"/>
        <w:ind w:left="-5"/>
      </w:pPr>
      <w:r>
        <w:rPr>
          <w:rFonts w:ascii="Arial" w:eastAsia="Calibri" w:hAnsi="Arial" w:cs="Arial"/>
          <w:b/>
          <w:sz w:val="22"/>
          <w:szCs w:val="22"/>
        </w:rPr>
        <w:t>PRESU</w:t>
      </w:r>
      <w:r>
        <w:rPr>
          <w:rFonts w:ascii="Arial" w:eastAsia="Calibri" w:hAnsi="Arial" w:cs="Arial"/>
          <w:b/>
          <w:sz w:val="22"/>
          <w:szCs w:val="22"/>
        </w:rPr>
        <w:t>PUESTO BASE DE LICITACIÓN</w:t>
      </w:r>
    </w:p>
    <w:p w:rsidR="009B4233" w:rsidRDefault="006B08B9">
      <w:pPr>
        <w:ind w:right="3"/>
      </w:pPr>
      <w:r>
        <w:rPr>
          <w:rFonts w:ascii="Arial" w:hAnsi="Arial" w:cs="Arial"/>
          <w:sz w:val="22"/>
          <w:szCs w:val="22"/>
        </w:rPr>
        <w:t xml:space="preserve">El presupuesto base de licitación asciende a </w:t>
      </w:r>
      <w:r>
        <w:rPr>
          <w:rFonts w:ascii="Arial" w:eastAsia="Calibri" w:hAnsi="Arial" w:cs="Arial"/>
          <w:b/>
          <w:sz w:val="22"/>
          <w:szCs w:val="22"/>
        </w:rPr>
        <w:t>Cuatro millones quinientos veinticinco mil cuatrocientos treinta y dos euros con cuarenta y dos céntimos (4.525.432,42 €).</w:t>
      </w:r>
    </w:p>
    <w:p w:rsidR="009B4233" w:rsidRDefault="009B4233">
      <w:pPr>
        <w:ind w:right="3"/>
        <w:rPr>
          <w:rFonts w:ascii="Arial" w:hAnsi="Arial" w:cs="Arial"/>
          <w:sz w:val="22"/>
          <w:szCs w:val="22"/>
        </w:rPr>
      </w:pPr>
    </w:p>
    <w:p w:rsidR="009B4233" w:rsidRDefault="006B08B9">
      <w:pPr>
        <w:ind w:right="3"/>
        <w:jc w:val="center"/>
      </w:pPr>
      <w:r>
        <w:rPr>
          <w:rFonts w:ascii="Arial" w:eastAsia="Calibri" w:hAnsi="Arial" w:cs="Arial"/>
          <w:b/>
          <w:sz w:val="22"/>
          <w:szCs w:val="22"/>
          <w:u w:val="single" w:color="000000"/>
        </w:rPr>
        <w:t>INFORME TÉCNICO – CONSIDERACIONES</w:t>
      </w:r>
    </w:p>
    <w:p w:rsidR="009B4233" w:rsidRDefault="006B08B9">
      <w:pPr>
        <w:ind w:left="-5"/>
        <w:rPr>
          <w:rFonts w:ascii="Arial" w:hAnsi="Arial" w:cs="Arial"/>
          <w:sz w:val="22"/>
          <w:szCs w:val="22"/>
        </w:rPr>
      </w:pPr>
      <w:r>
        <w:rPr>
          <w:rFonts w:ascii="Arial" w:hAnsi="Arial" w:cs="Arial"/>
          <w:sz w:val="22"/>
          <w:szCs w:val="22"/>
        </w:rPr>
        <w:t xml:space="preserve">El proyecto contempla la </w:t>
      </w:r>
      <w:r>
        <w:rPr>
          <w:rFonts w:ascii="Arial" w:hAnsi="Arial" w:cs="Arial"/>
          <w:sz w:val="22"/>
          <w:szCs w:val="22"/>
        </w:rPr>
        <w:t>demolición de la fosa séptica existente y la ejecución de una EDAR, la cual se ubica en Suelo Rústico de Protección de Infraestructuras (SRPI).</w:t>
      </w:r>
    </w:p>
    <w:p w:rsidR="009B4233" w:rsidRDefault="006B08B9">
      <w:pPr>
        <w:ind w:left="-2"/>
      </w:pPr>
      <w:r>
        <w:rPr>
          <w:rFonts w:ascii="Arial" w:hAnsi="Arial" w:cs="Arial"/>
          <w:noProof/>
          <w:sz w:val="22"/>
          <w:szCs w:val="22"/>
          <w:lang w:eastAsia="es-ES" w:bidi="ar-SA"/>
        </w:rPr>
        <mc:AlternateContent>
          <mc:Choice Requires="wpg">
            <w:drawing>
              <wp:inline distT="0" distB="0" distL="0" distR="0">
                <wp:extent cx="5035308" cy="1892807"/>
                <wp:effectExtent l="0" t="0" r="0" b="0"/>
                <wp:docPr id="115" name="Grupo 6093"/>
                <wp:cNvGraphicFramePr/>
                <a:graphic xmlns:a="http://schemas.openxmlformats.org/drawingml/2006/main">
                  <a:graphicData uri="http://schemas.microsoft.com/office/word/2010/wordprocessingGroup">
                    <wpg:wgp>
                      <wpg:cNvGrpSpPr/>
                      <wpg:grpSpPr>
                        <a:xfrm>
                          <a:off x="0" y="0"/>
                          <a:ext cx="5035308" cy="1892807"/>
                          <a:chOff x="0" y="0"/>
                          <a:chExt cx="5035308" cy="1892807"/>
                        </a:xfrm>
                      </wpg:grpSpPr>
                      <pic:pic xmlns:pic="http://schemas.openxmlformats.org/drawingml/2006/picture">
                        <pic:nvPicPr>
                          <pic:cNvPr id="116" name="Picture 6318">
                            <a:extLst>
                              <a:ext uri="{FF2B5EF4-FFF2-40B4-BE49-F238E27FC236}">
                                <a16:creationId xmlns:a16="http://schemas.microsoft.com/office/drawing/2014/main" id="{00000000-0000-0000-0000-000000000000}"/>
                              </a:ext>
                            </a:extLst>
                          </pic:cNvPr>
                          <pic:cNvPicPr>
                            <a:picLocks noChangeAspect="1"/>
                          </pic:cNvPicPr>
                        </pic:nvPicPr>
                        <pic:blipFill>
                          <a:blip r:embed="rId39"/>
                          <a:stretch>
                            <a:fillRect/>
                          </a:stretch>
                        </pic:blipFill>
                        <pic:spPr>
                          <a:xfrm>
                            <a:off x="0" y="3044"/>
                            <a:ext cx="2520699" cy="1889763"/>
                          </a:xfrm>
                          <a:prstGeom prst="rect">
                            <a:avLst/>
                          </a:prstGeom>
                          <a:noFill/>
                          <a:ln>
                            <a:noFill/>
                            <a:prstDash/>
                          </a:ln>
                        </pic:spPr>
                      </pic:pic>
                      <pic:pic xmlns:pic="http://schemas.openxmlformats.org/drawingml/2006/picture">
                        <pic:nvPicPr>
                          <pic:cNvPr id="117" name="Picture 6317">
                            <a:extLst>
                              <a:ext uri="{FF2B5EF4-FFF2-40B4-BE49-F238E27FC236}">
                                <a16:creationId xmlns:a16="http://schemas.microsoft.com/office/drawing/2014/main" id="{00000000-0000-0000-0000-000000000000}"/>
                              </a:ext>
                            </a:extLst>
                          </pic:cNvPr>
                          <pic:cNvPicPr>
                            <a:picLocks noChangeAspect="1"/>
                          </pic:cNvPicPr>
                        </pic:nvPicPr>
                        <pic:blipFill>
                          <a:blip r:embed="rId40"/>
                          <a:stretch>
                            <a:fillRect/>
                          </a:stretch>
                        </pic:blipFill>
                        <pic:spPr>
                          <a:xfrm>
                            <a:off x="2517654" y="0"/>
                            <a:ext cx="2517654" cy="1892807"/>
                          </a:xfrm>
                          <a:prstGeom prst="rect">
                            <a:avLst/>
                          </a:prstGeom>
                          <a:noFill/>
                          <a:ln>
                            <a:noFill/>
                            <a:prstDash/>
                          </a:ln>
                        </pic:spPr>
                      </pic:pic>
                    </wpg:wgp>
                  </a:graphicData>
                </a:graphic>
              </wp:inline>
            </w:drawing>
          </mc:Choice>
          <mc:Fallback>
            <w:pict>
              <v:group w14:anchorId="712534C0" id="Grupo 6093" o:spid="_x0000_s1026" style="width:396.5pt;height:149.05pt;mso-position-horizontal-relative:char;mso-position-vertical-relative:line" coordsize="50353,189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">
                <v:shape id="Picture 6318" o:spid="_x0000_s1027" type="#_x0000_t75" style="position:absolute;top:30;width:25206;height:188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">
                  <v:imagedata r:id="rId41" o:title=""/>
                  <v:path arrowok="t"/>
                </v:shape>
                <v:shape id="Picture 6317" o:spid="_x0000_s1028" type="#_x0000_t75" style="position:absolute;left:25176;width:25177;height:189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">
                  <v:imagedata r:id="rId42" o:title=""/>
                  <v:path arrowok="t"/>
                </v:shape>
                <w10:anchorlock/>
              </v:group>
            </w:pict>
          </mc:Fallback>
        </mc:AlternateContent>
      </w:r>
    </w:p>
    <w:p w:rsidR="009B4233" w:rsidRDefault="006B08B9">
      <w:pPr>
        <w:pageBreakBefore/>
      </w:pPr>
      <w:r>
        <w:rPr>
          <w:rFonts w:ascii="Arial" w:eastAsia="Calibri" w:hAnsi="Arial" w:cs="Arial"/>
          <w:b/>
          <w:sz w:val="22"/>
          <w:szCs w:val="22"/>
          <w:u w:val="single" w:color="000000"/>
        </w:rPr>
        <w:t>RÉGIMEN URBANÍSTICO DE APLICACIÓN.</w:t>
      </w:r>
    </w:p>
    <w:p w:rsidR="009B4233" w:rsidRDefault="006B08B9">
      <w:pPr>
        <w:ind w:left="-5"/>
        <w:jc w:val="both"/>
        <w:rPr>
          <w:rFonts w:ascii="Arial" w:hAnsi="Arial" w:cs="Arial"/>
          <w:sz w:val="22"/>
          <w:szCs w:val="22"/>
        </w:rPr>
      </w:pPr>
      <w:r>
        <w:rPr>
          <w:rFonts w:ascii="Arial" w:hAnsi="Arial" w:cs="Arial"/>
          <w:sz w:val="22"/>
          <w:szCs w:val="22"/>
        </w:rPr>
        <w:t xml:space="preserve">De acuerdo con el PLAN GENERAL DE ORDENACIÓN (PGO), planeamiento municipal </w:t>
      </w:r>
      <w:r>
        <w:rPr>
          <w:rFonts w:ascii="Arial" w:hAnsi="Arial" w:cs="Arial"/>
          <w:sz w:val="22"/>
          <w:szCs w:val="22"/>
        </w:rPr>
        <w:t>en vigor, con publicaciones en B.O.C. de fecha 10 de mayo de 2007 y B.O.P. de fecha 17 de mayo de 2007 y Modificaciones Puntuales, aprobadas definitivamente por acuerdo del Ayuntamiento Pleno, en sesiones ordinarias de fecha 26 de marzo de 2009 y 29 de dic</w:t>
      </w:r>
      <w:r>
        <w:rPr>
          <w:rFonts w:ascii="Arial" w:hAnsi="Arial" w:cs="Arial"/>
          <w:sz w:val="22"/>
          <w:szCs w:val="22"/>
        </w:rPr>
        <w:t>iembre de 2011 y publicada en el BOP de Santa Cruz de Tenerife de fecha 17 de junio de 2009 y 3 de febrero de 2012, respectivamente.</w:t>
      </w:r>
    </w:p>
    <w:p w:rsidR="009B4233" w:rsidRDefault="009B4233">
      <w:pPr>
        <w:ind w:left="-5"/>
        <w:jc w:val="both"/>
        <w:rPr>
          <w:rFonts w:ascii="Arial" w:hAnsi="Arial" w:cs="Arial"/>
          <w:sz w:val="22"/>
          <w:szCs w:val="22"/>
        </w:rPr>
      </w:pPr>
    </w:p>
    <w:p w:rsidR="009B4233" w:rsidRDefault="006B08B9">
      <w:pPr>
        <w:spacing w:after="223"/>
        <w:ind w:left="-5"/>
        <w:jc w:val="both"/>
        <w:rPr>
          <w:rFonts w:ascii="Arial" w:hAnsi="Arial" w:cs="Arial"/>
          <w:sz w:val="22"/>
          <w:szCs w:val="22"/>
        </w:rPr>
      </w:pPr>
      <w:r>
        <w:rPr>
          <w:rFonts w:ascii="Arial" w:hAnsi="Arial" w:cs="Arial"/>
          <w:sz w:val="22"/>
          <w:szCs w:val="22"/>
        </w:rPr>
        <w:t>Se encuentra clasificada, categorizada y calificada como: Suelo urbano consolidado – Espacios Viarios.</w:t>
      </w:r>
    </w:p>
    <w:p w:rsidR="009B4233" w:rsidRDefault="006B08B9">
      <w:pPr>
        <w:ind w:left="-5"/>
        <w:jc w:val="both"/>
        <w:rPr>
          <w:rFonts w:ascii="Arial" w:hAnsi="Arial" w:cs="Arial"/>
          <w:sz w:val="22"/>
          <w:szCs w:val="22"/>
        </w:rPr>
      </w:pPr>
      <w:r>
        <w:rPr>
          <w:rFonts w:ascii="Arial" w:hAnsi="Arial" w:cs="Arial"/>
          <w:sz w:val="22"/>
          <w:szCs w:val="22"/>
        </w:rPr>
        <w:t>Sistemas asociados:</w:t>
      </w:r>
      <w:r>
        <w:rPr>
          <w:rFonts w:ascii="Arial" w:hAnsi="Arial" w:cs="Arial"/>
          <w:sz w:val="22"/>
          <w:szCs w:val="22"/>
        </w:rPr>
        <w:t xml:space="preserve"> Espacios libres, viarios, infraestructuras de servicios urbanos.</w:t>
      </w:r>
    </w:p>
    <w:p w:rsidR="009B4233" w:rsidRDefault="006B08B9">
      <w:pPr>
        <w:ind w:left="-2"/>
      </w:pPr>
      <w:r>
        <w:rPr>
          <w:rFonts w:ascii="Arial" w:hAnsi="Arial" w:cs="Arial"/>
          <w:noProof/>
          <w:sz w:val="22"/>
          <w:szCs w:val="22"/>
          <w:lang w:eastAsia="es-ES" w:bidi="ar-SA"/>
        </w:rPr>
        <w:drawing>
          <wp:inline distT="0" distB="0" distL="0" distR="0">
            <wp:extent cx="5303520" cy="3215643"/>
            <wp:effectExtent l="0" t="0" r="0" b="3807"/>
            <wp:docPr id="118" name="Imagen 469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rcRect/>
                    <a:stretch>
                      <a:fillRect/>
                    </a:stretch>
                  </pic:blipFill>
                  <pic:spPr>
                    <a:xfrm>
                      <a:off x="0" y="0"/>
                      <a:ext cx="5303520" cy="3215643"/>
                    </a:xfrm>
                    <a:prstGeom prst="rect">
                      <a:avLst/>
                    </a:prstGeom>
                    <a:noFill/>
                    <a:ln>
                      <a:noFill/>
                      <a:prstDash/>
                    </a:ln>
                  </pic:spPr>
                </pic:pic>
              </a:graphicData>
            </a:graphic>
          </wp:inline>
        </w:drawing>
      </w:r>
    </w:p>
    <w:p w:rsidR="009B4233" w:rsidRDefault="009B4233">
      <w:pPr>
        <w:spacing w:after="83"/>
        <w:ind w:right="2"/>
        <w:jc w:val="center"/>
        <w:rPr>
          <w:rFonts w:ascii="Arial" w:eastAsia="Calibri" w:hAnsi="Arial" w:cs="Arial"/>
          <w:b/>
          <w:sz w:val="22"/>
          <w:szCs w:val="22"/>
        </w:rPr>
      </w:pPr>
    </w:p>
    <w:p w:rsidR="009B4233" w:rsidRDefault="006B08B9">
      <w:pPr>
        <w:spacing w:after="83"/>
        <w:ind w:right="2"/>
        <w:jc w:val="center"/>
      </w:pPr>
      <w:r>
        <w:rPr>
          <w:rFonts w:ascii="Arial" w:eastAsia="Calibri" w:hAnsi="Arial" w:cs="Arial"/>
          <w:b/>
          <w:sz w:val="22"/>
          <w:szCs w:val="22"/>
        </w:rPr>
        <w:t>CONCLUSIONES.</w:t>
      </w:r>
    </w:p>
    <w:p w:rsidR="009B4233" w:rsidRDefault="006B08B9">
      <w:pPr>
        <w:spacing w:after="91"/>
        <w:ind w:left="-5"/>
        <w:jc w:val="both"/>
      </w:pPr>
      <w:r>
        <w:rPr>
          <w:rFonts w:ascii="Arial" w:hAnsi="Arial" w:cs="Arial"/>
          <w:sz w:val="22"/>
          <w:szCs w:val="22"/>
        </w:rPr>
        <w:t xml:space="preserve">Dado que se ha encargado, mediante encomienda, a la mercantil Gesplan, el desarrollo de un proyecto de </w:t>
      </w:r>
      <w:r>
        <w:rPr>
          <w:rFonts w:ascii="Arial" w:eastAsia="Calibri" w:hAnsi="Arial" w:cs="Arial"/>
          <w:b/>
          <w:sz w:val="22"/>
          <w:szCs w:val="22"/>
        </w:rPr>
        <w:t>Estación Depuradora</w:t>
      </w:r>
      <w:r>
        <w:rPr>
          <w:rFonts w:ascii="Arial" w:hAnsi="Arial" w:cs="Arial"/>
          <w:sz w:val="22"/>
          <w:szCs w:val="22"/>
        </w:rPr>
        <w:t xml:space="preserve"> esta deberá considerarse, una vez el proyecto sea </w:t>
      </w:r>
      <w:r>
        <w:rPr>
          <w:rFonts w:ascii="Arial" w:hAnsi="Arial" w:cs="Arial"/>
          <w:sz w:val="22"/>
          <w:szCs w:val="22"/>
        </w:rPr>
        <w:t>finalizado y aprobado, para que las redes que se ejecutarán en el proyecto del asunto entreguen las aguas en el punto definido. Igualmente deberá considerarse que esta EDAR dará respuesta a la necesidad de tratamiento de las aguas residuales y por tanto de</w:t>
      </w:r>
      <w:r>
        <w:rPr>
          <w:rFonts w:ascii="Arial" w:hAnsi="Arial" w:cs="Arial"/>
          <w:sz w:val="22"/>
          <w:szCs w:val="22"/>
        </w:rPr>
        <w:t>ben retirarse del proyecto del asunto.</w:t>
      </w:r>
    </w:p>
    <w:p w:rsidR="009B4233" w:rsidRDefault="006B08B9">
      <w:pPr>
        <w:spacing w:after="120" w:line="218" w:lineRule="auto"/>
        <w:ind w:left="-5"/>
        <w:jc w:val="both"/>
      </w:pPr>
      <w:r>
        <w:rPr>
          <w:rFonts w:ascii="Arial" w:hAnsi="Arial" w:cs="Arial"/>
          <w:sz w:val="22"/>
          <w:szCs w:val="22"/>
        </w:rPr>
        <w:t xml:space="preserve">Requerir la incorporación de un </w:t>
      </w:r>
      <w:r>
        <w:rPr>
          <w:rFonts w:ascii="Arial" w:eastAsia="Calibri" w:hAnsi="Arial" w:cs="Arial"/>
          <w:b/>
          <w:sz w:val="22"/>
          <w:szCs w:val="22"/>
        </w:rPr>
        <w:t>Anejo de accesibilidad</w:t>
      </w:r>
      <w:r>
        <w:rPr>
          <w:rFonts w:ascii="Arial" w:hAnsi="Arial" w:cs="Arial"/>
          <w:sz w:val="22"/>
          <w:szCs w:val="22"/>
        </w:rPr>
        <w:t xml:space="preserve"> con justificación normativa y planos adaptados, dado el grado de afección a los itinerarios peatonales del 32,53% del presupuesto.</w:t>
      </w:r>
    </w:p>
    <w:p w:rsidR="009B4233" w:rsidRDefault="006B08B9">
      <w:pPr>
        <w:spacing w:after="120" w:line="218" w:lineRule="auto"/>
        <w:ind w:left="-5"/>
        <w:jc w:val="both"/>
      </w:pPr>
      <w:r>
        <w:rPr>
          <w:rFonts w:ascii="Arial" w:hAnsi="Arial" w:cs="Arial"/>
          <w:sz w:val="22"/>
          <w:szCs w:val="22"/>
        </w:rPr>
        <w:t>Requerir la incorporación de un</w:t>
      </w:r>
      <w:r>
        <w:rPr>
          <w:rFonts w:ascii="Arial" w:hAnsi="Arial" w:cs="Arial"/>
          <w:sz w:val="22"/>
          <w:szCs w:val="22"/>
        </w:rPr>
        <w:t xml:space="preserve"> anejo de </w:t>
      </w:r>
      <w:r>
        <w:rPr>
          <w:rFonts w:ascii="Arial" w:eastAsia="Calibri" w:hAnsi="Arial" w:cs="Arial"/>
          <w:b/>
          <w:sz w:val="22"/>
          <w:szCs w:val="22"/>
        </w:rPr>
        <w:t>afecciones a servicios de terceros</w:t>
      </w:r>
      <w:r>
        <w:rPr>
          <w:rFonts w:ascii="Arial" w:hAnsi="Arial" w:cs="Arial"/>
          <w:sz w:val="22"/>
          <w:szCs w:val="22"/>
        </w:rPr>
        <w:t xml:space="preserve"> de telecomunicaciones, suministro eléctrico, abastecimiento y saneamiento para ser remitido a las empresas suministradoras.</w:t>
      </w:r>
    </w:p>
    <w:p w:rsidR="009B4233" w:rsidRDefault="006B08B9">
      <w:pPr>
        <w:spacing w:after="89"/>
        <w:ind w:left="-5"/>
        <w:jc w:val="both"/>
      </w:pPr>
      <w:r>
        <w:rPr>
          <w:rFonts w:ascii="Arial" w:hAnsi="Arial" w:cs="Arial"/>
          <w:sz w:val="22"/>
          <w:szCs w:val="22"/>
        </w:rPr>
        <w:t xml:space="preserve">Requerir la incorporación de un anejo de estudio de las </w:t>
      </w:r>
      <w:r>
        <w:rPr>
          <w:rFonts w:ascii="Arial" w:eastAsia="Calibri" w:hAnsi="Arial" w:cs="Arial"/>
          <w:b/>
          <w:sz w:val="22"/>
          <w:szCs w:val="22"/>
        </w:rPr>
        <w:t xml:space="preserve">intersecciones de las vías </w:t>
      </w:r>
      <w:r>
        <w:rPr>
          <w:rFonts w:ascii="Arial" w:eastAsia="Calibri" w:hAnsi="Arial" w:cs="Arial"/>
          <w:b/>
          <w:sz w:val="22"/>
          <w:szCs w:val="22"/>
        </w:rPr>
        <w:t>municipales con las vías de competencia del Cabildo Insular de Tenerife</w:t>
      </w:r>
      <w:r>
        <w:rPr>
          <w:rFonts w:ascii="Arial" w:hAnsi="Arial" w:cs="Arial"/>
          <w:sz w:val="22"/>
          <w:szCs w:val="22"/>
        </w:rPr>
        <w:t xml:space="preserve"> de acuerdo con lo que establece el artículo 48 de la Ley 9/1991, de 8 de mayo, de Carreteras de Canarias en relación con lo que dispone el artículo 72 del Reglamento de Carreteras de C</w:t>
      </w:r>
      <w:r>
        <w:rPr>
          <w:rFonts w:ascii="Arial" w:hAnsi="Arial" w:cs="Arial"/>
          <w:sz w:val="22"/>
          <w:szCs w:val="22"/>
        </w:rPr>
        <w:t xml:space="preserve">anarias, aprobado por Decreto 131/1995, de 11 de mayo, corresponde a los Ayuntamientos el otorgamiento de licencias para usos y obras en las zonas de protección de las carreteras en los tramos de las mismas que discurran por suelo clasificado como urbano, </w:t>
      </w:r>
      <w:r>
        <w:rPr>
          <w:rFonts w:ascii="Arial" w:hAnsi="Arial" w:cs="Arial"/>
          <w:sz w:val="22"/>
          <w:szCs w:val="22"/>
        </w:rPr>
        <w:t>mientras que a este Cabildo Insular, en su calidad de titular de las mismas, le corresponde la emisión de informe preceptivo y, en lo que se refiere a las condiciones técnicas de los accesos, la emisión de informe de carácter vinculante.</w:t>
      </w:r>
    </w:p>
    <w:p w:rsidR="009B4233" w:rsidRDefault="006B08B9">
      <w:pPr>
        <w:spacing w:after="120" w:line="218" w:lineRule="auto"/>
        <w:ind w:left="-5"/>
        <w:jc w:val="both"/>
      </w:pPr>
      <w:r>
        <w:rPr>
          <w:rFonts w:ascii="Arial" w:hAnsi="Arial" w:cs="Arial"/>
          <w:sz w:val="22"/>
          <w:szCs w:val="22"/>
        </w:rPr>
        <w:t>Requerir la incorp</w:t>
      </w:r>
      <w:r>
        <w:rPr>
          <w:rFonts w:ascii="Arial" w:hAnsi="Arial" w:cs="Arial"/>
          <w:sz w:val="22"/>
          <w:szCs w:val="22"/>
        </w:rPr>
        <w:t xml:space="preserve">oración de un </w:t>
      </w:r>
      <w:r>
        <w:rPr>
          <w:rFonts w:ascii="Arial" w:eastAsia="Calibri" w:hAnsi="Arial" w:cs="Arial"/>
          <w:b/>
          <w:sz w:val="22"/>
          <w:szCs w:val="22"/>
        </w:rPr>
        <w:t>anejo de drenaje y régimen hidráulico</w:t>
      </w:r>
      <w:r>
        <w:rPr>
          <w:rFonts w:ascii="Arial" w:hAnsi="Arial" w:cs="Arial"/>
          <w:sz w:val="22"/>
          <w:szCs w:val="22"/>
        </w:rPr>
        <w:t xml:space="preserve"> son los puntos de vertido a Dominio Público Hidráulico que conlleva informe de autorización del Consejo Insular de Aguas de Tenerife según Decreto 86/2002, de 2 de julio, por el que se aprueba el Reglamen</w:t>
      </w:r>
      <w:r>
        <w:rPr>
          <w:rFonts w:ascii="Arial" w:hAnsi="Arial" w:cs="Arial"/>
          <w:sz w:val="22"/>
          <w:szCs w:val="22"/>
        </w:rPr>
        <w:t>to del Dominio Público Hidráulico.</w:t>
      </w:r>
    </w:p>
    <w:p w:rsidR="009B4233" w:rsidRDefault="006B08B9">
      <w:pPr>
        <w:spacing w:after="91"/>
        <w:ind w:left="-5"/>
        <w:jc w:val="both"/>
      </w:pPr>
      <w:r>
        <w:rPr>
          <w:rFonts w:ascii="Arial" w:hAnsi="Arial" w:cs="Arial"/>
          <w:sz w:val="22"/>
          <w:szCs w:val="22"/>
        </w:rPr>
        <w:t xml:space="preserve">Requerir anejo de cálculo y justificación de la actuación sobre el cambio de ubicación de </w:t>
      </w:r>
      <w:r>
        <w:rPr>
          <w:rFonts w:ascii="Arial" w:eastAsia="Calibri" w:hAnsi="Arial" w:cs="Arial"/>
          <w:b/>
          <w:sz w:val="22"/>
          <w:szCs w:val="22"/>
        </w:rPr>
        <w:t>alumbrado público</w:t>
      </w:r>
      <w:r>
        <w:rPr>
          <w:rFonts w:ascii="Arial" w:hAnsi="Arial" w:cs="Arial"/>
          <w:sz w:val="22"/>
          <w:szCs w:val="22"/>
        </w:rPr>
        <w:t xml:space="preserve">, sin que conste estudio luminotécnico en el documento entregado ni estado administrativo de los puntos de </w:t>
      </w:r>
      <w:r>
        <w:rPr>
          <w:rFonts w:ascii="Arial" w:hAnsi="Arial" w:cs="Arial"/>
          <w:sz w:val="22"/>
          <w:szCs w:val="22"/>
        </w:rPr>
        <w:t>suministro.</w:t>
      </w:r>
    </w:p>
    <w:p w:rsidR="009B4233" w:rsidRDefault="006B08B9">
      <w:pPr>
        <w:spacing w:after="82"/>
        <w:ind w:left="-5"/>
        <w:jc w:val="both"/>
      </w:pPr>
      <w:r>
        <w:rPr>
          <w:rFonts w:ascii="Arial" w:hAnsi="Arial" w:cs="Arial"/>
          <w:sz w:val="22"/>
          <w:szCs w:val="22"/>
        </w:rPr>
        <w:t xml:space="preserve">Reflejar en documento gráfico la </w:t>
      </w:r>
      <w:r>
        <w:rPr>
          <w:rFonts w:ascii="Arial" w:eastAsia="Calibri" w:hAnsi="Arial" w:cs="Arial"/>
          <w:b/>
          <w:sz w:val="22"/>
          <w:szCs w:val="22"/>
        </w:rPr>
        <w:t>señalización vertical</w:t>
      </w:r>
      <w:r>
        <w:rPr>
          <w:rFonts w:ascii="Arial" w:hAnsi="Arial" w:cs="Arial"/>
          <w:sz w:val="22"/>
          <w:szCs w:val="22"/>
        </w:rPr>
        <w:t>.</w:t>
      </w:r>
    </w:p>
    <w:p w:rsidR="009B4233" w:rsidRDefault="006B08B9">
      <w:pPr>
        <w:spacing w:after="88"/>
        <w:ind w:left="-5"/>
        <w:jc w:val="both"/>
      </w:pPr>
      <w:r>
        <w:rPr>
          <w:rFonts w:ascii="Arial" w:hAnsi="Arial" w:cs="Arial"/>
          <w:sz w:val="22"/>
          <w:szCs w:val="22"/>
        </w:rPr>
        <w:t xml:space="preserve">Se contempla la demolición de los actuales alcorques, pero no se presupuesta trasplante de la </w:t>
      </w:r>
      <w:r>
        <w:rPr>
          <w:rFonts w:ascii="Arial" w:eastAsia="Calibri" w:hAnsi="Arial" w:cs="Arial"/>
          <w:b/>
          <w:sz w:val="22"/>
          <w:szCs w:val="22"/>
        </w:rPr>
        <w:t>vegetación existente</w:t>
      </w:r>
      <w:r>
        <w:rPr>
          <w:rFonts w:ascii="Arial" w:hAnsi="Arial" w:cs="Arial"/>
          <w:sz w:val="22"/>
          <w:szCs w:val="22"/>
        </w:rPr>
        <w:t>.</w:t>
      </w:r>
    </w:p>
    <w:p w:rsidR="009B4233" w:rsidRDefault="006B08B9">
      <w:pPr>
        <w:spacing w:after="88"/>
        <w:ind w:left="-5"/>
        <w:jc w:val="both"/>
        <w:rPr>
          <w:rFonts w:ascii="Arial" w:hAnsi="Arial" w:cs="Arial"/>
          <w:sz w:val="22"/>
          <w:szCs w:val="22"/>
        </w:rPr>
      </w:pPr>
      <w:r>
        <w:rPr>
          <w:rFonts w:ascii="Arial" w:hAnsi="Arial" w:cs="Arial"/>
          <w:sz w:val="22"/>
          <w:szCs w:val="22"/>
        </w:rPr>
        <w:t xml:space="preserve">En el Pliego de Prescripciones Técnicas Particulares debe realizarse la </w:t>
      </w:r>
      <w:r>
        <w:rPr>
          <w:rFonts w:ascii="Arial" w:hAnsi="Arial" w:cs="Arial"/>
          <w:sz w:val="22"/>
          <w:szCs w:val="22"/>
        </w:rPr>
        <w:t>actualización de las disposiciones reglamentarias citadas y derogadas.</w:t>
      </w:r>
    </w:p>
    <w:p w:rsidR="009B4233" w:rsidRDefault="006B08B9">
      <w:pPr>
        <w:spacing w:after="88"/>
        <w:ind w:left="-5"/>
        <w:jc w:val="both"/>
      </w:pPr>
      <w:r>
        <w:rPr>
          <w:rFonts w:ascii="Arial" w:hAnsi="Arial" w:cs="Arial"/>
          <w:sz w:val="22"/>
          <w:szCs w:val="22"/>
        </w:rPr>
        <w:t xml:space="preserve">Otorgar un plazo de 20 días para la adecuación de las </w:t>
      </w:r>
      <w:r>
        <w:rPr>
          <w:rFonts w:ascii="Arial" w:eastAsia="Calibri" w:hAnsi="Arial" w:cs="Arial"/>
          <w:b/>
          <w:sz w:val="22"/>
          <w:szCs w:val="22"/>
        </w:rPr>
        <w:t>consideraciones técnicas</w:t>
      </w:r>
      <w:r>
        <w:rPr>
          <w:rFonts w:ascii="Arial" w:hAnsi="Arial" w:cs="Arial"/>
          <w:sz w:val="22"/>
          <w:szCs w:val="22"/>
        </w:rPr>
        <w:t xml:space="preserve"> recogidas en este informe.”</w:t>
      </w:r>
    </w:p>
    <w:p w:rsidR="009B4233" w:rsidRDefault="006B08B9">
      <w:pPr>
        <w:jc w:val="both"/>
      </w:pPr>
      <w:r>
        <w:rPr>
          <w:rFonts w:ascii="Arial" w:hAnsi="Arial" w:cs="Arial"/>
          <w:sz w:val="22"/>
          <w:szCs w:val="22"/>
        </w:rPr>
        <w:t xml:space="preserve">   Al margen de consideraciones jurídicas, y sometiendo a superior criterio, e</w:t>
      </w:r>
      <w:r>
        <w:rPr>
          <w:rFonts w:ascii="Arial" w:hAnsi="Arial" w:cs="Arial"/>
          <w:sz w:val="22"/>
          <w:szCs w:val="22"/>
        </w:rPr>
        <w:t>s cuanto tengo que informar.”</w:t>
      </w: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6B08B9">
      <w:pPr>
        <w:pStyle w:val="Textoindependiente"/>
        <w:jc w:val="both"/>
        <w:rPr>
          <w:rFonts w:cs="Arial"/>
          <w:b/>
          <w:bCs/>
          <w:szCs w:val="22"/>
        </w:rPr>
      </w:pPr>
      <w:r>
        <w:rPr>
          <w:rFonts w:cs="Arial"/>
          <w:b/>
          <w:bCs/>
          <w:szCs w:val="22"/>
        </w:rPr>
        <w:t xml:space="preserve">     </w:t>
      </w:r>
    </w:p>
    <w:p w:rsidR="009B4233" w:rsidRDefault="009B4233">
      <w:pPr>
        <w:pStyle w:val="Textoindependiente"/>
        <w:jc w:val="both"/>
        <w:rPr>
          <w:rFonts w:cs="Arial"/>
          <w:b/>
          <w:bCs/>
          <w:szCs w:val="22"/>
        </w:rPr>
      </w:pPr>
    </w:p>
    <w:p w:rsidR="009B4233" w:rsidRDefault="009B4233">
      <w:pPr>
        <w:pStyle w:val="Textoindependiente"/>
        <w:jc w:val="both"/>
        <w:rPr>
          <w:rFonts w:cs="Arial"/>
          <w:b/>
          <w:bCs/>
          <w:szCs w:val="22"/>
        </w:rPr>
      </w:pPr>
    </w:p>
    <w:p w:rsidR="009B4233" w:rsidRDefault="009B4233">
      <w:pPr>
        <w:pStyle w:val="Textoindependiente"/>
        <w:jc w:val="both"/>
        <w:rPr>
          <w:rFonts w:cs="Arial"/>
          <w:b/>
          <w:bCs/>
          <w:szCs w:val="22"/>
        </w:rPr>
      </w:pPr>
    </w:p>
    <w:p w:rsidR="009B4233" w:rsidRDefault="009B4233">
      <w:pPr>
        <w:pStyle w:val="Textoindependiente"/>
        <w:jc w:val="both"/>
        <w:rPr>
          <w:rFonts w:cs="Arial"/>
          <w:b/>
          <w:bCs/>
          <w:szCs w:val="22"/>
        </w:rPr>
      </w:pPr>
    </w:p>
    <w:p w:rsidR="009B4233" w:rsidRDefault="009B4233">
      <w:pPr>
        <w:pStyle w:val="Textoindependiente"/>
        <w:jc w:val="both"/>
        <w:rPr>
          <w:rFonts w:cs="Arial"/>
          <w:b/>
          <w:bCs/>
          <w:szCs w:val="22"/>
        </w:rPr>
      </w:pPr>
    </w:p>
    <w:p w:rsidR="009B4233" w:rsidRDefault="009B4233">
      <w:pPr>
        <w:pStyle w:val="Textoindependiente"/>
        <w:jc w:val="both"/>
        <w:rPr>
          <w:rFonts w:cs="Arial"/>
          <w:b/>
          <w:bCs/>
          <w:szCs w:val="22"/>
        </w:rPr>
      </w:pPr>
    </w:p>
    <w:p w:rsidR="009B4233" w:rsidRDefault="009B4233">
      <w:pPr>
        <w:pStyle w:val="Textoindependiente"/>
        <w:jc w:val="both"/>
        <w:rPr>
          <w:rFonts w:cs="Arial"/>
          <w:b/>
          <w:bCs/>
          <w:szCs w:val="22"/>
        </w:rPr>
      </w:pPr>
    </w:p>
    <w:p w:rsidR="009B4233" w:rsidRDefault="009B4233">
      <w:pPr>
        <w:pStyle w:val="Textoindependiente"/>
        <w:jc w:val="both"/>
        <w:rPr>
          <w:rFonts w:cs="Arial"/>
          <w:b/>
          <w:bCs/>
          <w:szCs w:val="22"/>
        </w:rPr>
      </w:pPr>
    </w:p>
    <w:p w:rsidR="009B4233" w:rsidRDefault="009B4233">
      <w:pPr>
        <w:pStyle w:val="Textoindependiente"/>
        <w:jc w:val="both"/>
        <w:rPr>
          <w:rFonts w:cs="Arial"/>
          <w:b/>
          <w:bCs/>
          <w:szCs w:val="22"/>
        </w:rPr>
      </w:pPr>
    </w:p>
    <w:p w:rsidR="009B4233" w:rsidRDefault="009B4233">
      <w:pPr>
        <w:pStyle w:val="Textoindependiente"/>
        <w:jc w:val="both"/>
        <w:rPr>
          <w:rFonts w:cs="Arial"/>
          <w:b/>
          <w:bCs/>
          <w:szCs w:val="22"/>
        </w:rPr>
      </w:pPr>
    </w:p>
    <w:p w:rsidR="009B4233" w:rsidRDefault="009B4233">
      <w:pPr>
        <w:pStyle w:val="Textoindependiente"/>
        <w:jc w:val="both"/>
        <w:rPr>
          <w:rFonts w:cs="Arial"/>
          <w:b/>
          <w:bCs/>
          <w:szCs w:val="22"/>
        </w:rPr>
      </w:pPr>
    </w:p>
    <w:p w:rsidR="009B4233" w:rsidRDefault="009B4233">
      <w:pPr>
        <w:pStyle w:val="Textoindependiente"/>
        <w:jc w:val="both"/>
        <w:rPr>
          <w:rFonts w:cs="Arial"/>
          <w:b/>
          <w:bCs/>
          <w:szCs w:val="22"/>
        </w:rPr>
      </w:pPr>
    </w:p>
    <w:p w:rsidR="009B4233" w:rsidRDefault="009B4233">
      <w:pPr>
        <w:pStyle w:val="Textoindependiente"/>
        <w:jc w:val="both"/>
        <w:rPr>
          <w:rFonts w:cs="Arial"/>
          <w:b/>
          <w:bCs/>
          <w:szCs w:val="22"/>
        </w:rPr>
      </w:pPr>
    </w:p>
    <w:p w:rsidR="009B4233" w:rsidRDefault="009B4233">
      <w:pPr>
        <w:pStyle w:val="Textoindependiente"/>
        <w:jc w:val="both"/>
        <w:rPr>
          <w:rFonts w:cs="Arial"/>
          <w:b/>
          <w:bCs/>
          <w:szCs w:val="22"/>
        </w:rPr>
      </w:pPr>
    </w:p>
    <w:p w:rsidR="009B4233" w:rsidRDefault="009B4233">
      <w:pPr>
        <w:pStyle w:val="Textoindependiente"/>
        <w:jc w:val="both"/>
        <w:rPr>
          <w:rFonts w:cs="Arial"/>
          <w:b/>
          <w:bCs/>
          <w:szCs w:val="22"/>
        </w:rPr>
      </w:pPr>
    </w:p>
    <w:p w:rsidR="009B4233" w:rsidRDefault="009B4233">
      <w:pPr>
        <w:pStyle w:val="Textoindependiente"/>
        <w:jc w:val="both"/>
        <w:rPr>
          <w:rFonts w:cs="Arial"/>
          <w:b/>
          <w:bCs/>
          <w:szCs w:val="22"/>
        </w:rPr>
      </w:pPr>
    </w:p>
    <w:p w:rsidR="009B4233" w:rsidRDefault="009B4233">
      <w:pPr>
        <w:pStyle w:val="Textoindependiente"/>
        <w:jc w:val="both"/>
        <w:rPr>
          <w:rFonts w:cs="Arial"/>
          <w:b/>
          <w:bCs/>
          <w:szCs w:val="22"/>
        </w:rPr>
      </w:pPr>
    </w:p>
    <w:p w:rsidR="009B4233" w:rsidRDefault="006B08B9">
      <w:pPr>
        <w:pStyle w:val="Textoindependiente"/>
        <w:jc w:val="both"/>
      </w:pPr>
      <w:r>
        <w:rPr>
          <w:rFonts w:cs="Arial"/>
          <w:b/>
          <w:bCs/>
          <w:szCs w:val="22"/>
        </w:rPr>
        <w:t xml:space="preserve">Consta en el expediente Informe Jurídico emitido por </w:t>
      </w:r>
      <w:r>
        <w:rPr>
          <w:rFonts w:cs="Arial"/>
          <w:b/>
          <w:szCs w:val="22"/>
        </w:rPr>
        <w:t>Doña Rosa Edelmira González Sabina</w:t>
      </w:r>
      <w:r>
        <w:rPr>
          <w:rFonts w:cs="Arial"/>
          <w:b/>
          <w:bCs/>
          <w:szCs w:val="22"/>
        </w:rPr>
        <w:t xml:space="preserve">, </w:t>
      </w:r>
      <w:r>
        <w:rPr>
          <w:rFonts w:cs="Arial"/>
          <w:b/>
          <w:szCs w:val="22"/>
        </w:rPr>
        <w:t>que desempeña el puesto de Jurista, del 01 de septiembre de 2025,</w:t>
      </w:r>
      <w:r>
        <w:rPr>
          <w:rFonts w:cs="Arial"/>
          <w:b/>
          <w:bCs/>
          <w:szCs w:val="22"/>
        </w:rPr>
        <w:t xml:space="preserve"> debidamente conformado por</w:t>
      </w:r>
      <w:r>
        <w:rPr>
          <w:rFonts w:cs="Arial"/>
          <w:b/>
          <w:szCs w:val="22"/>
        </w:rPr>
        <w:t xml:space="preserve"> Doña María del </w:t>
      </w:r>
      <w:r>
        <w:rPr>
          <w:rFonts w:cs="Arial"/>
          <w:b/>
          <w:szCs w:val="22"/>
        </w:rPr>
        <w:t xml:space="preserve">Pilar Chico Delgado, Secretaria Accidental </w:t>
      </w:r>
      <w:r>
        <w:rPr>
          <w:rFonts w:eastAsia="Calibri" w:cs="Arial"/>
          <w:b/>
          <w:szCs w:val="22"/>
        </w:rPr>
        <w:t>(Decreto nº 2025-1939, de 19 de junio), del 01 de septiembre de 2025</w:t>
      </w:r>
      <w:r>
        <w:rPr>
          <w:rFonts w:cs="Arial"/>
          <w:b/>
          <w:szCs w:val="22"/>
        </w:rPr>
        <w:t>, y fiscalizado favorablemente por la</w:t>
      </w:r>
      <w:r>
        <w:rPr>
          <w:rFonts w:eastAsia="Calibri" w:cs="Arial"/>
          <w:b/>
          <w:szCs w:val="22"/>
        </w:rPr>
        <w:t xml:space="preserve"> interventora Accidental (Decreto nº 2289-2025, de 18 de julio)</w:t>
      </w:r>
      <w:r>
        <w:rPr>
          <w:rFonts w:cs="Arial"/>
          <w:b/>
          <w:szCs w:val="22"/>
        </w:rPr>
        <w:t xml:space="preserve">  Doña Paula Silvia Del Castillo Morales, del</w:t>
      </w:r>
      <w:r>
        <w:rPr>
          <w:rFonts w:cs="Arial"/>
          <w:b/>
          <w:szCs w:val="22"/>
        </w:rPr>
        <w:t xml:space="preserve"> 01 de septiembre de 2025,</w:t>
      </w:r>
      <w:r>
        <w:rPr>
          <w:rFonts w:cs="Arial"/>
          <w:b/>
          <w:bCs/>
          <w:szCs w:val="22"/>
        </w:rPr>
        <w:t xml:space="preserve"> del siguiente tenor literal:</w:t>
      </w: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6B08B9">
      <w:pPr>
        <w:pStyle w:val="Ttulo1"/>
        <w:ind w:right="58"/>
        <w:rPr>
          <w:rFonts w:ascii="Arial" w:hAnsi="Arial" w:cs="Arial"/>
          <w:sz w:val="22"/>
          <w:szCs w:val="22"/>
        </w:rPr>
      </w:pPr>
      <w:r>
        <w:rPr>
          <w:rFonts w:ascii="Arial" w:hAnsi="Arial" w:cs="Arial"/>
          <w:sz w:val="22"/>
          <w:szCs w:val="22"/>
        </w:rPr>
        <w:t xml:space="preserve">“INFORME </w:t>
      </w:r>
    </w:p>
    <w:p w:rsidR="009B4233" w:rsidRDefault="006B08B9">
      <w:pPr>
        <w:ind w:left="-5" w:right="40" w:hanging="10"/>
        <w:jc w:val="both"/>
      </w:pPr>
      <w:r>
        <w:rPr>
          <w:rFonts w:ascii="Arial" w:eastAsia="Calibri" w:hAnsi="Arial" w:cs="Arial"/>
          <w:b/>
          <w:sz w:val="22"/>
          <w:szCs w:val="22"/>
        </w:rPr>
        <w:t xml:space="preserve">Visto el expediente referenciado, la funcionaria Rosa Edelmira González Sabina </w:t>
      </w:r>
    </w:p>
    <w:p w:rsidR="009B4233" w:rsidRDefault="006B08B9">
      <w:pPr>
        <w:spacing w:after="86"/>
        <w:ind w:left="-5" w:right="40" w:hanging="10"/>
        <w:jc w:val="both"/>
      </w:pPr>
      <w:r>
        <w:rPr>
          <w:rFonts w:ascii="Arial" w:eastAsia="Calibri" w:hAnsi="Arial" w:cs="Arial"/>
          <w:b/>
          <w:sz w:val="22"/>
          <w:szCs w:val="22"/>
        </w:rPr>
        <w:t>(Decreto nº 2025-1939, de 19 de junio), que desempeña el puesto de trabajo de Técnico de Administración Gene</w:t>
      </w:r>
      <w:r>
        <w:rPr>
          <w:rFonts w:ascii="Arial" w:eastAsia="Calibri" w:hAnsi="Arial" w:cs="Arial"/>
          <w:b/>
          <w:sz w:val="22"/>
          <w:szCs w:val="22"/>
        </w:rPr>
        <w:t>ral, conformado por la Secretaria Accidental (Decreto nº 2025-1939, de 19 de junio) y fiscalizado favorablemente por la Interventora Accidental (Decreto nº 2289-2025, de 18 de julio), emite el siguiente informe:</w:t>
      </w:r>
    </w:p>
    <w:p w:rsidR="009B4233" w:rsidRDefault="006B08B9">
      <w:pPr>
        <w:spacing w:after="82"/>
      </w:pPr>
      <w:r>
        <w:rPr>
          <w:rFonts w:ascii="Arial" w:eastAsia="Calibri" w:hAnsi="Arial" w:cs="Arial"/>
          <w:sz w:val="22"/>
          <w:szCs w:val="22"/>
        </w:rPr>
        <w:t xml:space="preserve"> </w:t>
      </w:r>
    </w:p>
    <w:p w:rsidR="009B4233" w:rsidRDefault="006B08B9">
      <w:pPr>
        <w:pStyle w:val="Ttulo1"/>
        <w:spacing w:after="330"/>
        <w:ind w:right="56"/>
        <w:rPr>
          <w:rFonts w:ascii="Arial" w:hAnsi="Arial" w:cs="Arial"/>
          <w:sz w:val="22"/>
          <w:szCs w:val="22"/>
        </w:rPr>
      </w:pPr>
      <w:r>
        <w:rPr>
          <w:rFonts w:ascii="Arial" w:hAnsi="Arial" w:cs="Arial"/>
          <w:sz w:val="22"/>
          <w:szCs w:val="22"/>
        </w:rPr>
        <w:t xml:space="preserve">Antecedentes de hecho </w:t>
      </w:r>
    </w:p>
    <w:p w:rsidR="009B4233" w:rsidRDefault="006B08B9">
      <w:pPr>
        <w:spacing w:after="118" w:line="228" w:lineRule="auto"/>
        <w:ind w:left="10" w:right="49" w:hanging="10"/>
        <w:jc w:val="both"/>
      </w:pPr>
      <w:r>
        <w:rPr>
          <w:rFonts w:ascii="Arial" w:eastAsia="Calibri" w:hAnsi="Arial" w:cs="Arial"/>
          <w:b/>
          <w:sz w:val="22"/>
          <w:szCs w:val="22"/>
        </w:rPr>
        <w:t xml:space="preserve">Primero: </w:t>
      </w:r>
      <w:r>
        <w:rPr>
          <w:rFonts w:ascii="Arial" w:eastAsia="Calibri" w:hAnsi="Arial" w:cs="Arial"/>
          <w:sz w:val="22"/>
          <w:szCs w:val="22"/>
        </w:rPr>
        <w:t xml:space="preserve">En sesión </w:t>
      </w:r>
      <w:r>
        <w:rPr>
          <w:rFonts w:ascii="Arial" w:eastAsia="Calibri" w:hAnsi="Arial" w:cs="Arial"/>
          <w:sz w:val="22"/>
          <w:szCs w:val="22"/>
        </w:rPr>
        <w:t>ordinaria del Pleno del Ayuntamiento celebrada el día 4 de agosto de 2023, se acordó encomendar a la entidad GESTUR CANARIAS, S.A., la redacción del proyecto de urbanización y la dirección de obra correspondiente a las obras de urbanización de Rubén Marich</w:t>
      </w:r>
      <w:r>
        <w:rPr>
          <w:rFonts w:ascii="Arial" w:eastAsia="Calibri" w:hAnsi="Arial" w:cs="Arial"/>
          <w:sz w:val="22"/>
          <w:szCs w:val="22"/>
        </w:rPr>
        <w:t xml:space="preserve">al, en Barranco Hondo. </w:t>
      </w:r>
    </w:p>
    <w:p w:rsidR="009B4233" w:rsidRDefault="006B08B9">
      <w:pPr>
        <w:spacing w:after="118" w:line="228" w:lineRule="auto"/>
        <w:ind w:left="10" w:right="49" w:hanging="10"/>
        <w:jc w:val="both"/>
      </w:pPr>
      <w:r>
        <w:rPr>
          <w:rFonts w:ascii="Arial" w:eastAsia="Calibri" w:hAnsi="Arial" w:cs="Arial"/>
          <w:b/>
          <w:sz w:val="22"/>
          <w:szCs w:val="22"/>
        </w:rPr>
        <w:t>Segundo:</w:t>
      </w:r>
      <w:r>
        <w:rPr>
          <w:rFonts w:ascii="Arial" w:eastAsia="Calibri" w:hAnsi="Arial" w:cs="Arial"/>
          <w:sz w:val="22"/>
          <w:szCs w:val="22"/>
        </w:rPr>
        <w:t xml:space="preserve"> Con fecha 3 de noviembre de 2023, se formalizó el encargo a medio propio por parte del Ayuntamiento de Candelaria</w:t>
      </w:r>
    </w:p>
    <w:p w:rsidR="009B4233" w:rsidRDefault="006B08B9">
      <w:pPr>
        <w:spacing w:after="118" w:line="228" w:lineRule="auto"/>
        <w:ind w:left="10" w:right="49" w:hanging="10"/>
        <w:jc w:val="both"/>
      </w:pPr>
      <w:r>
        <w:rPr>
          <w:rFonts w:ascii="Arial" w:eastAsia="Calibri" w:hAnsi="Arial" w:cs="Arial"/>
          <w:b/>
          <w:sz w:val="22"/>
          <w:szCs w:val="22"/>
        </w:rPr>
        <w:t>Tercero:</w:t>
      </w:r>
      <w:r>
        <w:rPr>
          <w:rFonts w:ascii="Arial" w:eastAsia="Calibri" w:hAnsi="Arial" w:cs="Arial"/>
          <w:sz w:val="22"/>
          <w:szCs w:val="22"/>
        </w:rPr>
        <w:t xml:space="preserve"> Con fecha 5 de agosto de 2024, y número de registro de entrada 8779, se presentó la solicitud acompa</w:t>
      </w:r>
      <w:r>
        <w:rPr>
          <w:rFonts w:ascii="Arial" w:eastAsia="Calibri" w:hAnsi="Arial" w:cs="Arial"/>
          <w:sz w:val="22"/>
          <w:szCs w:val="22"/>
        </w:rPr>
        <w:t>ñada del proyecto técnico objeto del encargo.</w:t>
      </w:r>
    </w:p>
    <w:p w:rsidR="009B4233" w:rsidRDefault="006B08B9">
      <w:pPr>
        <w:spacing w:after="473" w:line="228" w:lineRule="auto"/>
        <w:ind w:left="10" w:right="49" w:hanging="10"/>
        <w:jc w:val="both"/>
      </w:pPr>
      <w:r>
        <w:rPr>
          <w:rFonts w:ascii="Arial" w:eastAsia="Calibri" w:hAnsi="Arial" w:cs="Arial"/>
          <w:b/>
          <w:sz w:val="22"/>
          <w:szCs w:val="22"/>
        </w:rPr>
        <w:t>Cuarto:</w:t>
      </w:r>
      <w:r>
        <w:rPr>
          <w:rFonts w:ascii="Arial" w:eastAsia="Calibri" w:hAnsi="Arial" w:cs="Arial"/>
          <w:sz w:val="22"/>
          <w:szCs w:val="22"/>
        </w:rPr>
        <w:t xml:space="preserve"> Con fecha 12 de agosto de 2025, se emitió informe técnico relativo al proyecto presentado, cuyo contenido se transcribe literalmente a continuación:</w:t>
      </w:r>
    </w:p>
    <w:p w:rsidR="009B4233" w:rsidRDefault="006B08B9">
      <w:pPr>
        <w:spacing w:after="86"/>
        <w:ind w:left="10" w:right="57" w:hanging="10"/>
        <w:jc w:val="center"/>
      </w:pPr>
      <w:r>
        <w:rPr>
          <w:rFonts w:ascii="Arial" w:eastAsia="Calibri" w:hAnsi="Arial" w:cs="Arial"/>
          <w:i/>
          <w:sz w:val="22"/>
          <w:szCs w:val="22"/>
        </w:rPr>
        <w:t>“INFORME</w:t>
      </w:r>
    </w:p>
    <w:p w:rsidR="009B4233" w:rsidRDefault="006B08B9">
      <w:pPr>
        <w:spacing w:after="92"/>
        <w:ind w:left="-5" w:right="62" w:hanging="10"/>
        <w:jc w:val="both"/>
        <w:rPr>
          <w:rFonts w:ascii="Arial" w:eastAsia="Calibri" w:hAnsi="Arial" w:cs="Arial"/>
          <w:i/>
          <w:sz w:val="22"/>
          <w:szCs w:val="22"/>
        </w:rPr>
      </w:pPr>
      <w:r>
        <w:rPr>
          <w:rFonts w:ascii="Arial" w:eastAsia="Calibri" w:hAnsi="Arial" w:cs="Arial"/>
          <w:i/>
          <w:sz w:val="22"/>
          <w:szCs w:val="22"/>
        </w:rPr>
        <w:t xml:space="preserve">Visto el expediente antedicho, Javier </w:t>
      </w:r>
      <w:r>
        <w:rPr>
          <w:rFonts w:ascii="Arial" w:eastAsia="Calibri" w:hAnsi="Arial" w:cs="Arial"/>
          <w:i/>
          <w:sz w:val="22"/>
          <w:szCs w:val="22"/>
        </w:rPr>
        <w:t>González Gómez, arquitecto técnico municipal, emite el siguiente informe:</w:t>
      </w:r>
    </w:p>
    <w:p w:rsidR="009B4233" w:rsidRDefault="009B4233">
      <w:pPr>
        <w:spacing w:after="92"/>
        <w:ind w:left="-5" w:right="62" w:hanging="10"/>
        <w:jc w:val="both"/>
        <w:rPr>
          <w:rFonts w:ascii="Arial" w:hAnsi="Arial" w:cs="Arial"/>
          <w:sz w:val="22"/>
          <w:szCs w:val="22"/>
        </w:rPr>
      </w:pPr>
    </w:p>
    <w:p w:rsidR="009B4233" w:rsidRDefault="006B08B9">
      <w:pPr>
        <w:spacing w:after="86"/>
        <w:ind w:left="10" w:right="59" w:hanging="10"/>
        <w:jc w:val="center"/>
      </w:pPr>
      <w:r>
        <w:rPr>
          <w:rFonts w:ascii="Arial" w:eastAsia="Calibri" w:hAnsi="Arial" w:cs="Arial"/>
          <w:i/>
          <w:sz w:val="22"/>
          <w:szCs w:val="22"/>
        </w:rPr>
        <w:t>ANTECEDENTES</w:t>
      </w:r>
    </w:p>
    <w:p w:rsidR="009B4233" w:rsidRDefault="006B08B9">
      <w:pPr>
        <w:spacing w:after="3"/>
        <w:ind w:left="-5" w:right="62" w:hanging="10"/>
        <w:jc w:val="both"/>
        <w:rPr>
          <w:rFonts w:ascii="Arial" w:eastAsia="Calibri" w:hAnsi="Arial" w:cs="Arial"/>
          <w:i/>
          <w:sz w:val="22"/>
          <w:szCs w:val="22"/>
        </w:rPr>
      </w:pPr>
      <w:r>
        <w:rPr>
          <w:rFonts w:ascii="Arial" w:eastAsia="Calibri" w:hAnsi="Arial" w:cs="Arial"/>
          <w:i/>
          <w:sz w:val="22"/>
          <w:szCs w:val="22"/>
        </w:rPr>
        <w:t xml:space="preserve">Consta oficio remitido por el Concejal Delegado de Planificación y Gestión Urbanística y Ambiental; </w:t>
      </w:r>
    </w:p>
    <w:p w:rsidR="009B4233" w:rsidRDefault="009B4233">
      <w:pPr>
        <w:spacing w:after="3"/>
        <w:ind w:left="-5" w:right="62" w:hanging="10"/>
        <w:jc w:val="both"/>
        <w:rPr>
          <w:rFonts w:ascii="Arial" w:hAnsi="Arial" w:cs="Arial"/>
          <w:sz w:val="22"/>
          <w:szCs w:val="22"/>
        </w:rPr>
      </w:pPr>
    </w:p>
    <w:p w:rsidR="009B4233" w:rsidRDefault="006B08B9">
      <w:pPr>
        <w:spacing w:after="123"/>
        <w:ind w:left="-5" w:right="62" w:hanging="10"/>
        <w:jc w:val="both"/>
      </w:pPr>
      <w:r>
        <w:rPr>
          <w:rFonts w:ascii="Arial" w:eastAsia="Calibri" w:hAnsi="Arial" w:cs="Arial"/>
          <w:i/>
          <w:sz w:val="22"/>
          <w:szCs w:val="22"/>
        </w:rPr>
        <w:t>Vivienda y Agenda Urbana, Don Reinaldo José Triviño Blanco solicit</w:t>
      </w:r>
      <w:r>
        <w:rPr>
          <w:rFonts w:ascii="Arial" w:eastAsia="Calibri" w:hAnsi="Arial" w:cs="Arial"/>
          <w:i/>
          <w:sz w:val="22"/>
          <w:szCs w:val="22"/>
        </w:rPr>
        <w:t>ud de oferta económica a Gestur Canarias S.A., de fecha 04 de noviembre de 2022, para “la reparación, actualización y mejora de las obras de urbanización, cuyo alcance deberá valorarse y estudiar entre otros los siguientes servicios:</w:t>
      </w:r>
    </w:p>
    <w:p w:rsidR="009B4233" w:rsidRDefault="006B08B9">
      <w:pPr>
        <w:widowControl/>
        <w:numPr>
          <w:ilvl w:val="0"/>
          <w:numId w:val="89"/>
        </w:numPr>
        <w:suppressAutoHyphens w:val="0"/>
        <w:spacing w:after="129" w:line="249" w:lineRule="auto"/>
        <w:ind w:right="62" w:hanging="360"/>
        <w:jc w:val="both"/>
        <w:textAlignment w:val="auto"/>
      </w:pPr>
      <w:r>
        <w:rPr>
          <w:rFonts w:ascii="Arial" w:eastAsia="Calibri" w:hAnsi="Arial" w:cs="Arial"/>
          <w:i/>
          <w:sz w:val="22"/>
          <w:szCs w:val="22"/>
        </w:rPr>
        <w:t>Saneamiento</w:t>
      </w:r>
    </w:p>
    <w:p w:rsidR="009B4233" w:rsidRDefault="006B08B9">
      <w:pPr>
        <w:widowControl/>
        <w:numPr>
          <w:ilvl w:val="0"/>
          <w:numId w:val="89"/>
        </w:numPr>
        <w:suppressAutoHyphens w:val="0"/>
        <w:spacing w:after="129" w:line="249" w:lineRule="auto"/>
        <w:ind w:right="62" w:hanging="360"/>
        <w:jc w:val="both"/>
        <w:textAlignment w:val="auto"/>
      </w:pPr>
      <w:r>
        <w:rPr>
          <w:rFonts w:ascii="Arial" w:eastAsia="Calibri" w:hAnsi="Arial" w:cs="Arial"/>
          <w:i/>
          <w:sz w:val="22"/>
          <w:szCs w:val="22"/>
        </w:rPr>
        <w:t>Abastecimi</w:t>
      </w:r>
      <w:r>
        <w:rPr>
          <w:rFonts w:ascii="Arial" w:eastAsia="Calibri" w:hAnsi="Arial" w:cs="Arial"/>
          <w:i/>
          <w:sz w:val="22"/>
          <w:szCs w:val="22"/>
        </w:rPr>
        <w:t>ento</w:t>
      </w:r>
    </w:p>
    <w:p w:rsidR="009B4233" w:rsidRDefault="006B08B9">
      <w:pPr>
        <w:widowControl/>
        <w:numPr>
          <w:ilvl w:val="0"/>
          <w:numId w:val="89"/>
        </w:numPr>
        <w:suppressAutoHyphens w:val="0"/>
        <w:spacing w:after="130" w:line="249" w:lineRule="auto"/>
        <w:ind w:right="62" w:hanging="360"/>
        <w:jc w:val="both"/>
        <w:textAlignment w:val="auto"/>
      </w:pPr>
      <w:r>
        <w:rPr>
          <w:rFonts w:ascii="Arial" w:eastAsia="Calibri" w:hAnsi="Arial" w:cs="Arial"/>
          <w:i/>
          <w:sz w:val="22"/>
          <w:szCs w:val="22"/>
        </w:rPr>
        <w:t>Alumbrado público y eficiencia energía</w:t>
      </w:r>
    </w:p>
    <w:p w:rsidR="009B4233" w:rsidRDefault="006B08B9">
      <w:pPr>
        <w:widowControl/>
        <w:numPr>
          <w:ilvl w:val="0"/>
          <w:numId w:val="89"/>
        </w:numPr>
        <w:suppressAutoHyphens w:val="0"/>
        <w:spacing w:after="3" w:line="249" w:lineRule="auto"/>
        <w:ind w:right="62" w:hanging="360"/>
        <w:jc w:val="both"/>
        <w:textAlignment w:val="auto"/>
      </w:pPr>
      <w:r>
        <w:rPr>
          <w:rFonts w:ascii="Arial" w:eastAsia="Calibri" w:hAnsi="Arial" w:cs="Arial"/>
          <w:i/>
          <w:sz w:val="22"/>
          <w:szCs w:val="22"/>
        </w:rPr>
        <w:t>Pluviales</w:t>
      </w:r>
    </w:p>
    <w:p w:rsidR="009B4233" w:rsidRDefault="006B08B9">
      <w:pPr>
        <w:widowControl/>
        <w:numPr>
          <w:ilvl w:val="0"/>
          <w:numId w:val="89"/>
        </w:numPr>
        <w:suppressAutoHyphens w:val="0"/>
        <w:spacing w:after="129" w:line="249" w:lineRule="auto"/>
        <w:ind w:right="62" w:hanging="360"/>
        <w:jc w:val="both"/>
        <w:textAlignment w:val="auto"/>
      </w:pPr>
      <w:r>
        <w:rPr>
          <w:rFonts w:ascii="Arial" w:eastAsia="Calibri" w:hAnsi="Arial" w:cs="Arial"/>
          <w:i/>
          <w:sz w:val="22"/>
          <w:szCs w:val="22"/>
        </w:rPr>
        <w:t>Cumplimiento de la normativa de accesibilidad</w:t>
      </w:r>
    </w:p>
    <w:p w:rsidR="009B4233" w:rsidRDefault="006B08B9">
      <w:pPr>
        <w:widowControl/>
        <w:numPr>
          <w:ilvl w:val="0"/>
          <w:numId w:val="89"/>
        </w:numPr>
        <w:suppressAutoHyphens w:val="0"/>
        <w:spacing w:after="129" w:line="249" w:lineRule="auto"/>
        <w:ind w:right="62" w:hanging="360"/>
        <w:jc w:val="both"/>
        <w:textAlignment w:val="auto"/>
      </w:pPr>
      <w:r>
        <w:rPr>
          <w:rFonts w:ascii="Arial" w:eastAsia="Calibri" w:hAnsi="Arial" w:cs="Arial"/>
          <w:i/>
          <w:sz w:val="22"/>
          <w:szCs w:val="22"/>
        </w:rPr>
        <w:t>Riego y jardinería</w:t>
      </w:r>
    </w:p>
    <w:p w:rsidR="009B4233" w:rsidRDefault="006B08B9">
      <w:pPr>
        <w:widowControl/>
        <w:numPr>
          <w:ilvl w:val="0"/>
          <w:numId w:val="89"/>
        </w:numPr>
        <w:suppressAutoHyphens w:val="0"/>
        <w:spacing w:after="129" w:line="249" w:lineRule="auto"/>
        <w:ind w:right="62" w:hanging="360"/>
        <w:jc w:val="both"/>
        <w:textAlignment w:val="auto"/>
      </w:pPr>
      <w:r>
        <w:rPr>
          <w:rFonts w:ascii="Arial" w:eastAsia="Calibri" w:hAnsi="Arial" w:cs="Arial"/>
          <w:i/>
          <w:sz w:val="22"/>
          <w:szCs w:val="22"/>
        </w:rPr>
        <w:t>Descolgamientos de los muros perimetrales de la urbanización</w:t>
      </w:r>
    </w:p>
    <w:p w:rsidR="009B4233" w:rsidRDefault="006B08B9">
      <w:pPr>
        <w:widowControl/>
        <w:numPr>
          <w:ilvl w:val="0"/>
          <w:numId w:val="89"/>
        </w:numPr>
        <w:suppressAutoHyphens w:val="0"/>
        <w:spacing w:after="130" w:line="249" w:lineRule="auto"/>
        <w:ind w:right="62" w:hanging="360"/>
        <w:jc w:val="both"/>
        <w:textAlignment w:val="auto"/>
      </w:pPr>
      <w:r>
        <w:rPr>
          <w:rFonts w:ascii="Arial" w:eastAsia="Calibri" w:hAnsi="Arial" w:cs="Arial"/>
          <w:i/>
          <w:sz w:val="22"/>
          <w:szCs w:val="22"/>
        </w:rPr>
        <w:t>Pavimentos</w:t>
      </w:r>
    </w:p>
    <w:p w:rsidR="009B4233" w:rsidRDefault="006B08B9">
      <w:pPr>
        <w:widowControl/>
        <w:numPr>
          <w:ilvl w:val="0"/>
          <w:numId w:val="89"/>
        </w:numPr>
        <w:suppressAutoHyphens w:val="0"/>
        <w:spacing w:after="136" w:line="249" w:lineRule="auto"/>
        <w:ind w:right="62" w:hanging="360"/>
        <w:jc w:val="both"/>
        <w:textAlignment w:val="auto"/>
      </w:pPr>
      <w:r>
        <w:rPr>
          <w:rFonts w:ascii="Arial" w:eastAsia="Calibri" w:hAnsi="Arial" w:cs="Arial"/>
          <w:i/>
          <w:sz w:val="22"/>
          <w:szCs w:val="22"/>
        </w:rPr>
        <w:t>Telecomunicaciones</w:t>
      </w:r>
    </w:p>
    <w:p w:rsidR="009B4233" w:rsidRDefault="006B08B9">
      <w:pPr>
        <w:widowControl/>
        <w:numPr>
          <w:ilvl w:val="0"/>
          <w:numId w:val="89"/>
        </w:numPr>
        <w:suppressAutoHyphens w:val="0"/>
        <w:spacing w:after="128" w:line="249" w:lineRule="auto"/>
        <w:ind w:right="62" w:hanging="360"/>
        <w:jc w:val="both"/>
        <w:textAlignment w:val="auto"/>
      </w:pPr>
      <w:r>
        <w:rPr>
          <w:rFonts w:ascii="Arial" w:eastAsia="Calibri" w:hAnsi="Arial" w:cs="Arial"/>
          <w:i/>
          <w:sz w:val="22"/>
          <w:szCs w:val="22"/>
        </w:rPr>
        <w:t>…”</w:t>
      </w:r>
    </w:p>
    <w:p w:rsidR="009B4233" w:rsidRDefault="006B08B9">
      <w:pPr>
        <w:spacing w:after="120"/>
        <w:ind w:left="-5" w:right="62" w:hanging="10"/>
        <w:jc w:val="both"/>
      </w:pPr>
      <w:r>
        <w:rPr>
          <w:rFonts w:ascii="Arial" w:eastAsia="Calibri" w:hAnsi="Arial" w:cs="Arial"/>
          <w:i/>
          <w:sz w:val="22"/>
          <w:szCs w:val="22"/>
        </w:rPr>
        <w:t xml:space="preserve">Consta propuesta de encomienda de la </w:t>
      </w:r>
      <w:r>
        <w:rPr>
          <w:rFonts w:ascii="Arial" w:eastAsia="Calibri" w:hAnsi="Arial" w:cs="Arial"/>
          <w:i/>
          <w:sz w:val="22"/>
          <w:szCs w:val="22"/>
        </w:rPr>
        <w:t>Alcaldesa-Presidenta del Ayuntamiento de la Villa de Candelaria María Concepción Brito Núñez de 28 de julio de 2023 a Gestur Canarias S.A.</w:t>
      </w:r>
    </w:p>
    <w:p w:rsidR="009B4233" w:rsidRDefault="006B08B9">
      <w:pPr>
        <w:spacing w:after="120"/>
        <w:ind w:left="-5" w:right="62" w:hanging="10"/>
        <w:jc w:val="both"/>
      </w:pPr>
      <w:r>
        <w:rPr>
          <w:rFonts w:ascii="Arial" w:eastAsia="Calibri" w:hAnsi="Arial" w:cs="Arial"/>
          <w:i/>
          <w:sz w:val="22"/>
          <w:szCs w:val="22"/>
        </w:rPr>
        <w:t xml:space="preserve">Consta registro de entrada REGAGE24e00058549190, de fecha 02 de agosto de 2024, como documento anexado del “PROYECTO </w:t>
      </w:r>
      <w:r>
        <w:rPr>
          <w:rFonts w:ascii="Arial" w:eastAsia="Calibri" w:hAnsi="Arial" w:cs="Arial"/>
          <w:i/>
          <w:sz w:val="22"/>
          <w:szCs w:val="22"/>
        </w:rPr>
        <w:t>DE REHABILITACIÓN Y MEJORAS DE LA URBANIZACIÓN RUBENS MARICHAL” por parte de Gestur Canarias S.A. con NIF A38021762 mediante el Sistema de Interconexión de Registros.</w:t>
      </w:r>
    </w:p>
    <w:p w:rsidR="009B4233" w:rsidRDefault="006B08B9">
      <w:pPr>
        <w:spacing w:after="120"/>
        <w:ind w:left="-5" w:right="62" w:hanging="10"/>
        <w:jc w:val="both"/>
      </w:pPr>
      <w:r>
        <w:rPr>
          <w:rFonts w:ascii="Arial" w:eastAsia="Calibri" w:hAnsi="Arial" w:cs="Arial"/>
          <w:i/>
          <w:sz w:val="22"/>
          <w:szCs w:val="22"/>
        </w:rPr>
        <w:t>El 09 de julio de 2025, mediante tarea T/2025/12352, el concejal delegado solicita al téc</w:t>
      </w:r>
      <w:r>
        <w:rPr>
          <w:rFonts w:ascii="Arial" w:eastAsia="Calibri" w:hAnsi="Arial" w:cs="Arial"/>
          <w:i/>
          <w:sz w:val="22"/>
          <w:szCs w:val="22"/>
        </w:rPr>
        <w:t>nico que suscribe este informe, la supervisión y aprobación, si procede, del proyecto del asunto.</w:t>
      </w:r>
    </w:p>
    <w:p w:rsidR="009B4233" w:rsidRDefault="006B08B9">
      <w:pPr>
        <w:spacing w:after="120"/>
        <w:ind w:left="-5" w:right="62" w:hanging="10"/>
        <w:jc w:val="both"/>
      </w:pPr>
      <w:r>
        <w:rPr>
          <w:rFonts w:ascii="Arial" w:eastAsia="Calibri" w:hAnsi="Arial" w:cs="Arial"/>
          <w:i/>
          <w:sz w:val="22"/>
          <w:szCs w:val="22"/>
        </w:rPr>
        <w:t>El concejal delegado del encargo dispone del personal Manuel Pais Chávez como colaborador en la valoración del proyecto.</w:t>
      </w:r>
    </w:p>
    <w:p w:rsidR="009B4233" w:rsidRDefault="006B08B9">
      <w:pPr>
        <w:spacing w:after="360"/>
        <w:ind w:left="-5" w:right="62" w:hanging="10"/>
        <w:jc w:val="both"/>
      </w:pPr>
      <w:r>
        <w:rPr>
          <w:rFonts w:ascii="Arial" w:eastAsia="Calibri" w:hAnsi="Arial" w:cs="Arial"/>
          <w:i/>
          <w:sz w:val="22"/>
          <w:szCs w:val="22"/>
        </w:rPr>
        <w:t>Consta expediente 12455/2024 de fecha</w:t>
      </w:r>
      <w:r>
        <w:rPr>
          <w:rFonts w:ascii="Arial" w:eastAsia="Calibri" w:hAnsi="Arial" w:cs="Arial"/>
          <w:i/>
          <w:sz w:val="22"/>
          <w:szCs w:val="22"/>
        </w:rPr>
        <w:t xml:space="preserve"> 11 de noviembre de 2024 “Encomienda a Gesplan redacción de proyecto para saneamiento y Estación Depuradora de Aguas Residuales (EDAR) de Barranco Hondo”.</w:t>
      </w:r>
    </w:p>
    <w:p w:rsidR="009B4233" w:rsidRDefault="006B08B9">
      <w:pPr>
        <w:spacing w:after="86"/>
        <w:ind w:left="10" w:right="62" w:hanging="10"/>
        <w:jc w:val="center"/>
        <w:rPr>
          <w:rFonts w:ascii="Arial" w:eastAsia="Calibri" w:hAnsi="Arial" w:cs="Arial"/>
          <w:i/>
          <w:sz w:val="22"/>
          <w:szCs w:val="22"/>
          <w:u w:val="single" w:color="000000"/>
        </w:rPr>
      </w:pPr>
      <w:r>
        <w:rPr>
          <w:rFonts w:ascii="Arial" w:eastAsia="Calibri" w:hAnsi="Arial" w:cs="Arial"/>
          <w:i/>
          <w:sz w:val="22"/>
          <w:szCs w:val="22"/>
          <w:u w:val="single" w:color="000000"/>
        </w:rPr>
        <w:t>INFORME TÉCNICO – CONTENIDO DEL PROYECTO</w:t>
      </w:r>
    </w:p>
    <w:p w:rsidR="009B4233" w:rsidRDefault="009B4233">
      <w:pPr>
        <w:spacing w:after="86"/>
        <w:ind w:left="10" w:right="62" w:hanging="10"/>
        <w:jc w:val="center"/>
        <w:rPr>
          <w:rFonts w:ascii="Arial" w:hAnsi="Arial" w:cs="Arial"/>
          <w:sz w:val="22"/>
          <w:szCs w:val="22"/>
        </w:rPr>
      </w:pPr>
    </w:p>
    <w:p w:rsidR="009B4233" w:rsidRDefault="006B08B9">
      <w:pPr>
        <w:spacing w:after="86"/>
        <w:ind w:left="-5" w:right="62" w:hanging="10"/>
        <w:jc w:val="both"/>
      </w:pPr>
      <w:r>
        <w:rPr>
          <w:rFonts w:ascii="Arial" w:eastAsia="Calibri" w:hAnsi="Arial" w:cs="Arial"/>
          <w:i/>
          <w:sz w:val="22"/>
          <w:szCs w:val="22"/>
        </w:rPr>
        <w:t xml:space="preserve">DESCRIPCIÓN DE LAS OBRAS </w:t>
      </w:r>
    </w:p>
    <w:p w:rsidR="009B4233" w:rsidRDefault="006B08B9">
      <w:pPr>
        <w:spacing w:after="240"/>
        <w:ind w:left="-5" w:right="62" w:hanging="10"/>
        <w:jc w:val="both"/>
      </w:pPr>
      <w:r>
        <w:rPr>
          <w:rFonts w:ascii="Arial" w:eastAsia="Calibri" w:hAnsi="Arial" w:cs="Arial"/>
          <w:i/>
          <w:sz w:val="22"/>
          <w:szCs w:val="22"/>
        </w:rPr>
        <w:t xml:space="preserve">El proyecto tiene por objeto </w:t>
      </w:r>
      <w:r>
        <w:rPr>
          <w:rFonts w:ascii="Arial" w:eastAsia="Calibri" w:hAnsi="Arial" w:cs="Arial"/>
          <w:i/>
          <w:sz w:val="22"/>
          <w:szCs w:val="22"/>
        </w:rPr>
        <w:t>definir el conjunto de características, normas, condiciones y tipo de materiales que deberán corresponder a las obras que en él se definen, siendo estas las siguientes:</w:t>
      </w:r>
    </w:p>
    <w:p w:rsidR="009B4233" w:rsidRDefault="006B08B9">
      <w:pPr>
        <w:spacing w:after="120"/>
        <w:ind w:left="-5" w:right="62" w:hanging="10"/>
        <w:jc w:val="both"/>
      </w:pPr>
      <w:r>
        <w:rPr>
          <w:rFonts w:ascii="Arial" w:eastAsia="Calibri" w:hAnsi="Arial" w:cs="Arial"/>
          <w:i/>
          <w:sz w:val="22"/>
          <w:szCs w:val="22"/>
        </w:rPr>
        <w:t>DEMOLICIONES Y MOVIMIENTO DE TIERRAS</w:t>
      </w:r>
    </w:p>
    <w:p w:rsidR="009B4233" w:rsidRDefault="006B08B9">
      <w:pPr>
        <w:spacing w:after="3"/>
        <w:ind w:left="-5" w:right="62" w:hanging="10"/>
        <w:jc w:val="both"/>
      </w:pPr>
      <w:r>
        <w:rPr>
          <w:rFonts w:ascii="Arial" w:eastAsia="Calibri" w:hAnsi="Arial" w:cs="Arial"/>
          <w:i/>
          <w:sz w:val="22"/>
          <w:szCs w:val="22"/>
        </w:rPr>
        <w:t>Comprende los trabajos necesarios para efectuar la</w:t>
      </w:r>
      <w:r>
        <w:rPr>
          <w:rFonts w:ascii="Arial" w:eastAsia="Calibri" w:hAnsi="Arial" w:cs="Arial"/>
          <w:i/>
          <w:sz w:val="22"/>
          <w:szCs w:val="22"/>
        </w:rPr>
        <w:t xml:space="preserve"> instalación de las redes de abastecimiento, saneamiento y pluviales, tanto principales como terciarias. Para ello, se contempla el corte y levantado de asfalto para la apertura de zanjas en la calzada, así como la demolición del pavimento de aceras.</w:t>
      </w:r>
    </w:p>
    <w:p w:rsidR="009B4233" w:rsidRDefault="006B08B9">
      <w:pPr>
        <w:spacing w:after="3"/>
        <w:ind w:left="-5" w:right="62" w:hanging="10"/>
        <w:jc w:val="both"/>
      </w:pPr>
      <w:r>
        <w:rPr>
          <w:rFonts w:ascii="Arial" w:eastAsia="Calibri" w:hAnsi="Arial" w:cs="Arial"/>
          <w:i/>
          <w:sz w:val="22"/>
          <w:szCs w:val="22"/>
        </w:rPr>
        <w:t>Tambi</w:t>
      </w:r>
      <w:r>
        <w:rPr>
          <w:rFonts w:ascii="Arial" w:eastAsia="Calibri" w:hAnsi="Arial" w:cs="Arial"/>
          <w:i/>
          <w:sz w:val="22"/>
          <w:szCs w:val="22"/>
        </w:rPr>
        <w:t>én son precisas demoliciones de aceras y pavimentos para la reestructuración de la sección de dos de las calles de la urbanización, Álvaro Peña Ramos y Adelina Peña Ramos Maestra, con el fin de permitir la circulación de vehículos de manera segura en dos c</w:t>
      </w:r>
      <w:r>
        <w:rPr>
          <w:rFonts w:ascii="Arial" w:eastAsia="Calibri" w:hAnsi="Arial" w:cs="Arial"/>
          <w:i/>
          <w:sz w:val="22"/>
          <w:szCs w:val="22"/>
        </w:rPr>
        <w:t>arriles diferenciados, aparcamiento en línea e itinerario peatonal accesible.</w:t>
      </w:r>
    </w:p>
    <w:p w:rsidR="009B4233" w:rsidRDefault="006B08B9">
      <w:pPr>
        <w:spacing w:after="240"/>
        <w:ind w:left="-5" w:right="62" w:hanging="10"/>
        <w:jc w:val="both"/>
      </w:pPr>
      <w:r>
        <w:rPr>
          <w:rFonts w:ascii="Arial" w:eastAsia="Calibri" w:hAnsi="Arial" w:cs="Arial"/>
          <w:i/>
          <w:sz w:val="22"/>
          <w:szCs w:val="22"/>
        </w:rPr>
        <w:t>Por otro lado, se incluyen en este capítulo también todas aquellas labores que sean requeridas para la ejecución de los muros de contención proyectados. Para ello, se contempla l</w:t>
      </w:r>
      <w:r>
        <w:rPr>
          <w:rFonts w:ascii="Arial" w:eastAsia="Calibri" w:hAnsi="Arial" w:cs="Arial"/>
          <w:i/>
          <w:sz w:val="22"/>
          <w:szCs w:val="22"/>
        </w:rPr>
        <w:t>a demolición total de algunos tramos de calle y/o peatonales, con el desmonte necesario para la ejecución de las estructuras de contención, así como su posterior relleno con material.</w:t>
      </w:r>
    </w:p>
    <w:p w:rsidR="009B4233" w:rsidRDefault="006B08B9">
      <w:pPr>
        <w:spacing w:after="120"/>
        <w:ind w:left="-5" w:right="62" w:hanging="10"/>
        <w:jc w:val="both"/>
      </w:pPr>
      <w:r>
        <w:rPr>
          <w:rFonts w:ascii="Arial" w:eastAsia="Calibri" w:hAnsi="Arial" w:cs="Arial"/>
          <w:i/>
          <w:sz w:val="22"/>
          <w:szCs w:val="22"/>
        </w:rPr>
        <w:t>MUROS</w:t>
      </w:r>
    </w:p>
    <w:p w:rsidR="009B4233" w:rsidRDefault="006B08B9">
      <w:pPr>
        <w:spacing w:after="3"/>
        <w:ind w:left="-5" w:right="62" w:hanging="10"/>
        <w:jc w:val="both"/>
      </w:pPr>
      <w:r>
        <w:rPr>
          <w:rFonts w:ascii="Arial" w:eastAsia="Calibri" w:hAnsi="Arial" w:cs="Arial"/>
          <w:i/>
          <w:sz w:val="22"/>
          <w:szCs w:val="22"/>
        </w:rPr>
        <w:t>Se proyecta la ejecución de muros de hormigón en masa, como restit</w:t>
      </w:r>
      <w:r>
        <w:rPr>
          <w:rFonts w:ascii="Arial" w:eastAsia="Calibri" w:hAnsi="Arial" w:cs="Arial"/>
          <w:i/>
          <w:sz w:val="22"/>
          <w:szCs w:val="22"/>
        </w:rPr>
        <w:t>ución de los existentes, para la contención de las escalinatas peatonales que bordean el perímetro del ámbito. También se ejecutarán nuevos muros para la contención del fondo de saco de la Calle Álvaro Peña Ramos y de la explanación de la estación depurado</w:t>
      </w:r>
      <w:r>
        <w:rPr>
          <w:rFonts w:ascii="Arial" w:eastAsia="Calibri" w:hAnsi="Arial" w:cs="Arial"/>
          <w:i/>
          <w:sz w:val="22"/>
          <w:szCs w:val="22"/>
        </w:rPr>
        <w:t>ra.</w:t>
      </w:r>
    </w:p>
    <w:p w:rsidR="009B4233" w:rsidRDefault="006B08B9">
      <w:pPr>
        <w:spacing w:after="3"/>
        <w:ind w:left="-5" w:right="62" w:hanging="10"/>
        <w:jc w:val="both"/>
        <w:rPr>
          <w:rFonts w:ascii="Arial" w:eastAsia="Calibri" w:hAnsi="Arial" w:cs="Arial"/>
          <w:i/>
          <w:sz w:val="22"/>
          <w:szCs w:val="22"/>
        </w:rPr>
      </w:pPr>
      <w:r>
        <w:rPr>
          <w:rFonts w:ascii="Arial" w:eastAsia="Calibri" w:hAnsi="Arial" w:cs="Arial"/>
          <w:i/>
          <w:sz w:val="22"/>
          <w:szCs w:val="22"/>
        </w:rPr>
        <w:t xml:space="preserve">Los muros de contención proyectados cuentan con trasdós inclinado en relación 1:3 e intradós vertical con cara vista de piedra, para minimizar el impacto paisajístico y mimetizarlos con el entorno próximo. </w:t>
      </w:r>
    </w:p>
    <w:p w:rsidR="009B4233" w:rsidRDefault="009B4233">
      <w:pPr>
        <w:spacing w:after="3"/>
        <w:ind w:left="-5" w:right="62" w:hanging="10"/>
        <w:jc w:val="both"/>
        <w:rPr>
          <w:rFonts w:ascii="Arial" w:hAnsi="Arial" w:cs="Arial"/>
          <w:sz w:val="22"/>
          <w:szCs w:val="22"/>
        </w:rPr>
      </w:pPr>
    </w:p>
    <w:p w:rsidR="009B4233" w:rsidRDefault="006B08B9">
      <w:pPr>
        <w:spacing w:after="28" w:line="218" w:lineRule="auto"/>
        <w:ind w:left="-5" w:right="1536" w:hanging="10"/>
        <w:jc w:val="both"/>
      </w:pPr>
      <w:r>
        <w:rPr>
          <w:rFonts w:ascii="Arial" w:eastAsia="Calibri" w:hAnsi="Arial" w:cs="Arial"/>
          <w:i/>
          <w:sz w:val="22"/>
          <w:szCs w:val="22"/>
        </w:rPr>
        <w:t>La definición de los muros queda definida en</w:t>
      </w:r>
      <w:r>
        <w:rPr>
          <w:rFonts w:ascii="Arial" w:eastAsia="Calibri" w:hAnsi="Arial" w:cs="Arial"/>
          <w:i/>
          <w:sz w:val="22"/>
          <w:szCs w:val="22"/>
        </w:rPr>
        <w:t xml:space="preserve"> los planos de secciones y detalles. Las características de los muros a ejecutar, así como los cálculos estructurales de los mismos quedan definidos en el Anejo nº 7 de Justificación de la estabilidad de muros.</w:t>
      </w:r>
    </w:p>
    <w:p w:rsidR="009B4233" w:rsidRDefault="006B08B9">
      <w:pPr>
        <w:spacing w:after="240"/>
        <w:ind w:left="-5" w:right="62" w:hanging="10"/>
        <w:jc w:val="both"/>
      </w:pPr>
      <w:r>
        <w:rPr>
          <w:rFonts w:ascii="Arial" w:eastAsia="Calibri" w:hAnsi="Arial" w:cs="Arial"/>
          <w:i/>
          <w:sz w:val="22"/>
          <w:szCs w:val="22"/>
        </w:rPr>
        <w:t>Por otro lado, en los planos correspondientes</w:t>
      </w:r>
      <w:r>
        <w:rPr>
          <w:rFonts w:ascii="Arial" w:eastAsia="Calibri" w:hAnsi="Arial" w:cs="Arial"/>
          <w:i/>
          <w:sz w:val="22"/>
          <w:szCs w:val="22"/>
        </w:rPr>
        <w:t xml:space="preserve"> se recogen todos los detalles necesarios para la correcta definición de estas estructuras.</w:t>
      </w:r>
    </w:p>
    <w:p w:rsidR="009B4233" w:rsidRDefault="006B08B9">
      <w:pPr>
        <w:spacing w:after="120"/>
        <w:ind w:left="-5" w:right="62" w:hanging="10"/>
        <w:jc w:val="both"/>
      </w:pPr>
      <w:r>
        <w:rPr>
          <w:rFonts w:ascii="Arial" w:eastAsia="Calibri" w:hAnsi="Arial" w:cs="Arial"/>
          <w:i/>
          <w:sz w:val="22"/>
          <w:szCs w:val="22"/>
        </w:rPr>
        <w:t>RED DE ABASTECIMIENTO</w:t>
      </w:r>
    </w:p>
    <w:p w:rsidR="009B4233" w:rsidRDefault="006B08B9">
      <w:pPr>
        <w:spacing w:after="3"/>
        <w:ind w:left="-5" w:right="62" w:hanging="10"/>
        <w:jc w:val="both"/>
      </w:pPr>
      <w:r>
        <w:rPr>
          <w:rFonts w:ascii="Arial" w:eastAsia="Calibri" w:hAnsi="Arial" w:cs="Arial"/>
          <w:i/>
          <w:sz w:val="22"/>
          <w:szCs w:val="22"/>
        </w:rPr>
        <w:t xml:space="preserve">Se proyecta la sustitución de la red terciaria, que discurre bajo acera, diseñada en polietileno (PE) de diámetro 63 mm, a las que se acoplan </w:t>
      </w:r>
      <w:r>
        <w:rPr>
          <w:rFonts w:ascii="Arial" w:eastAsia="Calibri" w:hAnsi="Arial" w:cs="Arial"/>
          <w:i/>
          <w:sz w:val="22"/>
          <w:szCs w:val="22"/>
        </w:rPr>
        <w:t>las acometidas a cada una de las parcelas en diámetro 32 mm mediante arqueta y válvula.</w:t>
      </w:r>
    </w:p>
    <w:p w:rsidR="009B4233" w:rsidRDefault="006B08B9">
      <w:pPr>
        <w:spacing w:after="240"/>
        <w:ind w:left="-5" w:right="62" w:hanging="10"/>
        <w:jc w:val="both"/>
      </w:pPr>
      <w:r>
        <w:rPr>
          <w:rFonts w:ascii="Arial" w:eastAsia="Calibri" w:hAnsi="Arial" w:cs="Arial"/>
          <w:i/>
          <w:sz w:val="22"/>
          <w:szCs w:val="22"/>
        </w:rPr>
        <w:t>Por otro lado, en cuanto a la seguridad frente a incendios, se proyecta la sustitución de los hidrantes existentes por hidrantes enterrados.</w:t>
      </w:r>
    </w:p>
    <w:p w:rsidR="009B4233" w:rsidRDefault="006B08B9">
      <w:pPr>
        <w:spacing w:after="120"/>
        <w:ind w:left="-5" w:right="62" w:hanging="10"/>
        <w:jc w:val="both"/>
      </w:pPr>
      <w:r>
        <w:rPr>
          <w:rFonts w:ascii="Arial" w:eastAsia="Calibri" w:hAnsi="Arial" w:cs="Arial"/>
          <w:i/>
          <w:sz w:val="22"/>
          <w:szCs w:val="22"/>
        </w:rPr>
        <w:t>ESTACIÓN DEPURADORA DE AGUA</w:t>
      </w:r>
      <w:r>
        <w:rPr>
          <w:rFonts w:ascii="Arial" w:eastAsia="Calibri" w:hAnsi="Arial" w:cs="Arial"/>
          <w:i/>
          <w:sz w:val="22"/>
          <w:szCs w:val="22"/>
        </w:rPr>
        <w:t>S RESIDUALES</w:t>
      </w:r>
    </w:p>
    <w:p w:rsidR="009B4233" w:rsidRDefault="006B08B9">
      <w:pPr>
        <w:spacing w:after="3"/>
        <w:ind w:left="-5" w:right="62" w:hanging="10"/>
        <w:jc w:val="both"/>
      </w:pPr>
      <w:r>
        <w:rPr>
          <w:rFonts w:ascii="Arial" w:eastAsia="Calibri" w:hAnsi="Arial" w:cs="Arial"/>
          <w:i/>
          <w:sz w:val="22"/>
          <w:szCs w:val="22"/>
        </w:rPr>
        <w:t>Se proyecta una estación depuradora de aguas residuales urbanas (EDAR) mediante sistema MBBR (lecho móvil) con sistema de eliminación de nitrógeno. Se proyecta una estación prefabricada, consistente en tanques cilíndricos construidos en P.R.F.</w:t>
      </w:r>
      <w:r>
        <w:rPr>
          <w:rFonts w:ascii="Arial" w:eastAsia="Calibri" w:hAnsi="Arial" w:cs="Arial"/>
          <w:i/>
          <w:sz w:val="22"/>
          <w:szCs w:val="22"/>
        </w:rPr>
        <w:t>V.</w:t>
      </w:r>
    </w:p>
    <w:p w:rsidR="009B4233" w:rsidRDefault="006B08B9">
      <w:pPr>
        <w:spacing w:after="3"/>
        <w:ind w:left="-5" w:right="62" w:hanging="10"/>
        <w:jc w:val="both"/>
      </w:pPr>
      <w:r>
        <w:rPr>
          <w:rFonts w:ascii="Arial" w:eastAsia="Calibri" w:hAnsi="Arial" w:cs="Arial"/>
          <w:i/>
          <w:sz w:val="22"/>
          <w:szCs w:val="22"/>
        </w:rPr>
        <w:t>El Tratamiento Biológico estará dimensionado para el caudal diario de tratamiento considerando un factor horario punta. En caso de red unitaria, será necesaria la disposición de un aliviadero a la entrada de la planta para evacuar el posible exceso de c</w:t>
      </w:r>
      <w:r>
        <w:rPr>
          <w:rFonts w:ascii="Arial" w:eastAsia="Calibri" w:hAnsi="Arial" w:cs="Arial"/>
          <w:i/>
          <w:sz w:val="22"/>
          <w:szCs w:val="22"/>
        </w:rPr>
        <w:t>audal, teniendo en cuenta que, al menos durante un tiempo, la mayor parte de las parcelas seguirán vertiendo las aguas pluviales a la red de saneamiento.</w:t>
      </w:r>
    </w:p>
    <w:p w:rsidR="009B4233" w:rsidRDefault="006B08B9">
      <w:pPr>
        <w:widowControl/>
        <w:numPr>
          <w:ilvl w:val="0"/>
          <w:numId w:val="90"/>
        </w:numPr>
        <w:suppressAutoHyphens w:val="0"/>
        <w:spacing w:after="3" w:line="249" w:lineRule="auto"/>
        <w:ind w:right="62" w:hanging="126"/>
        <w:jc w:val="both"/>
        <w:textAlignment w:val="auto"/>
      </w:pPr>
      <w:r>
        <w:rPr>
          <w:rFonts w:ascii="Arial" w:eastAsia="Calibri" w:hAnsi="Arial" w:cs="Arial"/>
          <w:i/>
          <w:sz w:val="22"/>
          <w:szCs w:val="22"/>
        </w:rPr>
        <w:t>Alimentación considerada: 400 V III, 50 Hz.</w:t>
      </w:r>
    </w:p>
    <w:p w:rsidR="009B4233" w:rsidRDefault="006B08B9">
      <w:pPr>
        <w:widowControl/>
        <w:numPr>
          <w:ilvl w:val="0"/>
          <w:numId w:val="90"/>
        </w:numPr>
        <w:suppressAutoHyphens w:val="0"/>
        <w:spacing w:after="3" w:line="249" w:lineRule="auto"/>
        <w:ind w:right="62" w:hanging="126"/>
        <w:jc w:val="both"/>
        <w:textAlignment w:val="auto"/>
      </w:pPr>
      <w:r>
        <w:rPr>
          <w:rFonts w:ascii="Arial" w:eastAsia="Calibri" w:hAnsi="Arial" w:cs="Arial"/>
          <w:i/>
          <w:sz w:val="22"/>
          <w:szCs w:val="22"/>
        </w:rPr>
        <w:t>Caudal de diseño:</w:t>
      </w:r>
    </w:p>
    <w:p w:rsidR="009B4233" w:rsidRDefault="006B08B9">
      <w:pPr>
        <w:spacing w:after="569"/>
        <w:ind w:left="-5" w:right="5310" w:hanging="10"/>
        <w:jc w:val="both"/>
        <w:rPr>
          <w:rFonts w:ascii="Arial" w:eastAsia="Calibri" w:hAnsi="Arial" w:cs="Arial"/>
          <w:i/>
          <w:sz w:val="22"/>
          <w:szCs w:val="22"/>
        </w:rPr>
      </w:pPr>
      <w:r>
        <w:rPr>
          <w:rFonts w:ascii="Arial" w:eastAsia="Calibri" w:hAnsi="Arial" w:cs="Arial"/>
          <w:i/>
          <w:sz w:val="22"/>
          <w:szCs w:val="22"/>
        </w:rPr>
        <w:t>o Caudal diario: 538,00 m3/día. o Caudal</w:t>
      </w:r>
      <w:r>
        <w:rPr>
          <w:rFonts w:ascii="Arial" w:eastAsia="Calibri" w:hAnsi="Arial" w:cs="Arial"/>
          <w:i/>
          <w:sz w:val="22"/>
          <w:szCs w:val="22"/>
        </w:rPr>
        <w:t xml:space="preserve"> medio horario (24 h): 22,42 m3/h.</w:t>
      </w:r>
    </w:p>
    <w:p w:rsidR="009B4233" w:rsidRDefault="006B08B9">
      <w:pPr>
        <w:spacing w:after="240"/>
        <w:ind w:right="5455"/>
        <w:jc w:val="right"/>
      </w:pPr>
      <w:r>
        <w:rPr>
          <w:rFonts w:ascii="Arial" w:hAnsi="Arial" w:cs="Arial"/>
          <w:noProof/>
          <w:sz w:val="22"/>
          <w:szCs w:val="22"/>
          <w:lang w:eastAsia="es-ES" w:bidi="ar-SA"/>
        </w:rPr>
        <w:drawing>
          <wp:anchor distT="0" distB="0" distL="114300" distR="114300" simplePos="0" relativeHeight="251661824" behindDoc="0" locked="0" layoutInCell="1" allowOverlap="1">
            <wp:simplePos x="0" y="0"/>
            <wp:positionH relativeFrom="column">
              <wp:posOffset>-38103</wp:posOffset>
            </wp:positionH>
            <wp:positionV relativeFrom="paragraph">
              <wp:posOffset>-513719</wp:posOffset>
            </wp:positionV>
            <wp:extent cx="5763892" cy="628019"/>
            <wp:effectExtent l="0" t="0" r="8258" b="631"/>
            <wp:wrapSquare wrapText="bothSides"/>
            <wp:docPr id="119" name="Imagen 469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rcRect/>
                    <a:stretch>
                      <a:fillRect/>
                    </a:stretch>
                  </pic:blipFill>
                  <pic:spPr>
                    <a:xfrm>
                      <a:off x="0" y="0"/>
                      <a:ext cx="5763892" cy="628019"/>
                    </a:xfrm>
                    <a:prstGeom prst="rect">
                      <a:avLst/>
                    </a:prstGeom>
                    <a:noFill/>
                    <a:ln>
                      <a:noFill/>
                      <a:prstDash/>
                    </a:ln>
                  </pic:spPr>
                </pic:pic>
              </a:graphicData>
            </a:graphic>
          </wp:anchor>
        </w:drawing>
      </w:r>
      <w:r>
        <w:rPr>
          <w:rFonts w:ascii="Arial" w:eastAsia="Calibri" w:hAnsi="Arial" w:cs="Arial"/>
          <w:i/>
          <w:sz w:val="22"/>
          <w:szCs w:val="22"/>
        </w:rPr>
        <w:t>para la definición de todos los elementos.</w:t>
      </w:r>
    </w:p>
    <w:p w:rsidR="009B4233" w:rsidRDefault="006B08B9">
      <w:pPr>
        <w:spacing w:after="120"/>
        <w:ind w:left="-5" w:right="62" w:hanging="10"/>
        <w:jc w:val="both"/>
      </w:pPr>
      <w:r>
        <w:rPr>
          <w:rFonts w:ascii="Arial" w:eastAsia="Calibri" w:hAnsi="Arial" w:cs="Arial"/>
          <w:i/>
          <w:sz w:val="22"/>
          <w:szCs w:val="22"/>
        </w:rPr>
        <w:t>RED DE PLUVIALES</w:t>
      </w:r>
    </w:p>
    <w:p w:rsidR="009B4233" w:rsidRDefault="006B08B9">
      <w:pPr>
        <w:spacing w:after="3"/>
        <w:ind w:left="-5" w:right="62" w:hanging="10"/>
        <w:jc w:val="both"/>
      </w:pPr>
      <w:r>
        <w:rPr>
          <w:rFonts w:ascii="Arial" w:eastAsia="Calibri" w:hAnsi="Arial" w:cs="Arial"/>
          <w:i/>
          <w:sz w:val="22"/>
          <w:szCs w:val="22"/>
        </w:rPr>
        <w:t>La red de pluviales existente en la actualidad recoge únicamente la escorrentía que se genera en los espacios públicos, viario y aceras.</w:t>
      </w:r>
    </w:p>
    <w:p w:rsidR="009B4233" w:rsidRDefault="006B08B9">
      <w:pPr>
        <w:spacing w:after="3"/>
        <w:ind w:left="-5" w:right="62" w:hanging="10"/>
        <w:jc w:val="both"/>
      </w:pPr>
      <w:r>
        <w:rPr>
          <w:rFonts w:ascii="Arial" w:eastAsia="Calibri" w:hAnsi="Arial" w:cs="Arial"/>
          <w:i/>
          <w:sz w:val="22"/>
          <w:szCs w:val="22"/>
        </w:rPr>
        <w:t xml:space="preserve">Se proyecta ahora el </w:t>
      </w:r>
      <w:r>
        <w:rPr>
          <w:rFonts w:ascii="Arial" w:eastAsia="Calibri" w:hAnsi="Arial" w:cs="Arial"/>
          <w:i/>
          <w:sz w:val="22"/>
          <w:szCs w:val="22"/>
        </w:rPr>
        <w:t>acople de las viviendas a la red existente de recogida de aguas pluviales, para lo cual se ha comprobado que dicha red, con los diámetros actuales, es capaz de asumir ese nuevo aporte de caudal, además del de viario y aceras que ya recogía. Para los cálcul</w:t>
      </w:r>
      <w:r>
        <w:rPr>
          <w:rFonts w:ascii="Arial" w:eastAsia="Calibri" w:hAnsi="Arial" w:cs="Arial"/>
          <w:i/>
          <w:sz w:val="22"/>
          <w:szCs w:val="22"/>
        </w:rPr>
        <w:t>os, tanto de parcelas, como de espacios públicos, se ha considerado un periodo de retorno de 10 años.</w:t>
      </w:r>
    </w:p>
    <w:p w:rsidR="009B4233" w:rsidRDefault="006B08B9">
      <w:pPr>
        <w:spacing w:after="3"/>
        <w:ind w:left="-5" w:right="62" w:hanging="10"/>
        <w:jc w:val="both"/>
      </w:pPr>
      <w:r>
        <w:rPr>
          <w:rFonts w:ascii="Arial" w:eastAsia="Calibri" w:hAnsi="Arial" w:cs="Arial"/>
          <w:i/>
          <w:sz w:val="22"/>
          <w:szCs w:val="22"/>
        </w:rPr>
        <w:t>Debido a las modificaciones realizadas en las calzadas, elevando los pasos de peatones a la altura de las aceras, y teniendo en cuenta las rasantes de las</w:t>
      </w:r>
      <w:r>
        <w:rPr>
          <w:rFonts w:ascii="Arial" w:eastAsia="Calibri" w:hAnsi="Arial" w:cs="Arial"/>
          <w:i/>
          <w:sz w:val="22"/>
          <w:szCs w:val="22"/>
        </w:rPr>
        <w:t xml:space="preserve"> vías, se hace necesaria la reubicación de algunos tragaderos existentes, teniendo en cuenta que dichos pasos de peatones van a suponer una barrera a la escorrentía.</w:t>
      </w:r>
    </w:p>
    <w:p w:rsidR="009B4233" w:rsidRDefault="006B08B9">
      <w:pPr>
        <w:spacing w:after="240"/>
        <w:ind w:left="-5" w:right="62" w:hanging="10"/>
        <w:jc w:val="both"/>
        <w:rPr>
          <w:rFonts w:ascii="Arial" w:eastAsia="Calibri" w:hAnsi="Arial" w:cs="Arial"/>
          <w:i/>
          <w:sz w:val="22"/>
          <w:szCs w:val="22"/>
        </w:rPr>
      </w:pPr>
      <w:r>
        <w:rPr>
          <w:rFonts w:ascii="Arial" w:eastAsia="Calibri" w:hAnsi="Arial" w:cs="Arial"/>
          <w:i/>
          <w:sz w:val="22"/>
          <w:szCs w:val="22"/>
        </w:rPr>
        <w:t>Las características de la red de pluviales existente y todos sus elementos, así como las c</w:t>
      </w:r>
      <w:r>
        <w:rPr>
          <w:rFonts w:ascii="Arial" w:eastAsia="Calibri" w:hAnsi="Arial" w:cs="Arial"/>
          <w:i/>
          <w:sz w:val="22"/>
          <w:szCs w:val="22"/>
        </w:rPr>
        <w:t>omprobaciones hidráulicas llevadas a cabo, quedan definidos en el Anejo nº 5 de Justificación de la red de pluviales. Por otro lado, en los planos correspondientes se recogen los detalles necesarios para la definición de todos los elementos.</w:t>
      </w:r>
    </w:p>
    <w:p w:rsidR="009B4233" w:rsidRDefault="006B08B9">
      <w:pPr>
        <w:spacing w:after="3"/>
        <w:ind w:left="-5" w:right="62" w:hanging="10"/>
        <w:jc w:val="both"/>
        <w:rPr>
          <w:rFonts w:ascii="Arial" w:eastAsia="Calibri" w:hAnsi="Arial" w:cs="Arial"/>
          <w:i/>
          <w:sz w:val="22"/>
          <w:szCs w:val="22"/>
        </w:rPr>
      </w:pPr>
      <w:r>
        <w:rPr>
          <w:rFonts w:ascii="Arial" w:eastAsia="Calibri" w:hAnsi="Arial" w:cs="Arial"/>
          <w:i/>
          <w:sz w:val="22"/>
          <w:szCs w:val="22"/>
        </w:rPr>
        <w:t>FIRME Y PAVIME</w:t>
      </w:r>
      <w:r>
        <w:rPr>
          <w:rFonts w:ascii="Arial" w:eastAsia="Calibri" w:hAnsi="Arial" w:cs="Arial"/>
          <w:i/>
          <w:sz w:val="22"/>
          <w:szCs w:val="22"/>
        </w:rPr>
        <w:t>NTOS</w:t>
      </w:r>
    </w:p>
    <w:p w:rsidR="009B4233" w:rsidRDefault="009B4233">
      <w:pPr>
        <w:spacing w:after="3"/>
        <w:ind w:left="-5" w:right="62" w:hanging="10"/>
        <w:jc w:val="both"/>
        <w:rPr>
          <w:rFonts w:ascii="Arial" w:hAnsi="Arial" w:cs="Arial"/>
          <w:sz w:val="22"/>
          <w:szCs w:val="22"/>
        </w:rPr>
      </w:pPr>
    </w:p>
    <w:p w:rsidR="009B4233" w:rsidRDefault="006B08B9">
      <w:pPr>
        <w:spacing w:after="3"/>
        <w:ind w:left="-5" w:right="62" w:hanging="10"/>
        <w:jc w:val="both"/>
      </w:pPr>
      <w:r>
        <w:rPr>
          <w:rFonts w:ascii="Arial" w:eastAsia="Calibri" w:hAnsi="Arial" w:cs="Arial"/>
          <w:i/>
          <w:sz w:val="22"/>
          <w:szCs w:val="22"/>
        </w:rPr>
        <w:t>Dado el estado actual de la capa más superficial del firme, se procederá al fresado del mismo en todo el ámbito y a la ejecución de una nueva capa de rodadura.</w:t>
      </w:r>
    </w:p>
    <w:p w:rsidR="009B4233" w:rsidRDefault="006B08B9">
      <w:pPr>
        <w:spacing w:after="3"/>
        <w:ind w:left="-5" w:right="62" w:hanging="10"/>
        <w:jc w:val="both"/>
      </w:pPr>
      <w:r>
        <w:rPr>
          <w:rFonts w:ascii="Arial" w:eastAsia="Calibri" w:hAnsi="Arial" w:cs="Arial"/>
          <w:i/>
          <w:sz w:val="22"/>
          <w:szCs w:val="22"/>
        </w:rPr>
        <w:t>En aquellas zonas donde sea necesario la completa restitución del firme por su demolición,</w:t>
      </w:r>
      <w:r>
        <w:rPr>
          <w:rFonts w:ascii="Arial" w:eastAsia="Calibri" w:hAnsi="Arial" w:cs="Arial"/>
          <w:i/>
          <w:sz w:val="22"/>
          <w:szCs w:val="22"/>
        </w:rPr>
        <w:t xml:space="preserve"> se establece que la sección de firme a reponer es la 4221 definida en la Instrucción de Carreteras 6.1. Esta se compone de 25 cm de zahorra artificial y 10 cm de mezcla bituminosa, con 5 cm de capa base AC 22 base G y 5 cm de capa de rodadura AC 16 surf D</w:t>
      </w:r>
      <w:r>
        <w:rPr>
          <w:rFonts w:ascii="Arial" w:eastAsia="Calibri" w:hAnsi="Arial" w:cs="Arial"/>
          <w:i/>
          <w:sz w:val="22"/>
          <w:szCs w:val="22"/>
        </w:rPr>
        <w:t>.</w:t>
      </w:r>
    </w:p>
    <w:p w:rsidR="009B4233" w:rsidRDefault="006B08B9">
      <w:pPr>
        <w:spacing w:after="3"/>
        <w:ind w:left="-5" w:right="62" w:hanging="10"/>
        <w:jc w:val="both"/>
      </w:pPr>
      <w:r>
        <w:rPr>
          <w:rFonts w:ascii="Arial" w:eastAsia="Calibri" w:hAnsi="Arial" w:cs="Arial"/>
          <w:i/>
          <w:sz w:val="22"/>
          <w:szCs w:val="22"/>
        </w:rPr>
        <w:t>Para el pavimento de las aceras se fresará la superficie existente de hormigón, y se empleará el sistema Paviland Plus, que permite la ejecución de pavimentos de muy poco espesor. Donde sea necesaria la demolición completa de la acera, la sección tipo co</w:t>
      </w:r>
      <w:r>
        <w:rPr>
          <w:rFonts w:ascii="Arial" w:eastAsia="Calibri" w:hAnsi="Arial" w:cs="Arial"/>
          <w:i/>
          <w:sz w:val="22"/>
          <w:szCs w:val="22"/>
        </w:rPr>
        <w:t>nsistirá en una solera de hormigón en masa HM-20/P/16/X0 de 15 cm de espesor.</w:t>
      </w:r>
    </w:p>
    <w:p w:rsidR="009B4233" w:rsidRDefault="006B08B9">
      <w:pPr>
        <w:spacing w:after="3"/>
        <w:ind w:left="-5" w:right="62" w:hanging="10"/>
        <w:jc w:val="both"/>
      </w:pPr>
      <w:r>
        <w:rPr>
          <w:rFonts w:ascii="Arial" w:eastAsia="Calibri" w:hAnsi="Arial" w:cs="Arial"/>
          <w:i/>
          <w:sz w:val="22"/>
          <w:szCs w:val="22"/>
        </w:rPr>
        <w:t>En los dos tramos del peatonal del Barranco de los Santos Frailes que se van a reponer, se proyecta la misma sección de acera, con peldaños prefabricados con banda texturada de 5</w:t>
      </w:r>
      <w:r>
        <w:rPr>
          <w:rFonts w:ascii="Arial" w:eastAsia="Calibri" w:hAnsi="Arial" w:cs="Arial"/>
          <w:i/>
          <w:sz w:val="22"/>
          <w:szCs w:val="22"/>
        </w:rPr>
        <w:t xml:space="preserve"> cm de ancho y diferente color al peldaño. En ambos tramos se respetará la rasante actual del peatonal.</w:t>
      </w:r>
    </w:p>
    <w:p w:rsidR="009B4233" w:rsidRDefault="006B08B9">
      <w:pPr>
        <w:spacing w:after="3"/>
        <w:ind w:left="-5" w:right="62" w:hanging="10"/>
        <w:jc w:val="both"/>
      </w:pPr>
      <w:r>
        <w:rPr>
          <w:rFonts w:ascii="Arial" w:eastAsia="Calibri" w:hAnsi="Arial" w:cs="Arial"/>
          <w:i/>
          <w:sz w:val="22"/>
          <w:szCs w:val="22"/>
        </w:rPr>
        <w:t>En las aceras, los pasos de peatones, donde coincidan con aparcamientos en línea, se adelantarán hasta la línea exterior del aparcamiento, con la corres</w:t>
      </w:r>
      <w:r>
        <w:rPr>
          <w:rFonts w:ascii="Arial" w:eastAsia="Calibri" w:hAnsi="Arial" w:cs="Arial"/>
          <w:i/>
          <w:sz w:val="22"/>
          <w:szCs w:val="22"/>
        </w:rPr>
        <w:t>pondiente señalización táctil a nivel de pavimento. A nivel de calzada, los pasos de peatones se realizarán sobreelevados respecto de la rasante actual de las vías, para quedar a nivel con las zonas peatonales.</w:t>
      </w:r>
    </w:p>
    <w:p w:rsidR="009B4233" w:rsidRDefault="006B08B9">
      <w:pPr>
        <w:spacing w:after="240"/>
        <w:ind w:left="-5" w:right="62" w:hanging="10"/>
        <w:jc w:val="both"/>
      </w:pPr>
      <w:r>
        <w:rPr>
          <w:rFonts w:ascii="Arial" w:eastAsia="Calibri" w:hAnsi="Arial" w:cs="Arial"/>
          <w:i/>
          <w:sz w:val="22"/>
          <w:szCs w:val="22"/>
        </w:rPr>
        <w:t xml:space="preserve">Se procederá también a la instalación de las </w:t>
      </w:r>
      <w:r>
        <w:rPr>
          <w:rFonts w:ascii="Arial" w:eastAsia="Calibri" w:hAnsi="Arial" w:cs="Arial"/>
          <w:i/>
          <w:sz w:val="22"/>
          <w:szCs w:val="22"/>
        </w:rPr>
        <w:t>barandillas dentro del ámbito donde existan desniveles, cumpliendo con criterios de accesibilidad.</w:t>
      </w:r>
    </w:p>
    <w:p w:rsidR="009B4233" w:rsidRDefault="006B08B9">
      <w:pPr>
        <w:spacing w:after="120"/>
        <w:ind w:left="-5" w:right="62" w:hanging="10"/>
        <w:jc w:val="both"/>
      </w:pPr>
      <w:r>
        <w:rPr>
          <w:rFonts w:ascii="Arial" w:eastAsia="Calibri" w:hAnsi="Arial" w:cs="Arial"/>
          <w:i/>
          <w:sz w:val="22"/>
          <w:szCs w:val="22"/>
        </w:rPr>
        <w:t>SEÑALIZACIÓN, JARDINERÍA Y MOBILIARIO URBANO</w:t>
      </w:r>
    </w:p>
    <w:p w:rsidR="009B4233" w:rsidRDefault="006B08B9">
      <w:pPr>
        <w:spacing w:after="3"/>
        <w:ind w:left="-5" w:right="62" w:hanging="10"/>
        <w:jc w:val="both"/>
      </w:pPr>
      <w:r>
        <w:rPr>
          <w:rFonts w:ascii="Arial" w:eastAsia="Calibri" w:hAnsi="Arial" w:cs="Arial"/>
          <w:i/>
          <w:sz w:val="22"/>
          <w:szCs w:val="22"/>
        </w:rPr>
        <w:t>Con motivo del fresado de la capa más superficial del firme en todas las vías pertenecientes al ámbito de actuac</w:t>
      </w:r>
      <w:r>
        <w:rPr>
          <w:rFonts w:ascii="Arial" w:eastAsia="Calibri" w:hAnsi="Arial" w:cs="Arial"/>
          <w:i/>
          <w:sz w:val="22"/>
          <w:szCs w:val="22"/>
        </w:rPr>
        <w:t>ión, se hace necesaria la reposición de toda la señalización horizontal, que se ejecutará siguiendo las directrices establecidas en la Instrucción de Carreteras 8.2.</w:t>
      </w:r>
    </w:p>
    <w:p w:rsidR="009B4233" w:rsidRDefault="006B08B9">
      <w:pPr>
        <w:spacing w:after="3"/>
        <w:ind w:left="-5" w:right="62" w:hanging="10"/>
        <w:jc w:val="both"/>
      </w:pPr>
      <w:r>
        <w:rPr>
          <w:rFonts w:ascii="Arial" w:eastAsia="Calibri" w:hAnsi="Arial" w:cs="Arial"/>
          <w:i/>
          <w:sz w:val="22"/>
          <w:szCs w:val="22"/>
        </w:rPr>
        <w:t xml:space="preserve">Asimismo, se disponen un total de 12 plazas de aparcamiento PMR, respetando la proporción </w:t>
      </w:r>
      <w:r>
        <w:rPr>
          <w:rFonts w:ascii="Arial" w:eastAsia="Calibri" w:hAnsi="Arial" w:cs="Arial"/>
          <w:i/>
          <w:sz w:val="22"/>
          <w:szCs w:val="22"/>
        </w:rPr>
        <w:t>establecida en la Orden TMA/851/2021, de 23 de julio, por la que se desarrolla el documento técnico de condiciones básicas de accesibilidad y no discriminación para el acceso y la utilización de los espacios públicos urbanizados. Estas plazas se encontrará</w:t>
      </w:r>
      <w:r>
        <w:rPr>
          <w:rFonts w:ascii="Arial" w:eastAsia="Calibri" w:hAnsi="Arial" w:cs="Arial"/>
          <w:i/>
          <w:sz w:val="22"/>
          <w:szCs w:val="22"/>
        </w:rPr>
        <w:t>n debidamente señalizadas vertical y horizontalmente y ubicadas en vías de pendiente reducida próximas a los principales centros de actividad de la urbanización.</w:t>
      </w:r>
    </w:p>
    <w:p w:rsidR="009B4233" w:rsidRDefault="006B08B9">
      <w:pPr>
        <w:spacing w:after="240"/>
        <w:ind w:left="-5" w:right="62" w:hanging="10"/>
        <w:jc w:val="both"/>
      </w:pPr>
      <w:r>
        <w:rPr>
          <w:rFonts w:ascii="Arial" w:eastAsia="Calibri" w:hAnsi="Arial" w:cs="Arial"/>
          <w:i/>
          <w:sz w:val="22"/>
          <w:szCs w:val="22"/>
        </w:rPr>
        <w:t>Por razones de accesibilidad en el ancho disponible en los itinerarios peatonales, se proyecta</w:t>
      </w:r>
      <w:r>
        <w:rPr>
          <w:rFonts w:ascii="Arial" w:eastAsia="Calibri" w:hAnsi="Arial" w:cs="Arial"/>
          <w:i/>
          <w:sz w:val="22"/>
          <w:szCs w:val="22"/>
        </w:rPr>
        <w:t>, por un lado, la reubicación de algunos de los alcorques existentes, eliminándolos de las aceras y situándolos en las zonas destinadas a aparcamiento; y, por otro, la eliminación de otra serie de alcorques, con el correspondiente trasplante de las especie</w:t>
      </w:r>
      <w:r>
        <w:rPr>
          <w:rFonts w:ascii="Arial" w:eastAsia="Calibri" w:hAnsi="Arial" w:cs="Arial"/>
          <w:i/>
          <w:sz w:val="22"/>
          <w:szCs w:val="22"/>
        </w:rPr>
        <w:t>s vegetales al parque urbano existente dentro de la urbanización. Estos alcorques se proyectan de dimensiones 1,50x1,50 m. La elección del arbolado debe respetar el rango de medidas donde, la altura mínima permite la accesibilidad de las personas y la altu</w:t>
      </w:r>
      <w:r>
        <w:rPr>
          <w:rFonts w:ascii="Arial" w:eastAsia="Calibri" w:hAnsi="Arial" w:cs="Arial"/>
          <w:i/>
          <w:sz w:val="22"/>
          <w:szCs w:val="22"/>
        </w:rPr>
        <w:t>ra máxima no afecta a la luminaria.</w:t>
      </w:r>
    </w:p>
    <w:p w:rsidR="009B4233" w:rsidRDefault="006B08B9">
      <w:pPr>
        <w:spacing w:after="120"/>
        <w:ind w:left="-5" w:right="62" w:hanging="10"/>
        <w:jc w:val="both"/>
      </w:pPr>
      <w:r>
        <w:rPr>
          <w:rFonts w:ascii="Arial" w:eastAsia="Calibri" w:hAnsi="Arial" w:cs="Arial"/>
          <w:i/>
          <w:sz w:val="22"/>
          <w:szCs w:val="22"/>
        </w:rPr>
        <w:t>REPOSICIÓN DE SERVICIOS AFECTADOS</w:t>
      </w:r>
    </w:p>
    <w:p w:rsidR="009B4233" w:rsidRDefault="006B08B9">
      <w:pPr>
        <w:spacing w:after="264"/>
        <w:ind w:left="-5" w:right="62" w:hanging="10"/>
        <w:jc w:val="both"/>
        <w:rPr>
          <w:rFonts w:ascii="Arial" w:eastAsia="Calibri" w:hAnsi="Arial" w:cs="Arial"/>
          <w:i/>
          <w:sz w:val="22"/>
          <w:szCs w:val="22"/>
        </w:rPr>
      </w:pPr>
      <w:r>
        <w:rPr>
          <w:rFonts w:ascii="Arial" w:eastAsia="Calibri" w:hAnsi="Arial" w:cs="Arial"/>
          <w:i/>
          <w:sz w:val="22"/>
          <w:szCs w:val="22"/>
        </w:rPr>
        <w:t>Conociendo los servicios existentes en todas las calles de la urbanización, se ha estimado una partida de reposición de servicios afectados ante la posible afección a las redes de servic</w:t>
      </w:r>
      <w:r>
        <w:rPr>
          <w:rFonts w:ascii="Arial" w:eastAsia="Calibri" w:hAnsi="Arial" w:cs="Arial"/>
          <w:i/>
          <w:sz w:val="22"/>
          <w:szCs w:val="22"/>
        </w:rPr>
        <w:t>ios existentes en el ámbito de la obra, que se puedan ver afectadas por la ejecución de los trabajos.</w:t>
      </w:r>
    </w:p>
    <w:p w:rsidR="009B4233" w:rsidRDefault="006B08B9">
      <w:pPr>
        <w:spacing w:after="120"/>
        <w:ind w:left="-5" w:right="62" w:hanging="10"/>
        <w:jc w:val="both"/>
      </w:pPr>
      <w:r>
        <w:rPr>
          <w:rFonts w:ascii="Arial" w:eastAsia="Calibri" w:hAnsi="Arial" w:cs="Arial"/>
          <w:i/>
          <w:sz w:val="22"/>
          <w:szCs w:val="22"/>
        </w:rPr>
        <w:t xml:space="preserve">PLAZO DE EJECUCIÓN </w:t>
      </w:r>
    </w:p>
    <w:p w:rsidR="009B4233" w:rsidRDefault="006B08B9">
      <w:pPr>
        <w:spacing w:after="264"/>
        <w:ind w:left="-5" w:right="62" w:hanging="10"/>
        <w:jc w:val="both"/>
      </w:pPr>
      <w:r>
        <w:rPr>
          <w:rFonts w:ascii="Arial" w:eastAsia="Calibri" w:hAnsi="Arial" w:cs="Arial"/>
          <w:i/>
          <w:sz w:val="22"/>
          <w:szCs w:val="22"/>
        </w:rPr>
        <w:t>Plazo de Ejecución de veinticuatro (24) meses para la completa ejecución de los trabajos.</w:t>
      </w:r>
    </w:p>
    <w:p w:rsidR="009B4233" w:rsidRDefault="006B08B9">
      <w:pPr>
        <w:spacing w:after="120"/>
        <w:ind w:left="-5" w:right="62" w:hanging="10"/>
        <w:jc w:val="both"/>
      </w:pPr>
      <w:r>
        <w:rPr>
          <w:rFonts w:ascii="Arial" w:eastAsia="Calibri" w:hAnsi="Arial" w:cs="Arial"/>
          <w:i/>
          <w:sz w:val="22"/>
          <w:szCs w:val="22"/>
        </w:rPr>
        <w:t>PRESUPUESTO BASE DE LICITACIÓN</w:t>
      </w:r>
    </w:p>
    <w:p w:rsidR="009B4233" w:rsidRDefault="006B08B9">
      <w:pPr>
        <w:spacing w:after="3"/>
        <w:ind w:left="-5" w:right="62" w:hanging="10"/>
        <w:jc w:val="both"/>
        <w:rPr>
          <w:rFonts w:ascii="Arial" w:eastAsia="Calibri" w:hAnsi="Arial" w:cs="Arial"/>
          <w:i/>
          <w:sz w:val="22"/>
          <w:szCs w:val="22"/>
        </w:rPr>
      </w:pPr>
      <w:r>
        <w:rPr>
          <w:rFonts w:ascii="Arial" w:eastAsia="Calibri" w:hAnsi="Arial" w:cs="Arial"/>
          <w:i/>
          <w:sz w:val="22"/>
          <w:szCs w:val="22"/>
        </w:rPr>
        <w:t xml:space="preserve">El </w:t>
      </w:r>
      <w:r>
        <w:rPr>
          <w:rFonts w:ascii="Arial" w:eastAsia="Calibri" w:hAnsi="Arial" w:cs="Arial"/>
          <w:i/>
          <w:sz w:val="22"/>
          <w:szCs w:val="22"/>
        </w:rPr>
        <w:t>presupuesto base de licitación asciende a Cuatro millones quinientos veinticinco mil cuatrocientos treinta y dos euros con cuarenta y dos céntimos (4.525.432,42 €).</w:t>
      </w:r>
    </w:p>
    <w:p w:rsidR="009B4233" w:rsidRDefault="009B4233">
      <w:pPr>
        <w:spacing w:after="3"/>
        <w:ind w:left="-5" w:right="62" w:hanging="10"/>
        <w:jc w:val="both"/>
        <w:rPr>
          <w:rFonts w:ascii="Arial" w:eastAsia="Calibri" w:hAnsi="Arial" w:cs="Arial"/>
          <w:i/>
          <w:sz w:val="22"/>
          <w:szCs w:val="22"/>
        </w:rPr>
      </w:pPr>
    </w:p>
    <w:p w:rsidR="009B4233" w:rsidRDefault="009B4233">
      <w:pPr>
        <w:spacing w:after="3"/>
        <w:ind w:left="-5" w:right="62" w:hanging="10"/>
        <w:jc w:val="both"/>
        <w:rPr>
          <w:rFonts w:ascii="Arial" w:eastAsia="Calibri" w:hAnsi="Arial" w:cs="Arial"/>
          <w:i/>
          <w:sz w:val="22"/>
          <w:szCs w:val="22"/>
        </w:rPr>
      </w:pPr>
    </w:p>
    <w:p w:rsidR="009B4233" w:rsidRDefault="009B4233">
      <w:pPr>
        <w:spacing w:after="3"/>
        <w:ind w:left="-5" w:right="62" w:hanging="10"/>
        <w:jc w:val="both"/>
        <w:rPr>
          <w:rFonts w:ascii="Arial" w:hAnsi="Arial" w:cs="Arial"/>
          <w:sz w:val="22"/>
          <w:szCs w:val="22"/>
        </w:rPr>
      </w:pPr>
    </w:p>
    <w:p w:rsidR="009B4233" w:rsidRDefault="006B08B9">
      <w:pPr>
        <w:spacing w:after="264"/>
        <w:ind w:left="10" w:right="59" w:hanging="10"/>
        <w:jc w:val="center"/>
      </w:pPr>
      <w:r>
        <w:rPr>
          <w:rFonts w:ascii="Arial" w:eastAsia="Calibri" w:hAnsi="Arial" w:cs="Arial"/>
          <w:i/>
          <w:sz w:val="22"/>
          <w:szCs w:val="22"/>
          <w:u w:val="single" w:color="000000"/>
        </w:rPr>
        <w:t>INFORME TÉCNICO – CONSIDERACIONES</w:t>
      </w:r>
    </w:p>
    <w:p w:rsidR="009B4233" w:rsidRDefault="006B08B9">
      <w:pPr>
        <w:spacing w:after="3"/>
        <w:ind w:left="-5" w:right="62" w:hanging="10"/>
        <w:jc w:val="both"/>
      </w:pPr>
      <w:r>
        <w:rPr>
          <w:rFonts w:ascii="Arial" w:eastAsia="Calibri" w:hAnsi="Arial" w:cs="Arial"/>
          <w:i/>
          <w:sz w:val="22"/>
          <w:szCs w:val="22"/>
        </w:rPr>
        <w:t>El proyecto contempla la demolición de la fosa séptica</w:t>
      </w:r>
      <w:r>
        <w:rPr>
          <w:rFonts w:ascii="Arial" w:eastAsia="Calibri" w:hAnsi="Arial" w:cs="Arial"/>
          <w:i/>
          <w:sz w:val="22"/>
          <w:szCs w:val="22"/>
        </w:rPr>
        <w:t xml:space="preserve"> existente y la ejecución de una EDAR, la cual se ubica en Suelo Rústico de Protección de Infraestructuras (SRPI).</w:t>
      </w:r>
    </w:p>
    <w:p w:rsidR="009B4233" w:rsidRDefault="006B08B9">
      <w:pPr>
        <w:spacing w:after="310"/>
        <w:ind w:left="-2"/>
      </w:pPr>
      <w:r>
        <w:rPr>
          <w:rFonts w:ascii="Arial" w:hAnsi="Arial" w:cs="Arial"/>
          <w:noProof/>
          <w:sz w:val="22"/>
          <w:szCs w:val="22"/>
          <w:lang w:eastAsia="es-ES" w:bidi="ar-SA"/>
        </w:rPr>
        <mc:AlternateContent>
          <mc:Choice Requires="wpg">
            <w:drawing>
              <wp:inline distT="0" distB="0" distL="0" distR="0">
                <wp:extent cx="5039368" cy="1892807"/>
                <wp:effectExtent l="0" t="0" r="8882" b="0"/>
                <wp:docPr id="120" name="Grupo 9077"/>
                <wp:cNvGraphicFramePr/>
                <a:graphic xmlns:a="http://schemas.openxmlformats.org/drawingml/2006/main">
                  <a:graphicData uri="http://schemas.microsoft.com/office/word/2010/wordprocessingGroup">
                    <wpg:wgp>
                      <wpg:cNvGrpSpPr/>
                      <wpg:grpSpPr>
                        <a:xfrm>
                          <a:off x="0" y="0"/>
                          <a:ext cx="5039368" cy="1892807"/>
                          <a:chOff x="0" y="0"/>
                          <a:chExt cx="5039368" cy="1892807"/>
                        </a:xfrm>
                      </wpg:grpSpPr>
                      <pic:pic xmlns:pic="http://schemas.openxmlformats.org/drawingml/2006/picture">
                        <pic:nvPicPr>
                          <pic:cNvPr id="121" name="Picture 10864">
                            <a:extLst>
                              <a:ext uri="{FF2B5EF4-FFF2-40B4-BE49-F238E27FC236}">
                                <a16:creationId xmlns:a16="http://schemas.microsoft.com/office/drawing/2014/main" id="{00000000-0000-0000-0000-000000000000}"/>
                              </a:ext>
                            </a:extLst>
                          </pic:cNvPr>
                          <pic:cNvPicPr>
                            <a:picLocks noChangeAspect="1"/>
                          </pic:cNvPicPr>
                        </pic:nvPicPr>
                        <pic:blipFill>
                          <a:blip r:embed="rId45"/>
                          <a:stretch>
                            <a:fillRect/>
                          </a:stretch>
                        </pic:blipFill>
                        <pic:spPr>
                          <a:xfrm>
                            <a:off x="0" y="3044"/>
                            <a:ext cx="2520699" cy="1889763"/>
                          </a:xfrm>
                          <a:prstGeom prst="rect">
                            <a:avLst/>
                          </a:prstGeom>
                          <a:noFill/>
                          <a:ln>
                            <a:noFill/>
                            <a:prstDash/>
                          </a:ln>
                        </pic:spPr>
                      </pic:pic>
                      <pic:pic xmlns:pic="http://schemas.openxmlformats.org/drawingml/2006/picture">
                        <pic:nvPicPr>
                          <pic:cNvPr id="122" name="Picture 10863">
                            <a:extLst>
                              <a:ext uri="{FF2B5EF4-FFF2-40B4-BE49-F238E27FC236}">
                                <a16:creationId xmlns:a16="http://schemas.microsoft.com/office/drawing/2014/main" id="{00000000-0000-0000-0000-000000000000}"/>
                              </a:ext>
                            </a:extLst>
                          </pic:cNvPr>
                          <pic:cNvPicPr>
                            <a:picLocks noChangeAspect="1"/>
                          </pic:cNvPicPr>
                        </pic:nvPicPr>
                        <pic:blipFill>
                          <a:blip r:embed="rId46"/>
                          <a:stretch>
                            <a:fillRect/>
                          </a:stretch>
                        </pic:blipFill>
                        <pic:spPr>
                          <a:xfrm>
                            <a:off x="2518669" y="0"/>
                            <a:ext cx="2520699" cy="1892807"/>
                          </a:xfrm>
                          <a:prstGeom prst="rect">
                            <a:avLst/>
                          </a:prstGeom>
                          <a:noFill/>
                          <a:ln>
                            <a:noFill/>
                            <a:prstDash/>
                          </a:ln>
                        </pic:spPr>
                      </pic:pic>
                    </wpg:wgp>
                  </a:graphicData>
                </a:graphic>
              </wp:inline>
            </w:drawing>
          </mc:Choice>
          <mc:Fallback>
            <w:pict>
              <v:group w14:anchorId="3FC39761" id="Grupo 9077" o:spid="_x0000_s1026" style="width:396.8pt;height:149.05pt;mso-position-horizontal-relative:char;mso-position-vertical-relative:line" coordsize="50393,189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">
                <v:shape id="Picture 10864" o:spid="_x0000_s1027" type="#_x0000_t75" style="position:absolute;top:30;width:25206;height:188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">
                  <v:imagedata r:id="rId47" o:title=""/>
                  <v:path arrowok="t"/>
                </v:shape>
                <v:shape id="Picture 10863" o:spid="_x0000_s1028" type="#_x0000_t75" style="position:absolute;left:25186;width:25207;height:189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">
                  <v:imagedata r:id="rId48" o:title=""/>
                  <v:path arrowok="t"/>
                </v:shape>
                <w10:anchorlock/>
              </v:group>
            </w:pict>
          </mc:Fallback>
        </mc:AlternateContent>
      </w:r>
    </w:p>
    <w:p w:rsidR="009B4233" w:rsidRDefault="006B08B9">
      <w:r>
        <w:rPr>
          <w:rFonts w:ascii="Arial" w:eastAsia="Calibri" w:hAnsi="Arial" w:cs="Arial"/>
          <w:i/>
          <w:sz w:val="22"/>
          <w:szCs w:val="22"/>
          <w:u w:val="single" w:color="000000"/>
        </w:rPr>
        <w:t>RÉGIMEN URBANÍSTICO DE APLICACIÓN.</w:t>
      </w:r>
    </w:p>
    <w:p w:rsidR="009B4233" w:rsidRDefault="006B08B9">
      <w:pPr>
        <w:spacing w:after="432"/>
        <w:ind w:left="-5" w:right="62" w:hanging="10"/>
        <w:jc w:val="both"/>
      </w:pPr>
      <w:r>
        <w:rPr>
          <w:rFonts w:ascii="Arial" w:eastAsia="Calibri" w:hAnsi="Arial" w:cs="Arial"/>
          <w:i/>
          <w:sz w:val="22"/>
          <w:szCs w:val="22"/>
        </w:rPr>
        <w:t>De acuerdo con el PLAN GENERAL DE ORDENACIÓN (PGO), planeamiento municipal en vigor, con publicaciones e</w:t>
      </w:r>
      <w:r>
        <w:rPr>
          <w:rFonts w:ascii="Arial" w:eastAsia="Calibri" w:hAnsi="Arial" w:cs="Arial"/>
          <w:i/>
          <w:sz w:val="22"/>
          <w:szCs w:val="22"/>
        </w:rPr>
        <w:t>n B.O.C. de fecha 10 de mayo de 2007 y B.O.P. de fecha 17 de mayo de 2007 y Modificaciones Puntuales, aprobadas definitivamente por acuerdo del Ayuntamiento Pleno, en sesiones ordinarias de fecha 26 de marzo de 2009 y 29 de diciembre de 2011 y publicada en</w:t>
      </w:r>
      <w:r>
        <w:rPr>
          <w:rFonts w:ascii="Arial" w:eastAsia="Calibri" w:hAnsi="Arial" w:cs="Arial"/>
          <w:i/>
          <w:sz w:val="22"/>
          <w:szCs w:val="22"/>
        </w:rPr>
        <w:t xml:space="preserve"> el BOP de Santa Cruz de Tenerife de fecha 17 de junio de 2009 y 3 de febrero de 2012, respectivamente. Se encuentra clasificada, categorizada y calificada como: Suelo urbano consolidado – Espacios Viarios.</w:t>
      </w:r>
    </w:p>
    <w:p w:rsidR="009B4233" w:rsidRDefault="006B08B9">
      <w:pPr>
        <w:spacing w:after="3"/>
        <w:ind w:left="-5" w:right="62" w:hanging="10"/>
        <w:jc w:val="both"/>
      </w:pPr>
      <w:r>
        <w:rPr>
          <w:rFonts w:ascii="Arial" w:eastAsia="Calibri" w:hAnsi="Arial" w:cs="Arial"/>
          <w:i/>
          <w:sz w:val="22"/>
          <w:szCs w:val="22"/>
        </w:rPr>
        <w:t>Sistemas asociados: Espacios libres, viarios, inf</w:t>
      </w:r>
      <w:r>
        <w:rPr>
          <w:rFonts w:ascii="Arial" w:eastAsia="Calibri" w:hAnsi="Arial" w:cs="Arial"/>
          <w:i/>
          <w:sz w:val="22"/>
          <w:szCs w:val="22"/>
        </w:rPr>
        <w:t>raestructuras de servicios urbanos.</w:t>
      </w:r>
    </w:p>
    <w:p w:rsidR="009B4233" w:rsidRDefault="006B08B9">
      <w:pPr>
        <w:ind w:left="-2"/>
      </w:pPr>
      <w:r>
        <w:rPr>
          <w:rFonts w:ascii="Arial" w:hAnsi="Arial" w:cs="Arial"/>
          <w:noProof/>
          <w:sz w:val="22"/>
          <w:szCs w:val="22"/>
          <w:lang w:eastAsia="es-ES" w:bidi="ar-SA"/>
        </w:rPr>
        <w:drawing>
          <wp:inline distT="0" distB="0" distL="0" distR="0">
            <wp:extent cx="5303520" cy="3215643"/>
            <wp:effectExtent l="0" t="0" r="0" b="3807"/>
            <wp:docPr id="123" name="Imagen 469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rcRect/>
                    <a:stretch>
                      <a:fillRect/>
                    </a:stretch>
                  </pic:blipFill>
                  <pic:spPr>
                    <a:xfrm>
                      <a:off x="0" y="0"/>
                      <a:ext cx="5303520" cy="3215643"/>
                    </a:xfrm>
                    <a:prstGeom prst="rect">
                      <a:avLst/>
                    </a:prstGeom>
                    <a:noFill/>
                    <a:ln>
                      <a:noFill/>
                      <a:prstDash/>
                    </a:ln>
                  </pic:spPr>
                </pic:pic>
              </a:graphicData>
            </a:graphic>
          </wp:inline>
        </w:drawing>
      </w:r>
    </w:p>
    <w:p w:rsidR="009B4233" w:rsidRDefault="009B4233">
      <w:pPr>
        <w:spacing w:after="86"/>
        <w:ind w:left="10" w:right="57" w:hanging="10"/>
        <w:jc w:val="center"/>
        <w:rPr>
          <w:rFonts w:ascii="Arial" w:eastAsia="Calibri" w:hAnsi="Arial" w:cs="Arial"/>
          <w:i/>
          <w:sz w:val="22"/>
          <w:szCs w:val="22"/>
        </w:rPr>
      </w:pPr>
    </w:p>
    <w:p w:rsidR="009B4233" w:rsidRDefault="009B4233">
      <w:pPr>
        <w:spacing w:after="86"/>
        <w:ind w:left="10" w:right="57" w:hanging="10"/>
        <w:jc w:val="center"/>
        <w:rPr>
          <w:rFonts w:ascii="Arial" w:eastAsia="Calibri" w:hAnsi="Arial" w:cs="Arial"/>
          <w:i/>
          <w:sz w:val="22"/>
          <w:szCs w:val="22"/>
        </w:rPr>
      </w:pPr>
    </w:p>
    <w:p w:rsidR="009B4233" w:rsidRDefault="009B4233">
      <w:pPr>
        <w:spacing w:after="86"/>
        <w:ind w:left="10" w:right="57" w:hanging="10"/>
        <w:jc w:val="center"/>
        <w:rPr>
          <w:rFonts w:ascii="Arial" w:eastAsia="Calibri" w:hAnsi="Arial" w:cs="Arial"/>
          <w:i/>
          <w:sz w:val="22"/>
          <w:szCs w:val="22"/>
        </w:rPr>
      </w:pPr>
    </w:p>
    <w:p w:rsidR="009B4233" w:rsidRDefault="006B08B9">
      <w:pPr>
        <w:spacing w:after="86"/>
        <w:ind w:left="10" w:right="57" w:hanging="10"/>
        <w:jc w:val="center"/>
      </w:pPr>
      <w:r>
        <w:rPr>
          <w:rFonts w:ascii="Arial" w:eastAsia="Calibri" w:hAnsi="Arial" w:cs="Arial"/>
          <w:i/>
          <w:sz w:val="22"/>
          <w:szCs w:val="22"/>
        </w:rPr>
        <w:t>CONCLUSIONES.</w:t>
      </w:r>
    </w:p>
    <w:p w:rsidR="009B4233" w:rsidRDefault="006B08B9">
      <w:pPr>
        <w:spacing w:after="92"/>
        <w:ind w:left="-5" w:right="62" w:hanging="10"/>
        <w:jc w:val="both"/>
      </w:pPr>
      <w:r>
        <w:rPr>
          <w:rFonts w:ascii="Arial" w:eastAsia="Calibri" w:hAnsi="Arial" w:cs="Arial"/>
          <w:i/>
          <w:sz w:val="22"/>
          <w:szCs w:val="22"/>
        </w:rPr>
        <w:t xml:space="preserve">Dado que se ha encargado, mediante encomienda, a la mercantil Gesplan, el desarrollo de un proyecto de Estación Depuradora esta deberá considerarse, una vez el proyecto sea finalizado y aprobado, para </w:t>
      </w:r>
      <w:r>
        <w:rPr>
          <w:rFonts w:ascii="Arial" w:eastAsia="Calibri" w:hAnsi="Arial" w:cs="Arial"/>
          <w:i/>
          <w:sz w:val="22"/>
          <w:szCs w:val="22"/>
        </w:rPr>
        <w:t>que las redes que se ejecutarán en el proyecto del asunto entreguen las aguas en el punto definido. Igualmente deberá considerarse que esta EDAR dará respuesta a la necesidad de tratamiento de las aguas residuales y por tanto deben retirarse del proyecto d</w:t>
      </w:r>
      <w:r>
        <w:rPr>
          <w:rFonts w:ascii="Arial" w:eastAsia="Calibri" w:hAnsi="Arial" w:cs="Arial"/>
          <w:i/>
          <w:sz w:val="22"/>
          <w:szCs w:val="22"/>
        </w:rPr>
        <w:t>el asunto.</w:t>
      </w:r>
    </w:p>
    <w:p w:rsidR="009B4233" w:rsidRDefault="006B08B9">
      <w:pPr>
        <w:spacing w:after="92"/>
        <w:ind w:left="-5" w:right="62" w:hanging="10"/>
        <w:jc w:val="both"/>
      </w:pPr>
      <w:r>
        <w:rPr>
          <w:rFonts w:ascii="Arial" w:eastAsia="Calibri" w:hAnsi="Arial" w:cs="Arial"/>
          <w:i/>
          <w:sz w:val="22"/>
          <w:szCs w:val="22"/>
        </w:rPr>
        <w:t>Requerir la incorporación de un Anejo de accesibilidad con justificación normativa y planos adaptados, dado el grado de afección a los itinerarios peatonales del 32,53% del presupuesto.</w:t>
      </w:r>
    </w:p>
    <w:p w:rsidR="009B4233" w:rsidRDefault="006B08B9">
      <w:pPr>
        <w:spacing w:after="92"/>
        <w:ind w:left="-5" w:right="62" w:hanging="10"/>
        <w:jc w:val="both"/>
      </w:pPr>
      <w:r>
        <w:rPr>
          <w:rFonts w:ascii="Arial" w:eastAsia="Calibri" w:hAnsi="Arial" w:cs="Arial"/>
          <w:i/>
          <w:sz w:val="22"/>
          <w:szCs w:val="22"/>
        </w:rPr>
        <w:t>Requerir la incorporación de un anejo de afecciones a servi</w:t>
      </w:r>
      <w:r>
        <w:rPr>
          <w:rFonts w:ascii="Arial" w:eastAsia="Calibri" w:hAnsi="Arial" w:cs="Arial"/>
          <w:i/>
          <w:sz w:val="22"/>
          <w:szCs w:val="22"/>
        </w:rPr>
        <w:t>cios de terceros de telecomunicaciones, suministro eléctrico, abastecimiento y saneamiento para ser remitido a las empresas suministradoras.</w:t>
      </w:r>
    </w:p>
    <w:p w:rsidR="009B4233" w:rsidRDefault="006B08B9">
      <w:pPr>
        <w:spacing w:after="92"/>
        <w:ind w:left="-5" w:right="62" w:hanging="10"/>
        <w:jc w:val="both"/>
      </w:pPr>
      <w:r>
        <w:rPr>
          <w:rFonts w:ascii="Arial" w:eastAsia="Calibri" w:hAnsi="Arial" w:cs="Arial"/>
          <w:i/>
          <w:sz w:val="22"/>
          <w:szCs w:val="22"/>
        </w:rPr>
        <w:t>Requerir la incorporación de un anejo de estudio de las intersecciones de las vías municipales con las vías de comp</w:t>
      </w:r>
      <w:r>
        <w:rPr>
          <w:rFonts w:ascii="Arial" w:eastAsia="Calibri" w:hAnsi="Arial" w:cs="Arial"/>
          <w:i/>
          <w:sz w:val="22"/>
          <w:szCs w:val="22"/>
        </w:rPr>
        <w:t>etencia del Cabildo Insular de Tenerife de acuerdo con lo que establece el artículo 48 de la Ley 9/1991, de 8 de mayo, de Carreteras de Canarias en relación con lo que dispone el artículo 72 del Reglamento de Carreteras de Canarias, aprobado por Decreto 13</w:t>
      </w:r>
      <w:r>
        <w:rPr>
          <w:rFonts w:ascii="Arial" w:eastAsia="Calibri" w:hAnsi="Arial" w:cs="Arial"/>
          <w:i/>
          <w:sz w:val="22"/>
          <w:szCs w:val="22"/>
        </w:rPr>
        <w:t>1/1995, de 11 de mayo, corresponde a los Ayuntamientos el otorgamiento de licencias para usos y obras en las zonas de protección de las carreteras en los tramos de las mismas que discurran por suelo clasificado como urbano, mientras que a este Cabildo Insu</w:t>
      </w:r>
      <w:r>
        <w:rPr>
          <w:rFonts w:ascii="Arial" w:eastAsia="Calibri" w:hAnsi="Arial" w:cs="Arial"/>
          <w:i/>
          <w:sz w:val="22"/>
          <w:szCs w:val="22"/>
        </w:rPr>
        <w:t>lar, en su calidad de titular de las mismas, le corresponde la emisión de informe preceptivo y, en lo que se refiere a las condiciones técnicas de los accesos, la emisión de informe de carácter vinculante.</w:t>
      </w:r>
    </w:p>
    <w:p w:rsidR="009B4233" w:rsidRDefault="006B08B9">
      <w:pPr>
        <w:spacing w:after="3"/>
        <w:ind w:left="-5" w:right="62" w:hanging="10"/>
        <w:jc w:val="both"/>
        <w:rPr>
          <w:rFonts w:ascii="Arial" w:eastAsia="Calibri" w:hAnsi="Arial" w:cs="Arial"/>
          <w:i/>
          <w:sz w:val="22"/>
          <w:szCs w:val="22"/>
        </w:rPr>
      </w:pPr>
      <w:r>
        <w:rPr>
          <w:rFonts w:ascii="Arial" w:eastAsia="Calibri" w:hAnsi="Arial" w:cs="Arial"/>
          <w:i/>
          <w:sz w:val="22"/>
          <w:szCs w:val="22"/>
        </w:rPr>
        <w:t>Requerir la incorporación de un anejo de drenaje y</w:t>
      </w:r>
      <w:r>
        <w:rPr>
          <w:rFonts w:ascii="Arial" w:eastAsia="Calibri" w:hAnsi="Arial" w:cs="Arial"/>
          <w:i/>
          <w:sz w:val="22"/>
          <w:szCs w:val="22"/>
        </w:rPr>
        <w:t xml:space="preserve"> régimen hidráulico son los puntos de vertido a Dominio Público Hidráulico que conlleva informe de autorización del Consejo Insular de Aguas de Tenerife según Decreto 86/2002, de 2 de julio, por el que se aprueba el Reglamento del Dominio Público Hidráulic</w:t>
      </w:r>
      <w:r>
        <w:rPr>
          <w:rFonts w:ascii="Arial" w:eastAsia="Calibri" w:hAnsi="Arial" w:cs="Arial"/>
          <w:i/>
          <w:sz w:val="22"/>
          <w:szCs w:val="22"/>
        </w:rPr>
        <w:t>o.</w:t>
      </w:r>
    </w:p>
    <w:p w:rsidR="009B4233" w:rsidRDefault="009B4233">
      <w:pPr>
        <w:spacing w:after="3"/>
        <w:ind w:left="-5" w:right="62" w:hanging="10"/>
        <w:jc w:val="both"/>
        <w:rPr>
          <w:rFonts w:ascii="Arial" w:eastAsia="Calibri" w:hAnsi="Arial" w:cs="Arial"/>
          <w:i/>
          <w:sz w:val="22"/>
          <w:szCs w:val="22"/>
        </w:rPr>
      </w:pPr>
    </w:p>
    <w:p w:rsidR="009B4233" w:rsidRDefault="009B4233">
      <w:pPr>
        <w:spacing w:after="3"/>
        <w:ind w:left="-5" w:right="62" w:hanging="10"/>
        <w:jc w:val="both"/>
        <w:rPr>
          <w:rFonts w:ascii="Arial" w:hAnsi="Arial" w:cs="Arial"/>
          <w:sz w:val="22"/>
          <w:szCs w:val="22"/>
        </w:rPr>
      </w:pPr>
    </w:p>
    <w:p w:rsidR="009B4233" w:rsidRDefault="006B08B9">
      <w:pPr>
        <w:spacing w:after="92"/>
        <w:ind w:left="-5" w:right="62" w:hanging="10"/>
        <w:jc w:val="both"/>
      </w:pPr>
      <w:r>
        <w:rPr>
          <w:rFonts w:ascii="Arial" w:eastAsia="Calibri" w:hAnsi="Arial" w:cs="Arial"/>
          <w:i/>
          <w:sz w:val="22"/>
          <w:szCs w:val="22"/>
        </w:rPr>
        <w:t>Requerir anejo de cálculo y justificación de la actuación sobre el cambio de ubicación de alumbrado público, sin que conste estudio luminotécnico en el documento entregado ni estado administrativo de los puntos de suministro.</w:t>
      </w:r>
    </w:p>
    <w:p w:rsidR="009B4233" w:rsidRDefault="006B08B9">
      <w:pPr>
        <w:spacing w:after="86"/>
        <w:ind w:left="-5" w:right="62" w:hanging="10"/>
        <w:jc w:val="both"/>
      </w:pPr>
      <w:r>
        <w:rPr>
          <w:rFonts w:ascii="Arial" w:eastAsia="Calibri" w:hAnsi="Arial" w:cs="Arial"/>
          <w:i/>
          <w:sz w:val="22"/>
          <w:szCs w:val="22"/>
        </w:rPr>
        <w:t>Reflejar en documento grá</w:t>
      </w:r>
      <w:r>
        <w:rPr>
          <w:rFonts w:ascii="Arial" w:eastAsia="Calibri" w:hAnsi="Arial" w:cs="Arial"/>
          <w:i/>
          <w:sz w:val="22"/>
          <w:szCs w:val="22"/>
        </w:rPr>
        <w:t>fico la señalización vertical.</w:t>
      </w:r>
    </w:p>
    <w:p w:rsidR="009B4233" w:rsidRDefault="006B08B9">
      <w:pPr>
        <w:spacing w:after="92"/>
        <w:ind w:left="-5" w:right="62" w:hanging="10"/>
        <w:jc w:val="both"/>
      </w:pPr>
      <w:r>
        <w:rPr>
          <w:rFonts w:ascii="Arial" w:eastAsia="Calibri" w:hAnsi="Arial" w:cs="Arial"/>
          <w:i/>
          <w:sz w:val="22"/>
          <w:szCs w:val="22"/>
        </w:rPr>
        <w:t>Se contempla la demolición de los actuales alcorques, pero no se presupuesta trasplante de la vegetación existente.</w:t>
      </w:r>
    </w:p>
    <w:p w:rsidR="009B4233" w:rsidRDefault="006B08B9">
      <w:pPr>
        <w:spacing w:after="92"/>
        <w:ind w:left="-5" w:right="62" w:hanging="10"/>
        <w:jc w:val="both"/>
      </w:pPr>
      <w:r>
        <w:rPr>
          <w:rFonts w:ascii="Arial" w:eastAsia="Calibri" w:hAnsi="Arial" w:cs="Arial"/>
          <w:i/>
          <w:sz w:val="22"/>
          <w:szCs w:val="22"/>
        </w:rPr>
        <w:t>En el Pliego de Prescripciones Técnicas Particulares debe realizarse la actualización de las disposiciones re</w:t>
      </w:r>
      <w:r>
        <w:rPr>
          <w:rFonts w:ascii="Arial" w:eastAsia="Calibri" w:hAnsi="Arial" w:cs="Arial"/>
          <w:i/>
          <w:sz w:val="22"/>
          <w:szCs w:val="22"/>
        </w:rPr>
        <w:t>glamentarias citadas y derogadas.</w:t>
      </w:r>
    </w:p>
    <w:p w:rsidR="009B4233" w:rsidRDefault="006B08B9">
      <w:pPr>
        <w:spacing w:after="92"/>
        <w:ind w:left="-5" w:right="62" w:hanging="10"/>
        <w:jc w:val="both"/>
      </w:pPr>
      <w:r>
        <w:rPr>
          <w:rFonts w:ascii="Arial" w:eastAsia="Calibri" w:hAnsi="Arial" w:cs="Arial"/>
          <w:i/>
          <w:sz w:val="22"/>
          <w:szCs w:val="22"/>
        </w:rPr>
        <w:t>Otorgar un plazo de 20 días para la adecuación de las consideraciones técnicas recogidas en este informe.</w:t>
      </w:r>
    </w:p>
    <w:p w:rsidR="009B4233" w:rsidRDefault="006B08B9">
      <w:pPr>
        <w:spacing w:after="460"/>
        <w:ind w:left="-5" w:right="62" w:hanging="10"/>
        <w:jc w:val="both"/>
      </w:pPr>
      <w:r>
        <w:rPr>
          <w:rFonts w:ascii="Arial" w:eastAsia="Calibri" w:hAnsi="Arial" w:cs="Arial"/>
          <w:i/>
          <w:sz w:val="22"/>
          <w:szCs w:val="22"/>
        </w:rPr>
        <w:t>Al margen de consideraciones jurídicas, y sometiendo a superior criterio, es cuanto tengo que informar.”</w:t>
      </w:r>
    </w:p>
    <w:p w:rsidR="009B4233" w:rsidRDefault="006B08B9">
      <w:pPr>
        <w:pStyle w:val="Ttulo1"/>
        <w:spacing w:after="450"/>
        <w:ind w:right="62"/>
        <w:rPr>
          <w:rFonts w:ascii="Arial" w:hAnsi="Arial" w:cs="Arial"/>
          <w:sz w:val="22"/>
          <w:szCs w:val="22"/>
        </w:rPr>
      </w:pPr>
      <w:r>
        <w:rPr>
          <w:rFonts w:ascii="Arial" w:hAnsi="Arial" w:cs="Arial"/>
          <w:sz w:val="22"/>
          <w:szCs w:val="22"/>
        </w:rPr>
        <w:t>FUNDAMENTOS</w:t>
      </w:r>
      <w:r>
        <w:rPr>
          <w:rFonts w:ascii="Arial" w:hAnsi="Arial" w:cs="Arial"/>
          <w:sz w:val="22"/>
          <w:szCs w:val="22"/>
        </w:rPr>
        <w:t xml:space="preserve"> DE DERECHO</w:t>
      </w:r>
    </w:p>
    <w:p w:rsidR="009B4233" w:rsidRDefault="006B08B9">
      <w:pPr>
        <w:spacing w:after="118" w:line="228" w:lineRule="auto"/>
        <w:ind w:left="10" w:right="49" w:hanging="10"/>
        <w:jc w:val="both"/>
      </w:pPr>
      <w:r>
        <w:rPr>
          <w:rFonts w:ascii="Arial" w:eastAsia="Calibri" w:hAnsi="Arial" w:cs="Arial"/>
          <w:b/>
          <w:sz w:val="22"/>
          <w:szCs w:val="22"/>
        </w:rPr>
        <w:t xml:space="preserve">El art. 32 de la ley 9/2017, de 8 de noviembre de Contratos del sector Público, </w:t>
      </w:r>
      <w:r>
        <w:rPr>
          <w:rFonts w:ascii="Arial" w:eastAsia="Calibri" w:hAnsi="Arial" w:cs="Arial"/>
          <w:sz w:val="22"/>
          <w:szCs w:val="22"/>
        </w:rPr>
        <w:t>establece</w:t>
      </w:r>
      <w:r>
        <w:rPr>
          <w:rFonts w:ascii="Arial" w:eastAsia="Calibri" w:hAnsi="Arial" w:cs="Arial"/>
          <w:b/>
          <w:sz w:val="22"/>
          <w:szCs w:val="22"/>
        </w:rPr>
        <w:t xml:space="preserve"> </w:t>
      </w:r>
      <w:r>
        <w:rPr>
          <w:rFonts w:ascii="Arial" w:eastAsia="Calibri" w:hAnsi="Arial" w:cs="Arial"/>
          <w:sz w:val="22"/>
          <w:szCs w:val="22"/>
        </w:rPr>
        <w:t>el régimen jurídico aplicable a los encargos a medios propios, regulando los requisitos y condiciones bajo los cuales las entidades del sector público pue</w:t>
      </w:r>
      <w:r>
        <w:rPr>
          <w:rFonts w:ascii="Arial" w:eastAsia="Calibri" w:hAnsi="Arial" w:cs="Arial"/>
          <w:sz w:val="22"/>
          <w:szCs w:val="22"/>
        </w:rPr>
        <w:t xml:space="preserve">den encomendar la realización de prestaciones a entes que ostenten dicha condición disponiendo lo siguiente: </w:t>
      </w:r>
    </w:p>
    <w:p w:rsidR="009B4233" w:rsidRDefault="006B08B9">
      <w:pPr>
        <w:spacing w:after="30" w:line="218" w:lineRule="auto"/>
        <w:ind w:left="-15" w:right="53"/>
        <w:jc w:val="both"/>
      </w:pPr>
      <w:r>
        <w:rPr>
          <w:rFonts w:ascii="Arial" w:eastAsia="Calibri" w:hAnsi="Arial" w:cs="Arial"/>
          <w:i/>
          <w:sz w:val="22"/>
          <w:szCs w:val="22"/>
        </w:rPr>
        <w:t>“Art. 32. Encargos de los poderes adjudicadores a medios propios personificados.</w:t>
      </w:r>
    </w:p>
    <w:p w:rsidR="009B4233" w:rsidRDefault="006B08B9">
      <w:pPr>
        <w:widowControl/>
        <w:numPr>
          <w:ilvl w:val="0"/>
          <w:numId w:val="91"/>
        </w:numPr>
        <w:suppressAutoHyphens w:val="0"/>
        <w:spacing w:after="1" w:line="218" w:lineRule="auto"/>
        <w:ind w:right="53" w:firstLine="350"/>
        <w:jc w:val="both"/>
        <w:textAlignment w:val="auto"/>
      </w:pPr>
      <w:r>
        <w:rPr>
          <w:rFonts w:ascii="Arial" w:eastAsia="Calibri" w:hAnsi="Arial" w:cs="Arial"/>
          <w:i/>
          <w:sz w:val="22"/>
          <w:szCs w:val="22"/>
        </w:rPr>
        <w:t>Los poderes adjudicadores podrán organizarse ejecutando de manera</w:t>
      </w:r>
      <w:r>
        <w:rPr>
          <w:rFonts w:ascii="Arial" w:eastAsia="Calibri" w:hAnsi="Arial" w:cs="Arial"/>
          <w:i/>
          <w:sz w:val="22"/>
          <w:szCs w:val="22"/>
        </w:rPr>
        <w:t xml:space="preserve"> directa prestaciones propias de los contratos de obras, suministros, servicios, concesión de obras y concesión de servicios, a cambio de una compensación tarifaria, valiéndose de otra persona jurídica distinta a ellos, ya sea de derecho público o de derec</w:t>
      </w:r>
      <w:r>
        <w:rPr>
          <w:rFonts w:ascii="Arial" w:eastAsia="Calibri" w:hAnsi="Arial" w:cs="Arial"/>
          <w:i/>
          <w:sz w:val="22"/>
          <w:szCs w:val="22"/>
        </w:rPr>
        <w:t xml:space="preserve">ho privado, previo encargo a esta, con sujeción a lo dispuesto en este artículo, siempre y cuando la persona jurídica que utilicen merezca la calificación jurídica de medio propio personificado respecto de ellos de conformidad con lo dispuesto en los tres </w:t>
      </w:r>
      <w:r>
        <w:rPr>
          <w:rFonts w:ascii="Arial" w:eastAsia="Calibri" w:hAnsi="Arial" w:cs="Arial"/>
          <w:i/>
          <w:sz w:val="22"/>
          <w:szCs w:val="22"/>
        </w:rPr>
        <w:t>apartados siguientes, y sin perjuicio de los requisitos establecidos para los medios propios del ámbito estatal en la Ley 40/2015, de 1 de octubre, de Régimen Jurídico del Sector Público.</w:t>
      </w:r>
    </w:p>
    <w:p w:rsidR="009B4233" w:rsidRDefault="006B08B9">
      <w:pPr>
        <w:spacing w:after="30" w:line="218" w:lineRule="auto"/>
        <w:ind w:left="360" w:right="53"/>
        <w:jc w:val="both"/>
      </w:pPr>
      <w:r>
        <w:rPr>
          <w:rFonts w:ascii="Arial" w:eastAsia="Calibri" w:hAnsi="Arial" w:cs="Arial"/>
          <w:i/>
          <w:sz w:val="22"/>
          <w:szCs w:val="22"/>
        </w:rPr>
        <w:t>El encargo que cumpla dichos requisitos no tendrá la consideración d</w:t>
      </w:r>
      <w:r>
        <w:rPr>
          <w:rFonts w:ascii="Arial" w:eastAsia="Calibri" w:hAnsi="Arial" w:cs="Arial"/>
          <w:i/>
          <w:sz w:val="22"/>
          <w:szCs w:val="22"/>
        </w:rPr>
        <w:t>e contrato.</w:t>
      </w:r>
    </w:p>
    <w:p w:rsidR="009B4233" w:rsidRDefault="006B08B9">
      <w:pPr>
        <w:widowControl/>
        <w:numPr>
          <w:ilvl w:val="0"/>
          <w:numId w:val="91"/>
        </w:numPr>
        <w:suppressAutoHyphens w:val="0"/>
        <w:spacing w:after="1" w:line="218" w:lineRule="auto"/>
        <w:ind w:right="53" w:firstLine="350"/>
        <w:jc w:val="both"/>
        <w:textAlignment w:val="auto"/>
      </w:pPr>
      <w:r>
        <w:rPr>
          <w:rFonts w:ascii="Arial" w:eastAsia="Calibri" w:hAnsi="Arial" w:cs="Arial"/>
          <w:i/>
          <w:sz w:val="22"/>
          <w:szCs w:val="22"/>
        </w:rPr>
        <w:t>Tendrán la consideración de medio propio personificado respecto de una única entidad concreta del sector público aquellas personas jurídicas, de derecho público o de derecho privado, que cumplan todos y cada uno de los requisitos que se estable</w:t>
      </w:r>
      <w:r>
        <w:rPr>
          <w:rFonts w:ascii="Arial" w:eastAsia="Calibri" w:hAnsi="Arial" w:cs="Arial"/>
          <w:i/>
          <w:sz w:val="22"/>
          <w:szCs w:val="22"/>
        </w:rPr>
        <w:t>cen a continuación:</w:t>
      </w:r>
    </w:p>
    <w:p w:rsidR="009B4233" w:rsidRDefault="006B08B9">
      <w:pPr>
        <w:widowControl/>
        <w:numPr>
          <w:ilvl w:val="0"/>
          <w:numId w:val="92"/>
        </w:numPr>
        <w:suppressAutoHyphens w:val="0"/>
        <w:spacing w:after="1" w:line="218" w:lineRule="auto"/>
        <w:ind w:right="53" w:firstLine="350"/>
        <w:jc w:val="both"/>
        <w:textAlignment w:val="auto"/>
      </w:pPr>
      <w:r>
        <w:rPr>
          <w:rFonts w:ascii="Arial" w:eastAsia="Calibri" w:hAnsi="Arial" w:cs="Arial"/>
          <w:i/>
          <w:sz w:val="22"/>
          <w:szCs w:val="22"/>
        </w:rPr>
        <w:t>Que el poder adjudicador que pueda conferirle encargos ejerza sobre el ente destinatario de los mismos un control, directo o indirecto, análogo al que ostentaría sobre sus propios servicios o unidades, de manera que el primero pueda eje</w:t>
      </w:r>
      <w:r>
        <w:rPr>
          <w:rFonts w:ascii="Arial" w:eastAsia="Calibri" w:hAnsi="Arial" w:cs="Arial"/>
          <w:i/>
          <w:sz w:val="22"/>
          <w:szCs w:val="22"/>
        </w:rPr>
        <w:t>rcer sobre el segundo una influencia decisiva sobre sus objetivos estratégicos y decisiones significativas.</w:t>
      </w:r>
    </w:p>
    <w:p w:rsidR="009B4233" w:rsidRDefault="006B08B9">
      <w:pPr>
        <w:spacing w:after="1" w:line="218" w:lineRule="auto"/>
        <w:ind w:left="-15" w:right="53" w:firstLine="350"/>
        <w:jc w:val="both"/>
      </w:pPr>
      <w:r>
        <w:rPr>
          <w:rFonts w:ascii="Arial" w:eastAsia="Calibri" w:hAnsi="Arial" w:cs="Arial"/>
          <w:i/>
          <w:sz w:val="22"/>
          <w:szCs w:val="22"/>
        </w:rPr>
        <w:t xml:space="preserve">En todo caso se entenderá que el poder adjudicador que puede conferirle encargos ostenta sobre el ente destinatario del mismo un control análogo al </w:t>
      </w:r>
      <w:r>
        <w:rPr>
          <w:rFonts w:ascii="Arial" w:eastAsia="Calibri" w:hAnsi="Arial" w:cs="Arial"/>
          <w:i/>
          <w:sz w:val="22"/>
          <w:szCs w:val="22"/>
        </w:rPr>
        <w:t>que ejerce sobre sus propios servicios o unidades cuando él mismo o bien otro u otros poderes adjudicadores o personas jurídicas controlados del mismo modo por el primero puedan conferirle encargos que sean de ejecución obligatoria para el ente destinatari</w:t>
      </w:r>
      <w:r>
        <w:rPr>
          <w:rFonts w:ascii="Arial" w:eastAsia="Calibri" w:hAnsi="Arial" w:cs="Arial"/>
          <w:i/>
          <w:sz w:val="22"/>
          <w:szCs w:val="22"/>
        </w:rPr>
        <w:t>o del encargo por así establecerlo los estatutos o el acto de creación, de manera que exista una unidad de decisión entre ellos, de acuerdo con instrucciones fijadas unilateralmente por el ente que puede realizar el encargo.</w:t>
      </w:r>
    </w:p>
    <w:p w:rsidR="009B4233" w:rsidRDefault="006B08B9">
      <w:pPr>
        <w:spacing w:after="1" w:line="218" w:lineRule="auto"/>
        <w:ind w:left="-15" w:right="53" w:firstLine="350"/>
        <w:jc w:val="both"/>
      </w:pPr>
      <w:r>
        <w:rPr>
          <w:rFonts w:ascii="Arial" w:eastAsia="Calibri" w:hAnsi="Arial" w:cs="Arial"/>
          <w:i/>
          <w:sz w:val="22"/>
          <w:szCs w:val="22"/>
        </w:rPr>
        <w:t xml:space="preserve">La compensación se establecerá </w:t>
      </w:r>
      <w:r>
        <w:rPr>
          <w:rFonts w:ascii="Arial" w:eastAsia="Calibri" w:hAnsi="Arial" w:cs="Arial"/>
          <w:i/>
          <w:sz w:val="22"/>
          <w:szCs w:val="22"/>
        </w:rPr>
        <w:t>por referencia a tarifas aprobadas por la entidad pública de la que depende el medio propio personificado para las actividades objeto de encargo realizadas por el medio propio directamente y, en la forma que reglamentariamente se determine, atendiendo al c</w:t>
      </w:r>
      <w:r>
        <w:rPr>
          <w:rFonts w:ascii="Arial" w:eastAsia="Calibri" w:hAnsi="Arial" w:cs="Arial"/>
          <w:i/>
          <w:sz w:val="22"/>
          <w:szCs w:val="22"/>
        </w:rPr>
        <w:t>oste efectivo soportado por el medio propio para las actividades objeto del encargo que se subcontraten con empresarios particulares en los casos en que este coste sea inferior al resultante de aplicar las tarifas a las actividades subcontratadas.</w:t>
      </w:r>
    </w:p>
    <w:p w:rsidR="009B4233" w:rsidRDefault="006B08B9">
      <w:pPr>
        <w:spacing w:after="1" w:line="218" w:lineRule="auto"/>
        <w:ind w:left="-15" w:right="53" w:firstLine="350"/>
        <w:jc w:val="both"/>
      </w:pPr>
      <w:r>
        <w:rPr>
          <w:rFonts w:ascii="Arial" w:eastAsia="Calibri" w:hAnsi="Arial" w:cs="Arial"/>
          <w:i/>
          <w:sz w:val="22"/>
          <w:szCs w:val="22"/>
        </w:rPr>
        <w:t>Dichas t</w:t>
      </w:r>
      <w:r>
        <w:rPr>
          <w:rFonts w:ascii="Arial" w:eastAsia="Calibri" w:hAnsi="Arial" w:cs="Arial"/>
          <w:i/>
          <w:sz w:val="22"/>
          <w:szCs w:val="22"/>
        </w:rPr>
        <w:t>arifas se calcularán de manera que representen los costes reales de realización de las unidades producidas directamente por el medio propio.</w:t>
      </w:r>
    </w:p>
    <w:p w:rsidR="009B4233" w:rsidRDefault="006B08B9">
      <w:pPr>
        <w:widowControl/>
        <w:numPr>
          <w:ilvl w:val="0"/>
          <w:numId w:val="92"/>
        </w:numPr>
        <w:suppressAutoHyphens w:val="0"/>
        <w:spacing w:after="1" w:line="218" w:lineRule="auto"/>
        <w:ind w:right="53" w:firstLine="350"/>
        <w:jc w:val="both"/>
        <w:textAlignment w:val="auto"/>
      </w:pPr>
      <w:r>
        <w:rPr>
          <w:rFonts w:ascii="Arial" w:eastAsia="Calibri" w:hAnsi="Arial" w:cs="Arial"/>
          <w:i/>
          <w:sz w:val="22"/>
          <w:szCs w:val="22"/>
        </w:rPr>
        <w:t xml:space="preserve">Que más del 80 por ciento de las actividades del ente destinatario del encargo se lleven a cabo en el ejercicio de </w:t>
      </w:r>
      <w:r>
        <w:rPr>
          <w:rFonts w:ascii="Arial" w:eastAsia="Calibri" w:hAnsi="Arial" w:cs="Arial"/>
          <w:i/>
          <w:sz w:val="22"/>
          <w:szCs w:val="22"/>
        </w:rPr>
        <w:t>los cometidos que le han sido confiados por el poder adjudicador que hace el encargo y que lo controla o por otras personas jurídicas controladas del mismo modo por la entidad que hace el encargo.</w:t>
      </w:r>
    </w:p>
    <w:p w:rsidR="009B4233" w:rsidRDefault="006B08B9">
      <w:pPr>
        <w:spacing w:after="1" w:line="218" w:lineRule="auto"/>
        <w:ind w:left="-15" w:right="53" w:firstLine="350"/>
        <w:jc w:val="both"/>
      </w:pPr>
      <w:r>
        <w:rPr>
          <w:rFonts w:ascii="Arial" w:eastAsia="Calibri" w:hAnsi="Arial" w:cs="Arial"/>
          <w:i/>
          <w:sz w:val="22"/>
          <w:szCs w:val="22"/>
        </w:rPr>
        <w:t>A estos efectos, para calcular el 80 por ciento de las acti</w:t>
      </w:r>
      <w:r>
        <w:rPr>
          <w:rFonts w:ascii="Arial" w:eastAsia="Calibri" w:hAnsi="Arial" w:cs="Arial"/>
          <w:i/>
          <w:sz w:val="22"/>
          <w:szCs w:val="22"/>
        </w:rPr>
        <w:t>vidades del ente destinatario del encargo se tomarán en consideración el promedio del volumen global de negocios, los gastos soportados por los servicios prestados al poder adjudicador en relación con la totalidad de los gastos en que haya incurrido el med</w:t>
      </w:r>
      <w:r>
        <w:rPr>
          <w:rFonts w:ascii="Arial" w:eastAsia="Calibri" w:hAnsi="Arial" w:cs="Arial"/>
          <w:i/>
          <w:sz w:val="22"/>
          <w:szCs w:val="22"/>
        </w:rPr>
        <w:t>io propio por razón de las prestaciones que haya realizado a cualquier entidad, u otro indicador alternativo de actividad que sea fiable, y todo ello referido a los tres ejercicios anteriores al de formalización del encargo.</w:t>
      </w:r>
    </w:p>
    <w:p w:rsidR="009B4233" w:rsidRDefault="006B08B9">
      <w:pPr>
        <w:spacing w:after="1" w:line="218" w:lineRule="auto"/>
        <w:ind w:left="-15" w:right="53" w:firstLine="350"/>
        <w:jc w:val="both"/>
      </w:pPr>
      <w:r>
        <w:rPr>
          <w:rFonts w:ascii="Arial" w:eastAsia="Calibri" w:hAnsi="Arial" w:cs="Arial"/>
          <w:i/>
          <w:sz w:val="22"/>
          <w:szCs w:val="22"/>
        </w:rPr>
        <w:t>Cuando debido a la fecha de cre</w:t>
      </w:r>
      <w:r>
        <w:rPr>
          <w:rFonts w:ascii="Arial" w:eastAsia="Calibri" w:hAnsi="Arial" w:cs="Arial"/>
          <w:i/>
          <w:sz w:val="22"/>
          <w:szCs w:val="22"/>
        </w:rPr>
        <w:t>ación o de inicio de actividad del poder adjudicador que hace el encargo, o debido a la reorganización de las actividades de este, el volumen global de negocios, u otro indicador alternativo de actividad, de acuerdo con lo establecido en el párrafo anterio</w:t>
      </w:r>
      <w:r>
        <w:rPr>
          <w:rFonts w:ascii="Arial" w:eastAsia="Calibri" w:hAnsi="Arial" w:cs="Arial"/>
          <w:i/>
          <w:sz w:val="22"/>
          <w:szCs w:val="22"/>
        </w:rPr>
        <w:t>r, no estuvieran disponibles respecto de los tres ejercicios anteriores a la formalización del encargo o hubieran perdido su vigencia, será suficiente con justificar que el cálculo del nivel de actividad se corresponde con la realidad, en especial mediante</w:t>
      </w:r>
      <w:r>
        <w:rPr>
          <w:rFonts w:ascii="Arial" w:eastAsia="Calibri" w:hAnsi="Arial" w:cs="Arial"/>
          <w:i/>
          <w:sz w:val="22"/>
          <w:szCs w:val="22"/>
        </w:rPr>
        <w:t xml:space="preserve"> proyecciones de negocio.</w:t>
      </w:r>
    </w:p>
    <w:p w:rsidR="009B4233" w:rsidRDefault="006B08B9">
      <w:pPr>
        <w:widowControl/>
        <w:numPr>
          <w:ilvl w:val="0"/>
          <w:numId w:val="93"/>
        </w:numPr>
        <w:suppressAutoHyphens w:val="0"/>
        <w:spacing w:line="249" w:lineRule="auto"/>
        <w:ind w:right="60" w:firstLine="350"/>
        <w:jc w:val="both"/>
        <w:textAlignment w:val="auto"/>
      </w:pPr>
      <w:r>
        <w:rPr>
          <w:rFonts w:ascii="Arial" w:eastAsia="Calibri" w:hAnsi="Arial" w:cs="Arial"/>
          <w:i/>
          <w:sz w:val="22"/>
          <w:szCs w:val="22"/>
        </w:rPr>
        <w:t>Cuando el ente destinatario del encargo sea un ente de personificación jurídico-</w:t>
      </w:r>
    </w:p>
    <w:p w:rsidR="009B4233" w:rsidRDefault="006B08B9">
      <w:pPr>
        <w:spacing w:after="1" w:line="218" w:lineRule="auto"/>
        <w:ind w:left="-15" w:right="53"/>
        <w:jc w:val="both"/>
      </w:pPr>
      <w:r>
        <w:rPr>
          <w:rFonts w:ascii="Arial" w:eastAsia="Calibri" w:hAnsi="Arial" w:cs="Arial"/>
          <w:i/>
          <w:sz w:val="22"/>
          <w:szCs w:val="22"/>
        </w:rPr>
        <w:t>privada, además, la totalidad de su capital o patrimonio tendrá que ser de titularidad o aportación pública.</w:t>
      </w:r>
    </w:p>
    <w:p w:rsidR="009B4233" w:rsidRDefault="006B08B9">
      <w:pPr>
        <w:widowControl/>
        <w:numPr>
          <w:ilvl w:val="0"/>
          <w:numId w:val="93"/>
        </w:numPr>
        <w:suppressAutoHyphens w:val="0"/>
        <w:spacing w:after="1" w:line="218" w:lineRule="auto"/>
        <w:ind w:right="60" w:firstLine="350"/>
        <w:jc w:val="both"/>
        <w:textAlignment w:val="auto"/>
      </w:pPr>
      <w:r>
        <w:rPr>
          <w:rFonts w:ascii="Arial" w:eastAsia="Calibri" w:hAnsi="Arial" w:cs="Arial"/>
          <w:i/>
          <w:sz w:val="22"/>
          <w:szCs w:val="22"/>
        </w:rPr>
        <w:t xml:space="preserve">La condición de medio propio </w:t>
      </w:r>
      <w:r>
        <w:rPr>
          <w:rFonts w:ascii="Arial" w:eastAsia="Calibri" w:hAnsi="Arial" w:cs="Arial"/>
          <w:i/>
          <w:sz w:val="22"/>
          <w:szCs w:val="22"/>
        </w:rPr>
        <w:t>personificado de la entidad destinataria del encargo respecto del concreto poder adjudicador que hace el encargo deberá reconocerse expresamente en sus estatutos o actos de creación, previo cumplimiento de los siguientes requisitos:</w:t>
      </w:r>
    </w:p>
    <w:p w:rsidR="009B4233" w:rsidRDefault="006B08B9">
      <w:pPr>
        <w:spacing w:after="1" w:line="218" w:lineRule="auto"/>
        <w:ind w:left="-15" w:right="53" w:firstLine="350"/>
        <w:jc w:val="both"/>
      </w:pPr>
      <w:r>
        <w:rPr>
          <w:rFonts w:ascii="Arial" w:eastAsia="Calibri" w:hAnsi="Arial" w:cs="Arial"/>
          <w:i/>
          <w:sz w:val="22"/>
          <w:szCs w:val="22"/>
        </w:rPr>
        <w:t>1.º Conformidad o autor</w:t>
      </w:r>
      <w:r>
        <w:rPr>
          <w:rFonts w:ascii="Arial" w:eastAsia="Calibri" w:hAnsi="Arial" w:cs="Arial"/>
          <w:i/>
          <w:sz w:val="22"/>
          <w:szCs w:val="22"/>
        </w:rPr>
        <w:t>ización expresa del poder adjudicador respecto del que vaya a ser medio propio.</w:t>
      </w:r>
    </w:p>
    <w:p w:rsidR="009B4233" w:rsidRDefault="006B08B9">
      <w:pPr>
        <w:spacing w:after="1" w:line="218" w:lineRule="auto"/>
        <w:ind w:left="-15" w:right="53" w:firstLine="350"/>
        <w:jc w:val="both"/>
      </w:pPr>
      <w:r>
        <w:rPr>
          <w:rFonts w:ascii="Arial" w:eastAsia="Calibri" w:hAnsi="Arial" w:cs="Arial"/>
          <w:i/>
          <w:sz w:val="22"/>
          <w:szCs w:val="22"/>
        </w:rPr>
        <w:t>2.º Verificación por la entidad pública de que dependa el ente que vaya a ser medio propio, de que cuenta con medios personales y materiales apropiados para la realización de l</w:t>
      </w:r>
      <w:r>
        <w:rPr>
          <w:rFonts w:ascii="Arial" w:eastAsia="Calibri" w:hAnsi="Arial" w:cs="Arial"/>
          <w:i/>
          <w:sz w:val="22"/>
          <w:szCs w:val="22"/>
        </w:rPr>
        <w:t>os encargos de conformidad con su objeto social.</w:t>
      </w:r>
    </w:p>
    <w:p w:rsidR="009B4233" w:rsidRDefault="006B08B9">
      <w:pPr>
        <w:spacing w:after="1" w:line="218" w:lineRule="auto"/>
        <w:ind w:left="-15" w:right="53" w:firstLine="350"/>
        <w:jc w:val="both"/>
      </w:pPr>
      <w:r>
        <w:rPr>
          <w:rFonts w:ascii="Arial" w:eastAsia="Calibri" w:hAnsi="Arial" w:cs="Arial"/>
          <w:i/>
          <w:sz w:val="22"/>
          <w:szCs w:val="22"/>
        </w:rPr>
        <w:t>Los estatutos o acto de creación del ente destinatario del encargo deberá determinar: el poder adjudicador respecto del cual tiene esa condición; precisar el régimen jurídico y administrativo de los encargos</w:t>
      </w:r>
      <w:r>
        <w:rPr>
          <w:rFonts w:ascii="Arial" w:eastAsia="Calibri" w:hAnsi="Arial" w:cs="Arial"/>
          <w:i/>
          <w:sz w:val="22"/>
          <w:szCs w:val="22"/>
        </w:rPr>
        <w:t xml:space="preserve"> que se les puedan conferir; y establecer la imposibilidad de que participen en licitaciones públicas convocadas por el poder adjudicador del que sean medio propio personificado, sin perjuicio de que, cuando no concurra ningún licitador, pueda encargársele</w:t>
      </w:r>
      <w:r>
        <w:rPr>
          <w:rFonts w:ascii="Arial" w:eastAsia="Calibri" w:hAnsi="Arial" w:cs="Arial"/>
          <w:i/>
          <w:sz w:val="22"/>
          <w:szCs w:val="22"/>
        </w:rPr>
        <w:t>s la ejecución de la prestación objeto de las mismas.</w:t>
      </w:r>
    </w:p>
    <w:p w:rsidR="009B4233" w:rsidRDefault="006B08B9">
      <w:pPr>
        <w:spacing w:after="1" w:line="218" w:lineRule="auto"/>
        <w:ind w:left="-15" w:right="53" w:firstLine="350"/>
        <w:jc w:val="both"/>
      </w:pPr>
      <w:r>
        <w:rPr>
          <w:rFonts w:ascii="Arial" w:eastAsia="Calibri" w:hAnsi="Arial" w:cs="Arial"/>
          <w:i/>
          <w:sz w:val="22"/>
          <w:szCs w:val="22"/>
        </w:rPr>
        <w:t>En todo caso, se presumirá que cumple el requisito establecido en el número 2.º de la presente letra cuando haya obtenido la correspondiente clasificación respecto a los grupos, subgrupos y categorías q</w:t>
      </w:r>
      <w:r>
        <w:rPr>
          <w:rFonts w:ascii="Arial" w:eastAsia="Calibri" w:hAnsi="Arial" w:cs="Arial"/>
          <w:i/>
          <w:sz w:val="22"/>
          <w:szCs w:val="22"/>
        </w:rPr>
        <w:t>ue ostente.</w:t>
      </w:r>
    </w:p>
    <w:p w:rsidR="009B4233" w:rsidRDefault="006B08B9">
      <w:pPr>
        <w:widowControl/>
        <w:numPr>
          <w:ilvl w:val="0"/>
          <w:numId w:val="94"/>
        </w:numPr>
        <w:suppressAutoHyphens w:val="0"/>
        <w:spacing w:after="1" w:line="218" w:lineRule="auto"/>
        <w:ind w:right="53" w:firstLine="350"/>
        <w:jc w:val="both"/>
        <w:textAlignment w:val="auto"/>
      </w:pPr>
      <w:r>
        <w:rPr>
          <w:rFonts w:ascii="Arial" w:eastAsia="Calibri" w:hAnsi="Arial" w:cs="Arial"/>
          <w:i/>
          <w:sz w:val="22"/>
          <w:szCs w:val="22"/>
        </w:rPr>
        <w:t>El apartado 2 del presente artículo también se aplicará en los casos en que la persona jurídica controlada, siendo un poder adjudicador, realice un encargo al poder adjudicador que la controla o a otra persona jurídica controlada, directa o ind</w:t>
      </w:r>
      <w:r>
        <w:rPr>
          <w:rFonts w:ascii="Arial" w:eastAsia="Calibri" w:hAnsi="Arial" w:cs="Arial"/>
          <w:i/>
          <w:sz w:val="22"/>
          <w:szCs w:val="22"/>
        </w:rPr>
        <w:t>irectamente, por el mismo poder adjudicador, siempre que no exista participación directa de capital privado en la persona jurídica a la que se realice el encargo.</w:t>
      </w:r>
    </w:p>
    <w:p w:rsidR="009B4233" w:rsidRDefault="006B08B9">
      <w:pPr>
        <w:widowControl/>
        <w:numPr>
          <w:ilvl w:val="0"/>
          <w:numId w:val="94"/>
        </w:numPr>
        <w:suppressAutoHyphens w:val="0"/>
        <w:spacing w:after="1" w:line="218" w:lineRule="auto"/>
        <w:ind w:right="53" w:firstLine="350"/>
        <w:jc w:val="both"/>
        <w:textAlignment w:val="auto"/>
      </w:pPr>
      <w:r>
        <w:rPr>
          <w:rFonts w:ascii="Arial" w:eastAsia="Calibri" w:hAnsi="Arial" w:cs="Arial"/>
          <w:i/>
          <w:sz w:val="22"/>
          <w:szCs w:val="22"/>
        </w:rPr>
        <w:t>Tendrán la consideración de medio propio personificado respecto de dos o más poderes adjudica</w:t>
      </w:r>
      <w:r>
        <w:rPr>
          <w:rFonts w:ascii="Arial" w:eastAsia="Calibri" w:hAnsi="Arial" w:cs="Arial"/>
          <w:i/>
          <w:sz w:val="22"/>
          <w:szCs w:val="22"/>
        </w:rPr>
        <w:t>dores que sean independientes entre sí aquellas personas jurídicas, de derecho público o de derecho privado, que cumplan todos y cada uno de los requisitos que se establecen a continuación:</w:t>
      </w:r>
    </w:p>
    <w:p w:rsidR="009B4233" w:rsidRDefault="006B08B9">
      <w:pPr>
        <w:spacing w:after="1" w:line="218" w:lineRule="auto"/>
        <w:ind w:left="-15" w:right="53" w:firstLine="350"/>
        <w:jc w:val="both"/>
      </w:pPr>
      <w:r>
        <w:rPr>
          <w:rFonts w:ascii="Arial" w:eastAsia="Calibri" w:hAnsi="Arial" w:cs="Arial"/>
          <w:i/>
          <w:sz w:val="22"/>
          <w:szCs w:val="22"/>
        </w:rPr>
        <w:t>a) Que los poderes adjudicadores que puedan conferirle encargos ej</w:t>
      </w:r>
      <w:r>
        <w:rPr>
          <w:rFonts w:ascii="Arial" w:eastAsia="Calibri" w:hAnsi="Arial" w:cs="Arial"/>
          <w:i/>
          <w:sz w:val="22"/>
          <w:szCs w:val="22"/>
        </w:rPr>
        <w:t>erzan sobre el ente destinatario del mismo un control conjunto análogo al que ostentarían sobre sus propios servicios o unidades.</w:t>
      </w:r>
    </w:p>
    <w:p w:rsidR="009B4233" w:rsidRDefault="006B08B9">
      <w:pPr>
        <w:spacing w:after="1" w:line="218" w:lineRule="auto"/>
        <w:ind w:left="-15" w:right="53" w:firstLine="350"/>
        <w:jc w:val="both"/>
      </w:pPr>
      <w:r>
        <w:rPr>
          <w:rFonts w:ascii="Arial" w:eastAsia="Calibri" w:hAnsi="Arial" w:cs="Arial"/>
          <w:i/>
          <w:sz w:val="22"/>
          <w:szCs w:val="22"/>
        </w:rPr>
        <w:t>Se entenderá que existe control conjunto cuando se cumplan todas las condiciones siguientes:</w:t>
      </w:r>
    </w:p>
    <w:p w:rsidR="009B4233" w:rsidRDefault="006B08B9">
      <w:pPr>
        <w:spacing w:after="1" w:line="218" w:lineRule="auto"/>
        <w:ind w:left="-15" w:right="53" w:firstLine="350"/>
        <w:jc w:val="both"/>
      </w:pPr>
      <w:r>
        <w:rPr>
          <w:rFonts w:ascii="Arial" w:eastAsia="Calibri" w:hAnsi="Arial" w:cs="Arial"/>
          <w:i/>
          <w:sz w:val="22"/>
          <w:szCs w:val="22"/>
        </w:rPr>
        <w:t>1.º Que en los órganos decisorios</w:t>
      </w:r>
      <w:r>
        <w:rPr>
          <w:rFonts w:ascii="Arial" w:eastAsia="Calibri" w:hAnsi="Arial" w:cs="Arial"/>
          <w:i/>
          <w:sz w:val="22"/>
          <w:szCs w:val="22"/>
        </w:rPr>
        <w:t xml:space="preserve"> del ente destinatario del encargo estén representados todos los entes que puedan conferirle encargos, pudiendo cada representante representar a varios de estos últimos o a la totalidad de ellos.</w:t>
      </w:r>
    </w:p>
    <w:p w:rsidR="009B4233" w:rsidRDefault="006B08B9">
      <w:pPr>
        <w:spacing w:after="1" w:line="218" w:lineRule="auto"/>
        <w:ind w:left="-15" w:right="53" w:firstLine="350"/>
        <w:jc w:val="both"/>
      </w:pPr>
      <w:r>
        <w:rPr>
          <w:rFonts w:ascii="Arial" w:eastAsia="Calibri" w:hAnsi="Arial" w:cs="Arial"/>
          <w:i/>
          <w:sz w:val="22"/>
          <w:szCs w:val="22"/>
        </w:rPr>
        <w:t>2.º Que estos últimos puedan ejercer directa y conjuntamente</w:t>
      </w:r>
      <w:r>
        <w:rPr>
          <w:rFonts w:ascii="Arial" w:eastAsia="Calibri" w:hAnsi="Arial" w:cs="Arial"/>
          <w:i/>
          <w:sz w:val="22"/>
          <w:szCs w:val="22"/>
        </w:rPr>
        <w:t xml:space="preserve"> una influencia decisiva sobre los objetivos estratégicos y sobre las decisiones significativas del ente destinatario del encargo.</w:t>
      </w:r>
    </w:p>
    <w:p w:rsidR="009B4233" w:rsidRDefault="006B08B9">
      <w:pPr>
        <w:spacing w:after="1" w:line="218" w:lineRule="auto"/>
        <w:ind w:left="-15" w:right="53" w:firstLine="350"/>
        <w:jc w:val="both"/>
      </w:pPr>
      <w:r>
        <w:rPr>
          <w:rFonts w:ascii="Arial" w:eastAsia="Calibri" w:hAnsi="Arial" w:cs="Arial"/>
          <w:i/>
          <w:sz w:val="22"/>
          <w:szCs w:val="22"/>
        </w:rPr>
        <w:t>3.º Que el ente destinatario del encargo no persiga intereses contrarios a los intereses de los entes que puedan conferirle e</w:t>
      </w:r>
      <w:r>
        <w:rPr>
          <w:rFonts w:ascii="Arial" w:eastAsia="Calibri" w:hAnsi="Arial" w:cs="Arial"/>
          <w:i/>
          <w:sz w:val="22"/>
          <w:szCs w:val="22"/>
        </w:rPr>
        <w:t>ncargos.</w:t>
      </w:r>
    </w:p>
    <w:p w:rsidR="009B4233" w:rsidRDefault="006B08B9">
      <w:pPr>
        <w:spacing w:after="1" w:line="218" w:lineRule="auto"/>
        <w:ind w:left="-15" w:right="53" w:firstLine="350"/>
        <w:jc w:val="both"/>
      </w:pPr>
      <w:r>
        <w:rPr>
          <w:rFonts w:ascii="Arial" w:eastAsia="Calibri" w:hAnsi="Arial" w:cs="Arial"/>
          <w:i/>
          <w:sz w:val="22"/>
          <w:szCs w:val="22"/>
        </w:rPr>
        <w:t>La compensación se establecerá, por referencia a tarifas aprobadas por la entidad pública de la que depende el medio propio personificado para las actividades objeto de encargo realizadas por el medio propio directamente y, en la forma que reglame</w:t>
      </w:r>
      <w:r>
        <w:rPr>
          <w:rFonts w:ascii="Arial" w:eastAsia="Calibri" w:hAnsi="Arial" w:cs="Arial"/>
          <w:i/>
          <w:sz w:val="22"/>
          <w:szCs w:val="22"/>
        </w:rPr>
        <w:t>ntariamente se determine, atendiendo al coste efectivo soportado por el medio propio para las actividades objeto del encargo que se subcontraten con empresarios particulares en los casos en que este coste sea inferior al resultante de aplicar las tarifas a</w:t>
      </w:r>
      <w:r>
        <w:rPr>
          <w:rFonts w:ascii="Arial" w:eastAsia="Calibri" w:hAnsi="Arial" w:cs="Arial"/>
          <w:i/>
          <w:sz w:val="22"/>
          <w:szCs w:val="22"/>
        </w:rPr>
        <w:t xml:space="preserve"> las actividades subcontratadas.</w:t>
      </w:r>
    </w:p>
    <w:p w:rsidR="009B4233" w:rsidRDefault="006B08B9">
      <w:pPr>
        <w:spacing w:after="1" w:line="218" w:lineRule="auto"/>
        <w:ind w:left="-15" w:right="53" w:firstLine="350"/>
        <w:jc w:val="both"/>
      </w:pPr>
      <w:r>
        <w:rPr>
          <w:rFonts w:ascii="Arial" w:eastAsia="Calibri" w:hAnsi="Arial" w:cs="Arial"/>
          <w:i/>
          <w:sz w:val="22"/>
          <w:szCs w:val="22"/>
        </w:rPr>
        <w:t>Dichas tarifas se calcularán de manera que representen los costes reales de realización de las unidades producidas directamente por el medio propio.</w:t>
      </w:r>
    </w:p>
    <w:p w:rsidR="009B4233" w:rsidRDefault="006B08B9">
      <w:pPr>
        <w:widowControl/>
        <w:numPr>
          <w:ilvl w:val="0"/>
          <w:numId w:val="95"/>
        </w:numPr>
        <w:suppressAutoHyphens w:val="0"/>
        <w:spacing w:after="1" w:line="218" w:lineRule="auto"/>
        <w:ind w:right="53" w:hanging="360"/>
        <w:jc w:val="both"/>
        <w:textAlignment w:val="auto"/>
      </w:pPr>
      <w:r>
        <w:rPr>
          <w:rFonts w:ascii="Arial" w:eastAsia="Calibri" w:hAnsi="Arial" w:cs="Arial"/>
          <w:i/>
          <w:sz w:val="22"/>
          <w:szCs w:val="22"/>
        </w:rPr>
        <w:t xml:space="preserve">Que más del 80 por ciento de las actividades del ente destinatario del </w:t>
      </w:r>
      <w:r>
        <w:rPr>
          <w:rFonts w:ascii="Arial" w:eastAsia="Calibri" w:hAnsi="Arial" w:cs="Arial"/>
          <w:i/>
          <w:sz w:val="22"/>
          <w:szCs w:val="22"/>
        </w:rPr>
        <w:t>encargo se lleven a cabo en el ejercicio de los cometidos que le han sido confiados por los poderes adjudicadores que lo controlan o por otras personas jurídicas controladas por los mismos poderes adjudicadores. El cálculo del 80 por ciento se hará de acue</w:t>
      </w:r>
      <w:r>
        <w:rPr>
          <w:rFonts w:ascii="Arial" w:eastAsia="Calibri" w:hAnsi="Arial" w:cs="Arial"/>
          <w:i/>
          <w:sz w:val="22"/>
          <w:szCs w:val="22"/>
        </w:rPr>
        <w:t>rdo con lo establecido en la letra b) del apartado 2 de este artículo.</w:t>
      </w:r>
    </w:p>
    <w:p w:rsidR="009B4233" w:rsidRDefault="006B08B9">
      <w:pPr>
        <w:widowControl/>
        <w:numPr>
          <w:ilvl w:val="0"/>
          <w:numId w:val="95"/>
        </w:numPr>
        <w:suppressAutoHyphens w:val="0"/>
        <w:spacing w:after="30" w:line="218" w:lineRule="auto"/>
        <w:ind w:right="53" w:hanging="360"/>
        <w:jc w:val="both"/>
        <w:textAlignment w:val="auto"/>
      </w:pPr>
      <w:r>
        <w:rPr>
          <w:rFonts w:ascii="Arial" w:eastAsia="Calibri" w:hAnsi="Arial" w:cs="Arial"/>
          <w:i/>
          <w:sz w:val="22"/>
          <w:szCs w:val="22"/>
        </w:rPr>
        <w:t>Que cumplan los requisitos que establece este artículo en su apartado 2 letras c) y d).</w:t>
      </w:r>
    </w:p>
    <w:p w:rsidR="009B4233" w:rsidRDefault="006B08B9">
      <w:pPr>
        <w:widowControl/>
        <w:numPr>
          <w:ilvl w:val="0"/>
          <w:numId w:val="96"/>
        </w:numPr>
        <w:suppressAutoHyphens w:val="0"/>
        <w:spacing w:after="30" w:line="218" w:lineRule="auto"/>
        <w:ind w:right="53" w:hanging="360"/>
        <w:jc w:val="both"/>
        <w:textAlignment w:val="auto"/>
      </w:pPr>
      <w:r>
        <w:rPr>
          <w:rFonts w:ascii="Arial" w:eastAsia="Calibri" w:hAnsi="Arial" w:cs="Arial"/>
          <w:i/>
          <w:sz w:val="22"/>
          <w:szCs w:val="22"/>
        </w:rPr>
        <w:t>(Suprimido)</w:t>
      </w:r>
    </w:p>
    <w:p w:rsidR="009B4233" w:rsidRDefault="006B08B9">
      <w:pPr>
        <w:widowControl/>
        <w:numPr>
          <w:ilvl w:val="0"/>
          <w:numId w:val="96"/>
        </w:numPr>
        <w:suppressAutoHyphens w:val="0"/>
        <w:spacing w:after="1" w:line="218" w:lineRule="auto"/>
        <w:ind w:right="53" w:hanging="360"/>
        <w:jc w:val="both"/>
        <w:textAlignment w:val="auto"/>
      </w:pPr>
      <w:r>
        <w:rPr>
          <w:rFonts w:ascii="Arial" w:eastAsia="Calibri" w:hAnsi="Arial" w:cs="Arial"/>
          <w:i/>
          <w:sz w:val="22"/>
          <w:szCs w:val="22"/>
        </w:rPr>
        <w:t xml:space="preserve">Los encargos que realicen las entidades del sector público a un ente que, de acuerdo </w:t>
      </w:r>
      <w:r>
        <w:rPr>
          <w:rFonts w:ascii="Arial" w:eastAsia="Calibri" w:hAnsi="Arial" w:cs="Arial"/>
          <w:i/>
          <w:sz w:val="22"/>
          <w:szCs w:val="22"/>
        </w:rPr>
        <w:t>con los apartados segundo, tercero o cuarto de este artículo, pueda ser calificado como medio propio personificado del primero o primeros, no tendrán la consideración jurídica de contrato, debiendo únicamente cumplir las siguientes normas:</w:t>
      </w:r>
    </w:p>
    <w:p w:rsidR="009B4233" w:rsidRDefault="006B08B9">
      <w:pPr>
        <w:widowControl/>
        <w:numPr>
          <w:ilvl w:val="0"/>
          <w:numId w:val="97"/>
        </w:numPr>
        <w:suppressAutoHyphens w:val="0"/>
        <w:spacing w:after="1" w:line="218" w:lineRule="auto"/>
        <w:ind w:right="53" w:firstLine="350"/>
        <w:jc w:val="both"/>
        <w:textAlignment w:val="auto"/>
      </w:pPr>
      <w:r>
        <w:rPr>
          <w:rFonts w:ascii="Arial" w:eastAsia="Calibri" w:hAnsi="Arial" w:cs="Arial"/>
          <w:i/>
          <w:sz w:val="22"/>
          <w:szCs w:val="22"/>
        </w:rPr>
        <w:t xml:space="preserve">El medio propio </w:t>
      </w:r>
      <w:r>
        <w:rPr>
          <w:rFonts w:ascii="Arial" w:eastAsia="Calibri" w:hAnsi="Arial" w:cs="Arial"/>
          <w:i/>
          <w:sz w:val="22"/>
          <w:szCs w:val="22"/>
        </w:rPr>
        <w:t>personificado deberá haber publicado en la Plataforma de Contratación correspondiente su condición de tal; respecto de qué poderes adjudicadores la ostenta; y los sectores de actividad en los que, estando comprendidos en su objeto social, sería apto para e</w:t>
      </w:r>
      <w:r>
        <w:rPr>
          <w:rFonts w:ascii="Arial" w:eastAsia="Calibri" w:hAnsi="Arial" w:cs="Arial"/>
          <w:i/>
          <w:sz w:val="22"/>
          <w:szCs w:val="22"/>
        </w:rPr>
        <w:t>jecutar las prestaciones que vayan a ser objeto de encargo.</w:t>
      </w:r>
    </w:p>
    <w:p w:rsidR="009B4233" w:rsidRDefault="006B08B9">
      <w:pPr>
        <w:widowControl/>
        <w:numPr>
          <w:ilvl w:val="0"/>
          <w:numId w:val="97"/>
        </w:numPr>
        <w:suppressAutoHyphens w:val="0"/>
        <w:spacing w:after="1" w:line="218" w:lineRule="auto"/>
        <w:ind w:right="53" w:firstLine="350"/>
        <w:jc w:val="both"/>
        <w:textAlignment w:val="auto"/>
      </w:pPr>
      <w:r>
        <w:rPr>
          <w:rFonts w:ascii="Arial" w:eastAsia="Calibri" w:hAnsi="Arial" w:cs="Arial"/>
          <w:i/>
          <w:sz w:val="22"/>
          <w:szCs w:val="22"/>
        </w:rPr>
        <w:t>El encargo deberá ser objeto de formalización en un documento que será publicado en la Plataforma de Contratación correspondiente en los supuestos previstos del artículo 63.6. El documento de form</w:t>
      </w:r>
      <w:r>
        <w:rPr>
          <w:rFonts w:ascii="Arial" w:eastAsia="Calibri" w:hAnsi="Arial" w:cs="Arial"/>
          <w:i/>
          <w:sz w:val="22"/>
          <w:szCs w:val="22"/>
        </w:rPr>
        <w:t>alización establecerá el plazo de duración del encargo.</w:t>
      </w:r>
    </w:p>
    <w:p w:rsidR="009B4233" w:rsidRDefault="006B08B9">
      <w:pPr>
        <w:widowControl/>
        <w:numPr>
          <w:ilvl w:val="0"/>
          <w:numId w:val="97"/>
        </w:numPr>
        <w:suppressAutoHyphens w:val="0"/>
        <w:spacing w:after="1" w:line="218" w:lineRule="auto"/>
        <w:ind w:right="53" w:firstLine="350"/>
        <w:jc w:val="both"/>
        <w:textAlignment w:val="auto"/>
      </w:pPr>
      <w:r>
        <w:rPr>
          <w:rFonts w:ascii="Arial" w:eastAsia="Calibri" w:hAnsi="Arial" w:cs="Arial"/>
          <w:i/>
          <w:sz w:val="22"/>
          <w:szCs w:val="22"/>
        </w:rPr>
        <w:t>Los órganos de las entidades del sector público estatal que tengan la condición de poder adjudicador en virtud de lo dispuesto en el artículo 3.3 de esta Ley, necesitarán autorización del Consejo de M</w:t>
      </w:r>
      <w:r>
        <w:rPr>
          <w:rFonts w:ascii="Arial" w:eastAsia="Calibri" w:hAnsi="Arial" w:cs="Arial"/>
          <w:i/>
          <w:sz w:val="22"/>
          <w:szCs w:val="22"/>
        </w:rPr>
        <w:t>inistros cuando el importe del gasto que se derive del encargo, sea igual o superior a doce millones de euros.</w:t>
      </w:r>
    </w:p>
    <w:p w:rsidR="009B4233" w:rsidRDefault="006B08B9">
      <w:pPr>
        <w:spacing w:after="1" w:line="218" w:lineRule="auto"/>
        <w:ind w:left="-15" w:right="53" w:firstLine="350"/>
        <w:jc w:val="both"/>
      </w:pPr>
      <w:r>
        <w:rPr>
          <w:rFonts w:ascii="Arial" w:eastAsia="Calibri" w:hAnsi="Arial" w:cs="Arial"/>
          <w:i/>
          <w:sz w:val="22"/>
          <w:szCs w:val="22"/>
        </w:rPr>
        <w:t xml:space="preserve">La autorización del Consejo de Ministros a que se refiere el párrafo anterior deberá obtenerse antes de la suscripción del encargo por el órgano </w:t>
      </w:r>
      <w:r>
        <w:rPr>
          <w:rFonts w:ascii="Arial" w:eastAsia="Calibri" w:hAnsi="Arial" w:cs="Arial"/>
          <w:i/>
          <w:sz w:val="22"/>
          <w:szCs w:val="22"/>
        </w:rPr>
        <w:t>competente. Una vez obtenida la autorización, corresponderá a los órganos competentes la aprobación del gasto y suscripción del encargo, de conformidad con lo dispuesto en las respectivas normas.</w:t>
      </w:r>
    </w:p>
    <w:p w:rsidR="009B4233" w:rsidRDefault="006B08B9">
      <w:pPr>
        <w:spacing w:after="1" w:line="218" w:lineRule="auto"/>
        <w:ind w:left="-15" w:right="53" w:firstLine="350"/>
        <w:jc w:val="both"/>
      </w:pPr>
      <w:r>
        <w:rPr>
          <w:rFonts w:ascii="Arial" w:eastAsia="Calibri" w:hAnsi="Arial" w:cs="Arial"/>
          <w:i/>
          <w:sz w:val="22"/>
          <w:szCs w:val="22"/>
        </w:rPr>
        <w:t>A efectos de obtener la citada autorización, los órganos com</w:t>
      </w:r>
      <w:r>
        <w:rPr>
          <w:rFonts w:ascii="Arial" w:eastAsia="Calibri" w:hAnsi="Arial" w:cs="Arial"/>
          <w:i/>
          <w:sz w:val="22"/>
          <w:szCs w:val="22"/>
        </w:rPr>
        <w:t>petentes deberán remitir al menos los siguientes documentos: el texto del encargo; el informe del servicio jurídico; así como el certificado de existencia de crédito o, tratándose de poderes adjudicadores con presupuesto estimativo, los documentos equivale</w:t>
      </w:r>
      <w:r>
        <w:rPr>
          <w:rFonts w:ascii="Arial" w:eastAsia="Calibri" w:hAnsi="Arial" w:cs="Arial"/>
          <w:i/>
          <w:sz w:val="22"/>
          <w:szCs w:val="22"/>
        </w:rPr>
        <w:t>ntes que acrediten la existencia de financiación.</w:t>
      </w:r>
    </w:p>
    <w:p w:rsidR="009B4233" w:rsidRDefault="006B08B9">
      <w:pPr>
        <w:spacing w:after="1" w:line="218" w:lineRule="auto"/>
        <w:ind w:left="-15" w:right="53" w:firstLine="350"/>
        <w:jc w:val="both"/>
      </w:pPr>
      <w:r>
        <w:rPr>
          <w:rFonts w:ascii="Arial" w:eastAsia="Calibri" w:hAnsi="Arial" w:cs="Arial"/>
          <w:i/>
          <w:sz w:val="22"/>
          <w:szCs w:val="22"/>
        </w:rPr>
        <w:t>Requerirán igualmente la previa autorización del Consejo de Ministros las modificaciones de encargos autorizados por el Consejo de Ministros, cuando superen el 20 por cien del importe del encargo.</w:t>
      </w:r>
    </w:p>
    <w:p w:rsidR="009B4233" w:rsidRDefault="006B08B9">
      <w:pPr>
        <w:spacing w:after="1" w:line="218" w:lineRule="auto"/>
        <w:ind w:left="-15" w:right="53" w:firstLine="350"/>
        <w:jc w:val="both"/>
      </w:pPr>
      <w:r>
        <w:rPr>
          <w:rFonts w:ascii="Arial" w:eastAsia="Calibri" w:hAnsi="Arial" w:cs="Arial"/>
          <w:i/>
          <w:sz w:val="22"/>
          <w:szCs w:val="22"/>
        </w:rPr>
        <w:t>La autori</w:t>
      </w:r>
      <w:r>
        <w:rPr>
          <w:rFonts w:ascii="Arial" w:eastAsia="Calibri" w:hAnsi="Arial" w:cs="Arial"/>
          <w:i/>
          <w:sz w:val="22"/>
          <w:szCs w:val="22"/>
        </w:rPr>
        <w:t>zación que otorgue el Consejo de Ministros será genérica para la suscripción del encargo, sin que en ningún caso implique una validación de los trámites realizados, ni exima de la responsabilidad que corresponda a las partes respecto de la correcta tramita</w:t>
      </w:r>
      <w:r>
        <w:rPr>
          <w:rFonts w:ascii="Arial" w:eastAsia="Calibri" w:hAnsi="Arial" w:cs="Arial"/>
          <w:i/>
          <w:sz w:val="22"/>
          <w:szCs w:val="22"/>
        </w:rPr>
        <w:t>ción y realización del encargo.</w:t>
      </w:r>
    </w:p>
    <w:p w:rsidR="009B4233" w:rsidRDefault="006B08B9">
      <w:pPr>
        <w:spacing w:after="1" w:line="218" w:lineRule="auto"/>
        <w:ind w:left="-15" w:right="53" w:firstLine="350"/>
        <w:jc w:val="both"/>
      </w:pPr>
      <w:r>
        <w:rPr>
          <w:rFonts w:ascii="Arial" w:eastAsia="Calibri" w:hAnsi="Arial" w:cs="Arial"/>
          <w:i/>
          <w:sz w:val="22"/>
          <w:szCs w:val="22"/>
        </w:rPr>
        <w:t>7. A los negocios jurídicos que los entes destinatarios del encargo celebren en ejecución del encargo recibido de conformidad con el presente artículo, se le aplicarán las siguientes reglas:</w:t>
      </w:r>
    </w:p>
    <w:p w:rsidR="009B4233" w:rsidRDefault="006B08B9">
      <w:pPr>
        <w:widowControl/>
        <w:numPr>
          <w:ilvl w:val="0"/>
          <w:numId w:val="98"/>
        </w:numPr>
        <w:suppressAutoHyphens w:val="0"/>
        <w:spacing w:after="1" w:line="218" w:lineRule="auto"/>
        <w:ind w:right="53" w:firstLine="350"/>
        <w:jc w:val="both"/>
        <w:textAlignment w:val="auto"/>
      </w:pPr>
      <w:r>
        <w:rPr>
          <w:rFonts w:ascii="Arial" w:eastAsia="Calibri" w:hAnsi="Arial" w:cs="Arial"/>
          <w:i/>
          <w:sz w:val="22"/>
          <w:szCs w:val="22"/>
        </w:rPr>
        <w:t xml:space="preserve">El contrato quedará sometido a </w:t>
      </w:r>
      <w:r>
        <w:rPr>
          <w:rFonts w:ascii="Arial" w:eastAsia="Calibri" w:hAnsi="Arial" w:cs="Arial"/>
          <w:i/>
          <w:sz w:val="22"/>
          <w:szCs w:val="22"/>
        </w:rPr>
        <w:t>esta Ley, en los términos que sean procedentes, de acuerdo con la naturaleza de la entidad que los celebre y el tipo y valor estimado de los mismos y, en todo caso, cuando el medio propio no sea un poder adjudicador se le aplicarán las normas contenidas en</w:t>
      </w:r>
      <w:r>
        <w:rPr>
          <w:rFonts w:ascii="Arial" w:eastAsia="Calibri" w:hAnsi="Arial" w:cs="Arial"/>
          <w:i/>
          <w:sz w:val="22"/>
          <w:szCs w:val="22"/>
        </w:rPr>
        <w:t xml:space="preserve"> el Título I del Libro Tercero de la presente Ley.</w:t>
      </w:r>
    </w:p>
    <w:p w:rsidR="009B4233" w:rsidRDefault="006B08B9">
      <w:pPr>
        <w:widowControl/>
        <w:numPr>
          <w:ilvl w:val="0"/>
          <w:numId w:val="98"/>
        </w:numPr>
        <w:suppressAutoHyphens w:val="0"/>
        <w:spacing w:after="1" w:line="218" w:lineRule="auto"/>
        <w:ind w:right="53" w:firstLine="350"/>
        <w:jc w:val="both"/>
        <w:textAlignment w:val="auto"/>
      </w:pPr>
      <w:r>
        <w:rPr>
          <w:rFonts w:ascii="Arial" w:eastAsia="Calibri" w:hAnsi="Arial" w:cs="Arial"/>
          <w:i/>
          <w:sz w:val="22"/>
          <w:szCs w:val="22"/>
        </w:rPr>
        <w:t xml:space="preserve">El importe de las prestaciones parciales que el medio propio pueda contratar con terceros no excederá del 50 por ciento de la cuantía del encargo. No se considerarán prestaciones parciales aquellas que el </w:t>
      </w:r>
      <w:r>
        <w:rPr>
          <w:rFonts w:ascii="Arial" w:eastAsia="Calibri" w:hAnsi="Arial" w:cs="Arial"/>
          <w:i/>
          <w:sz w:val="22"/>
          <w:szCs w:val="22"/>
        </w:rPr>
        <w:t>medio propio adquiera a otras empresas cuando se trate de suministros o servicios auxiliares o instrumentales que no constituyen una parte autónoma y diferenciable de la prestación principal, aunque sean parte del proceso necesario para producir dicha pres</w:t>
      </w:r>
      <w:r>
        <w:rPr>
          <w:rFonts w:ascii="Arial" w:eastAsia="Calibri" w:hAnsi="Arial" w:cs="Arial"/>
          <w:i/>
          <w:sz w:val="22"/>
          <w:szCs w:val="22"/>
        </w:rPr>
        <w:t>tación.</w:t>
      </w:r>
    </w:p>
    <w:p w:rsidR="009B4233" w:rsidRDefault="006B08B9">
      <w:pPr>
        <w:spacing w:after="1" w:line="218" w:lineRule="auto"/>
        <w:ind w:left="-15" w:right="53" w:firstLine="350"/>
        <w:jc w:val="both"/>
      </w:pPr>
      <w:r>
        <w:rPr>
          <w:rFonts w:ascii="Arial" w:eastAsia="Calibri" w:hAnsi="Arial" w:cs="Arial"/>
          <w:i/>
          <w:sz w:val="22"/>
          <w:szCs w:val="22"/>
        </w:rPr>
        <w:t>No será aplicable lo establecido en esta letra a los contratos de obras que celebren los medios propios a los que se les haya encargado una concesión, ya sea de obras o de servicios. Igualmente no será de aplicación en los supuestos en los que la g</w:t>
      </w:r>
      <w:r>
        <w:rPr>
          <w:rFonts w:ascii="Arial" w:eastAsia="Calibri" w:hAnsi="Arial" w:cs="Arial"/>
          <w:i/>
          <w:sz w:val="22"/>
          <w:szCs w:val="22"/>
        </w:rPr>
        <w:t>estión del servicio público se efectúe mediante la creación de entidades de derecho público destinadas a este fin, ni a aquellos en que la misma se atribuya a una sociedad de derecho privado cuyo capital sea, en su totalidad, de titularidad pública.</w:t>
      </w:r>
    </w:p>
    <w:p w:rsidR="009B4233" w:rsidRDefault="006B08B9">
      <w:pPr>
        <w:spacing w:after="1" w:line="218" w:lineRule="auto"/>
        <w:ind w:left="-15" w:right="53" w:firstLine="350"/>
        <w:jc w:val="both"/>
      </w:pPr>
      <w:r>
        <w:rPr>
          <w:rFonts w:ascii="Arial" w:eastAsia="Calibri" w:hAnsi="Arial" w:cs="Arial"/>
          <w:i/>
          <w:sz w:val="22"/>
          <w:szCs w:val="22"/>
        </w:rPr>
        <w:t>Tampoc</w:t>
      </w:r>
      <w:r>
        <w:rPr>
          <w:rFonts w:ascii="Arial" w:eastAsia="Calibri" w:hAnsi="Arial" w:cs="Arial"/>
          <w:i/>
          <w:sz w:val="22"/>
          <w:szCs w:val="22"/>
        </w:rPr>
        <w:t>o será aplicable a los contratos que celebren los medios propios a los que se les haya encargado la prestación de servicios informáticos y tecnológicos a la Administración Pública con el fin de garantizar la compatibilidad, la comunicabilidad y la segurida</w:t>
      </w:r>
      <w:r>
        <w:rPr>
          <w:rFonts w:ascii="Arial" w:eastAsia="Calibri" w:hAnsi="Arial" w:cs="Arial"/>
          <w:i/>
          <w:sz w:val="22"/>
          <w:szCs w:val="22"/>
        </w:rPr>
        <w:t>d de redes y sistemas, la integridad, fiabilidad y confidencialidad de la información, así como a los que celebren los medios propios cuyas funciones sean el fomento de las telecomunicaciones, el desarrollo de la sociedad de la información y sociedad digit</w:t>
      </w:r>
      <w:r>
        <w:rPr>
          <w:rFonts w:ascii="Arial" w:eastAsia="Calibri" w:hAnsi="Arial" w:cs="Arial"/>
          <w:i/>
          <w:sz w:val="22"/>
          <w:szCs w:val="22"/>
        </w:rPr>
        <w:t>al.</w:t>
      </w:r>
    </w:p>
    <w:p w:rsidR="009B4233" w:rsidRDefault="006B08B9">
      <w:pPr>
        <w:spacing w:after="1" w:line="218" w:lineRule="auto"/>
        <w:ind w:left="-15" w:right="53" w:firstLine="350"/>
        <w:jc w:val="both"/>
      </w:pPr>
      <w:r>
        <w:rPr>
          <w:rFonts w:ascii="Arial" w:eastAsia="Calibri" w:hAnsi="Arial" w:cs="Arial"/>
          <w:i/>
          <w:sz w:val="22"/>
          <w:szCs w:val="22"/>
        </w:rPr>
        <w:t>Excepcionalmente podrá superarse dicho porcentaje de contratación siempre que el encargo al medio propio se base en razones de seguridad, en la naturaleza de la prestación que requiera un mayor control en la ejecución de la misma, o en razones de urgen</w:t>
      </w:r>
      <w:r>
        <w:rPr>
          <w:rFonts w:ascii="Arial" w:eastAsia="Calibri" w:hAnsi="Arial" w:cs="Arial"/>
          <w:i/>
          <w:sz w:val="22"/>
          <w:szCs w:val="22"/>
        </w:rPr>
        <w:t>cia que demanden una mayor celeridad en su ejecución. La justificación de que concurren estas circunstancias se acompañará al documento de formalización del encargo y se publicará en la Plataforma de Contratación correspondiente conjuntamente con éste.</w:t>
      </w:r>
    </w:p>
    <w:p w:rsidR="009B4233" w:rsidRDefault="006B08B9">
      <w:r>
        <w:rPr>
          <w:rFonts w:ascii="Arial" w:eastAsia="Calibri" w:hAnsi="Arial" w:cs="Arial"/>
          <w:i/>
          <w:sz w:val="22"/>
          <w:szCs w:val="22"/>
        </w:rPr>
        <w:t xml:space="preserve">  </w:t>
      </w:r>
    </w:p>
    <w:p w:rsidR="009B4233" w:rsidRDefault="006B08B9">
      <w:pPr>
        <w:spacing w:after="251" w:line="228" w:lineRule="auto"/>
        <w:ind w:right="49" w:firstLine="708"/>
        <w:jc w:val="both"/>
      </w:pPr>
      <w:r>
        <w:rPr>
          <w:rFonts w:ascii="Arial" w:eastAsia="Calibri" w:hAnsi="Arial" w:cs="Arial"/>
          <w:sz w:val="22"/>
          <w:szCs w:val="22"/>
        </w:rPr>
        <w:t>En base a los antecedentes de hecho y fundamentos de Derecho expuestos, se emite la siguiente,</w:t>
      </w:r>
    </w:p>
    <w:p w:rsidR="009B4233" w:rsidRDefault="006B08B9">
      <w:pPr>
        <w:pStyle w:val="Ttulo1"/>
        <w:spacing w:after="340"/>
        <w:ind w:right="58"/>
        <w:rPr>
          <w:rFonts w:ascii="Arial" w:hAnsi="Arial" w:cs="Arial"/>
          <w:sz w:val="22"/>
          <w:szCs w:val="22"/>
        </w:rPr>
      </w:pPr>
      <w:r>
        <w:rPr>
          <w:rFonts w:ascii="Arial" w:hAnsi="Arial" w:cs="Arial"/>
          <w:sz w:val="22"/>
          <w:szCs w:val="22"/>
        </w:rPr>
        <w:t>PROPUESTA DE RESOLUCIÓN</w:t>
      </w:r>
    </w:p>
    <w:p w:rsidR="009B4233" w:rsidRDefault="006B08B9">
      <w:pPr>
        <w:spacing w:after="199" w:line="228" w:lineRule="auto"/>
        <w:ind w:left="10" w:right="49" w:hanging="10"/>
        <w:jc w:val="both"/>
      </w:pPr>
      <w:r>
        <w:rPr>
          <w:rFonts w:ascii="Arial" w:eastAsia="Calibri" w:hAnsi="Arial" w:cs="Arial"/>
          <w:b/>
          <w:sz w:val="22"/>
          <w:szCs w:val="22"/>
        </w:rPr>
        <w:t>ÚNICO.-</w:t>
      </w:r>
      <w:r>
        <w:rPr>
          <w:rFonts w:ascii="Arial" w:eastAsia="Calibri" w:hAnsi="Arial" w:cs="Arial"/>
          <w:sz w:val="22"/>
          <w:szCs w:val="22"/>
        </w:rPr>
        <w:t xml:space="preserve"> Requerir a la entidad GESTUR CANARIAS, S.A</w:t>
      </w:r>
      <w:r>
        <w:rPr>
          <w:rFonts w:ascii="Arial" w:eastAsia="Calibri" w:hAnsi="Arial" w:cs="Arial"/>
          <w:b/>
          <w:sz w:val="22"/>
          <w:szCs w:val="22"/>
        </w:rPr>
        <w:t>.</w:t>
      </w:r>
      <w:r>
        <w:rPr>
          <w:rFonts w:ascii="Arial" w:eastAsia="Calibri" w:hAnsi="Arial" w:cs="Arial"/>
          <w:sz w:val="22"/>
          <w:szCs w:val="22"/>
        </w:rPr>
        <w:t xml:space="preserve">, para que, en el plazo de veinte días, contados a partir del siguiente al de la </w:t>
      </w:r>
      <w:r>
        <w:rPr>
          <w:rFonts w:ascii="Arial" w:eastAsia="Calibri" w:hAnsi="Arial" w:cs="Arial"/>
          <w:sz w:val="22"/>
          <w:szCs w:val="22"/>
        </w:rPr>
        <w:t>recepción del presente requerimiento, presente la documentación que se detalla a continuación, conforme a lo señalado en el informe técnico de fecha 12 de agosto de 2025,  transcrito previamente :</w:t>
      </w:r>
    </w:p>
    <w:p w:rsidR="009B4233" w:rsidRDefault="006B08B9">
      <w:pPr>
        <w:widowControl/>
        <w:numPr>
          <w:ilvl w:val="0"/>
          <w:numId w:val="99"/>
        </w:numPr>
        <w:suppressAutoHyphens w:val="0"/>
        <w:spacing w:after="196" w:line="228" w:lineRule="auto"/>
        <w:ind w:right="49" w:hanging="360"/>
        <w:jc w:val="both"/>
        <w:textAlignment w:val="auto"/>
      </w:pPr>
      <w:r>
        <w:rPr>
          <w:rFonts w:ascii="Arial" w:eastAsia="Calibri" w:hAnsi="Arial" w:cs="Arial"/>
          <w:sz w:val="22"/>
          <w:szCs w:val="22"/>
        </w:rPr>
        <w:t>Anejo de accesibilidad, con justificación normativa y plano</w:t>
      </w:r>
      <w:r>
        <w:rPr>
          <w:rFonts w:ascii="Arial" w:eastAsia="Calibri" w:hAnsi="Arial" w:cs="Arial"/>
          <w:sz w:val="22"/>
          <w:szCs w:val="22"/>
        </w:rPr>
        <w:t>s adaptados, en atención al grado de afección a los itinerarios peatonales, que representa el 32,53 % del presupuesto.</w:t>
      </w:r>
    </w:p>
    <w:p w:rsidR="009B4233" w:rsidRDefault="006B08B9">
      <w:pPr>
        <w:widowControl/>
        <w:numPr>
          <w:ilvl w:val="0"/>
          <w:numId w:val="99"/>
        </w:numPr>
        <w:suppressAutoHyphens w:val="0"/>
        <w:spacing w:after="118" w:line="228" w:lineRule="auto"/>
        <w:ind w:right="49" w:hanging="360"/>
        <w:jc w:val="both"/>
        <w:textAlignment w:val="auto"/>
      </w:pPr>
      <w:r>
        <w:rPr>
          <w:rFonts w:ascii="Arial" w:eastAsia="Calibri" w:hAnsi="Arial" w:cs="Arial"/>
          <w:sz w:val="22"/>
          <w:szCs w:val="22"/>
        </w:rPr>
        <w:t xml:space="preserve">Anejo de afecciones a servicios de terceros de telecomunicaciones, suministro eléctrico, abastecimiento y saneamiento, para ser remitido </w:t>
      </w:r>
      <w:r>
        <w:rPr>
          <w:rFonts w:ascii="Arial" w:eastAsia="Calibri" w:hAnsi="Arial" w:cs="Arial"/>
          <w:sz w:val="22"/>
          <w:szCs w:val="22"/>
        </w:rPr>
        <w:t>a las empresas suministradoras.</w:t>
      </w:r>
    </w:p>
    <w:p w:rsidR="009B4233" w:rsidRDefault="006B08B9">
      <w:pPr>
        <w:widowControl/>
        <w:numPr>
          <w:ilvl w:val="0"/>
          <w:numId w:val="99"/>
        </w:numPr>
        <w:suppressAutoHyphens w:val="0"/>
        <w:spacing w:after="118" w:line="228" w:lineRule="auto"/>
        <w:ind w:right="49" w:hanging="360"/>
        <w:jc w:val="both"/>
        <w:textAlignment w:val="auto"/>
      </w:pPr>
      <w:r>
        <w:rPr>
          <w:rFonts w:ascii="Arial" w:eastAsia="Calibri" w:hAnsi="Arial" w:cs="Arial"/>
          <w:sz w:val="22"/>
          <w:szCs w:val="22"/>
        </w:rPr>
        <w:t xml:space="preserve">Anejo de estudio de las intersecciones de las vías municipales con las vías de competencia del Cabildo Insular de Tenerife de acuerdo con lo que establece el artículo 48 de la Ley 9/1991, de 8 de mayo, de Carreteras de </w:t>
      </w:r>
      <w:r>
        <w:rPr>
          <w:rFonts w:ascii="Arial" w:eastAsia="Calibri" w:hAnsi="Arial" w:cs="Arial"/>
          <w:sz w:val="22"/>
          <w:szCs w:val="22"/>
        </w:rPr>
        <w:t xml:space="preserve">Canarias en relación con lo que dispone el artículo 72 del Reglamento de Carreteras de Canarias, aprobado por Decreto 131/1995, de 11 de mayo, corresponde a los Ayuntamientos el otorgamiento de licencias para usos y obras en las zonas de protección de las </w:t>
      </w:r>
      <w:r>
        <w:rPr>
          <w:rFonts w:ascii="Arial" w:eastAsia="Calibri" w:hAnsi="Arial" w:cs="Arial"/>
          <w:sz w:val="22"/>
          <w:szCs w:val="22"/>
        </w:rPr>
        <w:t>carreteras en los tramos de las mismas que discurran por suelo clasificado como urbano, mientras que a este Cabildo Insular, en su calidad de titular de las mismas, le corresponde la emisión de informe preceptivo y, en lo que se refiere a las condiciones t</w:t>
      </w:r>
      <w:r>
        <w:rPr>
          <w:rFonts w:ascii="Arial" w:eastAsia="Calibri" w:hAnsi="Arial" w:cs="Arial"/>
          <w:sz w:val="22"/>
          <w:szCs w:val="22"/>
        </w:rPr>
        <w:t>écnicas de los accesos, la emisión de informe de carácter vinculante.</w:t>
      </w:r>
    </w:p>
    <w:p w:rsidR="009B4233" w:rsidRDefault="006B08B9">
      <w:pPr>
        <w:widowControl/>
        <w:numPr>
          <w:ilvl w:val="0"/>
          <w:numId w:val="99"/>
        </w:numPr>
        <w:suppressAutoHyphens w:val="0"/>
        <w:spacing w:after="28" w:line="228" w:lineRule="auto"/>
        <w:ind w:right="49" w:hanging="360"/>
        <w:jc w:val="both"/>
        <w:textAlignment w:val="auto"/>
      </w:pPr>
      <w:r>
        <w:rPr>
          <w:rFonts w:ascii="Arial" w:eastAsia="Calibri" w:hAnsi="Arial" w:cs="Arial"/>
          <w:sz w:val="22"/>
          <w:szCs w:val="22"/>
        </w:rPr>
        <w:t xml:space="preserve">Anejo de drenaje y régimen hidráulico son los puntos de vertido a Dominio Público </w:t>
      </w:r>
    </w:p>
    <w:p w:rsidR="009B4233" w:rsidRDefault="006B08B9">
      <w:pPr>
        <w:spacing w:after="118" w:line="228" w:lineRule="auto"/>
        <w:ind w:left="730" w:right="49" w:hanging="10"/>
        <w:jc w:val="both"/>
      </w:pPr>
      <w:r>
        <w:rPr>
          <w:rFonts w:ascii="Arial" w:eastAsia="Calibri" w:hAnsi="Arial" w:cs="Arial"/>
          <w:sz w:val="22"/>
          <w:szCs w:val="22"/>
        </w:rPr>
        <w:t xml:space="preserve">Hidráulico que conlleva informe de autorización del Consejo Insular de Aguas de Tenerife según Decreto </w:t>
      </w:r>
      <w:r>
        <w:rPr>
          <w:rFonts w:ascii="Arial" w:eastAsia="Calibri" w:hAnsi="Arial" w:cs="Arial"/>
          <w:sz w:val="22"/>
          <w:szCs w:val="22"/>
        </w:rPr>
        <w:t>86/2002, de 2 de julio, por el que se aprueba el Reglamento del Dominio Público Hidráulico.</w:t>
      </w:r>
    </w:p>
    <w:p w:rsidR="009B4233" w:rsidRDefault="006B08B9">
      <w:pPr>
        <w:widowControl/>
        <w:numPr>
          <w:ilvl w:val="0"/>
          <w:numId w:val="99"/>
        </w:numPr>
        <w:suppressAutoHyphens w:val="0"/>
        <w:spacing w:after="118" w:line="228" w:lineRule="auto"/>
        <w:ind w:right="49" w:hanging="360"/>
        <w:jc w:val="both"/>
        <w:textAlignment w:val="auto"/>
      </w:pPr>
      <w:r>
        <w:rPr>
          <w:rFonts w:ascii="Arial" w:eastAsia="Calibri" w:hAnsi="Arial" w:cs="Arial"/>
          <w:sz w:val="22"/>
          <w:szCs w:val="22"/>
        </w:rPr>
        <w:t>Anejo de cálculo y justificación de la actuación sobre el cambio de ubicación de alumbrado público, sin que conste estudio luminotécnico en el documento entregado n</w:t>
      </w:r>
      <w:r>
        <w:rPr>
          <w:rFonts w:ascii="Arial" w:eastAsia="Calibri" w:hAnsi="Arial" w:cs="Arial"/>
          <w:sz w:val="22"/>
          <w:szCs w:val="22"/>
        </w:rPr>
        <w:t>i estado administrativo de los puntos de suministro.</w:t>
      </w:r>
    </w:p>
    <w:p w:rsidR="009B4233" w:rsidRDefault="006B08B9">
      <w:pPr>
        <w:widowControl/>
        <w:numPr>
          <w:ilvl w:val="0"/>
          <w:numId w:val="99"/>
        </w:numPr>
        <w:suppressAutoHyphens w:val="0"/>
        <w:spacing w:after="118" w:line="228" w:lineRule="auto"/>
        <w:ind w:right="49" w:hanging="360"/>
        <w:jc w:val="both"/>
        <w:textAlignment w:val="auto"/>
      </w:pPr>
      <w:r>
        <w:rPr>
          <w:rFonts w:ascii="Arial" w:eastAsia="Calibri" w:hAnsi="Arial" w:cs="Arial"/>
          <w:sz w:val="22"/>
          <w:szCs w:val="22"/>
        </w:rPr>
        <w:t>Documento gráfico que refleje la señalización vertical.</w:t>
      </w:r>
    </w:p>
    <w:p w:rsidR="009B4233" w:rsidRDefault="006B08B9">
      <w:pPr>
        <w:widowControl/>
        <w:numPr>
          <w:ilvl w:val="0"/>
          <w:numId w:val="99"/>
        </w:numPr>
        <w:suppressAutoHyphens w:val="0"/>
        <w:spacing w:after="118" w:line="228" w:lineRule="auto"/>
        <w:ind w:right="49" w:hanging="360"/>
        <w:jc w:val="both"/>
        <w:textAlignment w:val="auto"/>
      </w:pPr>
      <w:r>
        <w:rPr>
          <w:rFonts w:ascii="Arial" w:eastAsia="Calibri" w:hAnsi="Arial" w:cs="Arial"/>
          <w:sz w:val="22"/>
          <w:szCs w:val="22"/>
        </w:rPr>
        <w:t>Se contempla la demolición de los actuales alcorques, pero no se presupuesta trasplante de la vegetación existente.</w:t>
      </w:r>
    </w:p>
    <w:p w:rsidR="009B4233" w:rsidRDefault="006B08B9">
      <w:pPr>
        <w:widowControl/>
        <w:numPr>
          <w:ilvl w:val="0"/>
          <w:numId w:val="99"/>
        </w:numPr>
        <w:suppressAutoHyphens w:val="0"/>
        <w:spacing w:after="654" w:line="228" w:lineRule="auto"/>
        <w:ind w:right="49" w:hanging="360"/>
        <w:jc w:val="both"/>
        <w:textAlignment w:val="auto"/>
      </w:pPr>
      <w:r>
        <w:rPr>
          <w:rFonts w:ascii="Arial" w:eastAsia="Calibri" w:hAnsi="Arial" w:cs="Arial"/>
          <w:sz w:val="22"/>
          <w:szCs w:val="22"/>
        </w:rPr>
        <w:t xml:space="preserve">En el Pliego de Prescripciones </w:t>
      </w:r>
      <w:r>
        <w:rPr>
          <w:rFonts w:ascii="Arial" w:eastAsia="Calibri" w:hAnsi="Arial" w:cs="Arial"/>
          <w:sz w:val="22"/>
          <w:szCs w:val="22"/>
        </w:rPr>
        <w:t>Técnicas Particulares debe realizarse la actualización de las disposiciones reglamentarias citadas y derogadas.”</w:t>
      </w: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6B08B9">
      <w:pPr>
        <w:jc w:val="both"/>
        <w:rPr>
          <w:rFonts w:ascii="Arial" w:eastAsia="Times New Roman" w:hAnsi="Arial" w:cs="Arial"/>
          <w:b/>
          <w:color w:val="000000"/>
          <w:sz w:val="22"/>
          <w:szCs w:val="22"/>
          <w:lang w:eastAsia="es-ES"/>
        </w:rPr>
      </w:pPr>
      <w:r>
        <w:rPr>
          <w:rFonts w:ascii="Arial" w:eastAsia="Times New Roman" w:hAnsi="Arial" w:cs="Arial"/>
          <w:b/>
          <w:color w:val="000000"/>
          <w:sz w:val="22"/>
          <w:szCs w:val="22"/>
          <w:lang w:eastAsia="es-ES"/>
        </w:rPr>
        <w:t xml:space="preserve">    </w:t>
      </w:r>
    </w:p>
    <w:p w:rsidR="009B4233" w:rsidRDefault="009B4233">
      <w:pPr>
        <w:jc w:val="both"/>
        <w:rPr>
          <w:rFonts w:ascii="Arial" w:eastAsia="Times New Roman" w:hAnsi="Arial" w:cs="Arial"/>
          <w:b/>
          <w:color w:val="000000"/>
          <w:sz w:val="22"/>
          <w:szCs w:val="22"/>
          <w:lang w:eastAsia="es-ES"/>
        </w:rPr>
      </w:pPr>
    </w:p>
    <w:p w:rsidR="009B4233" w:rsidRDefault="009B4233">
      <w:pPr>
        <w:jc w:val="both"/>
        <w:rPr>
          <w:rFonts w:ascii="Arial" w:eastAsia="Times New Roman" w:hAnsi="Arial" w:cs="Arial"/>
          <w:b/>
          <w:color w:val="000000"/>
          <w:sz w:val="22"/>
          <w:szCs w:val="22"/>
          <w:lang w:eastAsia="es-ES"/>
        </w:rPr>
      </w:pPr>
    </w:p>
    <w:p w:rsidR="009B4233" w:rsidRDefault="009B4233">
      <w:pPr>
        <w:jc w:val="both"/>
        <w:rPr>
          <w:rFonts w:ascii="Arial" w:eastAsia="Times New Roman" w:hAnsi="Arial" w:cs="Arial"/>
          <w:b/>
          <w:color w:val="000000"/>
          <w:sz w:val="22"/>
          <w:szCs w:val="22"/>
          <w:lang w:eastAsia="es-ES"/>
        </w:rPr>
      </w:pPr>
    </w:p>
    <w:p w:rsidR="009B4233" w:rsidRDefault="009B4233">
      <w:pPr>
        <w:jc w:val="both"/>
        <w:rPr>
          <w:rFonts w:ascii="Arial" w:eastAsia="Times New Roman" w:hAnsi="Arial" w:cs="Arial"/>
          <w:b/>
          <w:color w:val="000000"/>
          <w:sz w:val="22"/>
          <w:szCs w:val="22"/>
          <w:lang w:eastAsia="es-ES"/>
        </w:rPr>
      </w:pPr>
    </w:p>
    <w:p w:rsidR="009B4233" w:rsidRDefault="009B4233">
      <w:pPr>
        <w:jc w:val="both"/>
        <w:rPr>
          <w:rFonts w:ascii="Arial" w:eastAsia="Times New Roman" w:hAnsi="Arial" w:cs="Arial"/>
          <w:b/>
          <w:color w:val="000000"/>
          <w:sz w:val="22"/>
          <w:szCs w:val="22"/>
          <w:lang w:eastAsia="es-ES"/>
        </w:rPr>
      </w:pPr>
    </w:p>
    <w:p w:rsidR="009B4233" w:rsidRDefault="009B4233">
      <w:pPr>
        <w:jc w:val="both"/>
        <w:rPr>
          <w:rFonts w:ascii="Arial" w:eastAsia="Times New Roman" w:hAnsi="Arial" w:cs="Arial"/>
          <w:b/>
          <w:color w:val="000000"/>
          <w:sz w:val="22"/>
          <w:szCs w:val="22"/>
          <w:lang w:eastAsia="es-ES"/>
        </w:rPr>
      </w:pPr>
    </w:p>
    <w:p w:rsidR="009B4233" w:rsidRDefault="009B4233">
      <w:pPr>
        <w:jc w:val="both"/>
        <w:rPr>
          <w:rFonts w:ascii="Arial" w:eastAsia="Times New Roman" w:hAnsi="Arial" w:cs="Arial"/>
          <w:b/>
          <w:color w:val="000000"/>
          <w:sz w:val="22"/>
          <w:szCs w:val="22"/>
          <w:lang w:eastAsia="es-ES"/>
        </w:rPr>
      </w:pPr>
    </w:p>
    <w:p w:rsidR="009B4233" w:rsidRDefault="009B4233">
      <w:pPr>
        <w:jc w:val="both"/>
        <w:rPr>
          <w:rFonts w:ascii="Arial" w:eastAsia="Times New Roman" w:hAnsi="Arial" w:cs="Arial"/>
          <w:b/>
          <w:color w:val="000000"/>
          <w:sz w:val="22"/>
          <w:szCs w:val="22"/>
          <w:lang w:eastAsia="es-ES"/>
        </w:rPr>
      </w:pPr>
    </w:p>
    <w:p w:rsidR="009B4233" w:rsidRDefault="009B4233">
      <w:pPr>
        <w:jc w:val="both"/>
        <w:rPr>
          <w:rFonts w:ascii="Arial" w:eastAsia="Times New Roman" w:hAnsi="Arial" w:cs="Arial"/>
          <w:b/>
          <w:color w:val="000000"/>
          <w:sz w:val="22"/>
          <w:szCs w:val="22"/>
          <w:lang w:eastAsia="es-ES"/>
        </w:rPr>
      </w:pPr>
    </w:p>
    <w:p w:rsidR="009B4233" w:rsidRDefault="009B4233">
      <w:pPr>
        <w:jc w:val="both"/>
        <w:rPr>
          <w:rFonts w:ascii="Arial" w:eastAsia="Times New Roman" w:hAnsi="Arial" w:cs="Arial"/>
          <w:b/>
          <w:color w:val="000000"/>
          <w:sz w:val="22"/>
          <w:szCs w:val="22"/>
          <w:lang w:eastAsia="es-ES"/>
        </w:rPr>
      </w:pPr>
    </w:p>
    <w:p w:rsidR="009B4233" w:rsidRDefault="006B08B9">
      <w:pPr>
        <w:jc w:val="both"/>
        <w:rPr>
          <w:rFonts w:ascii="Arial" w:eastAsia="Times New Roman" w:hAnsi="Arial" w:cs="Arial"/>
          <w:b/>
          <w:color w:val="000000"/>
          <w:sz w:val="22"/>
          <w:szCs w:val="22"/>
          <w:lang w:eastAsia="es-ES"/>
        </w:rPr>
      </w:pPr>
      <w:r>
        <w:rPr>
          <w:rFonts w:ascii="Arial" w:eastAsia="Times New Roman" w:hAnsi="Arial" w:cs="Arial"/>
          <w:b/>
          <w:color w:val="000000"/>
          <w:sz w:val="22"/>
          <w:szCs w:val="22"/>
          <w:lang w:eastAsia="es-ES"/>
        </w:rPr>
        <w:t xml:space="preserve"> Consta en el expediente propuesta de la Alcaldesa-Presidenta, de fecha 02 de septiembre de 2025, cuyo tenor literal es el </w:t>
      </w:r>
      <w:r>
        <w:rPr>
          <w:rFonts w:ascii="Arial" w:eastAsia="Times New Roman" w:hAnsi="Arial" w:cs="Arial"/>
          <w:b/>
          <w:color w:val="000000"/>
          <w:sz w:val="22"/>
          <w:szCs w:val="22"/>
          <w:lang w:eastAsia="es-ES"/>
        </w:rPr>
        <w:t>siguiente:</w:t>
      </w:r>
    </w:p>
    <w:p w:rsidR="009B4233" w:rsidRDefault="009B4233">
      <w:pPr>
        <w:jc w:val="both"/>
        <w:rPr>
          <w:rFonts w:ascii="Arial" w:eastAsia="Times New Roman" w:hAnsi="Arial" w:cs="Arial"/>
          <w:b/>
          <w:color w:val="000000"/>
          <w:sz w:val="22"/>
          <w:szCs w:val="22"/>
          <w:lang w:eastAsia="es-ES"/>
        </w:rPr>
      </w:pPr>
    </w:p>
    <w:p w:rsidR="009B4233" w:rsidRDefault="009B4233">
      <w:pPr>
        <w:jc w:val="both"/>
        <w:rPr>
          <w:rFonts w:ascii="Arial" w:eastAsia="Times New Roman" w:hAnsi="Arial" w:cs="Arial"/>
          <w:b/>
          <w:color w:val="000000"/>
          <w:sz w:val="22"/>
          <w:szCs w:val="22"/>
          <w:lang w:eastAsia="es-ES"/>
        </w:rPr>
      </w:pPr>
    </w:p>
    <w:p w:rsidR="009B4233" w:rsidRDefault="009B4233">
      <w:pPr>
        <w:spacing w:after="84"/>
        <w:rPr>
          <w:rFonts w:ascii="Arial" w:hAnsi="Arial" w:cs="Arial"/>
          <w:sz w:val="22"/>
          <w:szCs w:val="22"/>
        </w:rPr>
      </w:pPr>
    </w:p>
    <w:p w:rsidR="009B4233" w:rsidRDefault="006B08B9">
      <w:pPr>
        <w:pStyle w:val="Ttulo1"/>
        <w:ind w:right="2"/>
        <w:rPr>
          <w:rFonts w:ascii="Arial" w:hAnsi="Arial" w:cs="Arial"/>
          <w:sz w:val="22"/>
          <w:szCs w:val="22"/>
        </w:rPr>
      </w:pPr>
      <w:r>
        <w:rPr>
          <w:rFonts w:ascii="Arial" w:hAnsi="Arial" w:cs="Arial"/>
          <w:sz w:val="22"/>
          <w:szCs w:val="22"/>
        </w:rPr>
        <w:t>PROPUESTA</w:t>
      </w:r>
    </w:p>
    <w:p w:rsidR="009B4233" w:rsidRDefault="006B08B9">
      <w:pPr>
        <w:spacing w:after="491" w:line="228" w:lineRule="auto"/>
        <w:ind w:left="10" w:hanging="10"/>
        <w:jc w:val="both"/>
      </w:pPr>
      <w:r>
        <w:rPr>
          <w:rFonts w:ascii="Arial" w:eastAsia="Calibri" w:hAnsi="Arial" w:cs="Arial"/>
          <w:sz w:val="22"/>
          <w:szCs w:val="22"/>
        </w:rPr>
        <w:t>La que suscribe, Dña. Mª Concepción Brito Núñez, Alcaldesa Presidenta del Ayuntamiento de la Villa de Candelaria, al amparo de lo dispuesto en el Reglamento de Organización, Funcionamiento y Régimen Jurídico de las Entidades Locales</w:t>
      </w:r>
      <w:r>
        <w:rPr>
          <w:rFonts w:ascii="Arial" w:eastAsia="Calibri" w:hAnsi="Arial" w:cs="Arial"/>
          <w:sz w:val="22"/>
          <w:szCs w:val="22"/>
        </w:rPr>
        <w:t>, así como en la Ley 7/1985, de 2 de abril, Reguladora de las Bases de Régimen Local, tienen el honor de someter a la consideración del Ayuntamiento Pleno la siguiente propuesta:</w:t>
      </w:r>
    </w:p>
    <w:p w:rsidR="009B4233" w:rsidRDefault="006B08B9">
      <w:pPr>
        <w:pStyle w:val="Ttulo1"/>
        <w:ind w:right="1"/>
      </w:pPr>
      <w:r>
        <w:rPr>
          <w:rFonts w:ascii="Arial" w:hAnsi="Arial" w:cs="Arial"/>
          <w:b w:val="0"/>
          <w:sz w:val="22"/>
          <w:szCs w:val="22"/>
        </w:rPr>
        <w:t xml:space="preserve"> “</w:t>
      </w:r>
      <w:r>
        <w:rPr>
          <w:rFonts w:ascii="Arial" w:hAnsi="Arial" w:cs="Arial"/>
          <w:sz w:val="22"/>
          <w:szCs w:val="22"/>
        </w:rPr>
        <w:t xml:space="preserve">INFORME </w:t>
      </w:r>
    </w:p>
    <w:p w:rsidR="009B4233" w:rsidRDefault="006B08B9">
      <w:pPr>
        <w:ind w:left="-5" w:hanging="10"/>
        <w:jc w:val="both"/>
      </w:pPr>
      <w:r>
        <w:rPr>
          <w:rFonts w:ascii="Arial" w:eastAsia="Calibri" w:hAnsi="Arial" w:cs="Arial"/>
          <w:b/>
          <w:sz w:val="22"/>
          <w:szCs w:val="22"/>
        </w:rPr>
        <w:t>Visto el expediente referenciado, la funcionaria Rosa Edelmira Gon</w:t>
      </w:r>
      <w:r>
        <w:rPr>
          <w:rFonts w:ascii="Arial" w:eastAsia="Calibri" w:hAnsi="Arial" w:cs="Arial"/>
          <w:b/>
          <w:sz w:val="22"/>
          <w:szCs w:val="22"/>
        </w:rPr>
        <w:t xml:space="preserve">zález Sabina </w:t>
      </w:r>
    </w:p>
    <w:p w:rsidR="009B4233" w:rsidRDefault="006B08B9">
      <w:pPr>
        <w:spacing w:after="86"/>
        <w:ind w:left="-5" w:hanging="10"/>
        <w:jc w:val="both"/>
      </w:pPr>
      <w:r>
        <w:rPr>
          <w:rFonts w:ascii="Arial" w:eastAsia="Calibri" w:hAnsi="Arial" w:cs="Arial"/>
          <w:b/>
          <w:sz w:val="22"/>
          <w:szCs w:val="22"/>
        </w:rPr>
        <w:t>(Decreto nº 2025-1939, de 19 de junio), que desempeña el puesto de trabajo de Técnico de Administración General, conformado por la Secretaria Accidental (Decreto nº 2025-1939, de 19 de junio) y fiscalizado favorablemente por la Interventora A</w:t>
      </w:r>
      <w:r>
        <w:rPr>
          <w:rFonts w:ascii="Arial" w:eastAsia="Calibri" w:hAnsi="Arial" w:cs="Arial"/>
          <w:b/>
          <w:sz w:val="22"/>
          <w:szCs w:val="22"/>
        </w:rPr>
        <w:t>ccidental (Decreto nº 2289-2025, de 18 de julio), emite el siguiente informe:</w:t>
      </w:r>
    </w:p>
    <w:p w:rsidR="009B4233" w:rsidRDefault="006B08B9">
      <w:pPr>
        <w:spacing w:after="84"/>
      </w:pPr>
      <w:r>
        <w:rPr>
          <w:rFonts w:ascii="Arial" w:eastAsia="Calibri" w:hAnsi="Arial" w:cs="Arial"/>
          <w:sz w:val="22"/>
          <w:szCs w:val="22"/>
        </w:rPr>
        <w:t xml:space="preserve"> </w:t>
      </w:r>
    </w:p>
    <w:p w:rsidR="009B4233" w:rsidRDefault="006B08B9">
      <w:pPr>
        <w:pStyle w:val="Ttulo1"/>
        <w:spacing w:after="330"/>
        <w:ind w:right="1"/>
        <w:rPr>
          <w:rFonts w:ascii="Arial" w:hAnsi="Arial" w:cs="Arial"/>
          <w:sz w:val="22"/>
          <w:szCs w:val="22"/>
        </w:rPr>
      </w:pPr>
      <w:r>
        <w:rPr>
          <w:rFonts w:ascii="Arial" w:hAnsi="Arial" w:cs="Arial"/>
          <w:sz w:val="22"/>
          <w:szCs w:val="22"/>
        </w:rPr>
        <w:t xml:space="preserve">Antecedentes de hecho </w:t>
      </w:r>
    </w:p>
    <w:p w:rsidR="009B4233" w:rsidRDefault="006B08B9">
      <w:pPr>
        <w:spacing w:after="118" w:line="228" w:lineRule="auto"/>
        <w:ind w:left="10" w:hanging="10"/>
        <w:jc w:val="both"/>
      </w:pPr>
      <w:r>
        <w:rPr>
          <w:rFonts w:ascii="Arial" w:eastAsia="Calibri" w:hAnsi="Arial" w:cs="Arial"/>
          <w:b/>
          <w:sz w:val="22"/>
          <w:szCs w:val="22"/>
        </w:rPr>
        <w:t xml:space="preserve">Primero: </w:t>
      </w:r>
      <w:r>
        <w:rPr>
          <w:rFonts w:ascii="Arial" w:eastAsia="Calibri" w:hAnsi="Arial" w:cs="Arial"/>
          <w:sz w:val="22"/>
          <w:szCs w:val="22"/>
        </w:rPr>
        <w:t>En sesión ordinaria del Pleno del Ayuntamiento celebrada el día 4 de agosto de 2023, se acordó encomendar a la entidad GESTUR CANARIAS, S.A., la</w:t>
      </w:r>
      <w:r>
        <w:rPr>
          <w:rFonts w:ascii="Arial" w:eastAsia="Calibri" w:hAnsi="Arial" w:cs="Arial"/>
          <w:sz w:val="22"/>
          <w:szCs w:val="22"/>
        </w:rPr>
        <w:t xml:space="preserve"> redacción del proyecto de urbanización y la dirección de obra correspondiente a las obras de urbanización de Rubén Marichal, en Barranco Hondo. </w:t>
      </w:r>
    </w:p>
    <w:p w:rsidR="009B4233" w:rsidRDefault="006B08B9">
      <w:pPr>
        <w:spacing w:after="118" w:line="228" w:lineRule="auto"/>
        <w:ind w:left="10" w:hanging="10"/>
        <w:jc w:val="both"/>
      </w:pPr>
      <w:r>
        <w:rPr>
          <w:rFonts w:ascii="Arial" w:eastAsia="Calibri" w:hAnsi="Arial" w:cs="Arial"/>
          <w:b/>
          <w:sz w:val="22"/>
          <w:szCs w:val="22"/>
        </w:rPr>
        <w:t>Segundo:</w:t>
      </w:r>
      <w:r>
        <w:rPr>
          <w:rFonts w:ascii="Arial" w:eastAsia="Calibri" w:hAnsi="Arial" w:cs="Arial"/>
          <w:sz w:val="22"/>
          <w:szCs w:val="22"/>
        </w:rPr>
        <w:t xml:space="preserve"> Con fecha 3 de noviembre de 2023, se formalizó el encargo a medio propio por parte del Ayuntamiento d</w:t>
      </w:r>
      <w:r>
        <w:rPr>
          <w:rFonts w:ascii="Arial" w:eastAsia="Calibri" w:hAnsi="Arial" w:cs="Arial"/>
          <w:sz w:val="22"/>
          <w:szCs w:val="22"/>
        </w:rPr>
        <w:t>e Candelaria</w:t>
      </w:r>
    </w:p>
    <w:p w:rsidR="009B4233" w:rsidRDefault="006B08B9">
      <w:pPr>
        <w:spacing w:after="118" w:line="228" w:lineRule="auto"/>
        <w:ind w:left="10" w:hanging="10"/>
        <w:jc w:val="both"/>
      </w:pPr>
      <w:r>
        <w:rPr>
          <w:rFonts w:ascii="Arial" w:eastAsia="Calibri" w:hAnsi="Arial" w:cs="Arial"/>
          <w:b/>
          <w:sz w:val="22"/>
          <w:szCs w:val="22"/>
        </w:rPr>
        <w:t>Tercero:</w:t>
      </w:r>
      <w:r>
        <w:rPr>
          <w:rFonts w:ascii="Arial" w:eastAsia="Calibri" w:hAnsi="Arial" w:cs="Arial"/>
          <w:sz w:val="22"/>
          <w:szCs w:val="22"/>
        </w:rPr>
        <w:t xml:space="preserve"> Con fecha 5 de agosto de 2024, y número de registro de entrada 8779, se presentó la solicitud acompañada del proyecto técnico objeto del encargo.</w:t>
      </w:r>
    </w:p>
    <w:p w:rsidR="009B4233" w:rsidRDefault="006B08B9">
      <w:pPr>
        <w:spacing w:after="473" w:line="228" w:lineRule="auto"/>
        <w:ind w:left="10" w:hanging="10"/>
        <w:jc w:val="both"/>
      </w:pPr>
      <w:r>
        <w:rPr>
          <w:rFonts w:ascii="Arial" w:eastAsia="Calibri" w:hAnsi="Arial" w:cs="Arial"/>
          <w:b/>
          <w:sz w:val="22"/>
          <w:szCs w:val="22"/>
        </w:rPr>
        <w:t>Cuarto:</w:t>
      </w:r>
      <w:r>
        <w:rPr>
          <w:rFonts w:ascii="Arial" w:eastAsia="Calibri" w:hAnsi="Arial" w:cs="Arial"/>
          <w:sz w:val="22"/>
          <w:szCs w:val="22"/>
        </w:rPr>
        <w:t xml:space="preserve"> Con fecha 12 de agosto de 2025, se emitió informe técnico relativo al proyecto </w:t>
      </w:r>
      <w:r>
        <w:rPr>
          <w:rFonts w:ascii="Arial" w:eastAsia="Calibri" w:hAnsi="Arial" w:cs="Arial"/>
          <w:sz w:val="22"/>
          <w:szCs w:val="22"/>
        </w:rPr>
        <w:t>presentado, cuyo contenido se transcribe literalmente a continuación:</w:t>
      </w:r>
    </w:p>
    <w:p w:rsidR="009B4233" w:rsidRDefault="006B08B9">
      <w:pPr>
        <w:spacing w:after="86"/>
        <w:ind w:left="10" w:right="2" w:hanging="10"/>
        <w:jc w:val="center"/>
      </w:pPr>
      <w:r>
        <w:rPr>
          <w:rFonts w:ascii="Arial" w:eastAsia="Calibri" w:hAnsi="Arial" w:cs="Arial"/>
          <w:i/>
          <w:sz w:val="22"/>
          <w:szCs w:val="22"/>
        </w:rPr>
        <w:t>“INFORME</w:t>
      </w:r>
    </w:p>
    <w:p w:rsidR="009B4233" w:rsidRDefault="006B08B9">
      <w:pPr>
        <w:spacing w:after="92"/>
        <w:ind w:left="-5" w:right="7" w:hanging="10"/>
        <w:jc w:val="both"/>
      </w:pPr>
      <w:r>
        <w:rPr>
          <w:rFonts w:ascii="Arial" w:eastAsia="Calibri" w:hAnsi="Arial" w:cs="Arial"/>
          <w:i/>
          <w:sz w:val="22"/>
          <w:szCs w:val="22"/>
        </w:rPr>
        <w:t>Visto el expediente antedicho, Javier González Gómez, arquitecto técnico municipal, emite el siguiente informe:</w:t>
      </w:r>
    </w:p>
    <w:p w:rsidR="009B4233" w:rsidRDefault="006B08B9">
      <w:pPr>
        <w:spacing w:after="86"/>
        <w:ind w:left="10" w:right="4" w:hanging="10"/>
        <w:jc w:val="center"/>
      </w:pPr>
      <w:r>
        <w:rPr>
          <w:rFonts w:ascii="Arial" w:eastAsia="Calibri" w:hAnsi="Arial" w:cs="Arial"/>
          <w:i/>
          <w:sz w:val="22"/>
          <w:szCs w:val="22"/>
        </w:rPr>
        <w:t>ANTECEDENTES</w:t>
      </w:r>
    </w:p>
    <w:p w:rsidR="009B4233" w:rsidRDefault="006B08B9">
      <w:pPr>
        <w:spacing w:after="3"/>
        <w:ind w:left="-5" w:right="7" w:hanging="10"/>
        <w:jc w:val="both"/>
      </w:pPr>
      <w:r>
        <w:rPr>
          <w:rFonts w:ascii="Arial" w:eastAsia="Calibri" w:hAnsi="Arial" w:cs="Arial"/>
          <w:i/>
          <w:sz w:val="22"/>
          <w:szCs w:val="22"/>
        </w:rPr>
        <w:t>Consta oficio remitido por el Concejal Delegado de P</w:t>
      </w:r>
      <w:r>
        <w:rPr>
          <w:rFonts w:ascii="Arial" w:eastAsia="Calibri" w:hAnsi="Arial" w:cs="Arial"/>
          <w:i/>
          <w:sz w:val="22"/>
          <w:szCs w:val="22"/>
        </w:rPr>
        <w:t xml:space="preserve">lanificación y Gestión Urbanística y Ambiental; </w:t>
      </w:r>
    </w:p>
    <w:p w:rsidR="009B4233" w:rsidRDefault="006B08B9">
      <w:pPr>
        <w:spacing w:after="123"/>
        <w:ind w:left="-5" w:right="7" w:hanging="10"/>
        <w:jc w:val="both"/>
      </w:pPr>
      <w:r>
        <w:rPr>
          <w:rFonts w:ascii="Arial" w:eastAsia="Calibri" w:hAnsi="Arial" w:cs="Arial"/>
          <w:i/>
          <w:sz w:val="22"/>
          <w:szCs w:val="22"/>
        </w:rPr>
        <w:t xml:space="preserve">Vivienda y Agenda Urbana, Don Reinaldo José Triviño Blanco solicitud de oferta económica a Gestur Canarias S.A., de fecha 04 de noviembre de 2022, para “la reparación, actualización y mejora de las obras de </w:t>
      </w:r>
      <w:r>
        <w:rPr>
          <w:rFonts w:ascii="Arial" w:eastAsia="Calibri" w:hAnsi="Arial" w:cs="Arial"/>
          <w:i/>
          <w:sz w:val="22"/>
          <w:szCs w:val="22"/>
        </w:rPr>
        <w:t>urbanización, cuyo alcance deberá valorarse y estudiar entre otros los siguientes servicios:</w:t>
      </w:r>
    </w:p>
    <w:p w:rsidR="009B4233" w:rsidRDefault="006B08B9">
      <w:pPr>
        <w:widowControl/>
        <w:numPr>
          <w:ilvl w:val="0"/>
          <w:numId w:val="100"/>
        </w:numPr>
        <w:suppressAutoHyphens w:val="0"/>
        <w:spacing w:after="129" w:line="249" w:lineRule="auto"/>
        <w:ind w:right="7" w:hanging="360"/>
        <w:jc w:val="both"/>
        <w:textAlignment w:val="auto"/>
      </w:pPr>
      <w:r>
        <w:rPr>
          <w:rFonts w:ascii="Arial" w:eastAsia="Calibri" w:hAnsi="Arial" w:cs="Arial"/>
          <w:i/>
          <w:sz w:val="22"/>
          <w:szCs w:val="22"/>
        </w:rPr>
        <w:t>Saneamiento</w:t>
      </w:r>
    </w:p>
    <w:p w:rsidR="009B4233" w:rsidRDefault="006B08B9">
      <w:pPr>
        <w:widowControl/>
        <w:numPr>
          <w:ilvl w:val="0"/>
          <w:numId w:val="100"/>
        </w:numPr>
        <w:suppressAutoHyphens w:val="0"/>
        <w:spacing w:after="129" w:line="249" w:lineRule="auto"/>
        <w:ind w:right="7" w:hanging="360"/>
        <w:jc w:val="both"/>
        <w:textAlignment w:val="auto"/>
      </w:pPr>
      <w:r>
        <w:rPr>
          <w:rFonts w:ascii="Arial" w:eastAsia="Calibri" w:hAnsi="Arial" w:cs="Arial"/>
          <w:i/>
          <w:sz w:val="22"/>
          <w:szCs w:val="22"/>
        </w:rPr>
        <w:t>Abastecimiento</w:t>
      </w:r>
    </w:p>
    <w:p w:rsidR="009B4233" w:rsidRDefault="006B08B9">
      <w:pPr>
        <w:widowControl/>
        <w:numPr>
          <w:ilvl w:val="0"/>
          <w:numId w:val="100"/>
        </w:numPr>
        <w:suppressAutoHyphens w:val="0"/>
        <w:spacing w:after="130" w:line="249" w:lineRule="auto"/>
        <w:ind w:right="7" w:hanging="360"/>
        <w:jc w:val="both"/>
        <w:textAlignment w:val="auto"/>
      </w:pPr>
      <w:r>
        <w:rPr>
          <w:rFonts w:ascii="Arial" w:eastAsia="Calibri" w:hAnsi="Arial" w:cs="Arial"/>
          <w:i/>
          <w:sz w:val="22"/>
          <w:szCs w:val="22"/>
        </w:rPr>
        <w:t>Alumbrado público y eficiencia energía</w:t>
      </w:r>
    </w:p>
    <w:p w:rsidR="009B4233" w:rsidRDefault="006B08B9">
      <w:pPr>
        <w:widowControl/>
        <w:numPr>
          <w:ilvl w:val="0"/>
          <w:numId w:val="100"/>
        </w:numPr>
        <w:suppressAutoHyphens w:val="0"/>
        <w:spacing w:after="129" w:line="249" w:lineRule="auto"/>
        <w:ind w:right="7" w:hanging="360"/>
        <w:jc w:val="both"/>
        <w:textAlignment w:val="auto"/>
      </w:pPr>
      <w:r>
        <w:rPr>
          <w:rFonts w:ascii="Arial" w:eastAsia="Calibri" w:hAnsi="Arial" w:cs="Arial"/>
          <w:i/>
          <w:sz w:val="22"/>
          <w:szCs w:val="22"/>
        </w:rPr>
        <w:t>Pluviales</w:t>
      </w:r>
    </w:p>
    <w:p w:rsidR="009B4233" w:rsidRDefault="006B08B9">
      <w:pPr>
        <w:widowControl/>
        <w:numPr>
          <w:ilvl w:val="0"/>
          <w:numId w:val="100"/>
        </w:numPr>
        <w:suppressAutoHyphens w:val="0"/>
        <w:spacing w:after="129" w:line="249" w:lineRule="auto"/>
        <w:ind w:right="7" w:hanging="360"/>
        <w:jc w:val="both"/>
        <w:textAlignment w:val="auto"/>
      </w:pPr>
      <w:r>
        <w:rPr>
          <w:rFonts w:ascii="Arial" w:eastAsia="Calibri" w:hAnsi="Arial" w:cs="Arial"/>
          <w:i/>
          <w:sz w:val="22"/>
          <w:szCs w:val="22"/>
        </w:rPr>
        <w:t>Cumplimiento de la normativa de accesibilidad</w:t>
      </w:r>
    </w:p>
    <w:p w:rsidR="009B4233" w:rsidRDefault="006B08B9">
      <w:pPr>
        <w:widowControl/>
        <w:numPr>
          <w:ilvl w:val="0"/>
          <w:numId w:val="100"/>
        </w:numPr>
        <w:suppressAutoHyphens w:val="0"/>
        <w:spacing w:after="129" w:line="249" w:lineRule="auto"/>
        <w:ind w:right="7" w:hanging="360"/>
        <w:jc w:val="both"/>
        <w:textAlignment w:val="auto"/>
      </w:pPr>
      <w:r>
        <w:rPr>
          <w:rFonts w:ascii="Arial" w:eastAsia="Calibri" w:hAnsi="Arial" w:cs="Arial"/>
          <w:i/>
          <w:sz w:val="22"/>
          <w:szCs w:val="22"/>
        </w:rPr>
        <w:t>Riego y jardinería</w:t>
      </w:r>
    </w:p>
    <w:p w:rsidR="009B4233" w:rsidRDefault="006B08B9">
      <w:pPr>
        <w:widowControl/>
        <w:numPr>
          <w:ilvl w:val="0"/>
          <w:numId w:val="100"/>
        </w:numPr>
        <w:suppressAutoHyphens w:val="0"/>
        <w:spacing w:after="129" w:line="249" w:lineRule="auto"/>
        <w:ind w:right="7" w:hanging="360"/>
        <w:jc w:val="both"/>
        <w:textAlignment w:val="auto"/>
      </w:pPr>
      <w:r>
        <w:rPr>
          <w:rFonts w:ascii="Arial" w:eastAsia="Calibri" w:hAnsi="Arial" w:cs="Arial"/>
          <w:i/>
          <w:sz w:val="22"/>
          <w:szCs w:val="22"/>
        </w:rPr>
        <w:t>Descolgamientos de los</w:t>
      </w:r>
      <w:r>
        <w:rPr>
          <w:rFonts w:ascii="Arial" w:eastAsia="Calibri" w:hAnsi="Arial" w:cs="Arial"/>
          <w:i/>
          <w:sz w:val="22"/>
          <w:szCs w:val="22"/>
        </w:rPr>
        <w:t xml:space="preserve"> muros perimetrales de la urbanización</w:t>
      </w:r>
    </w:p>
    <w:p w:rsidR="009B4233" w:rsidRDefault="006B08B9">
      <w:pPr>
        <w:widowControl/>
        <w:numPr>
          <w:ilvl w:val="0"/>
          <w:numId w:val="100"/>
        </w:numPr>
        <w:suppressAutoHyphens w:val="0"/>
        <w:spacing w:after="130" w:line="249" w:lineRule="auto"/>
        <w:ind w:right="7" w:hanging="360"/>
        <w:jc w:val="both"/>
        <w:textAlignment w:val="auto"/>
      </w:pPr>
      <w:r>
        <w:rPr>
          <w:rFonts w:ascii="Arial" w:eastAsia="Calibri" w:hAnsi="Arial" w:cs="Arial"/>
          <w:i/>
          <w:sz w:val="22"/>
          <w:szCs w:val="22"/>
        </w:rPr>
        <w:t>Pavimentos</w:t>
      </w:r>
    </w:p>
    <w:p w:rsidR="009B4233" w:rsidRDefault="006B08B9">
      <w:pPr>
        <w:widowControl/>
        <w:numPr>
          <w:ilvl w:val="0"/>
          <w:numId w:val="100"/>
        </w:numPr>
        <w:suppressAutoHyphens w:val="0"/>
        <w:spacing w:after="136" w:line="249" w:lineRule="auto"/>
        <w:ind w:right="7" w:hanging="360"/>
        <w:jc w:val="both"/>
        <w:textAlignment w:val="auto"/>
      </w:pPr>
      <w:r>
        <w:rPr>
          <w:rFonts w:ascii="Arial" w:eastAsia="Calibri" w:hAnsi="Arial" w:cs="Arial"/>
          <w:i/>
          <w:sz w:val="22"/>
          <w:szCs w:val="22"/>
        </w:rPr>
        <w:t>Telecomunicaciones</w:t>
      </w:r>
    </w:p>
    <w:p w:rsidR="009B4233" w:rsidRDefault="006B08B9">
      <w:pPr>
        <w:widowControl/>
        <w:numPr>
          <w:ilvl w:val="0"/>
          <w:numId w:val="100"/>
        </w:numPr>
        <w:suppressAutoHyphens w:val="0"/>
        <w:spacing w:after="128" w:line="249" w:lineRule="auto"/>
        <w:ind w:right="7" w:hanging="360"/>
        <w:jc w:val="both"/>
        <w:textAlignment w:val="auto"/>
      </w:pPr>
      <w:r>
        <w:rPr>
          <w:rFonts w:ascii="Arial" w:eastAsia="Calibri" w:hAnsi="Arial" w:cs="Arial"/>
          <w:i/>
          <w:sz w:val="22"/>
          <w:szCs w:val="22"/>
        </w:rPr>
        <w:t>…”</w:t>
      </w:r>
    </w:p>
    <w:p w:rsidR="009B4233" w:rsidRDefault="006B08B9">
      <w:pPr>
        <w:spacing w:after="120"/>
        <w:ind w:left="-5" w:right="7" w:hanging="10"/>
        <w:jc w:val="both"/>
      </w:pPr>
      <w:r>
        <w:rPr>
          <w:rFonts w:ascii="Arial" w:eastAsia="Calibri" w:hAnsi="Arial" w:cs="Arial"/>
          <w:i/>
          <w:sz w:val="22"/>
          <w:szCs w:val="22"/>
        </w:rPr>
        <w:t>Consta propuesta de encomienda de la Alcaldesa-Presidenta del Ayuntamiento de la Villa de Candelaria María Concepción Brito Núñez de 28 de julio de 2023 a Gestur Canarias S.A.</w:t>
      </w:r>
    </w:p>
    <w:p w:rsidR="009B4233" w:rsidRDefault="006B08B9">
      <w:pPr>
        <w:spacing w:after="120"/>
        <w:ind w:left="-5" w:right="7" w:hanging="10"/>
        <w:jc w:val="both"/>
      </w:pPr>
      <w:r>
        <w:rPr>
          <w:rFonts w:ascii="Arial" w:eastAsia="Calibri" w:hAnsi="Arial" w:cs="Arial"/>
          <w:i/>
          <w:sz w:val="22"/>
          <w:szCs w:val="22"/>
        </w:rPr>
        <w:t>Consta r</w:t>
      </w:r>
      <w:r>
        <w:rPr>
          <w:rFonts w:ascii="Arial" w:eastAsia="Calibri" w:hAnsi="Arial" w:cs="Arial"/>
          <w:i/>
          <w:sz w:val="22"/>
          <w:szCs w:val="22"/>
        </w:rPr>
        <w:t>egistro de entrada REGAGE24e00058549190, de fecha 02 de agosto de 2024, como documento anexado del “PROYECTO DE REHABILITACIÓN Y MEJORAS DE LA URBANIZACIÓN RUBENS MARICHAL” por parte de Gestur Canarias S.A. con NIF A38021762 mediante el Sistema de Intercon</w:t>
      </w:r>
      <w:r>
        <w:rPr>
          <w:rFonts w:ascii="Arial" w:eastAsia="Calibri" w:hAnsi="Arial" w:cs="Arial"/>
          <w:i/>
          <w:sz w:val="22"/>
          <w:szCs w:val="22"/>
        </w:rPr>
        <w:t>exión de Registros.</w:t>
      </w:r>
    </w:p>
    <w:p w:rsidR="009B4233" w:rsidRDefault="006B08B9">
      <w:pPr>
        <w:spacing w:after="120"/>
        <w:ind w:left="-5" w:right="7" w:hanging="10"/>
        <w:jc w:val="both"/>
      </w:pPr>
      <w:r>
        <w:rPr>
          <w:rFonts w:ascii="Arial" w:eastAsia="Calibri" w:hAnsi="Arial" w:cs="Arial"/>
          <w:i/>
          <w:sz w:val="22"/>
          <w:szCs w:val="22"/>
        </w:rPr>
        <w:t>El 09 de julio de 2025, mediante tarea T/2025/12352, el concejal delegado solicita al técnico que suscribe este informe, la supervisión y aprobación, si procede, del proyecto del asunto.</w:t>
      </w:r>
    </w:p>
    <w:p w:rsidR="009B4233" w:rsidRDefault="006B08B9">
      <w:pPr>
        <w:spacing w:after="120"/>
        <w:ind w:left="-5" w:right="7" w:hanging="10"/>
        <w:jc w:val="both"/>
      </w:pPr>
      <w:r>
        <w:rPr>
          <w:rFonts w:ascii="Arial" w:eastAsia="Calibri" w:hAnsi="Arial" w:cs="Arial"/>
          <w:i/>
          <w:sz w:val="22"/>
          <w:szCs w:val="22"/>
        </w:rPr>
        <w:t>El concejal delegado del encargo dispone del pers</w:t>
      </w:r>
      <w:r>
        <w:rPr>
          <w:rFonts w:ascii="Arial" w:eastAsia="Calibri" w:hAnsi="Arial" w:cs="Arial"/>
          <w:i/>
          <w:sz w:val="22"/>
          <w:szCs w:val="22"/>
        </w:rPr>
        <w:t>onal Manuel Pais Chávez como colaborador en la valoración del proyecto.</w:t>
      </w:r>
    </w:p>
    <w:p w:rsidR="009B4233" w:rsidRDefault="006B08B9">
      <w:pPr>
        <w:spacing w:after="360"/>
        <w:ind w:left="-5" w:right="7" w:hanging="10"/>
        <w:jc w:val="both"/>
      </w:pPr>
      <w:r>
        <w:rPr>
          <w:rFonts w:ascii="Arial" w:eastAsia="Calibri" w:hAnsi="Arial" w:cs="Arial"/>
          <w:i/>
          <w:sz w:val="22"/>
          <w:szCs w:val="22"/>
        </w:rPr>
        <w:t xml:space="preserve">Consta expediente 12455/2024 de fecha 11 de noviembre de 2024 “Encomienda a Gesplan redacción de proyecto para saneamiento y Estación Depuradora de Aguas Residuales (EDAR) de Barranco </w:t>
      </w:r>
      <w:r>
        <w:rPr>
          <w:rFonts w:ascii="Arial" w:eastAsia="Calibri" w:hAnsi="Arial" w:cs="Arial"/>
          <w:i/>
          <w:sz w:val="22"/>
          <w:szCs w:val="22"/>
        </w:rPr>
        <w:t>Hondo”.</w:t>
      </w:r>
    </w:p>
    <w:p w:rsidR="009B4233" w:rsidRDefault="006B08B9">
      <w:pPr>
        <w:spacing w:after="86"/>
        <w:ind w:left="10" w:right="7" w:hanging="10"/>
        <w:jc w:val="center"/>
      </w:pPr>
      <w:r>
        <w:rPr>
          <w:rFonts w:ascii="Arial" w:eastAsia="Calibri" w:hAnsi="Arial" w:cs="Arial"/>
          <w:i/>
          <w:sz w:val="22"/>
          <w:szCs w:val="22"/>
          <w:u w:val="single" w:color="000000"/>
        </w:rPr>
        <w:t>INFORME TÉCNICO – CONTENIDO DEL PROYECTO</w:t>
      </w:r>
    </w:p>
    <w:p w:rsidR="009B4233" w:rsidRDefault="009B4233">
      <w:pPr>
        <w:spacing w:after="86"/>
        <w:ind w:left="-5" w:right="7" w:hanging="10"/>
        <w:jc w:val="both"/>
        <w:rPr>
          <w:rFonts w:ascii="Arial" w:eastAsia="Calibri" w:hAnsi="Arial" w:cs="Arial"/>
          <w:i/>
          <w:sz w:val="22"/>
          <w:szCs w:val="22"/>
        </w:rPr>
      </w:pPr>
    </w:p>
    <w:p w:rsidR="009B4233" w:rsidRDefault="006B08B9">
      <w:pPr>
        <w:spacing w:after="86"/>
        <w:ind w:left="-5" w:right="7" w:hanging="10"/>
        <w:jc w:val="both"/>
      </w:pPr>
      <w:r>
        <w:rPr>
          <w:rFonts w:ascii="Arial" w:eastAsia="Calibri" w:hAnsi="Arial" w:cs="Arial"/>
          <w:i/>
          <w:sz w:val="22"/>
          <w:szCs w:val="22"/>
        </w:rPr>
        <w:t xml:space="preserve">DESCRIPCIÓN DE LAS OBRAS </w:t>
      </w:r>
    </w:p>
    <w:p w:rsidR="009B4233" w:rsidRDefault="006B08B9">
      <w:pPr>
        <w:spacing w:after="240"/>
        <w:ind w:left="-5" w:right="7" w:hanging="10"/>
        <w:jc w:val="both"/>
      </w:pPr>
      <w:r>
        <w:rPr>
          <w:rFonts w:ascii="Arial" w:eastAsia="Calibri" w:hAnsi="Arial" w:cs="Arial"/>
          <w:i/>
          <w:sz w:val="22"/>
          <w:szCs w:val="22"/>
        </w:rPr>
        <w:t xml:space="preserve">El proyecto tiene por objeto definir el conjunto de características, normas, condiciones y tipo de materiales que deberán corresponder a las obras que en él se definen, siendo </w:t>
      </w:r>
      <w:r>
        <w:rPr>
          <w:rFonts w:ascii="Arial" w:eastAsia="Calibri" w:hAnsi="Arial" w:cs="Arial"/>
          <w:i/>
          <w:sz w:val="22"/>
          <w:szCs w:val="22"/>
        </w:rPr>
        <w:t>estas las siguientes:</w:t>
      </w:r>
    </w:p>
    <w:p w:rsidR="009B4233" w:rsidRDefault="006B08B9">
      <w:pPr>
        <w:spacing w:after="120"/>
        <w:ind w:left="-5" w:right="7" w:hanging="10"/>
        <w:jc w:val="both"/>
      </w:pPr>
      <w:r>
        <w:rPr>
          <w:rFonts w:ascii="Arial" w:eastAsia="Calibri" w:hAnsi="Arial" w:cs="Arial"/>
          <w:i/>
          <w:sz w:val="22"/>
          <w:szCs w:val="22"/>
        </w:rPr>
        <w:t>DEMOLICIONES Y MOVIMIENTO DE TIERRAS</w:t>
      </w:r>
    </w:p>
    <w:p w:rsidR="009B4233" w:rsidRDefault="006B08B9">
      <w:pPr>
        <w:spacing w:after="3"/>
        <w:ind w:left="-5" w:right="7" w:hanging="10"/>
        <w:jc w:val="both"/>
      </w:pPr>
      <w:r>
        <w:rPr>
          <w:rFonts w:ascii="Arial" w:eastAsia="Calibri" w:hAnsi="Arial" w:cs="Arial"/>
          <w:i/>
          <w:sz w:val="22"/>
          <w:szCs w:val="22"/>
        </w:rPr>
        <w:t>Comprende los trabajos necesarios para efectuar la instalación de las redes de abastecimiento, saneamiento y pluviales, tanto principales como terciarias. Para ello, se contempla el corte y levanta</w:t>
      </w:r>
      <w:r>
        <w:rPr>
          <w:rFonts w:ascii="Arial" w:eastAsia="Calibri" w:hAnsi="Arial" w:cs="Arial"/>
          <w:i/>
          <w:sz w:val="22"/>
          <w:szCs w:val="22"/>
        </w:rPr>
        <w:t>do de asfalto para la apertura de zanjas en la calzada, así como la demolición del pavimento de aceras.</w:t>
      </w:r>
    </w:p>
    <w:p w:rsidR="009B4233" w:rsidRDefault="006B08B9">
      <w:pPr>
        <w:spacing w:after="3"/>
        <w:ind w:left="-5" w:right="7" w:hanging="10"/>
        <w:jc w:val="both"/>
      </w:pPr>
      <w:r>
        <w:rPr>
          <w:rFonts w:ascii="Arial" w:eastAsia="Calibri" w:hAnsi="Arial" w:cs="Arial"/>
          <w:i/>
          <w:sz w:val="22"/>
          <w:szCs w:val="22"/>
        </w:rPr>
        <w:t>También son precisas demoliciones de aceras y pavimentos para la reestructuración de la sección de dos de las calles de la urbanización, Álvaro Peña Ram</w:t>
      </w:r>
      <w:r>
        <w:rPr>
          <w:rFonts w:ascii="Arial" w:eastAsia="Calibri" w:hAnsi="Arial" w:cs="Arial"/>
          <w:i/>
          <w:sz w:val="22"/>
          <w:szCs w:val="22"/>
        </w:rPr>
        <w:t>os y Adelina Peña Ramos Maestra, con el fin de permitir la circulación de vehículos de manera segura en dos carriles diferenciados, aparcamiento en línea e itinerario peatonal accesible.</w:t>
      </w:r>
    </w:p>
    <w:p w:rsidR="009B4233" w:rsidRDefault="006B08B9">
      <w:pPr>
        <w:spacing w:after="240"/>
        <w:ind w:left="-5" w:right="7" w:hanging="10"/>
        <w:jc w:val="both"/>
      </w:pPr>
      <w:r>
        <w:rPr>
          <w:rFonts w:ascii="Arial" w:eastAsia="Calibri" w:hAnsi="Arial" w:cs="Arial"/>
          <w:i/>
          <w:sz w:val="22"/>
          <w:szCs w:val="22"/>
        </w:rPr>
        <w:t>Por otro lado, se incluyen en este capítulo también todas aquellas la</w:t>
      </w:r>
      <w:r>
        <w:rPr>
          <w:rFonts w:ascii="Arial" w:eastAsia="Calibri" w:hAnsi="Arial" w:cs="Arial"/>
          <w:i/>
          <w:sz w:val="22"/>
          <w:szCs w:val="22"/>
        </w:rPr>
        <w:t>bores que sean requeridas para la ejecución de los muros de contención proyectados. Para ello, se contempla la demolición total de algunos tramos de calle y/o peatonales, con el desmonte necesario para la ejecución de las estructuras de contención, así com</w:t>
      </w:r>
      <w:r>
        <w:rPr>
          <w:rFonts w:ascii="Arial" w:eastAsia="Calibri" w:hAnsi="Arial" w:cs="Arial"/>
          <w:i/>
          <w:sz w:val="22"/>
          <w:szCs w:val="22"/>
        </w:rPr>
        <w:t>o su posterior relleno con material.</w:t>
      </w:r>
    </w:p>
    <w:p w:rsidR="009B4233" w:rsidRDefault="006B08B9">
      <w:pPr>
        <w:spacing w:after="120"/>
        <w:ind w:left="-5" w:right="7" w:hanging="10"/>
        <w:jc w:val="both"/>
      </w:pPr>
      <w:r>
        <w:rPr>
          <w:rFonts w:ascii="Arial" w:eastAsia="Calibri" w:hAnsi="Arial" w:cs="Arial"/>
          <w:i/>
          <w:sz w:val="22"/>
          <w:szCs w:val="22"/>
        </w:rPr>
        <w:t>MUROS</w:t>
      </w:r>
    </w:p>
    <w:p w:rsidR="009B4233" w:rsidRDefault="006B08B9">
      <w:pPr>
        <w:spacing w:after="3"/>
        <w:ind w:left="-5" w:right="7" w:hanging="10"/>
        <w:jc w:val="both"/>
      </w:pPr>
      <w:r>
        <w:rPr>
          <w:rFonts w:ascii="Arial" w:eastAsia="Calibri" w:hAnsi="Arial" w:cs="Arial"/>
          <w:i/>
          <w:sz w:val="22"/>
          <w:szCs w:val="22"/>
        </w:rPr>
        <w:t>Se proyecta la ejecución de muros de hormigón en masa, como restitución de los existentes, para la contención de las escalinatas peatonales que bordean el perímetro del ámbito. También se ejecutarán nuevos muros p</w:t>
      </w:r>
      <w:r>
        <w:rPr>
          <w:rFonts w:ascii="Arial" w:eastAsia="Calibri" w:hAnsi="Arial" w:cs="Arial"/>
          <w:i/>
          <w:sz w:val="22"/>
          <w:szCs w:val="22"/>
        </w:rPr>
        <w:t>ara la contención del fondo de saco de la Calle Álvaro Peña Ramos y de la explanación de la estación depuradora.</w:t>
      </w:r>
    </w:p>
    <w:p w:rsidR="009B4233" w:rsidRDefault="006B08B9">
      <w:pPr>
        <w:spacing w:after="3"/>
        <w:ind w:left="-5" w:right="7" w:hanging="10"/>
        <w:jc w:val="both"/>
      </w:pPr>
      <w:r>
        <w:rPr>
          <w:rFonts w:ascii="Arial" w:eastAsia="Calibri" w:hAnsi="Arial" w:cs="Arial"/>
          <w:i/>
          <w:sz w:val="22"/>
          <w:szCs w:val="22"/>
        </w:rPr>
        <w:t xml:space="preserve">Los muros de contención proyectados cuentan con trasdós inclinado en relación 1:3 e intradós vertical con cara vista de piedra, para minimizar </w:t>
      </w:r>
      <w:r>
        <w:rPr>
          <w:rFonts w:ascii="Arial" w:eastAsia="Calibri" w:hAnsi="Arial" w:cs="Arial"/>
          <w:i/>
          <w:sz w:val="22"/>
          <w:szCs w:val="22"/>
        </w:rPr>
        <w:t xml:space="preserve">el impacto paisajístico y mimetizarlos con el entorno próximo. </w:t>
      </w:r>
    </w:p>
    <w:p w:rsidR="009B4233" w:rsidRDefault="006B08B9">
      <w:pPr>
        <w:spacing w:line="251" w:lineRule="auto"/>
        <w:ind w:left="-5" w:right="1481" w:hanging="10"/>
      </w:pPr>
      <w:r>
        <w:rPr>
          <w:rFonts w:ascii="Arial" w:eastAsia="Calibri" w:hAnsi="Arial" w:cs="Arial"/>
          <w:i/>
          <w:sz w:val="22"/>
          <w:szCs w:val="22"/>
        </w:rPr>
        <w:t>La definición de los muros queda definida en los planos de secciones y detalles. Las características de los muros a ejecutar, así como los cálculos estructurales de los mismos quedan definidos</w:t>
      </w:r>
      <w:r>
        <w:rPr>
          <w:rFonts w:ascii="Arial" w:eastAsia="Calibri" w:hAnsi="Arial" w:cs="Arial"/>
          <w:i/>
          <w:sz w:val="22"/>
          <w:szCs w:val="22"/>
        </w:rPr>
        <w:t xml:space="preserve"> en el Anejo nº 7 de Justificación de la estabilidad de muros.</w:t>
      </w:r>
    </w:p>
    <w:p w:rsidR="009B4233" w:rsidRDefault="006B08B9">
      <w:pPr>
        <w:spacing w:after="240"/>
        <w:ind w:left="-5" w:right="7" w:hanging="10"/>
        <w:jc w:val="both"/>
      </w:pPr>
      <w:r>
        <w:rPr>
          <w:rFonts w:ascii="Arial" w:eastAsia="Calibri" w:hAnsi="Arial" w:cs="Arial"/>
          <w:i/>
          <w:sz w:val="22"/>
          <w:szCs w:val="22"/>
        </w:rPr>
        <w:t>Por otro lado, en los planos correspondientes se recogen todos los detalles necesarios para la correcta definición de estas estructuras.</w:t>
      </w:r>
    </w:p>
    <w:p w:rsidR="009B4233" w:rsidRDefault="006B08B9">
      <w:pPr>
        <w:spacing w:after="120"/>
        <w:ind w:left="-5" w:right="7" w:hanging="10"/>
        <w:jc w:val="both"/>
      </w:pPr>
      <w:r>
        <w:rPr>
          <w:rFonts w:ascii="Arial" w:eastAsia="Calibri" w:hAnsi="Arial" w:cs="Arial"/>
          <w:i/>
          <w:sz w:val="22"/>
          <w:szCs w:val="22"/>
        </w:rPr>
        <w:t>RED DE ABASTECIMIENTO</w:t>
      </w:r>
    </w:p>
    <w:p w:rsidR="009B4233" w:rsidRDefault="006B08B9">
      <w:pPr>
        <w:spacing w:after="3"/>
        <w:ind w:left="-5" w:right="7" w:hanging="10"/>
        <w:jc w:val="both"/>
      </w:pPr>
      <w:r>
        <w:rPr>
          <w:rFonts w:ascii="Arial" w:eastAsia="Calibri" w:hAnsi="Arial" w:cs="Arial"/>
          <w:i/>
          <w:sz w:val="22"/>
          <w:szCs w:val="22"/>
        </w:rPr>
        <w:t>Se proyecta la sustitución de la r</w:t>
      </w:r>
      <w:r>
        <w:rPr>
          <w:rFonts w:ascii="Arial" w:eastAsia="Calibri" w:hAnsi="Arial" w:cs="Arial"/>
          <w:i/>
          <w:sz w:val="22"/>
          <w:szCs w:val="22"/>
        </w:rPr>
        <w:t>ed terciaria, que discurre bajo acera, diseñada en polietileno (PE) de diámetro 63 mm, a las que se acoplan las acometidas a cada una de las parcelas en diámetro 32 mm mediante arqueta y válvula.</w:t>
      </w:r>
    </w:p>
    <w:p w:rsidR="009B4233" w:rsidRDefault="006B08B9">
      <w:pPr>
        <w:spacing w:after="240"/>
        <w:ind w:left="-5" w:right="7" w:hanging="10"/>
        <w:jc w:val="both"/>
      </w:pPr>
      <w:r>
        <w:rPr>
          <w:rFonts w:ascii="Arial" w:eastAsia="Calibri" w:hAnsi="Arial" w:cs="Arial"/>
          <w:i/>
          <w:sz w:val="22"/>
          <w:szCs w:val="22"/>
        </w:rPr>
        <w:t xml:space="preserve">Por otro lado, en cuanto a la seguridad frente a incendios, </w:t>
      </w:r>
      <w:r>
        <w:rPr>
          <w:rFonts w:ascii="Arial" w:eastAsia="Calibri" w:hAnsi="Arial" w:cs="Arial"/>
          <w:i/>
          <w:sz w:val="22"/>
          <w:szCs w:val="22"/>
        </w:rPr>
        <w:t>se proyecta la sustitución de los hidrantes existentes por hidrantes enterrados.</w:t>
      </w:r>
    </w:p>
    <w:p w:rsidR="009B4233" w:rsidRDefault="006B08B9">
      <w:pPr>
        <w:spacing w:after="120"/>
        <w:ind w:left="-5" w:right="7" w:hanging="10"/>
        <w:jc w:val="both"/>
      </w:pPr>
      <w:r>
        <w:rPr>
          <w:rFonts w:ascii="Arial" w:eastAsia="Calibri" w:hAnsi="Arial" w:cs="Arial"/>
          <w:i/>
          <w:sz w:val="22"/>
          <w:szCs w:val="22"/>
        </w:rPr>
        <w:t>ESTACIÓN DEPURADORA DE AGUAS RESIDUALES</w:t>
      </w:r>
    </w:p>
    <w:p w:rsidR="009B4233" w:rsidRDefault="006B08B9">
      <w:pPr>
        <w:spacing w:after="3"/>
        <w:ind w:left="-5" w:right="7" w:hanging="10"/>
        <w:jc w:val="both"/>
      </w:pPr>
      <w:r>
        <w:rPr>
          <w:rFonts w:ascii="Arial" w:eastAsia="Calibri" w:hAnsi="Arial" w:cs="Arial"/>
          <w:i/>
          <w:sz w:val="22"/>
          <w:szCs w:val="22"/>
        </w:rPr>
        <w:t xml:space="preserve">Se proyecta una estación depuradora de aguas residuales urbanas (EDAR) mediante sistema MBBR (lecho móvil) con sistema de eliminación </w:t>
      </w:r>
      <w:r>
        <w:rPr>
          <w:rFonts w:ascii="Arial" w:eastAsia="Calibri" w:hAnsi="Arial" w:cs="Arial"/>
          <w:i/>
          <w:sz w:val="22"/>
          <w:szCs w:val="22"/>
        </w:rPr>
        <w:t>de nitrógeno. Se proyecta una estación prefabricada, consistente en tanques cilíndricos construidos en P.R.F.V.</w:t>
      </w:r>
    </w:p>
    <w:p w:rsidR="009B4233" w:rsidRDefault="006B08B9">
      <w:pPr>
        <w:spacing w:after="3"/>
        <w:ind w:left="-5" w:right="7" w:hanging="10"/>
        <w:jc w:val="both"/>
      </w:pPr>
      <w:r>
        <w:rPr>
          <w:rFonts w:ascii="Arial" w:eastAsia="Calibri" w:hAnsi="Arial" w:cs="Arial"/>
          <w:i/>
          <w:sz w:val="22"/>
          <w:szCs w:val="22"/>
        </w:rPr>
        <w:t>El Tratamiento Biológico estará dimensionado para el caudal diario de tratamiento considerando un factor horario punta. En caso de red unitaria,</w:t>
      </w:r>
      <w:r>
        <w:rPr>
          <w:rFonts w:ascii="Arial" w:eastAsia="Calibri" w:hAnsi="Arial" w:cs="Arial"/>
          <w:i/>
          <w:sz w:val="22"/>
          <w:szCs w:val="22"/>
        </w:rPr>
        <w:t xml:space="preserve"> será necesaria la disposición de un aliviadero a la entrada de la planta para evacuar el posible exceso de caudal, teniendo en cuenta que, al menos durante un tiempo, la mayor parte de las parcelas seguirán vertiendo las aguas pluviales a la red de saneam</w:t>
      </w:r>
      <w:r>
        <w:rPr>
          <w:rFonts w:ascii="Arial" w:eastAsia="Calibri" w:hAnsi="Arial" w:cs="Arial"/>
          <w:i/>
          <w:sz w:val="22"/>
          <w:szCs w:val="22"/>
        </w:rPr>
        <w:t>iento.</w:t>
      </w:r>
    </w:p>
    <w:p w:rsidR="009B4233" w:rsidRDefault="006B08B9">
      <w:pPr>
        <w:widowControl/>
        <w:numPr>
          <w:ilvl w:val="0"/>
          <w:numId w:val="101"/>
        </w:numPr>
        <w:suppressAutoHyphens w:val="0"/>
        <w:spacing w:after="3" w:line="249" w:lineRule="auto"/>
        <w:ind w:right="7" w:hanging="360"/>
        <w:jc w:val="both"/>
        <w:textAlignment w:val="auto"/>
      </w:pPr>
      <w:r>
        <w:rPr>
          <w:rFonts w:ascii="Arial" w:eastAsia="Calibri" w:hAnsi="Arial" w:cs="Arial"/>
          <w:i/>
          <w:sz w:val="22"/>
          <w:szCs w:val="22"/>
        </w:rPr>
        <w:t>Alimentación considerada: 400 V III, 50 Hz.</w:t>
      </w:r>
    </w:p>
    <w:p w:rsidR="009B4233" w:rsidRDefault="006B08B9">
      <w:pPr>
        <w:widowControl/>
        <w:numPr>
          <w:ilvl w:val="0"/>
          <w:numId w:val="101"/>
        </w:numPr>
        <w:suppressAutoHyphens w:val="0"/>
        <w:spacing w:after="3" w:line="249" w:lineRule="auto"/>
        <w:ind w:right="7" w:hanging="360"/>
        <w:jc w:val="both"/>
        <w:textAlignment w:val="auto"/>
      </w:pPr>
      <w:r>
        <w:rPr>
          <w:rFonts w:ascii="Arial" w:eastAsia="Calibri" w:hAnsi="Arial" w:cs="Arial"/>
          <w:i/>
          <w:sz w:val="22"/>
          <w:szCs w:val="22"/>
        </w:rPr>
        <w:t>Caudal de diseño:</w:t>
      </w:r>
    </w:p>
    <w:p w:rsidR="009B4233" w:rsidRDefault="006B08B9">
      <w:pPr>
        <w:spacing w:line="251" w:lineRule="auto"/>
        <w:ind w:left="-5" w:right="3021" w:hanging="10"/>
      </w:pPr>
      <w:r>
        <w:rPr>
          <w:rFonts w:ascii="Arial" w:eastAsia="Calibri" w:hAnsi="Arial" w:cs="Arial"/>
          <w:i/>
          <w:sz w:val="22"/>
          <w:szCs w:val="22"/>
        </w:rPr>
        <w:t>o Caudal diario: 538,00 m3/día. o Caudal medio horario (24 h): 22,42 m3/h. o Caudal punta (coeficiente de punta = 2): 44,84 m3/h ≈ 45,00 m3/h.</w:t>
      </w:r>
    </w:p>
    <w:p w:rsidR="009B4233" w:rsidRDefault="006B08B9">
      <w:pPr>
        <w:spacing w:after="240"/>
        <w:ind w:left="-5" w:right="7" w:hanging="10"/>
        <w:jc w:val="both"/>
      </w:pPr>
      <w:r>
        <w:rPr>
          <w:rFonts w:ascii="Arial" w:eastAsia="Calibri" w:hAnsi="Arial" w:cs="Arial"/>
          <w:i/>
          <w:sz w:val="22"/>
          <w:szCs w:val="22"/>
        </w:rPr>
        <w:t>Las características de la red de saneamiento</w:t>
      </w:r>
      <w:r>
        <w:rPr>
          <w:rFonts w:ascii="Arial" w:eastAsia="Calibri" w:hAnsi="Arial" w:cs="Arial"/>
          <w:i/>
          <w:sz w:val="22"/>
          <w:szCs w:val="22"/>
        </w:rPr>
        <w:t xml:space="preserve"> y todos sus elementos y de la estación depuradora, así como los cálculos hidráulicos de la misma, quedan definidos en el Anejo nº 6 de Justificación de depuración. Por otro lado, en los planos correspondientes se recogen todos los detalles necesarios para</w:t>
      </w:r>
      <w:r>
        <w:rPr>
          <w:rFonts w:ascii="Arial" w:eastAsia="Calibri" w:hAnsi="Arial" w:cs="Arial"/>
          <w:i/>
          <w:sz w:val="22"/>
          <w:szCs w:val="22"/>
        </w:rPr>
        <w:t xml:space="preserve"> la definición de todos los elementos.</w:t>
      </w:r>
    </w:p>
    <w:p w:rsidR="009B4233" w:rsidRDefault="006B08B9">
      <w:pPr>
        <w:spacing w:after="120"/>
        <w:ind w:left="-5" w:right="7" w:hanging="10"/>
        <w:jc w:val="both"/>
      </w:pPr>
      <w:r>
        <w:rPr>
          <w:rFonts w:ascii="Arial" w:eastAsia="Calibri" w:hAnsi="Arial" w:cs="Arial"/>
          <w:i/>
          <w:sz w:val="22"/>
          <w:szCs w:val="22"/>
        </w:rPr>
        <w:t>RED DE PLUVIALES</w:t>
      </w:r>
    </w:p>
    <w:p w:rsidR="009B4233" w:rsidRDefault="006B08B9">
      <w:pPr>
        <w:spacing w:after="3"/>
        <w:ind w:left="-5" w:right="7" w:hanging="10"/>
        <w:jc w:val="both"/>
      </w:pPr>
      <w:r>
        <w:rPr>
          <w:rFonts w:ascii="Arial" w:eastAsia="Calibri" w:hAnsi="Arial" w:cs="Arial"/>
          <w:i/>
          <w:sz w:val="22"/>
          <w:szCs w:val="22"/>
        </w:rPr>
        <w:t>La red de pluviales existente en la actualidad recoge únicamente la escorrentía que se genera en los espacios públicos, viario y aceras.</w:t>
      </w:r>
    </w:p>
    <w:p w:rsidR="009B4233" w:rsidRDefault="006B08B9">
      <w:pPr>
        <w:spacing w:after="3"/>
        <w:ind w:left="-5" w:right="7" w:hanging="10"/>
        <w:jc w:val="both"/>
      </w:pPr>
      <w:r>
        <w:rPr>
          <w:rFonts w:ascii="Arial" w:eastAsia="Calibri" w:hAnsi="Arial" w:cs="Arial"/>
          <w:i/>
          <w:sz w:val="22"/>
          <w:szCs w:val="22"/>
        </w:rPr>
        <w:t>Se proyecta ahora el acople de las viviendas a la red existente</w:t>
      </w:r>
      <w:r>
        <w:rPr>
          <w:rFonts w:ascii="Arial" w:eastAsia="Calibri" w:hAnsi="Arial" w:cs="Arial"/>
          <w:i/>
          <w:sz w:val="22"/>
          <w:szCs w:val="22"/>
        </w:rPr>
        <w:t xml:space="preserve"> de recogida de aguas pluviales, para lo cual se ha comprobado que dicha red, con los diámetros actuales, es capaz de asumir ese nuevo aporte de caudal, además del de viario y aceras que ya recogía. Para los cálculos, tanto de parcelas, como de espacios pú</w:t>
      </w:r>
      <w:r>
        <w:rPr>
          <w:rFonts w:ascii="Arial" w:eastAsia="Calibri" w:hAnsi="Arial" w:cs="Arial"/>
          <w:i/>
          <w:sz w:val="22"/>
          <w:szCs w:val="22"/>
        </w:rPr>
        <w:t>blicos, se ha considerado un periodo de retorno de 10 años.</w:t>
      </w:r>
    </w:p>
    <w:p w:rsidR="009B4233" w:rsidRDefault="006B08B9">
      <w:pPr>
        <w:spacing w:after="3"/>
        <w:ind w:left="-5" w:right="7" w:hanging="10"/>
        <w:jc w:val="both"/>
      </w:pPr>
      <w:r>
        <w:rPr>
          <w:rFonts w:ascii="Arial" w:eastAsia="Calibri" w:hAnsi="Arial" w:cs="Arial"/>
          <w:i/>
          <w:sz w:val="22"/>
          <w:szCs w:val="22"/>
        </w:rPr>
        <w:t>Debido a las modificaciones realizadas en las calzadas, elevando los pasos de peatones a la altura de las aceras, y teniendo en cuenta las rasantes de las vías, se hace necesaria la reubicación de</w:t>
      </w:r>
      <w:r>
        <w:rPr>
          <w:rFonts w:ascii="Arial" w:eastAsia="Calibri" w:hAnsi="Arial" w:cs="Arial"/>
          <w:i/>
          <w:sz w:val="22"/>
          <w:szCs w:val="22"/>
        </w:rPr>
        <w:t xml:space="preserve"> algunos tragaderos existentes, teniendo en cuenta que dichos pasos de peatones van a suponer una barrera a la escorrentía.</w:t>
      </w:r>
    </w:p>
    <w:p w:rsidR="009B4233" w:rsidRDefault="006B08B9">
      <w:pPr>
        <w:spacing w:after="240"/>
        <w:ind w:left="-5" w:right="7" w:hanging="10"/>
        <w:jc w:val="both"/>
      </w:pPr>
      <w:r>
        <w:rPr>
          <w:rFonts w:ascii="Arial" w:eastAsia="Calibri" w:hAnsi="Arial" w:cs="Arial"/>
          <w:i/>
          <w:sz w:val="22"/>
          <w:szCs w:val="22"/>
        </w:rPr>
        <w:t>Las características de la red de pluviales existente y todos sus elementos, así como las comprobaciones hidráulicas llevadas a cabo,</w:t>
      </w:r>
      <w:r>
        <w:rPr>
          <w:rFonts w:ascii="Arial" w:eastAsia="Calibri" w:hAnsi="Arial" w:cs="Arial"/>
          <w:i/>
          <w:sz w:val="22"/>
          <w:szCs w:val="22"/>
        </w:rPr>
        <w:t xml:space="preserve"> quedan definidos en el Anejo nº 5 de Justificación de la red de pluviales. Por otro lado, en los planos correspondientes se recogen los detalles necesarios para la definición de todos los elementos.</w:t>
      </w:r>
    </w:p>
    <w:p w:rsidR="009B4233" w:rsidRDefault="006B08B9">
      <w:pPr>
        <w:spacing w:after="120"/>
        <w:ind w:left="-5" w:right="7" w:hanging="10"/>
        <w:jc w:val="both"/>
      </w:pPr>
      <w:r>
        <w:rPr>
          <w:rFonts w:ascii="Arial" w:eastAsia="Calibri" w:hAnsi="Arial" w:cs="Arial"/>
          <w:i/>
          <w:sz w:val="22"/>
          <w:szCs w:val="22"/>
        </w:rPr>
        <w:t>FIRME Y PAVIMENTOS</w:t>
      </w:r>
    </w:p>
    <w:p w:rsidR="009B4233" w:rsidRDefault="006B08B9">
      <w:pPr>
        <w:spacing w:after="3"/>
        <w:ind w:left="-5" w:right="7" w:hanging="10"/>
        <w:jc w:val="both"/>
      </w:pPr>
      <w:r>
        <w:rPr>
          <w:rFonts w:ascii="Arial" w:eastAsia="Calibri" w:hAnsi="Arial" w:cs="Arial"/>
          <w:i/>
          <w:sz w:val="22"/>
          <w:szCs w:val="22"/>
        </w:rPr>
        <w:t xml:space="preserve">Dado el estado actual de la capa más </w:t>
      </w:r>
      <w:r>
        <w:rPr>
          <w:rFonts w:ascii="Arial" w:eastAsia="Calibri" w:hAnsi="Arial" w:cs="Arial"/>
          <w:i/>
          <w:sz w:val="22"/>
          <w:szCs w:val="22"/>
        </w:rPr>
        <w:t>superficial del firme, se procederá al fresado del mismo en todo el ámbito y a la ejecución de una nueva capa de rodadura.</w:t>
      </w:r>
    </w:p>
    <w:p w:rsidR="009B4233" w:rsidRDefault="006B08B9">
      <w:pPr>
        <w:spacing w:after="3"/>
        <w:ind w:left="-5" w:right="7" w:hanging="10"/>
        <w:jc w:val="both"/>
      </w:pPr>
      <w:r>
        <w:rPr>
          <w:rFonts w:ascii="Arial" w:eastAsia="Calibri" w:hAnsi="Arial" w:cs="Arial"/>
          <w:i/>
          <w:sz w:val="22"/>
          <w:szCs w:val="22"/>
        </w:rPr>
        <w:t>En aquellas zonas donde sea necesario la completa restitución del firme por su demolición, se establece que la sección de firme a rep</w:t>
      </w:r>
      <w:r>
        <w:rPr>
          <w:rFonts w:ascii="Arial" w:eastAsia="Calibri" w:hAnsi="Arial" w:cs="Arial"/>
          <w:i/>
          <w:sz w:val="22"/>
          <w:szCs w:val="22"/>
        </w:rPr>
        <w:t>oner es la 4221 definida en la Instrucción de Carreteras 6.1. Esta se compone de 25 cm de zahorra artificial y 10 cm de mezcla bituminosa, con 5 cm de capa base AC 22 base G y 5 cm de capa de rodadura AC 16 surf D.</w:t>
      </w:r>
    </w:p>
    <w:p w:rsidR="009B4233" w:rsidRDefault="006B08B9">
      <w:pPr>
        <w:spacing w:after="3"/>
        <w:ind w:left="-5" w:right="7" w:hanging="10"/>
        <w:jc w:val="both"/>
      </w:pPr>
      <w:r>
        <w:rPr>
          <w:rFonts w:ascii="Arial" w:eastAsia="Calibri" w:hAnsi="Arial" w:cs="Arial"/>
          <w:i/>
          <w:sz w:val="22"/>
          <w:szCs w:val="22"/>
        </w:rPr>
        <w:t>Para el pavimento de las aceras se fresar</w:t>
      </w:r>
      <w:r>
        <w:rPr>
          <w:rFonts w:ascii="Arial" w:eastAsia="Calibri" w:hAnsi="Arial" w:cs="Arial"/>
          <w:i/>
          <w:sz w:val="22"/>
          <w:szCs w:val="22"/>
        </w:rPr>
        <w:t xml:space="preserve">á la superficie existente de hormigón, y se empleará el sistema Paviland Plus, que permite la ejecución de pavimentos de muy poco espesor. Donde sea necesaria la demolición completa de la acera, la sección tipo consistirá en una solera de hormigón en masa </w:t>
      </w:r>
      <w:r>
        <w:rPr>
          <w:rFonts w:ascii="Arial" w:eastAsia="Calibri" w:hAnsi="Arial" w:cs="Arial"/>
          <w:i/>
          <w:sz w:val="22"/>
          <w:szCs w:val="22"/>
        </w:rPr>
        <w:t>HM-20/P/16/X0 de 15 cm de espesor.</w:t>
      </w:r>
    </w:p>
    <w:p w:rsidR="009B4233" w:rsidRDefault="006B08B9">
      <w:pPr>
        <w:spacing w:after="3"/>
        <w:ind w:left="-5" w:right="7" w:hanging="10"/>
        <w:jc w:val="both"/>
      </w:pPr>
      <w:r>
        <w:rPr>
          <w:rFonts w:ascii="Arial" w:eastAsia="Calibri" w:hAnsi="Arial" w:cs="Arial"/>
          <w:i/>
          <w:sz w:val="22"/>
          <w:szCs w:val="22"/>
        </w:rPr>
        <w:t xml:space="preserve">En los dos tramos del peatonal del Barranco de los Santos Frailes que se van a reponer, se proyecta la misma sección de acera, con peldaños prefabricados con banda texturada de 5 cm de ancho y diferente color al peldaño. </w:t>
      </w:r>
      <w:r>
        <w:rPr>
          <w:rFonts w:ascii="Arial" w:eastAsia="Calibri" w:hAnsi="Arial" w:cs="Arial"/>
          <w:i/>
          <w:sz w:val="22"/>
          <w:szCs w:val="22"/>
        </w:rPr>
        <w:t>En ambos tramos se respetará la rasante actual del peatonal.</w:t>
      </w:r>
    </w:p>
    <w:p w:rsidR="009B4233" w:rsidRDefault="006B08B9">
      <w:pPr>
        <w:spacing w:after="3"/>
        <w:ind w:left="-5" w:right="7" w:hanging="10"/>
        <w:jc w:val="both"/>
      </w:pPr>
      <w:r>
        <w:rPr>
          <w:rFonts w:ascii="Arial" w:eastAsia="Calibri" w:hAnsi="Arial" w:cs="Arial"/>
          <w:i/>
          <w:sz w:val="22"/>
          <w:szCs w:val="22"/>
        </w:rPr>
        <w:t>En las aceras, los pasos de peatones, donde coincidan con aparcamientos en línea, se adelantarán hasta la línea exterior del aparcamiento, con la correspondiente señalización táctil a nivel de pa</w:t>
      </w:r>
      <w:r>
        <w:rPr>
          <w:rFonts w:ascii="Arial" w:eastAsia="Calibri" w:hAnsi="Arial" w:cs="Arial"/>
          <w:i/>
          <w:sz w:val="22"/>
          <w:szCs w:val="22"/>
        </w:rPr>
        <w:t>vimento. A nivel de calzada, los pasos de peatones se realizarán sobreelevados respecto de la rasante actual de las vías, para quedar a nivel con las zonas peatonales.</w:t>
      </w:r>
    </w:p>
    <w:p w:rsidR="009B4233" w:rsidRDefault="006B08B9">
      <w:pPr>
        <w:spacing w:after="240"/>
        <w:ind w:left="-5" w:right="7" w:hanging="10"/>
        <w:jc w:val="both"/>
      </w:pPr>
      <w:r>
        <w:rPr>
          <w:rFonts w:ascii="Arial" w:eastAsia="Calibri" w:hAnsi="Arial" w:cs="Arial"/>
          <w:i/>
          <w:sz w:val="22"/>
          <w:szCs w:val="22"/>
        </w:rPr>
        <w:t>Se procederá también a la instalación de las barandillas dentro del ámbito donde existan</w:t>
      </w:r>
      <w:r>
        <w:rPr>
          <w:rFonts w:ascii="Arial" w:eastAsia="Calibri" w:hAnsi="Arial" w:cs="Arial"/>
          <w:i/>
          <w:sz w:val="22"/>
          <w:szCs w:val="22"/>
        </w:rPr>
        <w:t xml:space="preserve"> desniveles, cumpliendo con criterios de accesibilidad.</w:t>
      </w:r>
    </w:p>
    <w:p w:rsidR="009B4233" w:rsidRDefault="006B08B9">
      <w:pPr>
        <w:spacing w:after="120"/>
        <w:ind w:left="-5" w:right="7" w:hanging="10"/>
        <w:jc w:val="both"/>
      </w:pPr>
      <w:r>
        <w:rPr>
          <w:rFonts w:ascii="Arial" w:eastAsia="Calibri" w:hAnsi="Arial" w:cs="Arial"/>
          <w:i/>
          <w:sz w:val="22"/>
          <w:szCs w:val="22"/>
        </w:rPr>
        <w:t>SEÑALIZACIÓN, JARDINERÍA Y MOBILIARIO URBANO</w:t>
      </w:r>
    </w:p>
    <w:p w:rsidR="009B4233" w:rsidRDefault="006B08B9">
      <w:pPr>
        <w:spacing w:after="3"/>
        <w:ind w:left="-5" w:right="7" w:hanging="10"/>
        <w:jc w:val="both"/>
      </w:pPr>
      <w:r>
        <w:rPr>
          <w:rFonts w:ascii="Arial" w:eastAsia="Calibri" w:hAnsi="Arial" w:cs="Arial"/>
          <w:i/>
          <w:sz w:val="22"/>
          <w:szCs w:val="22"/>
        </w:rPr>
        <w:t>Con motivo del fresado de la capa más superficial del firme en todas las vías pertenecientes al ámbito de actuación, se hace necesaria la reposición de tod</w:t>
      </w:r>
      <w:r>
        <w:rPr>
          <w:rFonts w:ascii="Arial" w:eastAsia="Calibri" w:hAnsi="Arial" w:cs="Arial"/>
          <w:i/>
          <w:sz w:val="22"/>
          <w:szCs w:val="22"/>
        </w:rPr>
        <w:t>a la señalización horizontal, que se ejecutará siguiendo las directrices establecidas en la Instrucción de Carreteras 8.2.</w:t>
      </w:r>
    </w:p>
    <w:p w:rsidR="009B4233" w:rsidRDefault="006B08B9">
      <w:pPr>
        <w:spacing w:after="3"/>
        <w:ind w:left="-5" w:right="7" w:hanging="10"/>
        <w:jc w:val="both"/>
      </w:pPr>
      <w:r>
        <w:rPr>
          <w:rFonts w:ascii="Arial" w:eastAsia="Calibri" w:hAnsi="Arial" w:cs="Arial"/>
          <w:i/>
          <w:sz w:val="22"/>
          <w:szCs w:val="22"/>
        </w:rPr>
        <w:t>Asimismo, se disponen un total de 12 plazas de aparcamiento PMR, respetando la proporción establecida en la Orden TMA/851/2021, de 23</w:t>
      </w:r>
      <w:r>
        <w:rPr>
          <w:rFonts w:ascii="Arial" w:eastAsia="Calibri" w:hAnsi="Arial" w:cs="Arial"/>
          <w:i/>
          <w:sz w:val="22"/>
          <w:szCs w:val="22"/>
        </w:rPr>
        <w:t xml:space="preserve"> de julio, por la que se desarrolla el documento técnico de condiciones básicas de accesibilidad y no discriminación para el acceso y la utilización de los espacios públicos urbanizados. Estas plazas se encontrarán debidamente señalizadas vertical y horizo</w:t>
      </w:r>
      <w:r>
        <w:rPr>
          <w:rFonts w:ascii="Arial" w:eastAsia="Calibri" w:hAnsi="Arial" w:cs="Arial"/>
          <w:i/>
          <w:sz w:val="22"/>
          <w:szCs w:val="22"/>
        </w:rPr>
        <w:t>ntalmente y ubicadas en vías de pendiente reducida próximas a los principales centros de actividad de la urbanización.</w:t>
      </w:r>
    </w:p>
    <w:p w:rsidR="009B4233" w:rsidRDefault="006B08B9">
      <w:pPr>
        <w:spacing w:after="240"/>
        <w:ind w:left="-5" w:right="7" w:hanging="10"/>
        <w:jc w:val="both"/>
      </w:pPr>
      <w:r>
        <w:rPr>
          <w:rFonts w:ascii="Arial" w:eastAsia="Calibri" w:hAnsi="Arial" w:cs="Arial"/>
          <w:i/>
          <w:sz w:val="22"/>
          <w:szCs w:val="22"/>
        </w:rPr>
        <w:t>Por razones de accesibilidad en el ancho disponible en los itinerarios peatonales, se proyecta, por un lado, la reubicación de algunos de</w:t>
      </w:r>
      <w:r>
        <w:rPr>
          <w:rFonts w:ascii="Arial" w:eastAsia="Calibri" w:hAnsi="Arial" w:cs="Arial"/>
          <w:i/>
          <w:sz w:val="22"/>
          <w:szCs w:val="22"/>
        </w:rPr>
        <w:t xml:space="preserve"> los alcorques existentes, eliminándolos de las aceras y situándolos en las zonas destinadas a aparcamiento; y, por otro, la eliminación de otra serie de alcorques, con el correspondiente trasplante de las especies vegetales al parque urbano existente dent</w:t>
      </w:r>
      <w:r>
        <w:rPr>
          <w:rFonts w:ascii="Arial" w:eastAsia="Calibri" w:hAnsi="Arial" w:cs="Arial"/>
          <w:i/>
          <w:sz w:val="22"/>
          <w:szCs w:val="22"/>
        </w:rPr>
        <w:t>ro de la urbanización. Estos alcorques se proyectan de dimensiones 1,50x1,50 m. La elección del arbolado debe respetar el rango de medidas donde, la altura mínima permite la accesibilidad de las personas y la altura máxima no afecta a la luminaria.</w:t>
      </w:r>
    </w:p>
    <w:p w:rsidR="009B4233" w:rsidRDefault="006B08B9">
      <w:pPr>
        <w:spacing w:after="120"/>
        <w:ind w:left="-5" w:right="7" w:hanging="10"/>
        <w:jc w:val="both"/>
      </w:pPr>
      <w:r>
        <w:rPr>
          <w:rFonts w:ascii="Arial" w:eastAsia="Calibri" w:hAnsi="Arial" w:cs="Arial"/>
          <w:i/>
          <w:sz w:val="22"/>
          <w:szCs w:val="22"/>
        </w:rPr>
        <w:t>REPOSIC</w:t>
      </w:r>
      <w:r>
        <w:rPr>
          <w:rFonts w:ascii="Arial" w:eastAsia="Calibri" w:hAnsi="Arial" w:cs="Arial"/>
          <w:i/>
          <w:sz w:val="22"/>
          <w:szCs w:val="22"/>
        </w:rPr>
        <w:t>IÓN DE SERVICIOS AFECTADOS</w:t>
      </w:r>
    </w:p>
    <w:p w:rsidR="009B4233" w:rsidRDefault="006B08B9">
      <w:pPr>
        <w:spacing w:after="3"/>
        <w:ind w:left="-5" w:right="7" w:hanging="10"/>
        <w:jc w:val="both"/>
      </w:pPr>
      <w:r>
        <w:rPr>
          <w:rFonts w:ascii="Arial" w:eastAsia="Calibri" w:hAnsi="Arial" w:cs="Arial"/>
          <w:i/>
          <w:sz w:val="22"/>
          <w:szCs w:val="22"/>
        </w:rPr>
        <w:t>Conociendo los servicios existentes en todas las calles de la urbanización, se ha estimado una partida de reposición de servicios afectados ante la posible afección a las redes de servicios existentes en el ámbito de la obra, que</w:t>
      </w:r>
      <w:r>
        <w:rPr>
          <w:rFonts w:ascii="Arial" w:eastAsia="Calibri" w:hAnsi="Arial" w:cs="Arial"/>
          <w:i/>
          <w:sz w:val="22"/>
          <w:szCs w:val="22"/>
        </w:rPr>
        <w:t xml:space="preserve"> se puedan ver afectadas por la ejecución de los trabajos.</w:t>
      </w:r>
    </w:p>
    <w:p w:rsidR="009B4233" w:rsidRDefault="006B08B9">
      <w:pPr>
        <w:spacing w:after="120"/>
        <w:ind w:left="-5" w:right="7" w:hanging="10"/>
        <w:jc w:val="both"/>
      </w:pPr>
      <w:r>
        <w:rPr>
          <w:rFonts w:ascii="Arial" w:eastAsia="Calibri" w:hAnsi="Arial" w:cs="Arial"/>
          <w:i/>
          <w:sz w:val="22"/>
          <w:szCs w:val="22"/>
        </w:rPr>
        <w:t xml:space="preserve">PLAZO DE EJECUCIÓN </w:t>
      </w:r>
    </w:p>
    <w:p w:rsidR="009B4233" w:rsidRDefault="006B08B9">
      <w:pPr>
        <w:spacing w:after="264"/>
        <w:ind w:left="-5" w:right="7" w:hanging="10"/>
        <w:jc w:val="both"/>
      </w:pPr>
      <w:r>
        <w:rPr>
          <w:rFonts w:ascii="Arial" w:eastAsia="Calibri" w:hAnsi="Arial" w:cs="Arial"/>
          <w:i/>
          <w:sz w:val="22"/>
          <w:szCs w:val="22"/>
        </w:rPr>
        <w:t>Plazo de Ejecución de veinticuatro (24) meses para la completa ejecución de los trabajos.</w:t>
      </w:r>
    </w:p>
    <w:p w:rsidR="009B4233" w:rsidRDefault="006B08B9">
      <w:pPr>
        <w:spacing w:after="120"/>
        <w:ind w:left="-5" w:right="7" w:hanging="10"/>
        <w:jc w:val="both"/>
      </w:pPr>
      <w:r>
        <w:rPr>
          <w:rFonts w:ascii="Arial" w:eastAsia="Calibri" w:hAnsi="Arial" w:cs="Arial"/>
          <w:i/>
          <w:sz w:val="22"/>
          <w:szCs w:val="22"/>
        </w:rPr>
        <w:t>PRESUPUESTO BASE DE LICITACIÓN</w:t>
      </w:r>
    </w:p>
    <w:p w:rsidR="009B4233" w:rsidRDefault="006B08B9">
      <w:pPr>
        <w:ind w:left="-6" w:right="6" w:hanging="11"/>
        <w:jc w:val="both"/>
      </w:pPr>
      <w:r>
        <w:rPr>
          <w:rFonts w:ascii="Arial" w:eastAsia="Calibri" w:hAnsi="Arial" w:cs="Arial"/>
          <w:i/>
          <w:sz w:val="22"/>
          <w:szCs w:val="22"/>
        </w:rPr>
        <w:t>El presupuesto base de licitación asciende a Cuatro mill</w:t>
      </w:r>
      <w:r>
        <w:rPr>
          <w:rFonts w:ascii="Arial" w:eastAsia="Calibri" w:hAnsi="Arial" w:cs="Arial"/>
          <w:i/>
          <w:sz w:val="22"/>
          <w:szCs w:val="22"/>
        </w:rPr>
        <w:t>ones quinientos veinticinco mil cuatrocientos treinta y dos euros con cuarenta y dos céntimos (4.525.432,42 €).</w:t>
      </w:r>
    </w:p>
    <w:p w:rsidR="009B4233" w:rsidRDefault="006B08B9">
      <w:pPr>
        <w:pageBreakBefore/>
        <w:spacing w:after="264"/>
        <w:ind w:left="10" w:right="4" w:hanging="10"/>
        <w:jc w:val="center"/>
      </w:pPr>
      <w:r>
        <w:rPr>
          <w:rFonts w:ascii="Arial" w:eastAsia="Calibri" w:hAnsi="Arial" w:cs="Arial"/>
          <w:i/>
          <w:sz w:val="22"/>
          <w:szCs w:val="22"/>
          <w:u w:val="single" w:color="000000"/>
        </w:rPr>
        <w:t>INFORME TÉCNICO – CONSIDERACIONES</w:t>
      </w:r>
    </w:p>
    <w:p w:rsidR="009B4233" w:rsidRDefault="006B08B9">
      <w:pPr>
        <w:spacing w:after="3"/>
        <w:ind w:left="-5" w:right="7" w:hanging="10"/>
        <w:jc w:val="both"/>
      </w:pPr>
      <w:r>
        <w:rPr>
          <w:rFonts w:ascii="Arial" w:eastAsia="Calibri" w:hAnsi="Arial" w:cs="Arial"/>
          <w:i/>
          <w:sz w:val="22"/>
          <w:szCs w:val="22"/>
        </w:rPr>
        <w:t xml:space="preserve">El proyecto contempla la demolición de la fosa séptica existente y la ejecución de una EDAR, la cual se ubica </w:t>
      </w:r>
      <w:r>
        <w:rPr>
          <w:rFonts w:ascii="Arial" w:eastAsia="Calibri" w:hAnsi="Arial" w:cs="Arial"/>
          <w:i/>
          <w:sz w:val="22"/>
          <w:szCs w:val="22"/>
        </w:rPr>
        <w:t>en Suelo Rústico de Protección de Infraestructuras (SRPI).</w:t>
      </w:r>
    </w:p>
    <w:p w:rsidR="009B4233" w:rsidRDefault="006B08B9">
      <w:pPr>
        <w:spacing w:after="310"/>
        <w:ind w:left="-2"/>
      </w:pPr>
      <w:r>
        <w:rPr>
          <w:rFonts w:ascii="Arial" w:hAnsi="Arial" w:cs="Arial"/>
          <w:noProof/>
          <w:sz w:val="22"/>
          <w:szCs w:val="22"/>
          <w:lang w:eastAsia="es-ES" w:bidi="ar-SA"/>
        </w:rPr>
        <mc:AlternateContent>
          <mc:Choice Requires="wpg">
            <w:drawing>
              <wp:inline distT="0" distB="0" distL="0" distR="0">
                <wp:extent cx="5039368" cy="1892807"/>
                <wp:effectExtent l="0" t="0" r="8882" b="0"/>
                <wp:docPr id="124" name="Grupo 11105"/>
                <wp:cNvGraphicFramePr/>
                <a:graphic xmlns:a="http://schemas.openxmlformats.org/drawingml/2006/main">
                  <a:graphicData uri="http://schemas.microsoft.com/office/word/2010/wordprocessingGroup">
                    <wpg:wgp>
                      <wpg:cNvGrpSpPr/>
                      <wpg:grpSpPr>
                        <a:xfrm>
                          <a:off x="0" y="0"/>
                          <a:ext cx="5039368" cy="1892807"/>
                          <a:chOff x="0" y="0"/>
                          <a:chExt cx="5039368" cy="1892807"/>
                        </a:xfrm>
                      </wpg:grpSpPr>
                      <pic:pic xmlns:pic="http://schemas.openxmlformats.org/drawingml/2006/picture">
                        <pic:nvPicPr>
                          <pic:cNvPr id="125" name="Picture 12232">
                            <a:extLst>
                              <a:ext uri="{FF2B5EF4-FFF2-40B4-BE49-F238E27FC236}">
                                <a16:creationId xmlns:a16="http://schemas.microsoft.com/office/drawing/2014/main" id="{00000000-0000-0000-0000-000000000000}"/>
                              </a:ext>
                            </a:extLst>
                          </pic:cNvPr>
                          <pic:cNvPicPr>
                            <a:picLocks noChangeAspect="1"/>
                          </pic:cNvPicPr>
                        </pic:nvPicPr>
                        <pic:blipFill>
                          <a:blip r:embed="rId45"/>
                          <a:stretch>
                            <a:fillRect/>
                          </a:stretch>
                        </pic:blipFill>
                        <pic:spPr>
                          <a:xfrm>
                            <a:off x="0" y="3044"/>
                            <a:ext cx="2520699" cy="1889763"/>
                          </a:xfrm>
                          <a:prstGeom prst="rect">
                            <a:avLst/>
                          </a:prstGeom>
                          <a:noFill/>
                          <a:ln>
                            <a:noFill/>
                            <a:prstDash/>
                          </a:ln>
                        </pic:spPr>
                      </pic:pic>
                      <pic:pic xmlns:pic="http://schemas.openxmlformats.org/drawingml/2006/picture">
                        <pic:nvPicPr>
                          <pic:cNvPr id="126" name="Picture 12231">
                            <a:extLst>
                              <a:ext uri="{FF2B5EF4-FFF2-40B4-BE49-F238E27FC236}">
                                <a16:creationId xmlns:a16="http://schemas.microsoft.com/office/drawing/2014/main" id="{00000000-0000-0000-0000-000000000000}"/>
                              </a:ext>
                            </a:extLst>
                          </pic:cNvPr>
                          <pic:cNvPicPr>
                            <a:picLocks noChangeAspect="1"/>
                          </pic:cNvPicPr>
                        </pic:nvPicPr>
                        <pic:blipFill>
                          <a:blip r:embed="rId46"/>
                          <a:stretch>
                            <a:fillRect/>
                          </a:stretch>
                        </pic:blipFill>
                        <pic:spPr>
                          <a:xfrm>
                            <a:off x="2518669" y="0"/>
                            <a:ext cx="2520699" cy="1892807"/>
                          </a:xfrm>
                          <a:prstGeom prst="rect">
                            <a:avLst/>
                          </a:prstGeom>
                          <a:noFill/>
                          <a:ln>
                            <a:noFill/>
                            <a:prstDash/>
                          </a:ln>
                        </pic:spPr>
                      </pic:pic>
                    </wpg:wgp>
                  </a:graphicData>
                </a:graphic>
              </wp:inline>
            </w:drawing>
          </mc:Choice>
          <mc:Fallback>
            <w:pict>
              <v:group w14:anchorId="3774EA74" id="Grupo 11105" o:spid="_x0000_s1026" style="width:396.8pt;height:149.05pt;mso-position-horizontal-relative:char;mso-position-vertical-relative:line" coordsize="50393,189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&#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">
                <v:shape id="Picture 12232" o:spid="_x0000_s1027" type="#_x0000_t75" style="position:absolute;top:30;width:25206;height:188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">
                  <v:imagedata r:id="rId47" o:title=""/>
                  <v:path arrowok="t"/>
                </v:shape>
                <v:shape id="Picture 12231" o:spid="_x0000_s1028" type="#_x0000_t75" style="position:absolute;left:25186;width:25207;height:189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">
                  <v:imagedata r:id="rId48" o:title=""/>
                  <v:path arrowok="t"/>
                </v:shape>
                <w10:anchorlock/>
              </v:group>
            </w:pict>
          </mc:Fallback>
        </mc:AlternateContent>
      </w:r>
    </w:p>
    <w:p w:rsidR="009B4233" w:rsidRDefault="006B08B9">
      <w:r>
        <w:rPr>
          <w:rFonts w:ascii="Arial" w:eastAsia="Calibri" w:hAnsi="Arial" w:cs="Arial"/>
          <w:i/>
          <w:sz w:val="22"/>
          <w:szCs w:val="22"/>
          <w:u w:val="single" w:color="000000"/>
        </w:rPr>
        <w:t>RÉGIMEN URBANÍSTICO DE APLICACIÓN.</w:t>
      </w:r>
    </w:p>
    <w:p w:rsidR="009B4233" w:rsidRDefault="006B08B9">
      <w:pPr>
        <w:spacing w:after="432"/>
        <w:ind w:left="-5" w:right="7" w:hanging="10"/>
        <w:jc w:val="both"/>
      </w:pPr>
      <w:r>
        <w:rPr>
          <w:rFonts w:ascii="Arial" w:eastAsia="Calibri" w:hAnsi="Arial" w:cs="Arial"/>
          <w:i/>
          <w:sz w:val="22"/>
          <w:szCs w:val="22"/>
        </w:rPr>
        <w:t xml:space="preserve">De acuerdo con el PLAN GENERAL DE ORDENACIÓN (PGO), planeamiento municipal en vigor, con publicaciones en B.O.C. de fecha 10 de mayo de 2007 y B.O.P. de fecha </w:t>
      </w:r>
      <w:r>
        <w:rPr>
          <w:rFonts w:ascii="Arial" w:eastAsia="Calibri" w:hAnsi="Arial" w:cs="Arial"/>
          <w:i/>
          <w:sz w:val="22"/>
          <w:szCs w:val="22"/>
        </w:rPr>
        <w:t xml:space="preserve">17 de mayo de 2007 y Modificaciones Puntuales, aprobadas definitivamente por acuerdo del Ayuntamiento Pleno, en sesiones ordinarias de fecha 26 de marzo de 2009 y 29 de diciembre de 2011 y publicada en el BOP de Santa Cruz de Tenerife de fecha 17 de junio </w:t>
      </w:r>
      <w:r>
        <w:rPr>
          <w:rFonts w:ascii="Arial" w:eastAsia="Calibri" w:hAnsi="Arial" w:cs="Arial"/>
          <w:i/>
          <w:sz w:val="22"/>
          <w:szCs w:val="22"/>
        </w:rPr>
        <w:t>de 2009 y 3 de febrero de 2012, respectivamente. Se encuentra clasificada, categorizada y calificada como: Suelo urbano consolidado – Espacios Viarios.</w:t>
      </w:r>
    </w:p>
    <w:p w:rsidR="009B4233" w:rsidRDefault="006B08B9">
      <w:pPr>
        <w:spacing w:after="3"/>
        <w:ind w:left="-5" w:right="7" w:hanging="10"/>
        <w:jc w:val="both"/>
      </w:pPr>
      <w:r>
        <w:rPr>
          <w:rFonts w:ascii="Arial" w:eastAsia="Calibri" w:hAnsi="Arial" w:cs="Arial"/>
          <w:i/>
          <w:sz w:val="22"/>
          <w:szCs w:val="22"/>
        </w:rPr>
        <w:t>Sistemas asociados: Espacios libres, viarios, infraestructuras de servicios urbanos.</w:t>
      </w:r>
    </w:p>
    <w:p w:rsidR="009B4233" w:rsidRDefault="006B08B9">
      <w:pPr>
        <w:ind w:left="-2"/>
      </w:pPr>
      <w:r>
        <w:rPr>
          <w:rFonts w:ascii="Arial" w:hAnsi="Arial" w:cs="Arial"/>
          <w:noProof/>
          <w:sz w:val="22"/>
          <w:szCs w:val="22"/>
          <w:lang w:eastAsia="es-ES" w:bidi="ar-SA"/>
        </w:rPr>
        <w:drawing>
          <wp:inline distT="0" distB="0" distL="0" distR="0">
            <wp:extent cx="5303520" cy="3215643"/>
            <wp:effectExtent l="0" t="0" r="0" b="3807"/>
            <wp:docPr id="127" name="Imagen 469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rcRect/>
                    <a:stretch>
                      <a:fillRect/>
                    </a:stretch>
                  </pic:blipFill>
                  <pic:spPr>
                    <a:xfrm>
                      <a:off x="0" y="0"/>
                      <a:ext cx="5303520" cy="3215643"/>
                    </a:xfrm>
                    <a:prstGeom prst="rect">
                      <a:avLst/>
                    </a:prstGeom>
                    <a:noFill/>
                    <a:ln>
                      <a:noFill/>
                      <a:prstDash/>
                    </a:ln>
                  </pic:spPr>
                </pic:pic>
              </a:graphicData>
            </a:graphic>
          </wp:inline>
        </w:drawing>
      </w:r>
    </w:p>
    <w:p w:rsidR="009B4233" w:rsidRDefault="006B08B9">
      <w:pPr>
        <w:spacing w:after="86"/>
        <w:ind w:left="10" w:right="2" w:hanging="10"/>
        <w:jc w:val="center"/>
      </w:pPr>
      <w:r>
        <w:rPr>
          <w:rFonts w:ascii="Arial" w:eastAsia="Calibri" w:hAnsi="Arial" w:cs="Arial"/>
          <w:i/>
          <w:sz w:val="22"/>
          <w:szCs w:val="22"/>
        </w:rPr>
        <w:t>CONCLUSIONES.</w:t>
      </w:r>
    </w:p>
    <w:p w:rsidR="009B4233" w:rsidRDefault="006B08B9">
      <w:pPr>
        <w:spacing w:after="92"/>
        <w:ind w:left="-5" w:right="7" w:hanging="10"/>
        <w:jc w:val="both"/>
      </w:pPr>
      <w:r>
        <w:rPr>
          <w:rFonts w:ascii="Arial" w:eastAsia="Calibri" w:hAnsi="Arial" w:cs="Arial"/>
          <w:i/>
          <w:sz w:val="22"/>
          <w:szCs w:val="22"/>
        </w:rPr>
        <w:t>Dad</w:t>
      </w:r>
      <w:r>
        <w:rPr>
          <w:rFonts w:ascii="Arial" w:eastAsia="Calibri" w:hAnsi="Arial" w:cs="Arial"/>
          <w:i/>
          <w:sz w:val="22"/>
          <w:szCs w:val="22"/>
        </w:rPr>
        <w:t xml:space="preserve">o que se ha encargado, mediante encomienda, a la mercantil Gesplan, el desarrollo de un proyecto de Estación Depuradora esta deberá considerarse, una vez el proyecto sea finalizado y aprobado, para que las redes que se ejecutarán en el proyecto del asunto </w:t>
      </w:r>
      <w:r>
        <w:rPr>
          <w:rFonts w:ascii="Arial" w:eastAsia="Calibri" w:hAnsi="Arial" w:cs="Arial"/>
          <w:i/>
          <w:sz w:val="22"/>
          <w:szCs w:val="22"/>
        </w:rPr>
        <w:t>entreguen las aguas en el punto definido. Igualmente deberá considerarse que esta EDAR dará respuesta a la necesidad de tratamiento de las aguas residuales y por tanto deben retirarse del proyecto del asunto.</w:t>
      </w:r>
    </w:p>
    <w:p w:rsidR="009B4233" w:rsidRDefault="006B08B9">
      <w:pPr>
        <w:spacing w:after="92"/>
        <w:ind w:left="-5" w:right="7" w:hanging="10"/>
        <w:jc w:val="both"/>
      </w:pPr>
      <w:r>
        <w:rPr>
          <w:rFonts w:ascii="Arial" w:eastAsia="Calibri" w:hAnsi="Arial" w:cs="Arial"/>
          <w:i/>
          <w:sz w:val="22"/>
          <w:szCs w:val="22"/>
        </w:rPr>
        <w:t>Requerir la incorporación de un Anejo de accesi</w:t>
      </w:r>
      <w:r>
        <w:rPr>
          <w:rFonts w:ascii="Arial" w:eastAsia="Calibri" w:hAnsi="Arial" w:cs="Arial"/>
          <w:i/>
          <w:sz w:val="22"/>
          <w:szCs w:val="22"/>
        </w:rPr>
        <w:t>bilidad con justificación normativa y planos adaptados, dado el grado de afección a los itinerarios peatonales del 32,53% del presupuesto.</w:t>
      </w:r>
    </w:p>
    <w:p w:rsidR="009B4233" w:rsidRDefault="006B08B9">
      <w:pPr>
        <w:spacing w:after="92"/>
        <w:ind w:left="-5" w:right="7" w:hanging="10"/>
        <w:jc w:val="both"/>
      </w:pPr>
      <w:r>
        <w:rPr>
          <w:rFonts w:ascii="Arial" w:eastAsia="Calibri" w:hAnsi="Arial" w:cs="Arial"/>
          <w:i/>
          <w:sz w:val="22"/>
          <w:szCs w:val="22"/>
        </w:rPr>
        <w:t>Requerir la incorporación de un anejo de afecciones a servicios de terceros de telecomunicaciones, suministro eléctri</w:t>
      </w:r>
      <w:r>
        <w:rPr>
          <w:rFonts w:ascii="Arial" w:eastAsia="Calibri" w:hAnsi="Arial" w:cs="Arial"/>
          <w:i/>
          <w:sz w:val="22"/>
          <w:szCs w:val="22"/>
        </w:rPr>
        <w:t>co, abastecimiento y saneamiento para ser remitido a las empresas suministradoras.</w:t>
      </w:r>
    </w:p>
    <w:p w:rsidR="009B4233" w:rsidRDefault="006B08B9">
      <w:pPr>
        <w:spacing w:after="92"/>
        <w:ind w:left="-5" w:right="7" w:hanging="10"/>
        <w:jc w:val="both"/>
      </w:pPr>
      <w:r>
        <w:rPr>
          <w:rFonts w:ascii="Arial" w:eastAsia="Calibri" w:hAnsi="Arial" w:cs="Arial"/>
          <w:i/>
          <w:sz w:val="22"/>
          <w:szCs w:val="22"/>
        </w:rPr>
        <w:t xml:space="preserve">Requerir la incorporación de un anejo de estudio de las intersecciones de las vías municipales con las vías de competencia del Cabildo Insular de Tenerife de acuerdo con lo </w:t>
      </w:r>
      <w:r>
        <w:rPr>
          <w:rFonts w:ascii="Arial" w:eastAsia="Calibri" w:hAnsi="Arial" w:cs="Arial"/>
          <w:i/>
          <w:sz w:val="22"/>
          <w:szCs w:val="22"/>
        </w:rPr>
        <w:t xml:space="preserve">que establece el artículo 48 de la Ley 9/1991, de 8 de mayo, de Carreteras de Canarias en relación con lo que dispone el artículo 72 del Reglamento de Carreteras de Canarias, aprobado por Decreto 131/1995, de 11 de mayo, corresponde a los Ayuntamientos el </w:t>
      </w:r>
      <w:r>
        <w:rPr>
          <w:rFonts w:ascii="Arial" w:eastAsia="Calibri" w:hAnsi="Arial" w:cs="Arial"/>
          <w:i/>
          <w:sz w:val="22"/>
          <w:szCs w:val="22"/>
        </w:rPr>
        <w:t>otorgamiento de licencias para usos y obras en las zonas de protección de las carreteras en los tramos de las mismas que discurran por suelo clasificado como urbano, mientras que a este Cabildo Insular, en su calidad de titular de las mismas, le correspond</w:t>
      </w:r>
      <w:r>
        <w:rPr>
          <w:rFonts w:ascii="Arial" w:eastAsia="Calibri" w:hAnsi="Arial" w:cs="Arial"/>
          <w:i/>
          <w:sz w:val="22"/>
          <w:szCs w:val="22"/>
        </w:rPr>
        <w:t>e la emisión de informe preceptivo y, en lo que se refiere a las condiciones técnicas de los accesos, la emisión de informe de carácter vinculante.</w:t>
      </w:r>
    </w:p>
    <w:p w:rsidR="009B4233" w:rsidRDefault="006B08B9">
      <w:pPr>
        <w:spacing w:after="3"/>
        <w:ind w:left="-5" w:right="7" w:hanging="10"/>
        <w:jc w:val="both"/>
      </w:pPr>
      <w:r>
        <w:rPr>
          <w:rFonts w:ascii="Arial" w:eastAsia="Calibri" w:hAnsi="Arial" w:cs="Arial"/>
          <w:i/>
          <w:sz w:val="22"/>
          <w:szCs w:val="22"/>
        </w:rPr>
        <w:t xml:space="preserve">Requerir la incorporación de un anejo de drenaje y régimen hidráulico son los puntos de vertido a </w:t>
      </w:r>
    </w:p>
    <w:p w:rsidR="009B4233" w:rsidRDefault="006B08B9">
      <w:pPr>
        <w:spacing w:after="92" w:line="251" w:lineRule="auto"/>
        <w:ind w:left="-5" w:hanging="10"/>
      </w:pPr>
      <w:r>
        <w:rPr>
          <w:rFonts w:ascii="Arial" w:eastAsia="Calibri" w:hAnsi="Arial" w:cs="Arial"/>
          <w:i/>
          <w:sz w:val="22"/>
          <w:szCs w:val="22"/>
        </w:rPr>
        <w:t>Dominio P</w:t>
      </w:r>
      <w:r>
        <w:rPr>
          <w:rFonts w:ascii="Arial" w:eastAsia="Calibri" w:hAnsi="Arial" w:cs="Arial"/>
          <w:i/>
          <w:sz w:val="22"/>
          <w:szCs w:val="22"/>
        </w:rPr>
        <w:t>úblico Hidráulico que conlleva informe de autorización del Consejo Insular de Aguas de Tenerife según Decreto 86/2002, de 2 de julio, por el que se aprueba el Reglamento del Dominio Público Hidráulico.</w:t>
      </w:r>
    </w:p>
    <w:p w:rsidR="009B4233" w:rsidRDefault="006B08B9">
      <w:pPr>
        <w:spacing w:after="92"/>
        <w:ind w:left="-5" w:right="7" w:hanging="10"/>
        <w:jc w:val="both"/>
      </w:pPr>
      <w:r>
        <w:rPr>
          <w:rFonts w:ascii="Arial" w:eastAsia="Calibri" w:hAnsi="Arial" w:cs="Arial"/>
          <w:i/>
          <w:sz w:val="22"/>
          <w:szCs w:val="22"/>
        </w:rPr>
        <w:t>Requerir anejo de cálculo y justificación de la actuac</w:t>
      </w:r>
      <w:r>
        <w:rPr>
          <w:rFonts w:ascii="Arial" w:eastAsia="Calibri" w:hAnsi="Arial" w:cs="Arial"/>
          <w:i/>
          <w:sz w:val="22"/>
          <w:szCs w:val="22"/>
        </w:rPr>
        <w:t>ión sobre el cambio de ubicación de alumbrado público, sin que conste estudio luminotécnico en el documento entregado ni estado administrativo de los puntos de suministro.</w:t>
      </w:r>
    </w:p>
    <w:p w:rsidR="009B4233" w:rsidRDefault="006B08B9">
      <w:pPr>
        <w:spacing w:after="86"/>
        <w:ind w:left="-5" w:right="7" w:hanging="10"/>
        <w:jc w:val="both"/>
      </w:pPr>
      <w:r>
        <w:rPr>
          <w:rFonts w:ascii="Arial" w:eastAsia="Calibri" w:hAnsi="Arial" w:cs="Arial"/>
          <w:i/>
          <w:sz w:val="22"/>
          <w:szCs w:val="22"/>
        </w:rPr>
        <w:t>Reflejar en documento gráfico la señalización vertical.</w:t>
      </w:r>
    </w:p>
    <w:p w:rsidR="009B4233" w:rsidRDefault="006B08B9">
      <w:pPr>
        <w:spacing w:after="92"/>
        <w:ind w:left="-5" w:right="7" w:hanging="10"/>
        <w:jc w:val="both"/>
      </w:pPr>
      <w:r>
        <w:rPr>
          <w:rFonts w:ascii="Arial" w:eastAsia="Calibri" w:hAnsi="Arial" w:cs="Arial"/>
          <w:i/>
          <w:sz w:val="22"/>
          <w:szCs w:val="22"/>
        </w:rPr>
        <w:t>Se contempla la demolición d</w:t>
      </w:r>
      <w:r>
        <w:rPr>
          <w:rFonts w:ascii="Arial" w:eastAsia="Calibri" w:hAnsi="Arial" w:cs="Arial"/>
          <w:i/>
          <w:sz w:val="22"/>
          <w:szCs w:val="22"/>
        </w:rPr>
        <w:t>e los actuales alcorques, pero no se presupuesta trasplante de la vegetación existente.</w:t>
      </w:r>
    </w:p>
    <w:p w:rsidR="009B4233" w:rsidRDefault="006B08B9">
      <w:pPr>
        <w:spacing w:after="92"/>
        <w:ind w:left="-5" w:right="7" w:hanging="10"/>
        <w:jc w:val="both"/>
      </w:pPr>
      <w:r>
        <w:rPr>
          <w:rFonts w:ascii="Arial" w:eastAsia="Calibri" w:hAnsi="Arial" w:cs="Arial"/>
          <w:i/>
          <w:sz w:val="22"/>
          <w:szCs w:val="22"/>
        </w:rPr>
        <w:t>En el Pliego de Prescripciones Técnicas Particulares debe realizarse la actualización de las disposiciones reglamentarias citadas y derogadas.</w:t>
      </w:r>
    </w:p>
    <w:p w:rsidR="009B4233" w:rsidRDefault="006B08B9">
      <w:pPr>
        <w:spacing w:after="92"/>
        <w:ind w:left="-5" w:right="7" w:hanging="10"/>
        <w:jc w:val="both"/>
      </w:pPr>
      <w:r>
        <w:rPr>
          <w:rFonts w:ascii="Arial" w:eastAsia="Calibri" w:hAnsi="Arial" w:cs="Arial"/>
          <w:i/>
          <w:sz w:val="22"/>
          <w:szCs w:val="22"/>
        </w:rPr>
        <w:t>Otorgar un plazo de 20 dí</w:t>
      </w:r>
      <w:r>
        <w:rPr>
          <w:rFonts w:ascii="Arial" w:eastAsia="Calibri" w:hAnsi="Arial" w:cs="Arial"/>
          <w:i/>
          <w:sz w:val="22"/>
          <w:szCs w:val="22"/>
        </w:rPr>
        <w:t>as para la adecuación de las consideraciones técnicas recogidas en este informe.</w:t>
      </w:r>
    </w:p>
    <w:p w:rsidR="009B4233" w:rsidRDefault="006B08B9">
      <w:pPr>
        <w:spacing w:after="460"/>
        <w:ind w:left="-5" w:right="7" w:hanging="10"/>
        <w:jc w:val="both"/>
      </w:pPr>
      <w:r>
        <w:rPr>
          <w:rFonts w:ascii="Arial" w:eastAsia="Calibri" w:hAnsi="Arial" w:cs="Arial"/>
          <w:i/>
          <w:sz w:val="22"/>
          <w:szCs w:val="22"/>
        </w:rPr>
        <w:t>Al margen de consideraciones jurídicas, y sometiendo a superior criterio, es cuanto tengo que informar.”</w:t>
      </w:r>
    </w:p>
    <w:p w:rsidR="009B4233" w:rsidRDefault="009B4233">
      <w:pPr>
        <w:pStyle w:val="Ttulo1"/>
        <w:spacing w:after="450"/>
        <w:ind w:right="7"/>
        <w:rPr>
          <w:rFonts w:ascii="Arial" w:hAnsi="Arial" w:cs="Arial"/>
          <w:sz w:val="22"/>
          <w:szCs w:val="22"/>
        </w:rPr>
      </w:pPr>
    </w:p>
    <w:p w:rsidR="009B4233" w:rsidRDefault="009B4233">
      <w:pPr>
        <w:pStyle w:val="Ttulo1"/>
        <w:spacing w:after="450"/>
        <w:ind w:right="7"/>
        <w:rPr>
          <w:rFonts w:ascii="Arial" w:hAnsi="Arial" w:cs="Arial"/>
          <w:sz w:val="22"/>
          <w:szCs w:val="22"/>
        </w:rPr>
      </w:pPr>
    </w:p>
    <w:p w:rsidR="009B4233" w:rsidRDefault="009B4233">
      <w:pPr>
        <w:pStyle w:val="Ttulo1"/>
        <w:spacing w:after="450"/>
        <w:ind w:right="7"/>
        <w:rPr>
          <w:rFonts w:ascii="Arial" w:hAnsi="Arial" w:cs="Arial"/>
          <w:sz w:val="22"/>
          <w:szCs w:val="22"/>
        </w:rPr>
      </w:pPr>
    </w:p>
    <w:p w:rsidR="009B4233" w:rsidRDefault="009B4233">
      <w:pPr>
        <w:pStyle w:val="Ttulo1"/>
        <w:spacing w:after="450"/>
        <w:ind w:right="7"/>
        <w:rPr>
          <w:rFonts w:ascii="Arial" w:hAnsi="Arial" w:cs="Arial"/>
          <w:sz w:val="22"/>
          <w:szCs w:val="22"/>
        </w:rPr>
      </w:pPr>
    </w:p>
    <w:p w:rsidR="009B4233" w:rsidRDefault="009B4233">
      <w:pPr>
        <w:pStyle w:val="Ttulo1"/>
        <w:spacing w:after="450"/>
        <w:ind w:right="7"/>
        <w:rPr>
          <w:rFonts w:ascii="Arial" w:hAnsi="Arial" w:cs="Arial"/>
          <w:sz w:val="22"/>
          <w:szCs w:val="22"/>
        </w:rPr>
      </w:pPr>
    </w:p>
    <w:p w:rsidR="009B4233" w:rsidRDefault="006B08B9">
      <w:pPr>
        <w:pStyle w:val="Ttulo1"/>
        <w:spacing w:after="450"/>
        <w:ind w:right="7"/>
        <w:rPr>
          <w:rFonts w:ascii="Arial" w:hAnsi="Arial" w:cs="Arial"/>
          <w:sz w:val="22"/>
          <w:szCs w:val="22"/>
        </w:rPr>
      </w:pPr>
      <w:r>
        <w:rPr>
          <w:rFonts w:ascii="Arial" w:hAnsi="Arial" w:cs="Arial"/>
          <w:sz w:val="22"/>
          <w:szCs w:val="22"/>
        </w:rPr>
        <w:t>FUNDAMENTOS DE DERECHO</w:t>
      </w:r>
    </w:p>
    <w:p w:rsidR="009B4233" w:rsidRDefault="006B08B9">
      <w:pPr>
        <w:spacing w:after="118" w:line="228" w:lineRule="auto"/>
        <w:ind w:left="10" w:hanging="10"/>
        <w:jc w:val="both"/>
      </w:pPr>
      <w:r>
        <w:rPr>
          <w:rFonts w:ascii="Arial" w:eastAsia="Calibri" w:hAnsi="Arial" w:cs="Arial"/>
          <w:b/>
          <w:sz w:val="22"/>
          <w:szCs w:val="22"/>
        </w:rPr>
        <w:t xml:space="preserve">El art. 32 de la ley 9/2017, de 8 de </w:t>
      </w:r>
      <w:r>
        <w:rPr>
          <w:rFonts w:ascii="Arial" w:eastAsia="Calibri" w:hAnsi="Arial" w:cs="Arial"/>
          <w:b/>
          <w:sz w:val="22"/>
          <w:szCs w:val="22"/>
        </w:rPr>
        <w:t xml:space="preserve">noviembre de Contratos del sector Público, </w:t>
      </w:r>
      <w:r>
        <w:rPr>
          <w:rFonts w:ascii="Arial" w:eastAsia="Calibri" w:hAnsi="Arial" w:cs="Arial"/>
          <w:sz w:val="22"/>
          <w:szCs w:val="22"/>
        </w:rPr>
        <w:t>establece</w:t>
      </w:r>
      <w:r>
        <w:rPr>
          <w:rFonts w:ascii="Arial" w:eastAsia="Calibri" w:hAnsi="Arial" w:cs="Arial"/>
          <w:b/>
          <w:sz w:val="22"/>
          <w:szCs w:val="22"/>
        </w:rPr>
        <w:t xml:space="preserve"> </w:t>
      </w:r>
      <w:r>
        <w:rPr>
          <w:rFonts w:ascii="Arial" w:eastAsia="Calibri" w:hAnsi="Arial" w:cs="Arial"/>
          <w:sz w:val="22"/>
          <w:szCs w:val="22"/>
        </w:rPr>
        <w:t>el régimen jurídico aplicable a los encargos a medios propios, regulando los requisitos y condiciones bajo los cuales las entidades del sector público pueden encomendar la realización de prestaciones a e</w:t>
      </w:r>
      <w:r>
        <w:rPr>
          <w:rFonts w:ascii="Arial" w:eastAsia="Calibri" w:hAnsi="Arial" w:cs="Arial"/>
          <w:sz w:val="22"/>
          <w:szCs w:val="22"/>
        </w:rPr>
        <w:t xml:space="preserve">ntes que ostenten dicha condición disponiendo lo siguiente: </w:t>
      </w:r>
    </w:p>
    <w:p w:rsidR="009B4233" w:rsidRDefault="006B08B9">
      <w:pPr>
        <w:spacing w:after="30" w:line="218" w:lineRule="auto"/>
        <w:ind w:left="-15"/>
        <w:jc w:val="both"/>
      </w:pPr>
      <w:r>
        <w:rPr>
          <w:rFonts w:ascii="Arial" w:eastAsia="Calibri" w:hAnsi="Arial" w:cs="Arial"/>
          <w:i/>
          <w:sz w:val="22"/>
          <w:szCs w:val="22"/>
        </w:rPr>
        <w:t>“Art. 32. Encargos de los poderes adjudicadores a medios propios personificados.</w:t>
      </w:r>
    </w:p>
    <w:p w:rsidR="009B4233" w:rsidRDefault="006B08B9">
      <w:pPr>
        <w:widowControl/>
        <w:numPr>
          <w:ilvl w:val="0"/>
          <w:numId w:val="102"/>
        </w:numPr>
        <w:suppressAutoHyphens w:val="0"/>
        <w:spacing w:after="1" w:line="218" w:lineRule="auto"/>
        <w:ind w:hanging="360"/>
        <w:jc w:val="both"/>
        <w:textAlignment w:val="auto"/>
      </w:pPr>
      <w:r>
        <w:rPr>
          <w:rFonts w:ascii="Arial" w:eastAsia="Calibri" w:hAnsi="Arial" w:cs="Arial"/>
          <w:i/>
          <w:sz w:val="22"/>
          <w:szCs w:val="22"/>
        </w:rPr>
        <w:t>Los poderes adjudicadores podrán organizarse ejecutando de manera directa prestaciones propias de los contratos de</w:t>
      </w:r>
      <w:r>
        <w:rPr>
          <w:rFonts w:ascii="Arial" w:eastAsia="Calibri" w:hAnsi="Arial" w:cs="Arial"/>
          <w:i/>
          <w:sz w:val="22"/>
          <w:szCs w:val="22"/>
        </w:rPr>
        <w:t xml:space="preserve"> obras, suministros, servicios, concesión de obras y concesión de servicios, a cambio de una compensación tarifaria, valiéndose de otra persona jurídica distinta a ellos, ya sea de derecho público o de derecho privado, previo encargo a esta, con sujeción a</w:t>
      </w:r>
      <w:r>
        <w:rPr>
          <w:rFonts w:ascii="Arial" w:eastAsia="Calibri" w:hAnsi="Arial" w:cs="Arial"/>
          <w:i/>
          <w:sz w:val="22"/>
          <w:szCs w:val="22"/>
        </w:rPr>
        <w:t xml:space="preserve"> lo dispuesto en este artículo, siempre y cuando la persona jurídica que utilicen merezca la calificación jurídica de medio propio personificado respecto de ellos de conformidad con lo dispuesto en los tres apartados siguientes, y sin perjuicio de los requ</w:t>
      </w:r>
      <w:r>
        <w:rPr>
          <w:rFonts w:ascii="Arial" w:eastAsia="Calibri" w:hAnsi="Arial" w:cs="Arial"/>
          <w:i/>
          <w:sz w:val="22"/>
          <w:szCs w:val="22"/>
        </w:rPr>
        <w:t>isitos establecidos para los medios propios del ámbito estatal en la Ley 40/2015, de 1 de octubre, de Régimen Jurídico del Sector Público.</w:t>
      </w:r>
    </w:p>
    <w:p w:rsidR="009B4233" w:rsidRDefault="009B4233">
      <w:pPr>
        <w:widowControl/>
        <w:numPr>
          <w:ilvl w:val="0"/>
          <w:numId w:val="102"/>
        </w:numPr>
        <w:suppressAutoHyphens w:val="0"/>
        <w:spacing w:after="1" w:line="218" w:lineRule="auto"/>
        <w:ind w:hanging="360"/>
        <w:jc w:val="both"/>
        <w:textAlignment w:val="auto"/>
        <w:rPr>
          <w:rFonts w:ascii="Arial" w:hAnsi="Arial" w:cs="Arial"/>
          <w:sz w:val="22"/>
          <w:szCs w:val="22"/>
        </w:rPr>
      </w:pPr>
    </w:p>
    <w:p w:rsidR="009B4233" w:rsidRDefault="006B08B9">
      <w:pPr>
        <w:spacing w:after="30" w:line="218" w:lineRule="auto"/>
        <w:ind w:left="360"/>
        <w:jc w:val="both"/>
      </w:pPr>
      <w:r>
        <w:rPr>
          <w:rFonts w:ascii="Arial" w:eastAsia="Calibri" w:hAnsi="Arial" w:cs="Arial"/>
          <w:i/>
          <w:sz w:val="22"/>
          <w:szCs w:val="22"/>
        </w:rPr>
        <w:t>El encargo que cumpla dichos requisitos no tendrá la consideración de contrato.</w:t>
      </w:r>
    </w:p>
    <w:p w:rsidR="009B4233" w:rsidRDefault="006B08B9">
      <w:pPr>
        <w:widowControl/>
        <w:numPr>
          <w:ilvl w:val="0"/>
          <w:numId w:val="102"/>
        </w:numPr>
        <w:suppressAutoHyphens w:val="0"/>
        <w:spacing w:after="1" w:line="218" w:lineRule="auto"/>
        <w:ind w:hanging="360"/>
        <w:jc w:val="both"/>
        <w:textAlignment w:val="auto"/>
      </w:pPr>
      <w:r>
        <w:rPr>
          <w:rFonts w:ascii="Arial" w:eastAsia="Calibri" w:hAnsi="Arial" w:cs="Arial"/>
          <w:i/>
          <w:sz w:val="22"/>
          <w:szCs w:val="22"/>
        </w:rPr>
        <w:t xml:space="preserve">Tendrán la consideración de medio </w:t>
      </w:r>
      <w:r>
        <w:rPr>
          <w:rFonts w:ascii="Arial" w:eastAsia="Calibri" w:hAnsi="Arial" w:cs="Arial"/>
          <w:i/>
          <w:sz w:val="22"/>
          <w:szCs w:val="22"/>
        </w:rPr>
        <w:t>propio personificado respecto de una única entidad concreta del sector público aquellas personas jurídicas, de derecho público o de derecho privado, que cumplan todos y cada uno de los requisitos que se establecen a continuación:</w:t>
      </w:r>
    </w:p>
    <w:p w:rsidR="009B4233" w:rsidRDefault="006B08B9">
      <w:pPr>
        <w:widowControl/>
        <w:numPr>
          <w:ilvl w:val="0"/>
          <w:numId w:val="103"/>
        </w:numPr>
        <w:suppressAutoHyphens w:val="0"/>
        <w:spacing w:after="1" w:line="218" w:lineRule="auto"/>
        <w:ind w:hanging="360"/>
        <w:jc w:val="both"/>
        <w:textAlignment w:val="auto"/>
      </w:pPr>
      <w:r>
        <w:rPr>
          <w:rFonts w:ascii="Arial" w:eastAsia="Calibri" w:hAnsi="Arial" w:cs="Arial"/>
          <w:i/>
          <w:sz w:val="22"/>
          <w:szCs w:val="22"/>
        </w:rPr>
        <w:t>Que el poder adjudicador q</w:t>
      </w:r>
      <w:r>
        <w:rPr>
          <w:rFonts w:ascii="Arial" w:eastAsia="Calibri" w:hAnsi="Arial" w:cs="Arial"/>
          <w:i/>
          <w:sz w:val="22"/>
          <w:szCs w:val="22"/>
        </w:rPr>
        <w:t xml:space="preserve">ue pueda conferirle encargos ejerza sobre el ente destinatario de los mismos un control, directo o indirecto, análogo al que ostentaría sobre sus propios servicios o unidades, de manera que el primero pueda ejercer sobre el segundo una influencia decisiva </w:t>
      </w:r>
      <w:r>
        <w:rPr>
          <w:rFonts w:ascii="Arial" w:eastAsia="Calibri" w:hAnsi="Arial" w:cs="Arial"/>
          <w:i/>
          <w:sz w:val="22"/>
          <w:szCs w:val="22"/>
        </w:rPr>
        <w:t>sobre sus objetivos estratégicos y decisiones significativas.</w:t>
      </w:r>
    </w:p>
    <w:p w:rsidR="009B4233" w:rsidRDefault="006B08B9">
      <w:pPr>
        <w:spacing w:after="1" w:line="218" w:lineRule="auto"/>
        <w:ind w:left="-15" w:firstLine="350"/>
        <w:jc w:val="both"/>
      </w:pPr>
      <w:r>
        <w:rPr>
          <w:rFonts w:ascii="Arial" w:eastAsia="Calibri" w:hAnsi="Arial" w:cs="Arial"/>
          <w:i/>
          <w:sz w:val="22"/>
          <w:szCs w:val="22"/>
        </w:rPr>
        <w:t xml:space="preserve">En todo caso se entenderá que el poder adjudicador que puede conferirle encargos ostenta sobre el ente destinatario del mismo un control análogo al que ejerce sobre sus propios servicios o </w:t>
      </w:r>
      <w:r>
        <w:rPr>
          <w:rFonts w:ascii="Arial" w:eastAsia="Calibri" w:hAnsi="Arial" w:cs="Arial"/>
          <w:i/>
          <w:sz w:val="22"/>
          <w:szCs w:val="22"/>
        </w:rPr>
        <w:t>unidades cuando él mismo o bien otro u otros poderes adjudicadores o personas jurídicas controlados del mismo modo por el primero puedan conferirle encargos que sean de ejecución obligatoria para el ente destinatario del encargo por así establecerlo los es</w:t>
      </w:r>
      <w:r>
        <w:rPr>
          <w:rFonts w:ascii="Arial" w:eastAsia="Calibri" w:hAnsi="Arial" w:cs="Arial"/>
          <w:i/>
          <w:sz w:val="22"/>
          <w:szCs w:val="22"/>
        </w:rPr>
        <w:t>tatutos o el acto de creación, de manera que exista una unidad de decisión entre ellos, de acuerdo con instrucciones fijadas unilateralmente por el ente que puede realizar el encargo.</w:t>
      </w:r>
    </w:p>
    <w:p w:rsidR="009B4233" w:rsidRDefault="006B08B9">
      <w:pPr>
        <w:spacing w:after="1" w:line="218" w:lineRule="auto"/>
        <w:ind w:left="-15" w:firstLine="350"/>
        <w:jc w:val="both"/>
      </w:pPr>
      <w:r>
        <w:rPr>
          <w:rFonts w:ascii="Arial" w:eastAsia="Calibri" w:hAnsi="Arial" w:cs="Arial"/>
          <w:i/>
          <w:sz w:val="22"/>
          <w:szCs w:val="22"/>
        </w:rPr>
        <w:t>La compensación se establecerá por referencia a tarifas aprobadas por la</w:t>
      </w:r>
      <w:r>
        <w:rPr>
          <w:rFonts w:ascii="Arial" w:eastAsia="Calibri" w:hAnsi="Arial" w:cs="Arial"/>
          <w:i/>
          <w:sz w:val="22"/>
          <w:szCs w:val="22"/>
        </w:rPr>
        <w:t xml:space="preserve"> entidad pública de la que depende el medio propio personificado para las actividades objeto de encargo realizadas por el medio propio directamente y, en la forma que reglamentariamente se determine, atendiendo al coste efectivo soportado por el medio prop</w:t>
      </w:r>
      <w:r>
        <w:rPr>
          <w:rFonts w:ascii="Arial" w:eastAsia="Calibri" w:hAnsi="Arial" w:cs="Arial"/>
          <w:i/>
          <w:sz w:val="22"/>
          <w:szCs w:val="22"/>
        </w:rPr>
        <w:t>io para las actividades objeto del encargo que se subcontraten con empresarios particulares en los casos en que este coste sea inferior al resultante de aplicar las tarifas a las actividades subcontratadas.</w:t>
      </w:r>
    </w:p>
    <w:p w:rsidR="009B4233" w:rsidRDefault="006B08B9">
      <w:pPr>
        <w:spacing w:after="1" w:line="218" w:lineRule="auto"/>
        <w:ind w:left="-15" w:firstLine="350"/>
        <w:jc w:val="both"/>
      </w:pPr>
      <w:r>
        <w:rPr>
          <w:rFonts w:ascii="Arial" w:eastAsia="Calibri" w:hAnsi="Arial" w:cs="Arial"/>
          <w:i/>
          <w:sz w:val="22"/>
          <w:szCs w:val="22"/>
        </w:rPr>
        <w:t>Dichas tarifas se calcularán de manera que repres</w:t>
      </w:r>
      <w:r>
        <w:rPr>
          <w:rFonts w:ascii="Arial" w:eastAsia="Calibri" w:hAnsi="Arial" w:cs="Arial"/>
          <w:i/>
          <w:sz w:val="22"/>
          <w:szCs w:val="22"/>
        </w:rPr>
        <w:t>enten los costes reales de realización de las unidades producidas directamente por el medio propio.</w:t>
      </w:r>
    </w:p>
    <w:p w:rsidR="009B4233" w:rsidRDefault="006B08B9">
      <w:pPr>
        <w:widowControl/>
        <w:numPr>
          <w:ilvl w:val="0"/>
          <w:numId w:val="103"/>
        </w:numPr>
        <w:suppressAutoHyphens w:val="0"/>
        <w:spacing w:after="1" w:line="218" w:lineRule="auto"/>
        <w:ind w:hanging="360"/>
        <w:jc w:val="both"/>
        <w:textAlignment w:val="auto"/>
      </w:pPr>
      <w:r>
        <w:rPr>
          <w:rFonts w:ascii="Arial" w:eastAsia="Calibri" w:hAnsi="Arial" w:cs="Arial"/>
          <w:i/>
          <w:sz w:val="22"/>
          <w:szCs w:val="22"/>
        </w:rPr>
        <w:t>Que más del 80 por ciento de las actividades del ente destinatario del encargo se lleven a cabo en el ejercicio de los cometidos que le han sido confiados p</w:t>
      </w:r>
      <w:r>
        <w:rPr>
          <w:rFonts w:ascii="Arial" w:eastAsia="Calibri" w:hAnsi="Arial" w:cs="Arial"/>
          <w:i/>
          <w:sz w:val="22"/>
          <w:szCs w:val="22"/>
        </w:rPr>
        <w:t>or el poder adjudicador que hace el encargo y que lo controla o por otras personas jurídicas controladas del mismo modo por la entidad que hace el encargo.</w:t>
      </w:r>
    </w:p>
    <w:p w:rsidR="009B4233" w:rsidRDefault="006B08B9">
      <w:pPr>
        <w:spacing w:after="1" w:line="218" w:lineRule="auto"/>
        <w:ind w:left="-15" w:firstLine="350"/>
        <w:jc w:val="both"/>
      </w:pPr>
      <w:r>
        <w:rPr>
          <w:rFonts w:ascii="Arial" w:eastAsia="Calibri" w:hAnsi="Arial" w:cs="Arial"/>
          <w:i/>
          <w:sz w:val="22"/>
          <w:szCs w:val="22"/>
        </w:rPr>
        <w:t>A estos efectos, para calcular el 80 por ciento de las actividades del ente destinatario del encargo</w:t>
      </w:r>
      <w:r>
        <w:rPr>
          <w:rFonts w:ascii="Arial" w:eastAsia="Calibri" w:hAnsi="Arial" w:cs="Arial"/>
          <w:i/>
          <w:sz w:val="22"/>
          <w:szCs w:val="22"/>
        </w:rPr>
        <w:t xml:space="preserve"> se tomarán en consideración el promedio del volumen global de negocios, los gastos soportados por los servicios prestados al poder adjudicador en relación con la totalidad de los gastos en que haya incurrido el medio propio por razón de las prestaciones q</w:t>
      </w:r>
      <w:r>
        <w:rPr>
          <w:rFonts w:ascii="Arial" w:eastAsia="Calibri" w:hAnsi="Arial" w:cs="Arial"/>
          <w:i/>
          <w:sz w:val="22"/>
          <w:szCs w:val="22"/>
        </w:rPr>
        <w:t>ue haya realizado a cualquier entidad, u otro indicador alternativo de actividad que sea fiable, y todo ello referido a los tres ejercicios anteriores al de formalización del encargo.</w:t>
      </w:r>
    </w:p>
    <w:p w:rsidR="009B4233" w:rsidRDefault="006B08B9">
      <w:pPr>
        <w:spacing w:after="1" w:line="218" w:lineRule="auto"/>
        <w:ind w:left="-15" w:firstLine="350"/>
        <w:jc w:val="both"/>
      </w:pPr>
      <w:r>
        <w:rPr>
          <w:rFonts w:ascii="Arial" w:eastAsia="Calibri" w:hAnsi="Arial" w:cs="Arial"/>
          <w:i/>
          <w:sz w:val="22"/>
          <w:szCs w:val="22"/>
        </w:rPr>
        <w:t xml:space="preserve">Cuando debido a la fecha de creación o de inicio de actividad del poder </w:t>
      </w:r>
      <w:r>
        <w:rPr>
          <w:rFonts w:ascii="Arial" w:eastAsia="Calibri" w:hAnsi="Arial" w:cs="Arial"/>
          <w:i/>
          <w:sz w:val="22"/>
          <w:szCs w:val="22"/>
        </w:rPr>
        <w:t xml:space="preserve">adjudicador que hace el encargo, o debido a la reorganización de las actividades de este, el volumen global de negocios, u otro indicador alternativo de actividad, de acuerdo con lo establecido en el párrafo anterior, no estuvieran disponibles respecto de </w:t>
      </w:r>
      <w:r>
        <w:rPr>
          <w:rFonts w:ascii="Arial" w:eastAsia="Calibri" w:hAnsi="Arial" w:cs="Arial"/>
          <w:i/>
          <w:sz w:val="22"/>
          <w:szCs w:val="22"/>
        </w:rPr>
        <w:t>los tres ejercicios anteriores a la formalización del encargo o hubieran perdido su vigencia, será suficiente con justificar que el cálculo del nivel de actividad se corresponde con la realidad, en especial mediante proyecciones de negocio.</w:t>
      </w:r>
    </w:p>
    <w:p w:rsidR="009B4233" w:rsidRDefault="006B08B9">
      <w:pPr>
        <w:widowControl/>
        <w:numPr>
          <w:ilvl w:val="0"/>
          <w:numId w:val="104"/>
        </w:numPr>
        <w:suppressAutoHyphens w:val="0"/>
        <w:spacing w:line="249" w:lineRule="auto"/>
        <w:ind w:right="6" w:hanging="360"/>
        <w:jc w:val="both"/>
        <w:textAlignment w:val="auto"/>
      </w:pPr>
      <w:r>
        <w:rPr>
          <w:rFonts w:ascii="Arial" w:eastAsia="Calibri" w:hAnsi="Arial" w:cs="Arial"/>
          <w:i/>
          <w:sz w:val="22"/>
          <w:szCs w:val="22"/>
        </w:rPr>
        <w:t xml:space="preserve">Cuando el ente </w:t>
      </w:r>
      <w:r>
        <w:rPr>
          <w:rFonts w:ascii="Arial" w:eastAsia="Calibri" w:hAnsi="Arial" w:cs="Arial"/>
          <w:i/>
          <w:sz w:val="22"/>
          <w:szCs w:val="22"/>
        </w:rPr>
        <w:t>destinatario del encargo sea un ente de personificación jurídico-</w:t>
      </w:r>
    </w:p>
    <w:p w:rsidR="009B4233" w:rsidRDefault="006B08B9">
      <w:pPr>
        <w:spacing w:after="1" w:line="218" w:lineRule="auto"/>
        <w:ind w:left="-15"/>
        <w:jc w:val="both"/>
      </w:pPr>
      <w:r>
        <w:rPr>
          <w:rFonts w:ascii="Arial" w:eastAsia="Calibri" w:hAnsi="Arial" w:cs="Arial"/>
          <w:i/>
          <w:sz w:val="22"/>
          <w:szCs w:val="22"/>
        </w:rPr>
        <w:t>privada, además, la totalidad de su capital o patrimonio tendrá que ser de titularidad o aportación pública.</w:t>
      </w:r>
    </w:p>
    <w:p w:rsidR="009B4233" w:rsidRDefault="006B08B9">
      <w:pPr>
        <w:widowControl/>
        <w:numPr>
          <w:ilvl w:val="0"/>
          <w:numId w:val="104"/>
        </w:numPr>
        <w:suppressAutoHyphens w:val="0"/>
        <w:spacing w:after="1" w:line="218" w:lineRule="auto"/>
        <w:ind w:right="6" w:hanging="360"/>
        <w:jc w:val="both"/>
        <w:textAlignment w:val="auto"/>
      </w:pPr>
      <w:r>
        <w:rPr>
          <w:rFonts w:ascii="Arial" w:eastAsia="Calibri" w:hAnsi="Arial" w:cs="Arial"/>
          <w:i/>
          <w:sz w:val="22"/>
          <w:szCs w:val="22"/>
        </w:rPr>
        <w:t>La condición de medio propio personificado de la entidad destinataria del encargo</w:t>
      </w:r>
      <w:r>
        <w:rPr>
          <w:rFonts w:ascii="Arial" w:eastAsia="Calibri" w:hAnsi="Arial" w:cs="Arial"/>
          <w:i/>
          <w:sz w:val="22"/>
          <w:szCs w:val="22"/>
        </w:rPr>
        <w:t xml:space="preserve"> respecto del concreto poder adjudicador que hace el encargo deberá reconocerse expresamente en sus estatutos o actos de creación, previo cumplimiento de los siguientes requisitos:</w:t>
      </w:r>
    </w:p>
    <w:p w:rsidR="009B4233" w:rsidRDefault="006B08B9">
      <w:pPr>
        <w:spacing w:after="1" w:line="218" w:lineRule="auto"/>
        <w:ind w:left="-15" w:firstLine="350"/>
        <w:jc w:val="both"/>
      </w:pPr>
      <w:r>
        <w:rPr>
          <w:rFonts w:ascii="Arial" w:eastAsia="Calibri" w:hAnsi="Arial" w:cs="Arial"/>
          <w:i/>
          <w:sz w:val="22"/>
          <w:szCs w:val="22"/>
        </w:rPr>
        <w:t>1.º Conformidad o autorización expresa del poder adjudicador respecto del q</w:t>
      </w:r>
      <w:r>
        <w:rPr>
          <w:rFonts w:ascii="Arial" w:eastAsia="Calibri" w:hAnsi="Arial" w:cs="Arial"/>
          <w:i/>
          <w:sz w:val="22"/>
          <w:szCs w:val="22"/>
        </w:rPr>
        <w:t>ue vaya a ser medio propio.</w:t>
      </w:r>
    </w:p>
    <w:p w:rsidR="009B4233" w:rsidRDefault="006B08B9">
      <w:pPr>
        <w:spacing w:after="1" w:line="218" w:lineRule="auto"/>
        <w:ind w:left="-15" w:firstLine="350"/>
        <w:jc w:val="both"/>
      </w:pPr>
      <w:r>
        <w:rPr>
          <w:rFonts w:ascii="Arial" w:eastAsia="Calibri" w:hAnsi="Arial" w:cs="Arial"/>
          <w:i/>
          <w:sz w:val="22"/>
          <w:szCs w:val="22"/>
        </w:rPr>
        <w:t>2.º Verificación por la entidad pública de que dependa el ente que vaya a ser medio propio, de que cuenta con medios personales y materiales apropiados para la realización de los encargos de conformidad con su objeto social.</w:t>
      </w:r>
    </w:p>
    <w:p w:rsidR="009B4233" w:rsidRDefault="006B08B9">
      <w:pPr>
        <w:spacing w:after="1" w:line="218" w:lineRule="auto"/>
        <w:ind w:left="-15" w:firstLine="350"/>
        <w:jc w:val="both"/>
      </w:pPr>
      <w:r>
        <w:rPr>
          <w:rFonts w:ascii="Arial" w:eastAsia="Calibri" w:hAnsi="Arial" w:cs="Arial"/>
          <w:i/>
          <w:sz w:val="22"/>
          <w:szCs w:val="22"/>
        </w:rPr>
        <w:t>Los</w:t>
      </w:r>
      <w:r>
        <w:rPr>
          <w:rFonts w:ascii="Arial" w:eastAsia="Calibri" w:hAnsi="Arial" w:cs="Arial"/>
          <w:i/>
          <w:sz w:val="22"/>
          <w:szCs w:val="22"/>
        </w:rPr>
        <w:t xml:space="preserve"> estatutos o acto de creación del ente destinatario del encargo deberá determinar: el poder adjudicador respecto del cual tiene esa condición; precisar el régimen jurídico y administrativo de los encargos que se les puedan conferir; y establecer la imposib</w:t>
      </w:r>
      <w:r>
        <w:rPr>
          <w:rFonts w:ascii="Arial" w:eastAsia="Calibri" w:hAnsi="Arial" w:cs="Arial"/>
          <w:i/>
          <w:sz w:val="22"/>
          <w:szCs w:val="22"/>
        </w:rPr>
        <w:t>ilidad de que participen en licitaciones públicas convocadas por el poder adjudicador del que sean medio propio personificado, sin perjuicio de que, cuando no concurra ningún licitador, pueda encargárseles la ejecución de la prestación objeto de las mismas</w:t>
      </w:r>
      <w:r>
        <w:rPr>
          <w:rFonts w:ascii="Arial" w:eastAsia="Calibri" w:hAnsi="Arial" w:cs="Arial"/>
          <w:i/>
          <w:sz w:val="22"/>
          <w:szCs w:val="22"/>
        </w:rPr>
        <w:t>.</w:t>
      </w:r>
    </w:p>
    <w:p w:rsidR="009B4233" w:rsidRDefault="006B08B9">
      <w:pPr>
        <w:spacing w:after="1" w:line="218" w:lineRule="auto"/>
        <w:ind w:left="-15" w:firstLine="350"/>
        <w:jc w:val="both"/>
      </w:pPr>
      <w:r>
        <w:rPr>
          <w:rFonts w:ascii="Arial" w:eastAsia="Calibri" w:hAnsi="Arial" w:cs="Arial"/>
          <w:i/>
          <w:sz w:val="22"/>
          <w:szCs w:val="22"/>
        </w:rPr>
        <w:t>En todo caso, se presumirá que cumple el requisito establecido en el número 2.º de la presente letra cuando haya obtenido la correspondiente clasificación respecto a los grupos, subgrupos y categorías que ostente.</w:t>
      </w:r>
    </w:p>
    <w:p w:rsidR="009B4233" w:rsidRDefault="006B08B9">
      <w:pPr>
        <w:widowControl/>
        <w:numPr>
          <w:ilvl w:val="0"/>
          <w:numId w:val="105"/>
        </w:numPr>
        <w:suppressAutoHyphens w:val="0"/>
        <w:spacing w:after="1" w:line="218" w:lineRule="auto"/>
        <w:ind w:hanging="360"/>
        <w:jc w:val="both"/>
        <w:textAlignment w:val="auto"/>
      </w:pPr>
      <w:r>
        <w:rPr>
          <w:rFonts w:ascii="Arial" w:eastAsia="Calibri" w:hAnsi="Arial" w:cs="Arial"/>
          <w:i/>
          <w:sz w:val="22"/>
          <w:szCs w:val="22"/>
        </w:rPr>
        <w:t>El apartado 2 del presente artículo tamb</w:t>
      </w:r>
      <w:r>
        <w:rPr>
          <w:rFonts w:ascii="Arial" w:eastAsia="Calibri" w:hAnsi="Arial" w:cs="Arial"/>
          <w:i/>
          <w:sz w:val="22"/>
          <w:szCs w:val="22"/>
        </w:rPr>
        <w:t>ién se aplicará en los casos en que la persona jurídica controlada, siendo un poder adjudicador, realice un encargo al poder adjudicador que la controla o a otra persona jurídica controlada, directa o indirectamente, por el mismo poder adjudicador, siempre</w:t>
      </w:r>
      <w:r>
        <w:rPr>
          <w:rFonts w:ascii="Arial" w:eastAsia="Calibri" w:hAnsi="Arial" w:cs="Arial"/>
          <w:i/>
          <w:sz w:val="22"/>
          <w:szCs w:val="22"/>
        </w:rPr>
        <w:t xml:space="preserve"> que no exista participación directa de capital privado en la persona jurídica a la que se realice el encargo.</w:t>
      </w:r>
    </w:p>
    <w:p w:rsidR="009B4233" w:rsidRDefault="006B08B9">
      <w:pPr>
        <w:widowControl/>
        <w:numPr>
          <w:ilvl w:val="0"/>
          <w:numId w:val="105"/>
        </w:numPr>
        <w:suppressAutoHyphens w:val="0"/>
        <w:spacing w:after="1" w:line="218" w:lineRule="auto"/>
        <w:ind w:hanging="360"/>
        <w:jc w:val="both"/>
        <w:textAlignment w:val="auto"/>
      </w:pPr>
      <w:r>
        <w:rPr>
          <w:rFonts w:ascii="Arial" w:eastAsia="Calibri" w:hAnsi="Arial" w:cs="Arial"/>
          <w:i/>
          <w:sz w:val="22"/>
          <w:szCs w:val="22"/>
        </w:rPr>
        <w:t xml:space="preserve">Tendrán la consideración de medio propio personificado respecto de dos o más poderes adjudicadores que sean independientes entre sí aquellas </w:t>
      </w:r>
      <w:r>
        <w:rPr>
          <w:rFonts w:ascii="Arial" w:eastAsia="Calibri" w:hAnsi="Arial" w:cs="Arial"/>
          <w:i/>
          <w:sz w:val="22"/>
          <w:szCs w:val="22"/>
        </w:rPr>
        <w:t>personas jurídicas, de derecho público o de derecho privado, que cumplan todos y cada uno de los requisitos que se establecen a continuación:</w:t>
      </w:r>
    </w:p>
    <w:p w:rsidR="009B4233" w:rsidRDefault="006B08B9">
      <w:pPr>
        <w:spacing w:after="1" w:line="218" w:lineRule="auto"/>
        <w:ind w:left="-15" w:firstLine="350"/>
        <w:jc w:val="both"/>
      </w:pPr>
      <w:r>
        <w:rPr>
          <w:rFonts w:ascii="Arial" w:eastAsia="Calibri" w:hAnsi="Arial" w:cs="Arial"/>
          <w:i/>
          <w:sz w:val="22"/>
          <w:szCs w:val="22"/>
        </w:rPr>
        <w:t>a) Que los poderes adjudicadores que puedan conferirle encargos ejerzan sobre el ente destinatario del mismo un co</w:t>
      </w:r>
      <w:r>
        <w:rPr>
          <w:rFonts w:ascii="Arial" w:eastAsia="Calibri" w:hAnsi="Arial" w:cs="Arial"/>
          <w:i/>
          <w:sz w:val="22"/>
          <w:szCs w:val="22"/>
        </w:rPr>
        <w:t>ntrol conjunto análogo al que ostentarían sobre sus propios servicios o unidades.</w:t>
      </w:r>
    </w:p>
    <w:p w:rsidR="009B4233" w:rsidRDefault="006B08B9">
      <w:pPr>
        <w:spacing w:after="1" w:line="218" w:lineRule="auto"/>
        <w:ind w:left="-15" w:firstLine="350"/>
        <w:jc w:val="both"/>
      </w:pPr>
      <w:r>
        <w:rPr>
          <w:rFonts w:ascii="Arial" w:eastAsia="Calibri" w:hAnsi="Arial" w:cs="Arial"/>
          <w:i/>
          <w:sz w:val="22"/>
          <w:szCs w:val="22"/>
        </w:rPr>
        <w:t>Se entenderá que existe control conjunto cuando se cumplan todas las condiciones siguientes:</w:t>
      </w:r>
    </w:p>
    <w:p w:rsidR="009B4233" w:rsidRDefault="006B08B9">
      <w:pPr>
        <w:spacing w:after="1" w:line="218" w:lineRule="auto"/>
        <w:ind w:left="-15" w:firstLine="350"/>
        <w:jc w:val="both"/>
      </w:pPr>
      <w:r>
        <w:rPr>
          <w:rFonts w:ascii="Arial" w:eastAsia="Calibri" w:hAnsi="Arial" w:cs="Arial"/>
          <w:i/>
          <w:sz w:val="22"/>
          <w:szCs w:val="22"/>
        </w:rPr>
        <w:t>1.º Que en los órganos decisorios del ente destinatario del encargo estén represe</w:t>
      </w:r>
      <w:r>
        <w:rPr>
          <w:rFonts w:ascii="Arial" w:eastAsia="Calibri" w:hAnsi="Arial" w:cs="Arial"/>
          <w:i/>
          <w:sz w:val="22"/>
          <w:szCs w:val="22"/>
        </w:rPr>
        <w:t>ntados todos los entes que puedan conferirle encargos, pudiendo cada representante representar a varios de estos últimos o a la totalidad de ellos.</w:t>
      </w:r>
    </w:p>
    <w:p w:rsidR="009B4233" w:rsidRDefault="006B08B9">
      <w:pPr>
        <w:spacing w:after="1" w:line="218" w:lineRule="auto"/>
        <w:ind w:left="-15" w:firstLine="350"/>
        <w:jc w:val="both"/>
      </w:pPr>
      <w:r>
        <w:rPr>
          <w:rFonts w:ascii="Arial" w:eastAsia="Calibri" w:hAnsi="Arial" w:cs="Arial"/>
          <w:i/>
          <w:sz w:val="22"/>
          <w:szCs w:val="22"/>
        </w:rPr>
        <w:t>2.º Que estos últimos puedan ejercer directa y conjuntamente una influencia decisiva sobre los objetivos est</w:t>
      </w:r>
      <w:r>
        <w:rPr>
          <w:rFonts w:ascii="Arial" w:eastAsia="Calibri" w:hAnsi="Arial" w:cs="Arial"/>
          <w:i/>
          <w:sz w:val="22"/>
          <w:szCs w:val="22"/>
        </w:rPr>
        <w:t>ratégicos y sobre las decisiones significativas del ente destinatario del encargo.</w:t>
      </w:r>
    </w:p>
    <w:p w:rsidR="009B4233" w:rsidRDefault="006B08B9">
      <w:pPr>
        <w:spacing w:after="1" w:line="218" w:lineRule="auto"/>
        <w:ind w:left="-15" w:firstLine="350"/>
        <w:jc w:val="both"/>
      </w:pPr>
      <w:r>
        <w:rPr>
          <w:rFonts w:ascii="Arial" w:eastAsia="Calibri" w:hAnsi="Arial" w:cs="Arial"/>
          <w:i/>
          <w:sz w:val="22"/>
          <w:szCs w:val="22"/>
        </w:rPr>
        <w:t>3.º Que el ente destinatario del encargo no persiga intereses contrarios a los intereses de los entes que puedan conferirle encargos.</w:t>
      </w:r>
    </w:p>
    <w:p w:rsidR="009B4233" w:rsidRDefault="006B08B9">
      <w:pPr>
        <w:spacing w:after="1" w:line="218" w:lineRule="auto"/>
        <w:ind w:left="-15" w:firstLine="350"/>
        <w:jc w:val="both"/>
      </w:pPr>
      <w:r>
        <w:rPr>
          <w:rFonts w:ascii="Arial" w:eastAsia="Calibri" w:hAnsi="Arial" w:cs="Arial"/>
          <w:i/>
          <w:sz w:val="22"/>
          <w:szCs w:val="22"/>
        </w:rPr>
        <w:t>La compensación se establecerá, por ref</w:t>
      </w:r>
      <w:r>
        <w:rPr>
          <w:rFonts w:ascii="Arial" w:eastAsia="Calibri" w:hAnsi="Arial" w:cs="Arial"/>
          <w:i/>
          <w:sz w:val="22"/>
          <w:szCs w:val="22"/>
        </w:rPr>
        <w:t>erencia a tarifas aprobadas por la entidad pública de la que depende el medio propio personificado para las actividades objeto de encargo realizadas por el medio propio directamente y, en la forma que reglamentariamente se determine, atendiendo al coste ef</w:t>
      </w:r>
      <w:r>
        <w:rPr>
          <w:rFonts w:ascii="Arial" w:eastAsia="Calibri" w:hAnsi="Arial" w:cs="Arial"/>
          <w:i/>
          <w:sz w:val="22"/>
          <w:szCs w:val="22"/>
        </w:rPr>
        <w:t>ectivo soportado por el medio propio para las actividades objeto del encargo que se subcontraten con empresarios particulares en los casos en que este coste sea inferior al resultante de aplicar las tarifas a las actividades subcontratadas.</w:t>
      </w:r>
    </w:p>
    <w:p w:rsidR="009B4233" w:rsidRDefault="006B08B9">
      <w:pPr>
        <w:spacing w:after="1" w:line="218" w:lineRule="auto"/>
        <w:ind w:left="-15" w:firstLine="350"/>
        <w:jc w:val="both"/>
      </w:pPr>
      <w:r>
        <w:rPr>
          <w:rFonts w:ascii="Arial" w:eastAsia="Calibri" w:hAnsi="Arial" w:cs="Arial"/>
          <w:i/>
          <w:sz w:val="22"/>
          <w:szCs w:val="22"/>
        </w:rPr>
        <w:t xml:space="preserve">Dichas tarifas </w:t>
      </w:r>
      <w:r>
        <w:rPr>
          <w:rFonts w:ascii="Arial" w:eastAsia="Calibri" w:hAnsi="Arial" w:cs="Arial"/>
          <w:i/>
          <w:sz w:val="22"/>
          <w:szCs w:val="22"/>
        </w:rPr>
        <w:t>se calcularán de manera que representen los costes reales de realización de las unidades producidas directamente por el medio propio.</w:t>
      </w:r>
    </w:p>
    <w:p w:rsidR="009B4233" w:rsidRDefault="006B08B9">
      <w:pPr>
        <w:widowControl/>
        <w:numPr>
          <w:ilvl w:val="0"/>
          <w:numId w:val="106"/>
        </w:numPr>
        <w:suppressAutoHyphens w:val="0"/>
        <w:spacing w:after="1" w:line="218" w:lineRule="auto"/>
        <w:ind w:hanging="360"/>
        <w:jc w:val="both"/>
        <w:textAlignment w:val="auto"/>
      </w:pPr>
      <w:r>
        <w:rPr>
          <w:rFonts w:ascii="Arial" w:eastAsia="Calibri" w:hAnsi="Arial" w:cs="Arial"/>
          <w:i/>
          <w:sz w:val="22"/>
          <w:szCs w:val="22"/>
        </w:rPr>
        <w:t>Que más del 80 por ciento de las actividades del ente destinatario del encargo se lleven a cabo en el ejercicio de los com</w:t>
      </w:r>
      <w:r>
        <w:rPr>
          <w:rFonts w:ascii="Arial" w:eastAsia="Calibri" w:hAnsi="Arial" w:cs="Arial"/>
          <w:i/>
          <w:sz w:val="22"/>
          <w:szCs w:val="22"/>
        </w:rPr>
        <w:t xml:space="preserve">etidos que le han sido confiados por los poderes adjudicadores que lo controlan o por otras personas jurídicas controladas por los mismos poderes adjudicadores. El cálculo del 80 por ciento se hará de acuerdo con lo establecido en la letra b) del apartado </w:t>
      </w:r>
      <w:r>
        <w:rPr>
          <w:rFonts w:ascii="Arial" w:eastAsia="Calibri" w:hAnsi="Arial" w:cs="Arial"/>
          <w:i/>
          <w:sz w:val="22"/>
          <w:szCs w:val="22"/>
        </w:rPr>
        <w:t>2 de este artículo.</w:t>
      </w:r>
    </w:p>
    <w:p w:rsidR="009B4233" w:rsidRDefault="006B08B9">
      <w:pPr>
        <w:widowControl/>
        <w:numPr>
          <w:ilvl w:val="0"/>
          <w:numId w:val="106"/>
        </w:numPr>
        <w:suppressAutoHyphens w:val="0"/>
        <w:spacing w:after="30" w:line="218" w:lineRule="auto"/>
        <w:ind w:hanging="360"/>
        <w:jc w:val="both"/>
        <w:textAlignment w:val="auto"/>
      </w:pPr>
      <w:r>
        <w:rPr>
          <w:rFonts w:ascii="Arial" w:eastAsia="Calibri" w:hAnsi="Arial" w:cs="Arial"/>
          <w:i/>
          <w:sz w:val="22"/>
          <w:szCs w:val="22"/>
        </w:rPr>
        <w:t>Que cumplan los requisitos que establece este artículo en su apartado 2 letras c) y d).</w:t>
      </w:r>
    </w:p>
    <w:p w:rsidR="009B4233" w:rsidRDefault="006B08B9">
      <w:pPr>
        <w:widowControl/>
        <w:numPr>
          <w:ilvl w:val="0"/>
          <w:numId w:val="107"/>
        </w:numPr>
        <w:suppressAutoHyphens w:val="0"/>
        <w:spacing w:after="30" w:line="218" w:lineRule="auto"/>
        <w:ind w:hanging="360"/>
        <w:jc w:val="both"/>
        <w:textAlignment w:val="auto"/>
      </w:pPr>
      <w:r>
        <w:rPr>
          <w:rFonts w:ascii="Arial" w:eastAsia="Calibri" w:hAnsi="Arial" w:cs="Arial"/>
          <w:i/>
          <w:sz w:val="22"/>
          <w:szCs w:val="22"/>
        </w:rPr>
        <w:t>(Suprimido)</w:t>
      </w:r>
    </w:p>
    <w:p w:rsidR="009B4233" w:rsidRDefault="006B08B9">
      <w:pPr>
        <w:widowControl/>
        <w:numPr>
          <w:ilvl w:val="0"/>
          <w:numId w:val="107"/>
        </w:numPr>
        <w:suppressAutoHyphens w:val="0"/>
        <w:spacing w:after="1" w:line="218" w:lineRule="auto"/>
        <w:ind w:hanging="360"/>
        <w:jc w:val="both"/>
        <w:textAlignment w:val="auto"/>
      </w:pPr>
      <w:r>
        <w:rPr>
          <w:rFonts w:ascii="Arial" w:eastAsia="Calibri" w:hAnsi="Arial" w:cs="Arial"/>
          <w:i/>
          <w:sz w:val="22"/>
          <w:szCs w:val="22"/>
        </w:rPr>
        <w:t>Los encargos que realicen las entidades del sector público a un ente que, de acuerdo con los apartados segundo, tercero o cuarto de este</w:t>
      </w:r>
      <w:r>
        <w:rPr>
          <w:rFonts w:ascii="Arial" w:eastAsia="Calibri" w:hAnsi="Arial" w:cs="Arial"/>
          <w:i/>
          <w:sz w:val="22"/>
          <w:szCs w:val="22"/>
        </w:rPr>
        <w:t xml:space="preserve"> artículo, pueda ser calificado como medio propio personificado del primero o primeros, no tendrán la consideración jurídica de contrato, debiendo únicamente cumplir las siguientes normas:</w:t>
      </w:r>
    </w:p>
    <w:p w:rsidR="009B4233" w:rsidRDefault="006B08B9">
      <w:pPr>
        <w:widowControl/>
        <w:numPr>
          <w:ilvl w:val="0"/>
          <w:numId w:val="108"/>
        </w:numPr>
        <w:suppressAutoHyphens w:val="0"/>
        <w:spacing w:after="1" w:line="218" w:lineRule="auto"/>
        <w:ind w:hanging="360"/>
        <w:jc w:val="both"/>
        <w:textAlignment w:val="auto"/>
      </w:pPr>
      <w:r>
        <w:rPr>
          <w:rFonts w:ascii="Arial" w:eastAsia="Calibri" w:hAnsi="Arial" w:cs="Arial"/>
          <w:i/>
          <w:sz w:val="22"/>
          <w:szCs w:val="22"/>
        </w:rPr>
        <w:t xml:space="preserve">El medio propio personificado deberá haber publicado en la </w:t>
      </w:r>
      <w:r>
        <w:rPr>
          <w:rFonts w:ascii="Arial" w:eastAsia="Calibri" w:hAnsi="Arial" w:cs="Arial"/>
          <w:i/>
          <w:sz w:val="22"/>
          <w:szCs w:val="22"/>
        </w:rPr>
        <w:t>Plataforma de Contratación correspondiente su condición de tal; respecto de qué poderes adjudicadores la ostenta; y los sectores de actividad en los que, estando comprendidos en su objeto social, sería apto para ejecutar las prestaciones que vayan a ser ob</w:t>
      </w:r>
      <w:r>
        <w:rPr>
          <w:rFonts w:ascii="Arial" w:eastAsia="Calibri" w:hAnsi="Arial" w:cs="Arial"/>
          <w:i/>
          <w:sz w:val="22"/>
          <w:szCs w:val="22"/>
        </w:rPr>
        <w:t>jeto de encargo.</w:t>
      </w:r>
    </w:p>
    <w:p w:rsidR="009B4233" w:rsidRDefault="006B08B9">
      <w:pPr>
        <w:widowControl/>
        <w:numPr>
          <w:ilvl w:val="0"/>
          <w:numId w:val="108"/>
        </w:numPr>
        <w:suppressAutoHyphens w:val="0"/>
        <w:spacing w:after="1" w:line="218" w:lineRule="auto"/>
        <w:ind w:hanging="360"/>
        <w:jc w:val="both"/>
        <w:textAlignment w:val="auto"/>
      </w:pPr>
      <w:r>
        <w:rPr>
          <w:rFonts w:ascii="Arial" w:eastAsia="Calibri" w:hAnsi="Arial" w:cs="Arial"/>
          <w:i/>
          <w:sz w:val="22"/>
          <w:szCs w:val="22"/>
        </w:rPr>
        <w:t xml:space="preserve">El encargo deberá ser objeto de formalización en un documento que será publicado en la Plataforma de Contratación correspondiente en los supuestos previstos del artículo 63.6. El documento de formalización establecerá el plazo de duración </w:t>
      </w:r>
      <w:r>
        <w:rPr>
          <w:rFonts w:ascii="Arial" w:eastAsia="Calibri" w:hAnsi="Arial" w:cs="Arial"/>
          <w:i/>
          <w:sz w:val="22"/>
          <w:szCs w:val="22"/>
        </w:rPr>
        <w:t>del encargo.</w:t>
      </w:r>
    </w:p>
    <w:p w:rsidR="009B4233" w:rsidRDefault="006B08B9">
      <w:pPr>
        <w:widowControl/>
        <w:numPr>
          <w:ilvl w:val="0"/>
          <w:numId w:val="108"/>
        </w:numPr>
        <w:suppressAutoHyphens w:val="0"/>
        <w:spacing w:after="1" w:line="218" w:lineRule="auto"/>
        <w:ind w:hanging="360"/>
        <w:jc w:val="both"/>
        <w:textAlignment w:val="auto"/>
      </w:pPr>
      <w:r>
        <w:rPr>
          <w:rFonts w:ascii="Arial" w:eastAsia="Calibri" w:hAnsi="Arial" w:cs="Arial"/>
          <w:i/>
          <w:sz w:val="22"/>
          <w:szCs w:val="22"/>
        </w:rPr>
        <w:t>Los órganos de las entidades del sector público estatal que tengan la condición de poder adjudicador en virtud de lo dispuesto en el artículo 3.3 de esta Ley, necesitarán autorización del Consejo de Ministros cuando el importe del gasto que se</w:t>
      </w:r>
      <w:r>
        <w:rPr>
          <w:rFonts w:ascii="Arial" w:eastAsia="Calibri" w:hAnsi="Arial" w:cs="Arial"/>
          <w:i/>
          <w:sz w:val="22"/>
          <w:szCs w:val="22"/>
        </w:rPr>
        <w:t xml:space="preserve"> derive del encargo, sea igual o superior a doce millones de euros.</w:t>
      </w:r>
    </w:p>
    <w:p w:rsidR="009B4233" w:rsidRDefault="006B08B9">
      <w:pPr>
        <w:spacing w:after="1" w:line="218" w:lineRule="auto"/>
        <w:ind w:left="-15" w:firstLine="350"/>
        <w:jc w:val="both"/>
      </w:pPr>
      <w:r>
        <w:rPr>
          <w:rFonts w:ascii="Arial" w:eastAsia="Calibri" w:hAnsi="Arial" w:cs="Arial"/>
          <w:i/>
          <w:sz w:val="22"/>
          <w:szCs w:val="22"/>
        </w:rPr>
        <w:t>La autorización del Consejo de Ministros a que se refiere el párrafo anterior deberá obtenerse antes de la suscripción del encargo por el órgano competente. Una vez obtenida la autorizació</w:t>
      </w:r>
      <w:r>
        <w:rPr>
          <w:rFonts w:ascii="Arial" w:eastAsia="Calibri" w:hAnsi="Arial" w:cs="Arial"/>
          <w:i/>
          <w:sz w:val="22"/>
          <w:szCs w:val="22"/>
        </w:rPr>
        <w:t>n, corresponderá a los órganos competentes la aprobación del gasto y suscripción del encargo, de conformidad con lo dispuesto en las respectivas normas.</w:t>
      </w:r>
    </w:p>
    <w:p w:rsidR="009B4233" w:rsidRDefault="006B08B9">
      <w:pPr>
        <w:spacing w:after="1" w:line="218" w:lineRule="auto"/>
        <w:ind w:left="-15" w:firstLine="350"/>
        <w:jc w:val="both"/>
      </w:pPr>
      <w:r>
        <w:rPr>
          <w:rFonts w:ascii="Arial" w:eastAsia="Calibri" w:hAnsi="Arial" w:cs="Arial"/>
          <w:i/>
          <w:sz w:val="22"/>
          <w:szCs w:val="22"/>
        </w:rPr>
        <w:t>A efectos de obtener la citada autorización, los órganos competentes deberán remitir al menos los sigui</w:t>
      </w:r>
      <w:r>
        <w:rPr>
          <w:rFonts w:ascii="Arial" w:eastAsia="Calibri" w:hAnsi="Arial" w:cs="Arial"/>
          <w:i/>
          <w:sz w:val="22"/>
          <w:szCs w:val="22"/>
        </w:rPr>
        <w:t>entes documentos: el texto del encargo; el informe del servicio jurídico; así como el certificado de existencia de crédito o, tratándose de poderes adjudicadores con presupuesto estimativo, los documentos equivalentes que acrediten la existencia de financi</w:t>
      </w:r>
      <w:r>
        <w:rPr>
          <w:rFonts w:ascii="Arial" w:eastAsia="Calibri" w:hAnsi="Arial" w:cs="Arial"/>
          <w:i/>
          <w:sz w:val="22"/>
          <w:szCs w:val="22"/>
        </w:rPr>
        <w:t>ación.</w:t>
      </w:r>
    </w:p>
    <w:p w:rsidR="009B4233" w:rsidRDefault="006B08B9">
      <w:pPr>
        <w:spacing w:after="1" w:line="218" w:lineRule="auto"/>
        <w:ind w:left="-15" w:firstLine="350"/>
        <w:jc w:val="both"/>
      </w:pPr>
      <w:r>
        <w:rPr>
          <w:rFonts w:ascii="Arial" w:eastAsia="Calibri" w:hAnsi="Arial" w:cs="Arial"/>
          <w:i/>
          <w:sz w:val="22"/>
          <w:szCs w:val="22"/>
        </w:rPr>
        <w:t>Requerirán igualmente la previa autorización del Consejo de Ministros las modificaciones de encargos autorizados por el Consejo de Ministros, cuando superen el 20 por cien del importe del encargo.</w:t>
      </w:r>
    </w:p>
    <w:p w:rsidR="009B4233" w:rsidRDefault="006B08B9">
      <w:pPr>
        <w:spacing w:after="1" w:line="218" w:lineRule="auto"/>
        <w:ind w:left="-15" w:firstLine="350"/>
        <w:jc w:val="both"/>
      </w:pPr>
      <w:r>
        <w:rPr>
          <w:rFonts w:ascii="Arial" w:eastAsia="Calibri" w:hAnsi="Arial" w:cs="Arial"/>
          <w:i/>
          <w:sz w:val="22"/>
          <w:szCs w:val="22"/>
        </w:rPr>
        <w:t xml:space="preserve">La autorización que otorgue el Consejo de Ministros </w:t>
      </w:r>
      <w:r>
        <w:rPr>
          <w:rFonts w:ascii="Arial" w:eastAsia="Calibri" w:hAnsi="Arial" w:cs="Arial"/>
          <w:i/>
          <w:sz w:val="22"/>
          <w:szCs w:val="22"/>
        </w:rPr>
        <w:t>será genérica para la suscripción del encargo, sin que en ningún caso implique una validación de los trámites realizados, ni exima de la responsabilidad que corresponda a las partes respecto de la correcta tramitación y realización del encargo.</w:t>
      </w:r>
    </w:p>
    <w:p w:rsidR="009B4233" w:rsidRDefault="006B08B9">
      <w:pPr>
        <w:spacing w:after="1" w:line="218" w:lineRule="auto"/>
        <w:ind w:left="-15" w:firstLine="350"/>
        <w:jc w:val="both"/>
      </w:pPr>
      <w:r>
        <w:rPr>
          <w:rFonts w:ascii="Arial" w:eastAsia="Calibri" w:hAnsi="Arial" w:cs="Arial"/>
          <w:i/>
          <w:sz w:val="22"/>
          <w:szCs w:val="22"/>
        </w:rPr>
        <w:t>7. A los ne</w:t>
      </w:r>
      <w:r>
        <w:rPr>
          <w:rFonts w:ascii="Arial" w:eastAsia="Calibri" w:hAnsi="Arial" w:cs="Arial"/>
          <w:i/>
          <w:sz w:val="22"/>
          <w:szCs w:val="22"/>
        </w:rPr>
        <w:t>gocios jurídicos que los entes destinatarios del encargo celebren en ejecución del encargo recibido de conformidad con el presente artículo, se le aplicarán las siguientes reglas:</w:t>
      </w:r>
    </w:p>
    <w:p w:rsidR="009B4233" w:rsidRDefault="006B08B9">
      <w:pPr>
        <w:widowControl/>
        <w:numPr>
          <w:ilvl w:val="0"/>
          <w:numId w:val="109"/>
        </w:numPr>
        <w:suppressAutoHyphens w:val="0"/>
        <w:spacing w:after="1" w:line="218" w:lineRule="auto"/>
        <w:ind w:hanging="360"/>
        <w:jc w:val="both"/>
        <w:textAlignment w:val="auto"/>
      </w:pPr>
      <w:r>
        <w:rPr>
          <w:rFonts w:ascii="Arial" w:eastAsia="Calibri" w:hAnsi="Arial" w:cs="Arial"/>
          <w:i/>
          <w:sz w:val="22"/>
          <w:szCs w:val="22"/>
        </w:rPr>
        <w:t>El contrato quedará sometido a esta Ley, en los términos que sean procedente</w:t>
      </w:r>
      <w:r>
        <w:rPr>
          <w:rFonts w:ascii="Arial" w:eastAsia="Calibri" w:hAnsi="Arial" w:cs="Arial"/>
          <w:i/>
          <w:sz w:val="22"/>
          <w:szCs w:val="22"/>
        </w:rPr>
        <w:t>s, de acuerdo con la naturaleza de la entidad que los celebre y el tipo y valor estimado de los mismos y, en todo caso, cuando el medio propio no sea un poder adjudicador se le aplicarán las normas contenidas en el Título I del Libro Tercero de la presente</w:t>
      </w:r>
      <w:r>
        <w:rPr>
          <w:rFonts w:ascii="Arial" w:eastAsia="Calibri" w:hAnsi="Arial" w:cs="Arial"/>
          <w:i/>
          <w:sz w:val="22"/>
          <w:szCs w:val="22"/>
        </w:rPr>
        <w:t xml:space="preserve"> Ley.</w:t>
      </w:r>
    </w:p>
    <w:p w:rsidR="009B4233" w:rsidRDefault="006B08B9">
      <w:pPr>
        <w:widowControl/>
        <w:numPr>
          <w:ilvl w:val="0"/>
          <w:numId w:val="109"/>
        </w:numPr>
        <w:suppressAutoHyphens w:val="0"/>
        <w:spacing w:after="1" w:line="218" w:lineRule="auto"/>
        <w:ind w:hanging="360"/>
        <w:jc w:val="both"/>
        <w:textAlignment w:val="auto"/>
      </w:pPr>
      <w:r>
        <w:rPr>
          <w:rFonts w:ascii="Arial" w:eastAsia="Calibri" w:hAnsi="Arial" w:cs="Arial"/>
          <w:i/>
          <w:sz w:val="22"/>
          <w:szCs w:val="22"/>
        </w:rPr>
        <w:t>El importe de las prestaciones parciales que el medio propio pueda contratar con terceros no excederá del 50 por ciento de la cuantía del encargo. No se considerarán prestaciones parciales aquellas que el medio propio adquiera a otras empresas cuando</w:t>
      </w:r>
      <w:r>
        <w:rPr>
          <w:rFonts w:ascii="Arial" w:eastAsia="Calibri" w:hAnsi="Arial" w:cs="Arial"/>
          <w:i/>
          <w:sz w:val="22"/>
          <w:szCs w:val="22"/>
        </w:rPr>
        <w:t xml:space="preserve"> se trate de suministros o servicios auxiliares o instrumentales que no constituyen una parte autónoma y diferenciable de la prestación principal, aunque sean parte del proceso necesario para producir dicha prestación.</w:t>
      </w:r>
    </w:p>
    <w:p w:rsidR="009B4233" w:rsidRDefault="006B08B9">
      <w:pPr>
        <w:spacing w:after="1" w:line="218" w:lineRule="auto"/>
        <w:ind w:left="-15" w:firstLine="350"/>
        <w:jc w:val="both"/>
      </w:pPr>
      <w:r>
        <w:rPr>
          <w:rFonts w:ascii="Arial" w:eastAsia="Calibri" w:hAnsi="Arial" w:cs="Arial"/>
          <w:i/>
          <w:sz w:val="22"/>
          <w:szCs w:val="22"/>
        </w:rPr>
        <w:t>No será aplicable lo establecido en e</w:t>
      </w:r>
      <w:r>
        <w:rPr>
          <w:rFonts w:ascii="Arial" w:eastAsia="Calibri" w:hAnsi="Arial" w:cs="Arial"/>
          <w:i/>
          <w:sz w:val="22"/>
          <w:szCs w:val="22"/>
        </w:rPr>
        <w:t>sta letra a los contratos de obras que celebren los medios propios a los que se les haya encargado una concesión, ya sea de obras o de servicios. Igualmente no será de aplicación en los supuestos en los que la gestión del servicio público se efectúe median</w:t>
      </w:r>
      <w:r>
        <w:rPr>
          <w:rFonts w:ascii="Arial" w:eastAsia="Calibri" w:hAnsi="Arial" w:cs="Arial"/>
          <w:i/>
          <w:sz w:val="22"/>
          <w:szCs w:val="22"/>
        </w:rPr>
        <w:t>te la creación de entidades de derecho público destinadas a este fin, ni a aquellos en que la misma se atribuya a una sociedad de derecho privado cuyo capital sea, en su totalidad, de titularidad pública.</w:t>
      </w:r>
    </w:p>
    <w:p w:rsidR="009B4233" w:rsidRDefault="006B08B9">
      <w:pPr>
        <w:spacing w:after="1" w:line="218" w:lineRule="auto"/>
        <w:ind w:left="-15" w:firstLine="350"/>
        <w:jc w:val="both"/>
      </w:pPr>
      <w:r>
        <w:rPr>
          <w:rFonts w:ascii="Arial" w:eastAsia="Calibri" w:hAnsi="Arial" w:cs="Arial"/>
          <w:i/>
          <w:sz w:val="22"/>
          <w:szCs w:val="22"/>
        </w:rPr>
        <w:t>Tampoco será aplicable a los contratos que celebren</w:t>
      </w:r>
      <w:r>
        <w:rPr>
          <w:rFonts w:ascii="Arial" w:eastAsia="Calibri" w:hAnsi="Arial" w:cs="Arial"/>
          <w:i/>
          <w:sz w:val="22"/>
          <w:szCs w:val="22"/>
        </w:rPr>
        <w:t xml:space="preserve"> los medios propios a los que se les haya encargado la prestación de servicios informáticos y tecnológicos a la Administración Pública con el fin de garantizar la compatibilidad, la comunicabilidad y la seguridad de redes y sistemas, la integridad, fiabili</w:t>
      </w:r>
      <w:r>
        <w:rPr>
          <w:rFonts w:ascii="Arial" w:eastAsia="Calibri" w:hAnsi="Arial" w:cs="Arial"/>
          <w:i/>
          <w:sz w:val="22"/>
          <w:szCs w:val="22"/>
        </w:rPr>
        <w:t>dad y confidencialidad de la información, así como a los que celebren los medios propios cuyas funciones sean el fomento de las telecomunicaciones, el desarrollo de la sociedad de la información y sociedad digital.</w:t>
      </w:r>
    </w:p>
    <w:p w:rsidR="009B4233" w:rsidRDefault="006B08B9">
      <w:pPr>
        <w:spacing w:after="1" w:line="218" w:lineRule="auto"/>
        <w:ind w:left="-15" w:firstLine="350"/>
        <w:jc w:val="both"/>
      </w:pPr>
      <w:r>
        <w:rPr>
          <w:rFonts w:ascii="Arial" w:eastAsia="Calibri" w:hAnsi="Arial" w:cs="Arial"/>
          <w:i/>
          <w:sz w:val="22"/>
          <w:szCs w:val="22"/>
        </w:rPr>
        <w:t>Excepcionalmente podrá superarse dicho po</w:t>
      </w:r>
      <w:r>
        <w:rPr>
          <w:rFonts w:ascii="Arial" w:eastAsia="Calibri" w:hAnsi="Arial" w:cs="Arial"/>
          <w:i/>
          <w:sz w:val="22"/>
          <w:szCs w:val="22"/>
        </w:rPr>
        <w:t>rcentaje de contratación siempre que el encargo al medio propio se base en razones de seguridad, en la naturaleza de la prestación que requiera un mayor control en la ejecución de la misma, o en razones de urgencia que demanden una mayor celeridad en su ej</w:t>
      </w:r>
      <w:r>
        <w:rPr>
          <w:rFonts w:ascii="Arial" w:eastAsia="Calibri" w:hAnsi="Arial" w:cs="Arial"/>
          <w:i/>
          <w:sz w:val="22"/>
          <w:szCs w:val="22"/>
        </w:rPr>
        <w:t>ecución. La justificación de que concurren estas circunstancias se acompañará al documento de formalización del encargo y se publicará en la Plataforma de Contratación correspondiente conjuntamente con éste.</w:t>
      </w:r>
    </w:p>
    <w:p w:rsidR="009B4233" w:rsidRDefault="006B08B9">
      <w:r>
        <w:rPr>
          <w:rFonts w:ascii="Arial" w:eastAsia="Calibri" w:hAnsi="Arial" w:cs="Arial"/>
          <w:i/>
          <w:sz w:val="22"/>
          <w:szCs w:val="22"/>
        </w:rPr>
        <w:t xml:space="preserve">  </w:t>
      </w:r>
    </w:p>
    <w:p w:rsidR="009B4233" w:rsidRDefault="006B08B9">
      <w:pPr>
        <w:spacing w:after="251" w:line="228" w:lineRule="auto"/>
        <w:ind w:firstLine="708"/>
        <w:jc w:val="both"/>
      </w:pPr>
      <w:r>
        <w:rPr>
          <w:rFonts w:ascii="Arial" w:eastAsia="Calibri" w:hAnsi="Arial" w:cs="Arial"/>
          <w:sz w:val="22"/>
          <w:szCs w:val="22"/>
        </w:rPr>
        <w:t>En base a los antecedentes de hecho y fundame</w:t>
      </w:r>
      <w:r>
        <w:rPr>
          <w:rFonts w:ascii="Arial" w:eastAsia="Calibri" w:hAnsi="Arial" w:cs="Arial"/>
          <w:sz w:val="22"/>
          <w:szCs w:val="22"/>
        </w:rPr>
        <w:t>ntos de Derecho expuestos, se emite la siguiente,</w:t>
      </w:r>
    </w:p>
    <w:p w:rsidR="009B4233" w:rsidRDefault="009B4233">
      <w:pPr>
        <w:pStyle w:val="Ttulo1"/>
        <w:spacing w:after="340"/>
        <w:ind w:right="3"/>
        <w:rPr>
          <w:rFonts w:ascii="Arial" w:hAnsi="Arial" w:cs="Arial"/>
          <w:sz w:val="22"/>
          <w:szCs w:val="22"/>
        </w:rPr>
      </w:pPr>
    </w:p>
    <w:p w:rsidR="009B4233" w:rsidRDefault="009B4233">
      <w:pPr>
        <w:pStyle w:val="Ttulo1"/>
        <w:spacing w:after="340"/>
        <w:ind w:right="3"/>
        <w:rPr>
          <w:rFonts w:ascii="Arial" w:hAnsi="Arial" w:cs="Arial"/>
          <w:sz w:val="22"/>
          <w:szCs w:val="22"/>
        </w:rPr>
      </w:pPr>
    </w:p>
    <w:p w:rsidR="009B4233" w:rsidRDefault="009B4233">
      <w:pPr>
        <w:pStyle w:val="Ttulo1"/>
        <w:spacing w:after="340"/>
        <w:ind w:right="3"/>
        <w:rPr>
          <w:rFonts w:ascii="Arial" w:hAnsi="Arial" w:cs="Arial"/>
          <w:sz w:val="22"/>
          <w:szCs w:val="22"/>
        </w:rPr>
      </w:pPr>
    </w:p>
    <w:p w:rsidR="009B4233" w:rsidRDefault="009B4233">
      <w:pPr>
        <w:pStyle w:val="Ttulo1"/>
        <w:spacing w:after="340"/>
        <w:ind w:right="3"/>
        <w:rPr>
          <w:rFonts w:ascii="Arial" w:hAnsi="Arial" w:cs="Arial"/>
          <w:sz w:val="22"/>
          <w:szCs w:val="22"/>
        </w:rPr>
      </w:pPr>
    </w:p>
    <w:p w:rsidR="009B4233" w:rsidRDefault="006B08B9">
      <w:pPr>
        <w:pStyle w:val="Ttulo1"/>
        <w:spacing w:after="340"/>
        <w:ind w:right="3"/>
        <w:rPr>
          <w:rFonts w:ascii="Arial" w:hAnsi="Arial" w:cs="Arial"/>
          <w:sz w:val="22"/>
          <w:szCs w:val="22"/>
        </w:rPr>
      </w:pPr>
      <w:r>
        <w:rPr>
          <w:rFonts w:ascii="Arial" w:hAnsi="Arial" w:cs="Arial"/>
          <w:sz w:val="22"/>
          <w:szCs w:val="22"/>
        </w:rPr>
        <w:t>PROPUESTA DE RESOLUCIÓN</w:t>
      </w:r>
    </w:p>
    <w:p w:rsidR="009B4233" w:rsidRDefault="006B08B9">
      <w:pPr>
        <w:spacing w:after="199" w:line="228" w:lineRule="auto"/>
        <w:ind w:left="10" w:hanging="10"/>
        <w:jc w:val="both"/>
      </w:pPr>
      <w:r>
        <w:rPr>
          <w:rFonts w:ascii="Arial" w:eastAsia="Calibri" w:hAnsi="Arial" w:cs="Arial"/>
          <w:b/>
          <w:sz w:val="22"/>
          <w:szCs w:val="22"/>
        </w:rPr>
        <w:t>ÚNICO.-</w:t>
      </w:r>
      <w:r>
        <w:rPr>
          <w:rFonts w:ascii="Arial" w:eastAsia="Calibri" w:hAnsi="Arial" w:cs="Arial"/>
          <w:sz w:val="22"/>
          <w:szCs w:val="22"/>
        </w:rPr>
        <w:t xml:space="preserve"> Requerir a la entidad GESTUR CANARIAS, S.A</w:t>
      </w:r>
      <w:r>
        <w:rPr>
          <w:rFonts w:ascii="Arial" w:eastAsia="Calibri" w:hAnsi="Arial" w:cs="Arial"/>
          <w:b/>
          <w:sz w:val="22"/>
          <w:szCs w:val="22"/>
        </w:rPr>
        <w:t>.</w:t>
      </w:r>
      <w:r>
        <w:rPr>
          <w:rFonts w:ascii="Arial" w:eastAsia="Calibri" w:hAnsi="Arial" w:cs="Arial"/>
          <w:sz w:val="22"/>
          <w:szCs w:val="22"/>
        </w:rPr>
        <w:t>, para que, en el plazo de veinte días, contados a partir del siguiente al de la recepción del presente requerimiento, presente</w:t>
      </w:r>
      <w:r>
        <w:rPr>
          <w:rFonts w:ascii="Arial" w:eastAsia="Calibri" w:hAnsi="Arial" w:cs="Arial"/>
          <w:sz w:val="22"/>
          <w:szCs w:val="22"/>
        </w:rPr>
        <w:t xml:space="preserve"> la documentación que se detalla a continuación, conforme a lo señalado en el informe técnico de fecha 12 de agosto de 2025,  transcrito previamente :</w:t>
      </w:r>
    </w:p>
    <w:p w:rsidR="009B4233" w:rsidRDefault="006B08B9">
      <w:pPr>
        <w:widowControl/>
        <w:numPr>
          <w:ilvl w:val="0"/>
          <w:numId w:val="110"/>
        </w:numPr>
        <w:suppressAutoHyphens w:val="0"/>
        <w:spacing w:after="196" w:line="228" w:lineRule="auto"/>
        <w:ind w:hanging="360"/>
        <w:jc w:val="both"/>
        <w:textAlignment w:val="auto"/>
      </w:pPr>
      <w:r>
        <w:rPr>
          <w:rFonts w:ascii="Arial" w:eastAsia="Calibri" w:hAnsi="Arial" w:cs="Arial"/>
          <w:sz w:val="22"/>
          <w:szCs w:val="22"/>
        </w:rPr>
        <w:t xml:space="preserve">Anejo de accesibilidad, con justificación normativa y planos adaptados, en atención al grado de afección </w:t>
      </w:r>
      <w:r>
        <w:rPr>
          <w:rFonts w:ascii="Arial" w:eastAsia="Calibri" w:hAnsi="Arial" w:cs="Arial"/>
          <w:sz w:val="22"/>
          <w:szCs w:val="22"/>
        </w:rPr>
        <w:t>a los itinerarios peatonales, que representa el 32,53 % del presupuesto.</w:t>
      </w:r>
    </w:p>
    <w:p w:rsidR="009B4233" w:rsidRDefault="006B08B9">
      <w:pPr>
        <w:widowControl/>
        <w:numPr>
          <w:ilvl w:val="0"/>
          <w:numId w:val="110"/>
        </w:numPr>
        <w:suppressAutoHyphens w:val="0"/>
        <w:spacing w:after="118" w:line="228" w:lineRule="auto"/>
        <w:ind w:hanging="360"/>
        <w:jc w:val="both"/>
        <w:textAlignment w:val="auto"/>
      </w:pPr>
      <w:r>
        <w:rPr>
          <w:rFonts w:ascii="Arial" w:eastAsia="Calibri" w:hAnsi="Arial" w:cs="Arial"/>
          <w:sz w:val="22"/>
          <w:szCs w:val="22"/>
        </w:rPr>
        <w:t>Anejo de afecciones a servicios de terceros de telecomunicaciones, suministro eléctrico, abastecimiento y saneamiento, para ser remitido a las empresas suministradoras.</w:t>
      </w:r>
    </w:p>
    <w:p w:rsidR="009B4233" w:rsidRDefault="006B08B9">
      <w:pPr>
        <w:widowControl/>
        <w:numPr>
          <w:ilvl w:val="0"/>
          <w:numId w:val="110"/>
        </w:numPr>
        <w:suppressAutoHyphens w:val="0"/>
        <w:spacing w:after="118" w:line="228" w:lineRule="auto"/>
        <w:ind w:hanging="360"/>
        <w:jc w:val="both"/>
        <w:textAlignment w:val="auto"/>
      </w:pPr>
      <w:r>
        <w:rPr>
          <w:rFonts w:ascii="Arial" w:eastAsia="Calibri" w:hAnsi="Arial" w:cs="Arial"/>
          <w:sz w:val="22"/>
          <w:szCs w:val="22"/>
        </w:rPr>
        <w:t>Anejo de estud</w:t>
      </w:r>
      <w:r>
        <w:rPr>
          <w:rFonts w:ascii="Arial" w:eastAsia="Calibri" w:hAnsi="Arial" w:cs="Arial"/>
          <w:sz w:val="22"/>
          <w:szCs w:val="22"/>
        </w:rPr>
        <w:t>io de las intersecciones de las vías municipales con las vías de competencia del Cabildo Insular de Tenerife de acuerdo con lo que establece el artículo 48 de la Ley 9/1991, de 8 de mayo, de Carreteras de Canarias en relación con lo que dispone el artículo</w:t>
      </w:r>
      <w:r>
        <w:rPr>
          <w:rFonts w:ascii="Arial" w:eastAsia="Calibri" w:hAnsi="Arial" w:cs="Arial"/>
          <w:sz w:val="22"/>
          <w:szCs w:val="22"/>
        </w:rPr>
        <w:t xml:space="preserve"> 72 del Reglamento de Carreteras de Canarias, aprobado por Decreto 131/1995, de 11 de mayo, corresponde a los Ayuntamientos el otorgamiento de licencias para usos y obras en las zonas de protección de las carreteras en los tramos de las mismas que discurra</w:t>
      </w:r>
      <w:r>
        <w:rPr>
          <w:rFonts w:ascii="Arial" w:eastAsia="Calibri" w:hAnsi="Arial" w:cs="Arial"/>
          <w:sz w:val="22"/>
          <w:szCs w:val="22"/>
        </w:rPr>
        <w:t>n por suelo clasificado como urbano, mientras que a este Cabildo Insular, en su calidad de titular de las mismas, le corresponde la emisión de informe preceptivo y, en lo que se refiere a las condiciones técnicas de los accesos, la emisión de informe de ca</w:t>
      </w:r>
      <w:r>
        <w:rPr>
          <w:rFonts w:ascii="Arial" w:eastAsia="Calibri" w:hAnsi="Arial" w:cs="Arial"/>
          <w:sz w:val="22"/>
          <w:szCs w:val="22"/>
        </w:rPr>
        <w:t>rácter vinculante.</w:t>
      </w:r>
    </w:p>
    <w:p w:rsidR="009B4233" w:rsidRDefault="006B08B9">
      <w:pPr>
        <w:widowControl/>
        <w:numPr>
          <w:ilvl w:val="0"/>
          <w:numId w:val="110"/>
        </w:numPr>
        <w:suppressAutoHyphens w:val="0"/>
        <w:spacing w:after="28" w:line="228" w:lineRule="auto"/>
        <w:ind w:hanging="360"/>
        <w:jc w:val="both"/>
        <w:textAlignment w:val="auto"/>
      </w:pPr>
      <w:r>
        <w:rPr>
          <w:rFonts w:ascii="Arial" w:eastAsia="Calibri" w:hAnsi="Arial" w:cs="Arial"/>
          <w:sz w:val="22"/>
          <w:szCs w:val="22"/>
        </w:rPr>
        <w:t xml:space="preserve">Anejo de drenaje y régimen hidráulico son los puntos de vertido a Dominio Público </w:t>
      </w:r>
    </w:p>
    <w:p w:rsidR="009B4233" w:rsidRDefault="006B08B9">
      <w:pPr>
        <w:spacing w:after="118" w:line="228" w:lineRule="auto"/>
        <w:ind w:left="730" w:hanging="10"/>
        <w:jc w:val="both"/>
      </w:pPr>
      <w:r>
        <w:rPr>
          <w:rFonts w:ascii="Arial" w:eastAsia="Calibri" w:hAnsi="Arial" w:cs="Arial"/>
          <w:sz w:val="22"/>
          <w:szCs w:val="22"/>
        </w:rPr>
        <w:t>Hidráulico que conlleva informe de autorización del Consejo Insular de Aguas de Tenerife según Decreto 86/2002, de 2 de julio, por el que se aprueba el Re</w:t>
      </w:r>
      <w:r>
        <w:rPr>
          <w:rFonts w:ascii="Arial" w:eastAsia="Calibri" w:hAnsi="Arial" w:cs="Arial"/>
          <w:sz w:val="22"/>
          <w:szCs w:val="22"/>
        </w:rPr>
        <w:t>glamento del Dominio Público Hidráulico.</w:t>
      </w:r>
    </w:p>
    <w:p w:rsidR="009B4233" w:rsidRDefault="006B08B9">
      <w:pPr>
        <w:widowControl/>
        <w:numPr>
          <w:ilvl w:val="0"/>
          <w:numId w:val="110"/>
        </w:numPr>
        <w:suppressAutoHyphens w:val="0"/>
        <w:spacing w:after="118" w:line="228" w:lineRule="auto"/>
        <w:ind w:hanging="360"/>
        <w:jc w:val="both"/>
        <w:textAlignment w:val="auto"/>
      </w:pPr>
      <w:r>
        <w:rPr>
          <w:rFonts w:ascii="Arial" w:eastAsia="Calibri" w:hAnsi="Arial" w:cs="Arial"/>
          <w:sz w:val="22"/>
          <w:szCs w:val="22"/>
        </w:rPr>
        <w:t>Anejo de cálculo y justificación de la actuación sobre el cambio de ubicación de alumbrado público, sin que conste estudio luminotécnico en el documento entregado ni estado administrativo de los puntos de suministro</w:t>
      </w:r>
      <w:r>
        <w:rPr>
          <w:rFonts w:ascii="Arial" w:eastAsia="Calibri" w:hAnsi="Arial" w:cs="Arial"/>
          <w:sz w:val="22"/>
          <w:szCs w:val="22"/>
        </w:rPr>
        <w:t>.</w:t>
      </w:r>
    </w:p>
    <w:p w:rsidR="009B4233" w:rsidRDefault="006B08B9">
      <w:pPr>
        <w:widowControl/>
        <w:numPr>
          <w:ilvl w:val="0"/>
          <w:numId w:val="110"/>
        </w:numPr>
        <w:suppressAutoHyphens w:val="0"/>
        <w:spacing w:after="118" w:line="228" w:lineRule="auto"/>
        <w:ind w:hanging="360"/>
        <w:jc w:val="both"/>
        <w:textAlignment w:val="auto"/>
      </w:pPr>
      <w:r>
        <w:rPr>
          <w:rFonts w:ascii="Arial" w:eastAsia="Calibri" w:hAnsi="Arial" w:cs="Arial"/>
          <w:sz w:val="22"/>
          <w:szCs w:val="22"/>
        </w:rPr>
        <w:t>Documento gráfico que refleje la señalización vertical.</w:t>
      </w:r>
    </w:p>
    <w:p w:rsidR="009B4233" w:rsidRDefault="006B08B9">
      <w:pPr>
        <w:widowControl/>
        <w:numPr>
          <w:ilvl w:val="0"/>
          <w:numId w:val="110"/>
        </w:numPr>
        <w:suppressAutoHyphens w:val="0"/>
        <w:spacing w:after="118" w:line="228" w:lineRule="auto"/>
        <w:ind w:hanging="360"/>
        <w:jc w:val="both"/>
        <w:textAlignment w:val="auto"/>
      </w:pPr>
      <w:r>
        <w:rPr>
          <w:rFonts w:ascii="Arial" w:eastAsia="Calibri" w:hAnsi="Arial" w:cs="Arial"/>
          <w:sz w:val="22"/>
          <w:szCs w:val="22"/>
        </w:rPr>
        <w:t>Se contempla la demolición de los actuales alcorques, pero no se presupuesta trasplante de la vegetación existente.</w:t>
      </w:r>
    </w:p>
    <w:p w:rsidR="009B4233" w:rsidRDefault="006B08B9">
      <w:pPr>
        <w:widowControl/>
        <w:numPr>
          <w:ilvl w:val="0"/>
          <w:numId w:val="110"/>
        </w:numPr>
        <w:suppressAutoHyphens w:val="0"/>
        <w:spacing w:after="490" w:line="228" w:lineRule="auto"/>
        <w:ind w:hanging="360"/>
        <w:jc w:val="both"/>
        <w:textAlignment w:val="auto"/>
      </w:pPr>
      <w:r>
        <w:rPr>
          <w:rFonts w:ascii="Arial" w:eastAsia="Calibri" w:hAnsi="Arial" w:cs="Arial"/>
          <w:sz w:val="22"/>
          <w:szCs w:val="22"/>
        </w:rPr>
        <w:t>En el Pliego de Prescripciones Técnicas Particulares debe realizarse la actualizac</w:t>
      </w:r>
      <w:r>
        <w:rPr>
          <w:rFonts w:ascii="Arial" w:eastAsia="Calibri" w:hAnsi="Arial" w:cs="Arial"/>
          <w:sz w:val="22"/>
          <w:szCs w:val="22"/>
        </w:rPr>
        <w:t>ión de las disposiciones reglamentarias citadas y derogadas..”</w:t>
      </w:r>
    </w:p>
    <w:p w:rsidR="009B4233" w:rsidRDefault="009B4233">
      <w:pPr>
        <w:ind w:left="108"/>
        <w:jc w:val="center"/>
        <w:rPr>
          <w:rFonts w:ascii="Arial" w:eastAsia="Calibri" w:hAnsi="Arial" w:cs="Arial"/>
          <w:sz w:val="22"/>
          <w:szCs w:val="22"/>
        </w:rPr>
      </w:pPr>
    </w:p>
    <w:p w:rsidR="009B4233" w:rsidRDefault="009B4233">
      <w:pPr>
        <w:ind w:left="108"/>
        <w:jc w:val="center"/>
        <w:rPr>
          <w:rFonts w:ascii="Arial" w:eastAsia="Calibri" w:hAnsi="Arial" w:cs="Arial"/>
          <w:sz w:val="22"/>
          <w:szCs w:val="22"/>
        </w:rPr>
      </w:pPr>
    </w:p>
    <w:p w:rsidR="009B4233" w:rsidRDefault="009B4233">
      <w:pPr>
        <w:ind w:left="108"/>
        <w:jc w:val="center"/>
        <w:rPr>
          <w:rFonts w:ascii="Arial" w:eastAsia="Calibri" w:hAnsi="Arial" w:cs="Arial"/>
          <w:sz w:val="22"/>
          <w:szCs w:val="22"/>
        </w:rPr>
      </w:pPr>
    </w:p>
    <w:p w:rsidR="009B4233" w:rsidRDefault="006B08B9">
      <w:pPr>
        <w:ind w:left="108"/>
        <w:jc w:val="center"/>
      </w:pPr>
      <w:r>
        <w:rPr>
          <w:rFonts w:ascii="Arial" w:eastAsia="Calibri" w:hAnsi="Arial" w:cs="Arial"/>
          <w:sz w:val="22"/>
          <w:szCs w:val="22"/>
        </w:rPr>
        <w:t xml:space="preserve">En virtud de lo expuesto se somete al </w:t>
      </w:r>
      <w:r>
        <w:rPr>
          <w:rFonts w:ascii="Arial" w:eastAsia="Calibri" w:hAnsi="Arial" w:cs="Arial"/>
          <w:b/>
          <w:sz w:val="22"/>
          <w:szCs w:val="22"/>
        </w:rPr>
        <w:t xml:space="preserve">Pleno </w:t>
      </w:r>
      <w:r>
        <w:rPr>
          <w:rFonts w:ascii="Arial" w:eastAsia="Calibri" w:hAnsi="Arial" w:cs="Arial"/>
          <w:sz w:val="22"/>
          <w:szCs w:val="22"/>
        </w:rPr>
        <w:t>la siguiente propuesta de acuerdo:</w:t>
      </w:r>
    </w:p>
    <w:p w:rsidR="009B4233" w:rsidRDefault="009B4233">
      <w:pPr>
        <w:ind w:left="108"/>
        <w:jc w:val="center"/>
        <w:rPr>
          <w:rFonts w:ascii="Arial" w:hAnsi="Arial" w:cs="Arial"/>
          <w:sz w:val="22"/>
          <w:szCs w:val="22"/>
        </w:rPr>
      </w:pPr>
    </w:p>
    <w:p w:rsidR="009B4233" w:rsidRDefault="009B4233">
      <w:pPr>
        <w:pStyle w:val="Ttulo1"/>
        <w:spacing w:after="550"/>
        <w:ind w:right="5"/>
        <w:rPr>
          <w:rFonts w:ascii="Arial" w:hAnsi="Arial" w:cs="Arial"/>
          <w:sz w:val="22"/>
          <w:szCs w:val="22"/>
        </w:rPr>
      </w:pPr>
    </w:p>
    <w:p w:rsidR="009B4233" w:rsidRDefault="006B08B9">
      <w:pPr>
        <w:pStyle w:val="Ttulo1"/>
        <w:spacing w:after="550"/>
        <w:ind w:right="5"/>
        <w:rPr>
          <w:rFonts w:ascii="Arial" w:hAnsi="Arial" w:cs="Arial"/>
          <w:sz w:val="22"/>
          <w:szCs w:val="22"/>
        </w:rPr>
      </w:pPr>
      <w:r>
        <w:rPr>
          <w:rFonts w:ascii="Arial" w:hAnsi="Arial" w:cs="Arial"/>
          <w:sz w:val="22"/>
          <w:szCs w:val="22"/>
        </w:rPr>
        <w:t>PROPUESTA DE ACUERDO</w:t>
      </w:r>
    </w:p>
    <w:p w:rsidR="009B4233" w:rsidRDefault="006B08B9">
      <w:pPr>
        <w:spacing w:after="199" w:line="228" w:lineRule="auto"/>
        <w:ind w:left="10" w:hanging="10"/>
        <w:jc w:val="both"/>
      </w:pPr>
      <w:r>
        <w:rPr>
          <w:rFonts w:ascii="Arial" w:eastAsia="Calibri" w:hAnsi="Arial" w:cs="Arial"/>
          <w:b/>
          <w:sz w:val="22"/>
          <w:szCs w:val="22"/>
        </w:rPr>
        <w:t xml:space="preserve">ÚNICO.- Requerir a la entidad GESTUR CANARIAS, S.A., para que, en el plazo de veinte </w:t>
      </w:r>
      <w:r>
        <w:rPr>
          <w:rFonts w:ascii="Arial" w:eastAsia="Calibri" w:hAnsi="Arial" w:cs="Arial"/>
          <w:b/>
          <w:sz w:val="22"/>
          <w:szCs w:val="22"/>
        </w:rPr>
        <w:t>días, contados a partir del siguiente al de la recepción del presente requerimiento, presente la documentación que se detalla a continuación, conforme a lo señalado en el informe técnico de fecha 12 de agosto de 2025,  transcrito previamente :</w:t>
      </w:r>
    </w:p>
    <w:p w:rsidR="009B4233" w:rsidRDefault="006B08B9">
      <w:pPr>
        <w:widowControl/>
        <w:numPr>
          <w:ilvl w:val="0"/>
          <w:numId w:val="111"/>
        </w:numPr>
        <w:suppressAutoHyphens w:val="0"/>
        <w:spacing w:after="196" w:line="228" w:lineRule="auto"/>
        <w:ind w:hanging="360"/>
        <w:jc w:val="both"/>
        <w:textAlignment w:val="auto"/>
      </w:pPr>
      <w:r>
        <w:rPr>
          <w:rFonts w:ascii="Arial" w:eastAsia="Calibri" w:hAnsi="Arial" w:cs="Arial"/>
          <w:b/>
          <w:sz w:val="22"/>
          <w:szCs w:val="22"/>
        </w:rPr>
        <w:t>Anejo de acc</w:t>
      </w:r>
      <w:r>
        <w:rPr>
          <w:rFonts w:ascii="Arial" w:eastAsia="Calibri" w:hAnsi="Arial" w:cs="Arial"/>
          <w:b/>
          <w:sz w:val="22"/>
          <w:szCs w:val="22"/>
        </w:rPr>
        <w:t>esibilidad, con justificación normativa y planos adaptados, en atención al grado de afección a los itinerarios peatonales, que representa el 32,53 % del presupuesto.</w:t>
      </w:r>
    </w:p>
    <w:p w:rsidR="009B4233" w:rsidRDefault="006B08B9">
      <w:pPr>
        <w:widowControl/>
        <w:numPr>
          <w:ilvl w:val="0"/>
          <w:numId w:val="111"/>
        </w:numPr>
        <w:suppressAutoHyphens w:val="0"/>
        <w:spacing w:after="118" w:line="228" w:lineRule="auto"/>
        <w:ind w:hanging="360"/>
        <w:jc w:val="both"/>
        <w:textAlignment w:val="auto"/>
      </w:pPr>
      <w:r>
        <w:rPr>
          <w:rFonts w:ascii="Arial" w:eastAsia="Calibri" w:hAnsi="Arial" w:cs="Arial"/>
          <w:b/>
          <w:sz w:val="22"/>
          <w:szCs w:val="22"/>
        </w:rPr>
        <w:t>Anejo de afecciones a servicios de terceros de telecomunicaciones, suministro eléctrico, a</w:t>
      </w:r>
      <w:r>
        <w:rPr>
          <w:rFonts w:ascii="Arial" w:eastAsia="Calibri" w:hAnsi="Arial" w:cs="Arial"/>
          <w:b/>
          <w:sz w:val="22"/>
          <w:szCs w:val="22"/>
        </w:rPr>
        <w:t>bastecimiento y saneamiento, para ser remitido a las empresas suministradoras.</w:t>
      </w:r>
    </w:p>
    <w:p w:rsidR="009B4233" w:rsidRDefault="006B08B9">
      <w:pPr>
        <w:widowControl/>
        <w:numPr>
          <w:ilvl w:val="0"/>
          <w:numId w:val="111"/>
        </w:numPr>
        <w:suppressAutoHyphens w:val="0"/>
        <w:spacing w:after="118" w:line="228" w:lineRule="auto"/>
        <w:ind w:hanging="360"/>
        <w:jc w:val="both"/>
        <w:textAlignment w:val="auto"/>
      </w:pPr>
      <w:r>
        <w:rPr>
          <w:rFonts w:ascii="Arial" w:eastAsia="Calibri" w:hAnsi="Arial" w:cs="Arial"/>
          <w:b/>
          <w:sz w:val="22"/>
          <w:szCs w:val="22"/>
        </w:rPr>
        <w:t>Anejo de estudio de las intersecciones de las vías municipales con las vías de competencia del Cabildo Insular de Tenerife de acuerdo con lo que establece el artículo 48 de la L</w:t>
      </w:r>
      <w:r>
        <w:rPr>
          <w:rFonts w:ascii="Arial" w:eastAsia="Calibri" w:hAnsi="Arial" w:cs="Arial"/>
          <w:b/>
          <w:sz w:val="22"/>
          <w:szCs w:val="22"/>
        </w:rPr>
        <w:t xml:space="preserve">ey 9/1991, de 8 de mayo, de Carreteras de Canarias en relación con lo que dispone el artículo 72 del Reglamento de Carreteras de Canarias, aprobado por Decreto 131/1995, de 11 de mayo, corresponde a los Ayuntamientos el otorgamiento de licencias para usos </w:t>
      </w:r>
      <w:r>
        <w:rPr>
          <w:rFonts w:ascii="Arial" w:eastAsia="Calibri" w:hAnsi="Arial" w:cs="Arial"/>
          <w:b/>
          <w:sz w:val="22"/>
          <w:szCs w:val="22"/>
        </w:rPr>
        <w:t>y obras en las zonas de protección de las carreteras en los tramos de las mismas que discurran por suelo clasificado como urbano, mientras que a este Cabildo Insular, en su calidad de titular de las mismas, le corresponde la emisión de informe preceptivo y</w:t>
      </w:r>
      <w:r>
        <w:rPr>
          <w:rFonts w:ascii="Arial" w:eastAsia="Calibri" w:hAnsi="Arial" w:cs="Arial"/>
          <w:b/>
          <w:sz w:val="22"/>
          <w:szCs w:val="22"/>
        </w:rPr>
        <w:t>, en lo que se refiere a las condiciones técnicas de los accesos, la emisión de informe de carácter vinculante.</w:t>
      </w:r>
    </w:p>
    <w:p w:rsidR="009B4233" w:rsidRDefault="006B08B9">
      <w:pPr>
        <w:widowControl/>
        <w:numPr>
          <w:ilvl w:val="0"/>
          <w:numId w:val="111"/>
        </w:numPr>
        <w:suppressAutoHyphens w:val="0"/>
        <w:spacing w:after="28" w:line="228" w:lineRule="auto"/>
        <w:ind w:hanging="360"/>
        <w:jc w:val="both"/>
        <w:textAlignment w:val="auto"/>
      </w:pPr>
      <w:r>
        <w:rPr>
          <w:rFonts w:ascii="Arial" w:eastAsia="Calibri" w:hAnsi="Arial" w:cs="Arial"/>
          <w:b/>
          <w:sz w:val="22"/>
          <w:szCs w:val="22"/>
        </w:rPr>
        <w:t xml:space="preserve">Anejo de drenaje y régimen hidráulico son los puntos de vertido a Dominio Público </w:t>
      </w:r>
    </w:p>
    <w:p w:rsidR="009B4233" w:rsidRDefault="006B08B9">
      <w:pPr>
        <w:spacing w:after="118" w:line="228" w:lineRule="auto"/>
        <w:ind w:left="730" w:hanging="10"/>
        <w:jc w:val="both"/>
      </w:pPr>
      <w:r>
        <w:rPr>
          <w:rFonts w:ascii="Arial" w:eastAsia="Calibri" w:hAnsi="Arial" w:cs="Arial"/>
          <w:b/>
          <w:sz w:val="22"/>
          <w:szCs w:val="22"/>
        </w:rPr>
        <w:t>Hidráulico que conlleva informe de autorización del Consejo I</w:t>
      </w:r>
      <w:r>
        <w:rPr>
          <w:rFonts w:ascii="Arial" w:eastAsia="Calibri" w:hAnsi="Arial" w:cs="Arial"/>
          <w:b/>
          <w:sz w:val="22"/>
          <w:szCs w:val="22"/>
        </w:rPr>
        <w:t>nsular de Aguas de Tenerife según Decreto 86/2002, de 2 de julio, por el que se aprueba el Reglamento del Dominio Público Hidráulico.</w:t>
      </w:r>
    </w:p>
    <w:p w:rsidR="009B4233" w:rsidRDefault="006B08B9">
      <w:pPr>
        <w:widowControl/>
        <w:numPr>
          <w:ilvl w:val="0"/>
          <w:numId w:val="111"/>
        </w:numPr>
        <w:suppressAutoHyphens w:val="0"/>
        <w:spacing w:after="118" w:line="228" w:lineRule="auto"/>
        <w:ind w:hanging="360"/>
        <w:jc w:val="both"/>
        <w:textAlignment w:val="auto"/>
      </w:pPr>
      <w:r>
        <w:rPr>
          <w:rFonts w:ascii="Arial" w:eastAsia="Calibri" w:hAnsi="Arial" w:cs="Arial"/>
          <w:b/>
          <w:sz w:val="22"/>
          <w:szCs w:val="22"/>
        </w:rPr>
        <w:t>Anejo de cálculo y justificación de la actuación sobre el cambio de ubicación de alumbrado público, sin que conste estudio</w:t>
      </w:r>
      <w:r>
        <w:rPr>
          <w:rFonts w:ascii="Arial" w:eastAsia="Calibri" w:hAnsi="Arial" w:cs="Arial"/>
          <w:b/>
          <w:sz w:val="22"/>
          <w:szCs w:val="22"/>
        </w:rPr>
        <w:t xml:space="preserve"> luminotécnico en el documento entregado ni estado administrativo de los puntos de suministro.</w:t>
      </w:r>
    </w:p>
    <w:p w:rsidR="009B4233" w:rsidRDefault="006B08B9">
      <w:pPr>
        <w:widowControl/>
        <w:numPr>
          <w:ilvl w:val="0"/>
          <w:numId w:val="111"/>
        </w:numPr>
        <w:suppressAutoHyphens w:val="0"/>
        <w:spacing w:after="118" w:line="228" w:lineRule="auto"/>
        <w:ind w:hanging="360"/>
        <w:jc w:val="both"/>
        <w:textAlignment w:val="auto"/>
      </w:pPr>
      <w:r>
        <w:rPr>
          <w:rFonts w:ascii="Arial" w:eastAsia="Calibri" w:hAnsi="Arial" w:cs="Arial"/>
          <w:b/>
          <w:sz w:val="22"/>
          <w:szCs w:val="22"/>
        </w:rPr>
        <w:t>Documento gráfico que refleje la señalización vertical.</w:t>
      </w:r>
    </w:p>
    <w:p w:rsidR="009B4233" w:rsidRDefault="006B08B9">
      <w:pPr>
        <w:widowControl/>
        <w:numPr>
          <w:ilvl w:val="0"/>
          <w:numId w:val="111"/>
        </w:numPr>
        <w:suppressAutoHyphens w:val="0"/>
        <w:spacing w:after="118" w:line="228" w:lineRule="auto"/>
        <w:ind w:hanging="360"/>
        <w:jc w:val="both"/>
        <w:textAlignment w:val="auto"/>
      </w:pPr>
      <w:r>
        <w:rPr>
          <w:rFonts w:ascii="Arial" w:eastAsia="Calibri" w:hAnsi="Arial" w:cs="Arial"/>
          <w:b/>
          <w:sz w:val="22"/>
          <w:szCs w:val="22"/>
        </w:rPr>
        <w:t xml:space="preserve">Se contempla la demolición de los actuales alcorques, pero no se presupuesta trasplante de la vegetación </w:t>
      </w:r>
      <w:r>
        <w:rPr>
          <w:rFonts w:ascii="Arial" w:eastAsia="Calibri" w:hAnsi="Arial" w:cs="Arial"/>
          <w:b/>
          <w:sz w:val="22"/>
          <w:szCs w:val="22"/>
        </w:rPr>
        <w:t>existente.</w:t>
      </w:r>
    </w:p>
    <w:p w:rsidR="009B4233" w:rsidRDefault="006B08B9">
      <w:pPr>
        <w:widowControl/>
        <w:numPr>
          <w:ilvl w:val="0"/>
          <w:numId w:val="111"/>
        </w:numPr>
        <w:suppressAutoHyphens w:val="0"/>
        <w:spacing w:after="370" w:line="228" w:lineRule="auto"/>
        <w:ind w:hanging="360"/>
        <w:jc w:val="both"/>
        <w:textAlignment w:val="auto"/>
      </w:pPr>
      <w:r>
        <w:rPr>
          <w:rFonts w:ascii="Arial" w:eastAsia="Calibri" w:hAnsi="Arial" w:cs="Arial"/>
          <w:b/>
          <w:sz w:val="22"/>
          <w:szCs w:val="22"/>
        </w:rPr>
        <w:t>En el Pliego de Prescripciones Técnicas Particulares debe realizarse la actualización de las disposiciones reglamentarias citadas y derogadas.”</w:t>
      </w: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6B08B9">
      <w:pPr>
        <w:jc w:val="both"/>
        <w:rPr>
          <w:rFonts w:ascii="Arial" w:hAnsi="Arial" w:cs="Arial"/>
          <w:b/>
          <w:sz w:val="22"/>
          <w:szCs w:val="22"/>
        </w:rPr>
      </w:pPr>
      <w:r>
        <w:rPr>
          <w:rFonts w:ascii="Arial" w:hAnsi="Arial" w:cs="Arial"/>
          <w:b/>
          <w:sz w:val="22"/>
          <w:szCs w:val="22"/>
        </w:rPr>
        <w:t xml:space="preserve">DICTAMEN FAVORABLE DE LA COMISIÓN INFORMATIVA DE P.G. URBANÍSTICA Y AMBIENTAL, OBRAS y SERVICIOS </w:t>
      </w:r>
      <w:r>
        <w:rPr>
          <w:rFonts w:ascii="Arial" w:hAnsi="Arial" w:cs="Arial"/>
          <w:b/>
          <w:sz w:val="22"/>
          <w:szCs w:val="22"/>
        </w:rPr>
        <w:t>PÚBLICOS DE 22 DE SEPTIEMBRE DE 2025.</w:t>
      </w:r>
    </w:p>
    <w:p w:rsidR="009B4233" w:rsidRDefault="009B4233">
      <w:pPr>
        <w:rPr>
          <w:rFonts w:ascii="Arial" w:hAnsi="Arial" w:cs="Arial"/>
          <w:sz w:val="22"/>
          <w:szCs w:val="22"/>
        </w:rPr>
      </w:pPr>
    </w:p>
    <w:p w:rsidR="009B4233" w:rsidRDefault="006B08B9">
      <w:pPr>
        <w:rPr>
          <w:rFonts w:ascii="Arial" w:hAnsi="Arial" w:cs="Arial"/>
          <w:sz w:val="22"/>
          <w:szCs w:val="22"/>
        </w:rPr>
      </w:pPr>
      <w:r>
        <w:rPr>
          <w:rFonts w:ascii="Arial" w:hAnsi="Arial" w:cs="Arial"/>
          <w:sz w:val="22"/>
          <w:szCs w:val="22"/>
        </w:rPr>
        <w:t>Votos a favor: 5.</w:t>
      </w:r>
    </w:p>
    <w:p w:rsidR="009B4233" w:rsidRDefault="009B4233">
      <w:pPr>
        <w:jc w:val="both"/>
        <w:rPr>
          <w:rFonts w:ascii="Arial" w:hAnsi="Arial" w:cs="Arial"/>
          <w:sz w:val="22"/>
          <w:szCs w:val="22"/>
        </w:rPr>
      </w:pPr>
    </w:p>
    <w:p w:rsidR="009B4233" w:rsidRDefault="006B08B9">
      <w:pPr>
        <w:jc w:val="both"/>
        <w:rPr>
          <w:rFonts w:ascii="Arial" w:hAnsi="Arial" w:cs="Arial"/>
          <w:sz w:val="22"/>
          <w:szCs w:val="22"/>
        </w:rPr>
      </w:pPr>
      <w:r>
        <w:rPr>
          <w:rFonts w:ascii="Arial" w:hAnsi="Arial" w:cs="Arial"/>
          <w:sz w:val="22"/>
          <w:szCs w:val="22"/>
        </w:rPr>
        <w:t xml:space="preserve">Los 4 concejales del Grupo Socialista: D. Reinaldo José Triviño Blanco, Don Jorge Baute Delgado, Doña Margarita Eva Tendero Barroso y Doña Mónica Montserrat Yanes Delgado. </w:t>
      </w:r>
    </w:p>
    <w:p w:rsidR="009B4233" w:rsidRDefault="009B4233">
      <w:pPr>
        <w:jc w:val="both"/>
        <w:rPr>
          <w:rFonts w:ascii="Arial" w:hAnsi="Arial" w:cs="Arial"/>
          <w:sz w:val="22"/>
          <w:szCs w:val="22"/>
        </w:rPr>
      </w:pPr>
    </w:p>
    <w:p w:rsidR="009B4233" w:rsidRDefault="006B08B9">
      <w:pPr>
        <w:jc w:val="both"/>
        <w:rPr>
          <w:rFonts w:ascii="Arial" w:hAnsi="Arial" w:cs="Arial"/>
          <w:sz w:val="22"/>
          <w:szCs w:val="22"/>
        </w:rPr>
      </w:pPr>
      <w:r>
        <w:rPr>
          <w:rFonts w:ascii="Arial" w:hAnsi="Arial" w:cs="Arial"/>
          <w:sz w:val="22"/>
          <w:szCs w:val="22"/>
        </w:rPr>
        <w:t>1 del concejal del Grupo</w:t>
      </w:r>
      <w:r>
        <w:rPr>
          <w:rFonts w:ascii="Arial" w:hAnsi="Arial" w:cs="Arial"/>
          <w:sz w:val="22"/>
          <w:szCs w:val="22"/>
        </w:rPr>
        <w:t xml:space="preserve"> Mixto (USP): Doña Violeta López Jiménez.</w:t>
      </w:r>
    </w:p>
    <w:p w:rsidR="009B4233" w:rsidRDefault="009B4233">
      <w:pPr>
        <w:jc w:val="both"/>
        <w:rPr>
          <w:rFonts w:ascii="Arial" w:hAnsi="Arial" w:cs="Arial"/>
          <w:sz w:val="22"/>
          <w:szCs w:val="22"/>
        </w:rPr>
      </w:pPr>
    </w:p>
    <w:p w:rsidR="009B4233" w:rsidRDefault="006B08B9">
      <w:pPr>
        <w:jc w:val="both"/>
        <w:rPr>
          <w:rFonts w:ascii="Arial" w:hAnsi="Arial" w:cs="Arial"/>
          <w:sz w:val="22"/>
          <w:szCs w:val="22"/>
        </w:rPr>
      </w:pPr>
      <w:r>
        <w:rPr>
          <w:rFonts w:ascii="Arial" w:hAnsi="Arial" w:cs="Arial"/>
          <w:sz w:val="22"/>
          <w:szCs w:val="22"/>
        </w:rPr>
        <w:t>Votos en contra: 0.</w:t>
      </w:r>
    </w:p>
    <w:p w:rsidR="009B4233" w:rsidRDefault="009B4233">
      <w:pPr>
        <w:jc w:val="both"/>
        <w:rPr>
          <w:rFonts w:ascii="Arial" w:hAnsi="Arial" w:cs="Arial"/>
          <w:sz w:val="22"/>
          <w:szCs w:val="22"/>
        </w:rPr>
      </w:pPr>
    </w:p>
    <w:p w:rsidR="009B4233" w:rsidRDefault="009B4233">
      <w:pPr>
        <w:jc w:val="both"/>
        <w:rPr>
          <w:rFonts w:ascii="Arial" w:hAnsi="Arial" w:cs="Arial"/>
          <w:sz w:val="22"/>
          <w:szCs w:val="22"/>
        </w:rPr>
      </w:pPr>
    </w:p>
    <w:p w:rsidR="009B4233" w:rsidRDefault="006B08B9">
      <w:pPr>
        <w:jc w:val="both"/>
        <w:rPr>
          <w:rFonts w:ascii="Arial" w:hAnsi="Arial" w:cs="Arial"/>
          <w:sz w:val="22"/>
          <w:szCs w:val="22"/>
        </w:rPr>
      </w:pPr>
      <w:r>
        <w:rPr>
          <w:rFonts w:ascii="Arial" w:hAnsi="Arial" w:cs="Arial"/>
          <w:sz w:val="22"/>
          <w:szCs w:val="22"/>
        </w:rPr>
        <w:t>Abstenciones: 1.</w:t>
      </w:r>
    </w:p>
    <w:p w:rsidR="009B4233" w:rsidRDefault="009B4233">
      <w:pPr>
        <w:rPr>
          <w:rFonts w:ascii="Arial" w:hAnsi="Arial" w:cs="Arial"/>
          <w:sz w:val="22"/>
          <w:szCs w:val="22"/>
        </w:rPr>
      </w:pPr>
    </w:p>
    <w:p w:rsidR="009B4233" w:rsidRDefault="006B08B9">
      <w:pPr>
        <w:jc w:val="both"/>
        <w:rPr>
          <w:rFonts w:ascii="Arial" w:hAnsi="Arial" w:cs="Arial"/>
          <w:sz w:val="22"/>
          <w:szCs w:val="22"/>
        </w:rPr>
      </w:pPr>
      <w:r>
        <w:rPr>
          <w:rFonts w:ascii="Arial" w:hAnsi="Arial" w:cs="Arial"/>
          <w:sz w:val="22"/>
          <w:szCs w:val="22"/>
        </w:rPr>
        <w:t>1 concejal del Grupo Popular: D. Jacobo López Fariña.</w:t>
      </w:r>
    </w:p>
    <w:p w:rsidR="009B4233" w:rsidRDefault="009B4233">
      <w:pPr>
        <w:jc w:val="both"/>
        <w:rPr>
          <w:rFonts w:ascii="Arial" w:hAnsi="Arial" w:cs="Arial"/>
          <w:sz w:val="22"/>
          <w:szCs w:val="22"/>
        </w:rPr>
      </w:pPr>
    </w:p>
    <w:p w:rsidR="009B4233" w:rsidRDefault="009B4233">
      <w:pPr>
        <w:pStyle w:val="Textoindependiente"/>
        <w:jc w:val="both"/>
        <w:rPr>
          <w:rFonts w:cs="Arial"/>
          <w:szCs w:val="22"/>
        </w:rPr>
      </w:pPr>
    </w:p>
    <w:p w:rsidR="009B4233" w:rsidRDefault="006B08B9">
      <w:pPr>
        <w:pStyle w:val="Textoindependiente"/>
        <w:jc w:val="both"/>
        <w:rPr>
          <w:rFonts w:cs="Arial"/>
          <w:b/>
          <w:szCs w:val="22"/>
        </w:rPr>
      </w:pPr>
      <w:r>
        <w:rPr>
          <w:rFonts w:cs="Arial"/>
          <w:b/>
          <w:szCs w:val="22"/>
        </w:rPr>
        <w:t>JUNTA DE PORTAVOCES DE 25 DE SEPTIEMBRE DE 2025.</w:t>
      </w:r>
    </w:p>
    <w:p w:rsidR="009B4233" w:rsidRDefault="006B08B9">
      <w:pPr>
        <w:pStyle w:val="Textoindependiente"/>
        <w:jc w:val="both"/>
        <w:rPr>
          <w:rFonts w:cs="Arial"/>
          <w:szCs w:val="22"/>
        </w:rPr>
      </w:pPr>
      <w:r>
        <w:rPr>
          <w:rFonts w:cs="Arial"/>
          <w:szCs w:val="22"/>
        </w:rPr>
        <w:t>Quedó oída.</w:t>
      </w:r>
    </w:p>
    <w:p w:rsidR="009B4233" w:rsidRDefault="009B4233">
      <w:pPr>
        <w:rPr>
          <w:rFonts w:ascii="Arial" w:hAnsi="Arial" w:cs="Arial"/>
          <w:sz w:val="22"/>
          <w:szCs w:val="22"/>
        </w:rPr>
      </w:pPr>
    </w:p>
    <w:p w:rsidR="009B4233" w:rsidRDefault="009B4233">
      <w:pPr>
        <w:rPr>
          <w:rFonts w:ascii="Arial" w:hAnsi="Arial" w:cs="Arial"/>
          <w:sz w:val="22"/>
          <w:szCs w:val="22"/>
        </w:rPr>
      </w:pPr>
    </w:p>
    <w:p w:rsidR="009B4233" w:rsidRDefault="006B08B9">
      <w:r>
        <w:rPr>
          <w:rFonts w:ascii="Arial" w:hAnsi="Arial" w:cs="Arial"/>
          <w:b/>
          <w:sz w:val="22"/>
          <w:szCs w:val="22"/>
        </w:rPr>
        <w:t>VOTACIÓN EN EL PLENO DE 25 DE SEPTIEMBRE DE 2025.</w:t>
      </w:r>
    </w:p>
    <w:p w:rsidR="009B4233" w:rsidRDefault="009B4233">
      <w:pPr>
        <w:ind w:firstLine="709"/>
        <w:jc w:val="both"/>
        <w:rPr>
          <w:rFonts w:ascii="Arial" w:hAnsi="Arial" w:cs="Arial"/>
          <w:sz w:val="22"/>
          <w:szCs w:val="22"/>
        </w:rPr>
      </w:pPr>
    </w:p>
    <w:p w:rsidR="009B4233" w:rsidRDefault="006B08B9">
      <w:pPr>
        <w:ind w:firstLine="709"/>
        <w:jc w:val="both"/>
        <w:rPr>
          <w:rFonts w:ascii="Arial" w:hAnsi="Arial" w:cs="Arial"/>
          <w:sz w:val="22"/>
          <w:szCs w:val="22"/>
        </w:rPr>
      </w:pPr>
      <w:r>
        <w:rPr>
          <w:rFonts w:ascii="Arial" w:hAnsi="Arial" w:cs="Arial"/>
          <w:sz w:val="22"/>
          <w:szCs w:val="22"/>
        </w:rPr>
        <w:t>Votos a favor: La unanimidad de los 20 concejales presentes:</w:t>
      </w:r>
    </w:p>
    <w:p w:rsidR="009B4233" w:rsidRDefault="009B4233">
      <w:pPr>
        <w:jc w:val="both"/>
        <w:rPr>
          <w:rFonts w:ascii="Arial" w:hAnsi="Arial" w:cs="Arial"/>
          <w:sz w:val="22"/>
          <w:szCs w:val="22"/>
        </w:rPr>
      </w:pPr>
    </w:p>
    <w:p w:rsidR="009B4233" w:rsidRDefault="006B08B9">
      <w:pPr>
        <w:ind w:firstLine="709"/>
        <w:jc w:val="both"/>
        <w:rPr>
          <w:rFonts w:ascii="Arial" w:hAnsi="Arial" w:cs="Arial"/>
          <w:sz w:val="22"/>
          <w:szCs w:val="22"/>
        </w:rPr>
      </w:pPr>
      <w:r>
        <w:rPr>
          <w:rFonts w:ascii="Arial" w:hAnsi="Arial" w:cs="Arial"/>
          <w:sz w:val="22"/>
          <w:szCs w:val="22"/>
        </w:rPr>
        <w:t>11 concejales del Grupo Socialista: Doña María Concepción Brito Núñez, Don Jorge Baute Delgado, Don José Francisco Pinto Ramos, Doña Olivia Concepción Pérez Díaz, Don Reinaldo José Triviño Blanc</w:t>
      </w:r>
      <w:r>
        <w:rPr>
          <w:rFonts w:ascii="Arial" w:hAnsi="Arial" w:cs="Arial"/>
          <w:sz w:val="22"/>
          <w:szCs w:val="22"/>
        </w:rPr>
        <w:t xml:space="preserve">o, Don Manuel Alberto González Pestano, Doña Margarita Eva Tendero Barroso, Don Airam Pérez Chinea, Doña María del Carmen Clemente Díaz, Don Olegario Francisco Alonso Bello, Doña Mónica Monserrat Yanes Delgado. </w:t>
      </w:r>
    </w:p>
    <w:p w:rsidR="009B4233" w:rsidRDefault="009B4233">
      <w:pPr>
        <w:jc w:val="both"/>
        <w:rPr>
          <w:rFonts w:ascii="Arial" w:hAnsi="Arial" w:cs="Arial"/>
          <w:sz w:val="22"/>
          <w:szCs w:val="22"/>
        </w:rPr>
      </w:pPr>
    </w:p>
    <w:p w:rsidR="009B4233" w:rsidRDefault="006B08B9">
      <w:pPr>
        <w:ind w:firstLine="709"/>
        <w:jc w:val="both"/>
        <w:rPr>
          <w:rFonts w:ascii="Arial" w:hAnsi="Arial" w:cs="Arial"/>
          <w:sz w:val="22"/>
          <w:szCs w:val="22"/>
        </w:rPr>
      </w:pPr>
      <w:r>
        <w:rPr>
          <w:rFonts w:ascii="Arial" w:hAnsi="Arial" w:cs="Arial"/>
          <w:sz w:val="22"/>
          <w:szCs w:val="22"/>
        </w:rPr>
        <w:t xml:space="preserve">5 concejales del Grupo Popular: Don Jacobo </w:t>
      </w:r>
      <w:r>
        <w:rPr>
          <w:rFonts w:ascii="Arial" w:hAnsi="Arial" w:cs="Arial"/>
          <w:sz w:val="22"/>
          <w:szCs w:val="22"/>
        </w:rPr>
        <w:t xml:space="preserve">López Fariña, Don Miguel Eduardo Hernández Chitty, Doña María Carlota Díaz González, Don José Daniel Sosa González, y Doña Shaila Castellano Batista. </w:t>
      </w:r>
    </w:p>
    <w:p w:rsidR="009B4233" w:rsidRDefault="009B4233">
      <w:pPr>
        <w:jc w:val="both"/>
        <w:rPr>
          <w:rFonts w:ascii="Arial" w:hAnsi="Arial" w:cs="Arial"/>
          <w:sz w:val="22"/>
          <w:szCs w:val="22"/>
        </w:rPr>
      </w:pPr>
    </w:p>
    <w:p w:rsidR="009B4233" w:rsidRDefault="006B08B9">
      <w:pPr>
        <w:ind w:firstLine="709"/>
        <w:jc w:val="both"/>
      </w:pPr>
      <w:r>
        <w:rPr>
          <w:rFonts w:ascii="Arial" w:hAnsi="Arial" w:cs="Arial"/>
          <w:sz w:val="22"/>
          <w:szCs w:val="22"/>
        </w:rPr>
        <w:t>4 concejales del Grupo Mixto: Doña Ángela Cruz Perera Armas y Don José Yeray Padilla Cruz (CC), Don José</w:t>
      </w:r>
      <w:r>
        <w:rPr>
          <w:rFonts w:ascii="Arial" w:hAnsi="Arial" w:cs="Arial"/>
          <w:sz w:val="22"/>
          <w:szCs w:val="22"/>
        </w:rPr>
        <w:t xml:space="preserve"> Tortosa Pallarés (VOX) y Doña Violeta López Jiménez (USP).</w:t>
      </w:r>
    </w:p>
    <w:p w:rsidR="009B4233" w:rsidRDefault="006B08B9">
      <w:pPr>
        <w:jc w:val="both"/>
        <w:rPr>
          <w:rFonts w:ascii="Arial" w:hAnsi="Arial" w:cs="Arial"/>
          <w:b/>
          <w:sz w:val="22"/>
          <w:szCs w:val="22"/>
        </w:rPr>
      </w:pPr>
      <w:r>
        <w:rPr>
          <w:rFonts w:ascii="Arial" w:hAnsi="Arial" w:cs="Arial"/>
          <w:b/>
          <w:sz w:val="22"/>
          <w:szCs w:val="22"/>
        </w:rPr>
        <w:t xml:space="preserve">                          </w:t>
      </w:r>
    </w:p>
    <w:p w:rsidR="009B4233" w:rsidRDefault="009B4233">
      <w:pPr>
        <w:pStyle w:val="Textoindependiente"/>
        <w:ind w:left="709" w:firstLine="709"/>
        <w:rPr>
          <w:rFonts w:cs="Arial"/>
          <w:b/>
          <w:szCs w:val="22"/>
        </w:rPr>
      </w:pPr>
    </w:p>
    <w:p w:rsidR="009B4233" w:rsidRDefault="009B4233">
      <w:pPr>
        <w:pStyle w:val="Textoindependiente"/>
        <w:ind w:left="709" w:firstLine="709"/>
        <w:rPr>
          <w:rFonts w:cs="Arial"/>
          <w:b/>
          <w:szCs w:val="22"/>
        </w:rPr>
      </w:pPr>
    </w:p>
    <w:p w:rsidR="009B4233" w:rsidRDefault="009B4233">
      <w:pPr>
        <w:pStyle w:val="Textoindependiente"/>
        <w:ind w:left="709" w:firstLine="709"/>
        <w:rPr>
          <w:rFonts w:cs="Arial"/>
          <w:b/>
          <w:szCs w:val="22"/>
        </w:rPr>
      </w:pPr>
    </w:p>
    <w:p w:rsidR="009B4233" w:rsidRDefault="009B4233">
      <w:pPr>
        <w:pStyle w:val="Textoindependiente"/>
        <w:ind w:left="709" w:firstLine="709"/>
        <w:rPr>
          <w:rFonts w:cs="Arial"/>
          <w:b/>
          <w:szCs w:val="22"/>
        </w:rPr>
      </w:pPr>
    </w:p>
    <w:p w:rsidR="009B4233" w:rsidRDefault="009B4233">
      <w:pPr>
        <w:pStyle w:val="Textoindependiente"/>
        <w:ind w:left="709" w:firstLine="709"/>
        <w:rPr>
          <w:rFonts w:cs="Arial"/>
          <w:b/>
          <w:szCs w:val="22"/>
        </w:rPr>
      </w:pPr>
    </w:p>
    <w:p w:rsidR="009B4233" w:rsidRDefault="009B4233">
      <w:pPr>
        <w:pStyle w:val="Textoindependiente"/>
        <w:ind w:left="709" w:firstLine="709"/>
        <w:rPr>
          <w:rFonts w:cs="Arial"/>
          <w:b/>
          <w:szCs w:val="22"/>
        </w:rPr>
      </w:pPr>
    </w:p>
    <w:p w:rsidR="009B4233" w:rsidRDefault="009B4233">
      <w:pPr>
        <w:pStyle w:val="Textoindependiente"/>
        <w:ind w:left="709" w:firstLine="709"/>
        <w:rPr>
          <w:rFonts w:cs="Arial"/>
          <w:b/>
          <w:szCs w:val="22"/>
        </w:rPr>
      </w:pPr>
    </w:p>
    <w:p w:rsidR="009B4233" w:rsidRDefault="006B08B9">
      <w:pPr>
        <w:pStyle w:val="Textoindependiente"/>
        <w:ind w:left="709" w:firstLine="709"/>
        <w:rPr>
          <w:rFonts w:cs="Arial"/>
          <w:b/>
          <w:szCs w:val="22"/>
        </w:rPr>
      </w:pPr>
      <w:r>
        <w:rPr>
          <w:rFonts w:cs="Arial"/>
          <w:b/>
          <w:szCs w:val="22"/>
        </w:rPr>
        <w:t>ACUERDO DEL PLENO DE 25 DE SEPTIEMBRE DE 2025.</w:t>
      </w:r>
    </w:p>
    <w:p w:rsidR="009B4233" w:rsidRDefault="009B4233">
      <w:pPr>
        <w:jc w:val="both"/>
        <w:rPr>
          <w:rFonts w:ascii="Arial" w:hAnsi="Arial" w:cs="Arial"/>
          <w:b/>
          <w:sz w:val="22"/>
          <w:szCs w:val="22"/>
        </w:rPr>
      </w:pPr>
    </w:p>
    <w:p w:rsidR="009B4233" w:rsidRDefault="006B08B9">
      <w:pPr>
        <w:spacing w:after="199" w:line="228" w:lineRule="auto"/>
        <w:ind w:left="10" w:hanging="10"/>
        <w:jc w:val="both"/>
      </w:pPr>
      <w:r>
        <w:rPr>
          <w:rFonts w:ascii="Arial" w:eastAsia="Calibri" w:hAnsi="Arial" w:cs="Arial"/>
          <w:b/>
          <w:sz w:val="22"/>
          <w:szCs w:val="22"/>
        </w:rPr>
        <w:t xml:space="preserve">ÚNICO. - Requerir a la entidad GESTUR CANARIAS, S.A., para que, en el plazo de veinte días, contados a partir del </w:t>
      </w:r>
      <w:r>
        <w:rPr>
          <w:rFonts w:ascii="Arial" w:eastAsia="Calibri" w:hAnsi="Arial" w:cs="Arial"/>
          <w:b/>
          <w:sz w:val="22"/>
          <w:szCs w:val="22"/>
        </w:rPr>
        <w:t>siguiente al de la recepción del presente requerimiento, presente la documentación que se detalla a continuación, conforme a lo señalado en el informe técnico de fecha 12 de agosto de 2025,  transcrito previamente :</w:t>
      </w:r>
    </w:p>
    <w:p w:rsidR="009B4233" w:rsidRDefault="006B08B9">
      <w:pPr>
        <w:widowControl/>
        <w:numPr>
          <w:ilvl w:val="0"/>
          <w:numId w:val="112"/>
        </w:numPr>
        <w:suppressAutoHyphens w:val="0"/>
        <w:spacing w:after="196" w:line="228" w:lineRule="auto"/>
        <w:ind w:hanging="360"/>
        <w:jc w:val="both"/>
        <w:textAlignment w:val="auto"/>
      </w:pPr>
      <w:r>
        <w:rPr>
          <w:rFonts w:ascii="Arial" w:eastAsia="Calibri" w:hAnsi="Arial" w:cs="Arial"/>
          <w:b/>
          <w:sz w:val="22"/>
          <w:szCs w:val="22"/>
        </w:rPr>
        <w:t>Anejo de accesibilidad, con justificació</w:t>
      </w:r>
      <w:r>
        <w:rPr>
          <w:rFonts w:ascii="Arial" w:eastAsia="Calibri" w:hAnsi="Arial" w:cs="Arial"/>
          <w:b/>
          <w:sz w:val="22"/>
          <w:szCs w:val="22"/>
        </w:rPr>
        <w:t>n normativa y planos adaptados, en atención al grado de afección a los itinerarios peatonales, que representa el 32,53 % del presupuesto.</w:t>
      </w:r>
    </w:p>
    <w:p w:rsidR="009B4233" w:rsidRDefault="006B08B9">
      <w:pPr>
        <w:widowControl/>
        <w:numPr>
          <w:ilvl w:val="0"/>
          <w:numId w:val="112"/>
        </w:numPr>
        <w:suppressAutoHyphens w:val="0"/>
        <w:spacing w:after="118" w:line="228" w:lineRule="auto"/>
        <w:ind w:hanging="360"/>
        <w:jc w:val="both"/>
        <w:textAlignment w:val="auto"/>
      </w:pPr>
      <w:r>
        <w:rPr>
          <w:rFonts w:ascii="Arial" w:eastAsia="Calibri" w:hAnsi="Arial" w:cs="Arial"/>
          <w:b/>
          <w:sz w:val="22"/>
          <w:szCs w:val="22"/>
        </w:rPr>
        <w:t>Anejo de afecciones a servicios de terceros de telecomunicaciones, suministro eléctrico, abastecimiento y saneamiento,</w:t>
      </w:r>
      <w:r>
        <w:rPr>
          <w:rFonts w:ascii="Arial" w:eastAsia="Calibri" w:hAnsi="Arial" w:cs="Arial"/>
          <w:b/>
          <w:sz w:val="22"/>
          <w:szCs w:val="22"/>
        </w:rPr>
        <w:t xml:space="preserve"> para ser remitido a las empresas suministradoras.</w:t>
      </w:r>
    </w:p>
    <w:p w:rsidR="009B4233" w:rsidRDefault="006B08B9">
      <w:pPr>
        <w:widowControl/>
        <w:numPr>
          <w:ilvl w:val="0"/>
          <w:numId w:val="112"/>
        </w:numPr>
        <w:suppressAutoHyphens w:val="0"/>
        <w:spacing w:after="118" w:line="228" w:lineRule="auto"/>
        <w:ind w:hanging="360"/>
        <w:jc w:val="both"/>
        <w:textAlignment w:val="auto"/>
      </w:pPr>
      <w:r>
        <w:rPr>
          <w:rFonts w:ascii="Arial" w:eastAsia="Calibri" w:hAnsi="Arial" w:cs="Arial"/>
          <w:b/>
          <w:sz w:val="22"/>
          <w:szCs w:val="22"/>
        </w:rPr>
        <w:t xml:space="preserve">Anejo de estudio de las intersecciones de las vías municipales con las vías de competencia del Cabildo Insular de Tenerife de acuerdo con lo que establece el artículo 48 de la Ley 9/1991, de 8 de mayo, de </w:t>
      </w:r>
      <w:r>
        <w:rPr>
          <w:rFonts w:ascii="Arial" w:eastAsia="Calibri" w:hAnsi="Arial" w:cs="Arial"/>
          <w:b/>
          <w:sz w:val="22"/>
          <w:szCs w:val="22"/>
        </w:rPr>
        <w:t>Carreteras de Canarias en relación con lo que dispone el artículo 72 del Reglamento de Carreteras de Canarias, aprobado por Decreto 131/1995, de 11 de mayo, corresponde a los Ayuntamientos el otorgamiento de licencias para usos y obras en las zonas de prot</w:t>
      </w:r>
      <w:r>
        <w:rPr>
          <w:rFonts w:ascii="Arial" w:eastAsia="Calibri" w:hAnsi="Arial" w:cs="Arial"/>
          <w:b/>
          <w:sz w:val="22"/>
          <w:szCs w:val="22"/>
        </w:rPr>
        <w:t>ección de las carreteras en los tramos de las mismas que discurran por suelo clasificado como urbano, mientras que a este Cabildo Insular, en su calidad de titular de las mismas, le corresponde la emisión de informe preceptivo y, en lo que se refiere a las</w:t>
      </w:r>
      <w:r>
        <w:rPr>
          <w:rFonts w:ascii="Arial" w:eastAsia="Calibri" w:hAnsi="Arial" w:cs="Arial"/>
          <w:b/>
          <w:sz w:val="22"/>
          <w:szCs w:val="22"/>
        </w:rPr>
        <w:t xml:space="preserve"> condiciones técnicas de los accesos, la emisión de informe de carácter vinculante.</w:t>
      </w:r>
    </w:p>
    <w:p w:rsidR="009B4233" w:rsidRDefault="006B08B9">
      <w:pPr>
        <w:widowControl/>
        <w:numPr>
          <w:ilvl w:val="0"/>
          <w:numId w:val="112"/>
        </w:numPr>
        <w:suppressAutoHyphens w:val="0"/>
        <w:spacing w:after="28" w:line="228" w:lineRule="auto"/>
        <w:ind w:hanging="360"/>
        <w:jc w:val="both"/>
        <w:textAlignment w:val="auto"/>
      </w:pPr>
      <w:r>
        <w:rPr>
          <w:rFonts w:ascii="Arial" w:eastAsia="Calibri" w:hAnsi="Arial" w:cs="Arial"/>
          <w:b/>
          <w:sz w:val="22"/>
          <w:szCs w:val="22"/>
        </w:rPr>
        <w:t xml:space="preserve">Anejo de drenaje y régimen hidráulico son los puntos de vertido a Dominio Público </w:t>
      </w:r>
    </w:p>
    <w:p w:rsidR="009B4233" w:rsidRDefault="006B08B9">
      <w:pPr>
        <w:spacing w:after="118" w:line="228" w:lineRule="auto"/>
        <w:ind w:left="730" w:hanging="10"/>
        <w:jc w:val="both"/>
      </w:pPr>
      <w:r>
        <w:rPr>
          <w:rFonts w:ascii="Arial" w:eastAsia="Calibri" w:hAnsi="Arial" w:cs="Arial"/>
          <w:b/>
          <w:sz w:val="22"/>
          <w:szCs w:val="22"/>
        </w:rPr>
        <w:t xml:space="preserve">Hidráulico que conlleva informe de autorización del Consejo Insular de Aguas de Tenerife </w:t>
      </w:r>
      <w:r>
        <w:rPr>
          <w:rFonts w:ascii="Arial" w:eastAsia="Calibri" w:hAnsi="Arial" w:cs="Arial"/>
          <w:b/>
          <w:sz w:val="22"/>
          <w:szCs w:val="22"/>
        </w:rPr>
        <w:t>según Decreto 86/2002, de 2 de julio, por el que se aprueba el Reglamento del Dominio Público Hidráulico.</w:t>
      </w:r>
    </w:p>
    <w:p w:rsidR="009B4233" w:rsidRDefault="006B08B9">
      <w:pPr>
        <w:widowControl/>
        <w:numPr>
          <w:ilvl w:val="0"/>
          <w:numId w:val="112"/>
        </w:numPr>
        <w:suppressAutoHyphens w:val="0"/>
        <w:spacing w:after="118" w:line="228" w:lineRule="auto"/>
        <w:ind w:hanging="360"/>
        <w:jc w:val="both"/>
        <w:textAlignment w:val="auto"/>
      </w:pPr>
      <w:r>
        <w:rPr>
          <w:rFonts w:ascii="Arial" w:eastAsia="Calibri" w:hAnsi="Arial" w:cs="Arial"/>
          <w:b/>
          <w:sz w:val="22"/>
          <w:szCs w:val="22"/>
        </w:rPr>
        <w:t>Anejo de cálculo y justificación de la actuación sobre el cambio de ubicación de alumbrado público, sin que conste estudio luminotécnico en el documen</w:t>
      </w:r>
      <w:r>
        <w:rPr>
          <w:rFonts w:ascii="Arial" w:eastAsia="Calibri" w:hAnsi="Arial" w:cs="Arial"/>
          <w:b/>
          <w:sz w:val="22"/>
          <w:szCs w:val="22"/>
        </w:rPr>
        <w:t>to entregado ni estado administrativo de los puntos de suministro.</w:t>
      </w:r>
    </w:p>
    <w:p w:rsidR="009B4233" w:rsidRDefault="006B08B9">
      <w:pPr>
        <w:widowControl/>
        <w:numPr>
          <w:ilvl w:val="0"/>
          <w:numId w:val="112"/>
        </w:numPr>
        <w:suppressAutoHyphens w:val="0"/>
        <w:spacing w:after="118" w:line="228" w:lineRule="auto"/>
        <w:ind w:hanging="360"/>
        <w:jc w:val="both"/>
        <w:textAlignment w:val="auto"/>
      </w:pPr>
      <w:r>
        <w:rPr>
          <w:rFonts w:ascii="Arial" w:eastAsia="Calibri" w:hAnsi="Arial" w:cs="Arial"/>
          <w:b/>
          <w:sz w:val="22"/>
          <w:szCs w:val="22"/>
        </w:rPr>
        <w:t>Documento gráfico que refleje la señalización vertical.</w:t>
      </w:r>
    </w:p>
    <w:p w:rsidR="009B4233" w:rsidRDefault="006B08B9">
      <w:pPr>
        <w:widowControl/>
        <w:numPr>
          <w:ilvl w:val="0"/>
          <w:numId w:val="112"/>
        </w:numPr>
        <w:suppressAutoHyphens w:val="0"/>
        <w:spacing w:after="118" w:line="228" w:lineRule="auto"/>
        <w:ind w:hanging="360"/>
        <w:jc w:val="both"/>
        <w:textAlignment w:val="auto"/>
      </w:pPr>
      <w:r>
        <w:rPr>
          <w:rFonts w:ascii="Arial" w:eastAsia="Calibri" w:hAnsi="Arial" w:cs="Arial"/>
          <w:b/>
          <w:sz w:val="22"/>
          <w:szCs w:val="22"/>
        </w:rPr>
        <w:t>Se contempla la demolición de los actuales alcorques, pero no se presupuesta trasplante de la vegetación existente.</w:t>
      </w:r>
    </w:p>
    <w:p w:rsidR="009B4233" w:rsidRDefault="006B08B9">
      <w:pPr>
        <w:jc w:val="both"/>
      </w:pPr>
      <w:r>
        <w:rPr>
          <w:rFonts w:ascii="Arial" w:eastAsia="Calibri" w:hAnsi="Arial" w:cs="Arial"/>
          <w:b/>
          <w:sz w:val="22"/>
          <w:szCs w:val="22"/>
        </w:rPr>
        <w:t>En el Pliego de P</w:t>
      </w:r>
      <w:r>
        <w:rPr>
          <w:rFonts w:ascii="Arial" w:eastAsia="Calibri" w:hAnsi="Arial" w:cs="Arial"/>
          <w:b/>
          <w:sz w:val="22"/>
          <w:szCs w:val="22"/>
        </w:rPr>
        <w:t>rescripciones Técnicas Particulares debe realizarse la actualización de las disposiciones reglamentarias citadas y derogadas.</w:t>
      </w:r>
    </w:p>
    <w:p w:rsidR="009B4233" w:rsidRDefault="009B4233">
      <w:pPr>
        <w:jc w:val="both"/>
        <w:rPr>
          <w:rFonts w:ascii="Arial" w:hAnsi="Arial" w:cs="Arial"/>
          <w:b/>
          <w:sz w:val="22"/>
          <w:szCs w:val="22"/>
        </w:rPr>
      </w:pPr>
    </w:p>
    <w:p w:rsidR="009B4233" w:rsidRDefault="009B4233">
      <w:pPr>
        <w:spacing w:after="30" w:line="218" w:lineRule="auto"/>
        <w:ind w:left="9" w:hanging="8"/>
        <w:jc w:val="both"/>
        <w:rPr>
          <w:rFonts w:ascii="Arial" w:eastAsia="Calibri" w:hAnsi="Arial" w:cs="Arial"/>
          <w:b/>
          <w:sz w:val="22"/>
          <w:szCs w:val="22"/>
        </w:rPr>
      </w:pPr>
    </w:p>
    <w:p w:rsidR="009B4233" w:rsidRDefault="009B4233">
      <w:pPr>
        <w:spacing w:after="30" w:line="218" w:lineRule="auto"/>
        <w:ind w:left="9" w:hanging="8"/>
        <w:jc w:val="both"/>
        <w:rPr>
          <w:rFonts w:ascii="Arial" w:hAnsi="Arial" w:cs="Arial"/>
          <w:b/>
          <w:sz w:val="22"/>
          <w:szCs w:val="22"/>
        </w:rPr>
      </w:pPr>
    </w:p>
    <w:p w:rsidR="009B4233" w:rsidRDefault="006B08B9">
      <w:pPr>
        <w:jc w:val="both"/>
        <w:rPr>
          <w:rFonts w:ascii="Arial" w:hAnsi="Arial" w:cs="Arial"/>
          <w:b/>
        </w:rPr>
      </w:pPr>
      <w:r>
        <w:rPr>
          <w:rFonts w:ascii="Arial" w:hAnsi="Arial" w:cs="Arial"/>
          <w:b/>
        </w:rPr>
        <w:t>11.- Expediente 8984/2025. Moción del Partido Popular con registro de entrada nº (2025-E-RE-8096) del 16 de septiembre de 2025,</w:t>
      </w:r>
      <w:r>
        <w:rPr>
          <w:rFonts w:ascii="Arial" w:hAnsi="Arial" w:cs="Arial"/>
          <w:b/>
        </w:rPr>
        <w:t xml:space="preserve"> para la implantación de una bolsa de voluntariado municipal para la protección y cuidado de animales en el municipio de Candelaria.</w:t>
      </w:r>
    </w:p>
    <w:p w:rsidR="009B4233" w:rsidRDefault="009B4233">
      <w:pPr>
        <w:jc w:val="both"/>
        <w:rPr>
          <w:rFonts w:ascii="Arial" w:hAnsi="Arial" w:cs="Arial"/>
          <w:b/>
        </w:rPr>
      </w:pPr>
    </w:p>
    <w:p w:rsidR="009B4233" w:rsidRDefault="009B4233">
      <w:pPr>
        <w:jc w:val="both"/>
        <w:rPr>
          <w:rFonts w:ascii="Arial" w:hAnsi="Arial" w:cs="Arial"/>
          <w:b/>
          <w:sz w:val="22"/>
          <w:szCs w:val="22"/>
        </w:rPr>
      </w:pPr>
    </w:p>
    <w:p w:rsidR="009B4233" w:rsidRDefault="006B08B9">
      <w:pPr>
        <w:jc w:val="both"/>
        <w:rPr>
          <w:rFonts w:ascii="Arial" w:hAnsi="Arial" w:cs="Arial"/>
          <w:b/>
          <w:sz w:val="22"/>
          <w:szCs w:val="22"/>
        </w:rPr>
      </w:pPr>
      <w:r>
        <w:rPr>
          <w:rFonts w:ascii="Arial" w:hAnsi="Arial" w:cs="Arial"/>
          <w:b/>
          <w:sz w:val="22"/>
          <w:szCs w:val="22"/>
        </w:rPr>
        <w:t>Consta en el expediente electrónico la referida moción que se inserta literalmente:</w:t>
      </w: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6B08B9">
      <w:pPr>
        <w:jc w:val="both"/>
      </w:pPr>
      <w:r>
        <w:rPr>
          <w:rFonts w:ascii="Arial" w:hAnsi="Arial" w:cs="Arial"/>
          <w:noProof/>
          <w:sz w:val="22"/>
          <w:szCs w:val="22"/>
          <w:lang w:eastAsia="es-ES" w:bidi="ar-SA"/>
        </w:rPr>
        <w:drawing>
          <wp:anchor distT="0" distB="0" distL="114300" distR="114300" simplePos="0" relativeHeight="251662848" behindDoc="0" locked="0" layoutInCell="1" allowOverlap="1">
            <wp:simplePos x="0" y="0"/>
            <wp:positionH relativeFrom="page">
              <wp:posOffset>1082677</wp:posOffset>
            </wp:positionH>
            <wp:positionV relativeFrom="page">
              <wp:posOffset>6678933</wp:posOffset>
            </wp:positionV>
            <wp:extent cx="2324103" cy="514350"/>
            <wp:effectExtent l="0" t="0" r="0" b="0"/>
            <wp:wrapSquare wrapText="bothSides"/>
            <wp:docPr id="128" name="Imagen 469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rcRect/>
                    <a:stretch>
                      <a:fillRect/>
                    </a:stretch>
                  </pic:blipFill>
                  <pic:spPr>
                    <a:xfrm>
                      <a:off x="0" y="0"/>
                      <a:ext cx="2324103" cy="514350"/>
                    </a:xfrm>
                    <a:prstGeom prst="rect">
                      <a:avLst/>
                    </a:prstGeom>
                    <a:noFill/>
                    <a:ln>
                      <a:noFill/>
                      <a:prstDash/>
                    </a:ln>
                  </pic:spPr>
                </pic:pic>
              </a:graphicData>
            </a:graphic>
          </wp:anchor>
        </w:drawing>
      </w: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6B08B9">
      <w:pPr>
        <w:spacing w:after="138" w:line="249" w:lineRule="auto"/>
        <w:jc w:val="center"/>
      </w:pPr>
      <w:r>
        <w:rPr>
          <w:rFonts w:ascii="Arial" w:eastAsia="Arial" w:hAnsi="Arial" w:cs="Arial"/>
          <w:b/>
          <w:i/>
          <w:sz w:val="22"/>
          <w:szCs w:val="22"/>
          <w:u w:val="single" w:color="000000"/>
        </w:rPr>
        <w:t xml:space="preserve">“MOCIÓN GRUPO MUNICIPAL </w:t>
      </w:r>
      <w:r>
        <w:rPr>
          <w:rFonts w:ascii="Arial" w:eastAsia="Arial" w:hAnsi="Arial" w:cs="Arial"/>
          <w:b/>
          <w:i/>
          <w:sz w:val="22"/>
          <w:szCs w:val="22"/>
          <w:u w:val="single" w:color="000000"/>
        </w:rPr>
        <w:t>POPULAR</w:t>
      </w:r>
      <w:r>
        <w:rPr>
          <w:rFonts w:ascii="Arial" w:eastAsia="Arial" w:hAnsi="Arial" w:cs="Arial"/>
          <w:b/>
          <w:i/>
          <w:sz w:val="22"/>
          <w:szCs w:val="22"/>
        </w:rPr>
        <w:t xml:space="preserve"> </w:t>
      </w:r>
    </w:p>
    <w:p w:rsidR="009B4233" w:rsidRDefault="006B08B9">
      <w:pPr>
        <w:spacing w:after="138" w:line="249" w:lineRule="auto"/>
      </w:pPr>
      <w:r>
        <w:rPr>
          <w:rFonts w:ascii="Arial" w:eastAsia="Arial" w:hAnsi="Arial" w:cs="Arial"/>
          <w:b/>
          <w:i/>
          <w:sz w:val="22"/>
          <w:szCs w:val="22"/>
        </w:rPr>
        <w:t xml:space="preserve"> </w:t>
      </w:r>
    </w:p>
    <w:p w:rsidR="009B4233" w:rsidRDefault="006B08B9">
      <w:pPr>
        <w:ind w:firstLine="720"/>
        <w:jc w:val="both"/>
        <w:rPr>
          <w:rFonts w:ascii="Arial" w:hAnsi="Arial" w:cs="Arial"/>
          <w:sz w:val="22"/>
          <w:szCs w:val="22"/>
        </w:rPr>
      </w:pPr>
      <w:r>
        <w:rPr>
          <w:rFonts w:ascii="Arial" w:hAnsi="Arial" w:cs="Arial"/>
          <w:sz w:val="22"/>
          <w:szCs w:val="22"/>
        </w:rPr>
        <w:t>D. JACOBO LÓPEZ FARIÑA, con DNI ***0776**, en calidad de portavoz del Grupo Municipal Partido Popular (PP), conforme establece el artículo 97.3 del Reglamento de Organización, Funcionamiento y Régimen Jurídico de las Entidades</w:t>
      </w:r>
    </w:p>
    <w:p w:rsidR="009B4233" w:rsidRDefault="006B08B9">
      <w:pPr>
        <w:spacing w:after="160"/>
        <w:ind w:left="-5"/>
        <w:jc w:val="both"/>
      </w:pPr>
      <w:r>
        <w:rPr>
          <w:rFonts w:ascii="Arial" w:hAnsi="Arial" w:cs="Arial"/>
          <w:sz w:val="22"/>
          <w:szCs w:val="22"/>
        </w:rPr>
        <w:t xml:space="preserve">Locales, aprobado </w:t>
      </w:r>
      <w:r>
        <w:rPr>
          <w:rFonts w:ascii="Arial" w:hAnsi="Arial" w:cs="Arial"/>
          <w:sz w:val="22"/>
          <w:szCs w:val="22"/>
        </w:rPr>
        <w:t xml:space="preserve">por R.D. 2568/1986, de 28 de noviembre, presenta: </w:t>
      </w:r>
      <w:r>
        <w:rPr>
          <w:rFonts w:ascii="Arial" w:eastAsia="Arial" w:hAnsi="Arial" w:cs="Arial"/>
          <w:b/>
          <w:sz w:val="22"/>
          <w:szCs w:val="22"/>
        </w:rPr>
        <w:t>MOCIÓN PARA LA IMPLANTACIÓN DE UNA BOLSA DE VOLUNTARIADO MUNICIPAL PARA LA PROTECCIÓN Y CUIDADO DE ANIMALES EN EL MUNICIPIO DE CANDELARIA.</w:t>
      </w:r>
    </w:p>
    <w:p w:rsidR="009B4233" w:rsidRDefault="009B4233">
      <w:pPr>
        <w:spacing w:after="160"/>
        <w:ind w:left="-5"/>
        <w:jc w:val="both"/>
        <w:rPr>
          <w:rFonts w:ascii="Arial" w:hAnsi="Arial" w:cs="Arial"/>
          <w:sz w:val="22"/>
          <w:szCs w:val="22"/>
        </w:rPr>
      </w:pPr>
    </w:p>
    <w:p w:rsidR="009B4233" w:rsidRDefault="006B08B9">
      <w:pPr>
        <w:spacing w:after="384" w:line="249" w:lineRule="auto"/>
        <w:rPr>
          <w:rFonts w:ascii="Arial" w:hAnsi="Arial" w:cs="Arial"/>
          <w:sz w:val="22"/>
          <w:szCs w:val="22"/>
        </w:rPr>
      </w:pPr>
      <w:r>
        <w:rPr>
          <w:rFonts w:ascii="Arial" w:hAnsi="Arial" w:cs="Arial"/>
          <w:sz w:val="22"/>
          <w:szCs w:val="22"/>
        </w:rPr>
        <w:t xml:space="preserve"> </w:t>
      </w:r>
    </w:p>
    <w:p w:rsidR="009B4233" w:rsidRDefault="006B08B9">
      <w:pPr>
        <w:spacing w:after="403"/>
        <w:ind w:left="1150"/>
        <w:jc w:val="center"/>
      </w:pPr>
      <w:r>
        <w:rPr>
          <w:rFonts w:ascii="Arial" w:eastAsia="Arial" w:hAnsi="Arial" w:cs="Arial"/>
          <w:b/>
          <w:sz w:val="22"/>
          <w:szCs w:val="22"/>
        </w:rPr>
        <w:t>EXPOSICIÓN DE MOTIVOS:</w:t>
      </w:r>
    </w:p>
    <w:p w:rsidR="009B4233" w:rsidRDefault="006B08B9">
      <w:pPr>
        <w:ind w:left="270" w:firstLine="855"/>
        <w:jc w:val="both"/>
        <w:rPr>
          <w:rFonts w:ascii="Arial" w:hAnsi="Arial" w:cs="Arial"/>
          <w:sz w:val="22"/>
          <w:szCs w:val="22"/>
        </w:rPr>
      </w:pPr>
      <w:r>
        <w:rPr>
          <w:rFonts w:ascii="Arial" w:hAnsi="Arial" w:cs="Arial"/>
          <w:sz w:val="22"/>
          <w:szCs w:val="22"/>
        </w:rPr>
        <w:t xml:space="preserve">La protección y el bienestar animal son, </w:t>
      </w:r>
      <w:r>
        <w:rPr>
          <w:rFonts w:ascii="Arial" w:hAnsi="Arial" w:cs="Arial"/>
          <w:sz w:val="22"/>
          <w:szCs w:val="22"/>
        </w:rPr>
        <w:t xml:space="preserve">cada vez más, una prioridad en las políticas públicas locales, en línea con la creciente concienciación social sobre los derechos de los animales. Nuestro municipio de Candelaria no es ajeno a esta realidad, y son muchos los vecinos y vecinas que muestran </w:t>
      </w:r>
      <w:r>
        <w:rPr>
          <w:rFonts w:ascii="Arial" w:hAnsi="Arial" w:cs="Arial"/>
          <w:sz w:val="22"/>
          <w:szCs w:val="22"/>
        </w:rPr>
        <w:t xml:space="preserve">una sensibilidad creciente ante situaciones de abandono, maltrato o necesidad de asistencia a animales que se encuentran abandonados. </w:t>
      </w:r>
    </w:p>
    <w:p w:rsidR="009B4233" w:rsidRDefault="006B08B9">
      <w:pPr>
        <w:ind w:left="270" w:firstLine="855"/>
        <w:jc w:val="both"/>
        <w:rPr>
          <w:rFonts w:ascii="Arial" w:hAnsi="Arial" w:cs="Arial"/>
          <w:sz w:val="22"/>
          <w:szCs w:val="22"/>
        </w:rPr>
      </w:pPr>
      <w:r>
        <w:rPr>
          <w:rFonts w:ascii="Arial" w:hAnsi="Arial" w:cs="Arial"/>
          <w:sz w:val="22"/>
          <w:szCs w:val="22"/>
        </w:rPr>
        <w:t>En numerosas ocasiones, se han dado casos en los que animales domésticos han sido encontrados en la vía pública sin atenc</w:t>
      </w:r>
      <w:r>
        <w:rPr>
          <w:rFonts w:ascii="Arial" w:hAnsi="Arial" w:cs="Arial"/>
          <w:sz w:val="22"/>
          <w:szCs w:val="22"/>
        </w:rPr>
        <w:t xml:space="preserve">ión, o se han producido situaciones de emergencia en las que ha sido necesario el apoyo ciudadano, muchas veces de forma espontánea, por falta de una estructura municipal adecuada. </w:t>
      </w:r>
    </w:p>
    <w:p w:rsidR="009B4233" w:rsidRDefault="006B08B9">
      <w:pPr>
        <w:ind w:left="270" w:firstLine="855"/>
        <w:jc w:val="both"/>
      </w:pPr>
      <w:r>
        <w:rPr>
          <w:rFonts w:ascii="Arial" w:hAnsi="Arial" w:cs="Arial"/>
          <w:sz w:val="22"/>
          <w:szCs w:val="22"/>
        </w:rPr>
        <w:t>Por otro lado, existen asociaciones o particulares en nuestro municipio di</w:t>
      </w:r>
      <w:r>
        <w:rPr>
          <w:rFonts w:ascii="Arial" w:hAnsi="Arial" w:cs="Arial"/>
          <w:sz w:val="22"/>
          <w:szCs w:val="22"/>
        </w:rPr>
        <w:t xml:space="preserve">spuestos a colaborar de forma altruista, pero carecen de un canal oficial y coordinado para hacerlo junto al Ayuntamiento de Candelaria. Crear una </w:t>
      </w:r>
      <w:r>
        <w:rPr>
          <w:rFonts w:ascii="Arial" w:eastAsia="Arial" w:hAnsi="Arial" w:cs="Arial"/>
          <w:b/>
          <w:sz w:val="22"/>
          <w:szCs w:val="22"/>
        </w:rPr>
        <w:t>bolsa de voluntariado municipal específica para la protección animal</w:t>
      </w:r>
      <w:r>
        <w:rPr>
          <w:rFonts w:ascii="Arial" w:hAnsi="Arial" w:cs="Arial"/>
          <w:sz w:val="22"/>
          <w:szCs w:val="22"/>
        </w:rPr>
        <w:t xml:space="preserve"> permitiría canalizar esta colaboración, </w:t>
      </w:r>
      <w:r>
        <w:rPr>
          <w:rFonts w:ascii="Arial" w:hAnsi="Arial" w:cs="Arial"/>
          <w:sz w:val="22"/>
          <w:szCs w:val="22"/>
        </w:rPr>
        <w:t xml:space="preserve">optimizar los recursos, y reforzar el compromiso de Candelaria con el bienestar animal. </w:t>
      </w:r>
    </w:p>
    <w:p w:rsidR="009B4233" w:rsidRDefault="006B08B9">
      <w:pPr>
        <w:ind w:left="280"/>
        <w:jc w:val="both"/>
      </w:pPr>
      <w:r>
        <w:rPr>
          <w:rFonts w:ascii="Arial" w:hAnsi="Arial" w:cs="Arial"/>
          <w:sz w:val="22"/>
          <w:szCs w:val="22"/>
        </w:rPr>
        <w:t xml:space="preserve">             Una </w:t>
      </w:r>
      <w:r>
        <w:rPr>
          <w:rFonts w:ascii="Arial" w:eastAsia="Arial" w:hAnsi="Arial" w:cs="Arial"/>
          <w:b/>
          <w:sz w:val="22"/>
          <w:szCs w:val="22"/>
        </w:rPr>
        <w:t>bolsa de voluntariado municipal</w:t>
      </w:r>
      <w:r>
        <w:rPr>
          <w:rFonts w:ascii="Arial" w:hAnsi="Arial" w:cs="Arial"/>
          <w:sz w:val="22"/>
          <w:szCs w:val="22"/>
        </w:rPr>
        <w:t xml:space="preserve"> es un </w:t>
      </w:r>
      <w:r>
        <w:rPr>
          <w:rFonts w:ascii="Arial" w:eastAsia="Arial" w:hAnsi="Arial" w:cs="Arial"/>
          <w:b/>
          <w:sz w:val="22"/>
          <w:szCs w:val="22"/>
        </w:rPr>
        <w:t>registro organizado de personas voluntarias</w:t>
      </w:r>
      <w:r>
        <w:rPr>
          <w:rFonts w:ascii="Arial" w:hAnsi="Arial" w:cs="Arial"/>
          <w:sz w:val="22"/>
          <w:szCs w:val="22"/>
        </w:rPr>
        <w:t xml:space="preserve"> interesadas en colaborar con el Ayuntamiento en distintas tareas o a</w:t>
      </w:r>
      <w:r>
        <w:rPr>
          <w:rFonts w:ascii="Arial" w:hAnsi="Arial" w:cs="Arial"/>
          <w:sz w:val="22"/>
          <w:szCs w:val="22"/>
        </w:rPr>
        <w:t xml:space="preserve">ctividades relacionadas con bienestar animal en nuestro caso. </w:t>
      </w:r>
    </w:p>
    <w:p w:rsidR="009B4233" w:rsidRDefault="006B08B9">
      <w:pPr>
        <w:ind w:left="280"/>
        <w:jc w:val="both"/>
      </w:pPr>
      <w:r>
        <w:rPr>
          <w:rFonts w:ascii="Arial" w:hAnsi="Arial" w:cs="Arial"/>
          <w:sz w:val="22"/>
          <w:szCs w:val="22"/>
        </w:rPr>
        <w:t>Generalmente se regula mediante un</w:t>
      </w:r>
      <w:r>
        <w:rPr>
          <w:rFonts w:ascii="Arial" w:eastAsia="Arial" w:hAnsi="Arial" w:cs="Arial"/>
          <w:b/>
          <w:sz w:val="22"/>
          <w:szCs w:val="22"/>
        </w:rPr>
        <w:t xml:space="preserve"> reglamento interno</w:t>
      </w:r>
      <w:r>
        <w:rPr>
          <w:rFonts w:ascii="Arial" w:hAnsi="Arial" w:cs="Arial"/>
          <w:sz w:val="22"/>
          <w:szCs w:val="22"/>
        </w:rPr>
        <w:t xml:space="preserve">, y su funcionamiento suele contemplar: </w:t>
      </w:r>
    </w:p>
    <w:p w:rsidR="009B4233" w:rsidRDefault="006B08B9">
      <w:pPr>
        <w:widowControl/>
        <w:numPr>
          <w:ilvl w:val="0"/>
          <w:numId w:val="113"/>
        </w:numPr>
        <w:suppressAutoHyphens w:val="0"/>
        <w:spacing w:after="116" w:line="249" w:lineRule="auto"/>
        <w:ind w:hanging="360"/>
        <w:jc w:val="both"/>
        <w:textAlignment w:val="auto"/>
        <w:rPr>
          <w:rFonts w:ascii="Arial" w:hAnsi="Arial" w:cs="Arial"/>
          <w:sz w:val="22"/>
          <w:szCs w:val="22"/>
        </w:rPr>
      </w:pPr>
      <w:r>
        <w:rPr>
          <w:rFonts w:ascii="Arial" w:hAnsi="Arial" w:cs="Arial"/>
          <w:sz w:val="22"/>
          <w:szCs w:val="22"/>
        </w:rPr>
        <w:t xml:space="preserve">Requisitos de inscripción </w:t>
      </w:r>
    </w:p>
    <w:p w:rsidR="009B4233" w:rsidRDefault="006B08B9">
      <w:pPr>
        <w:widowControl/>
        <w:numPr>
          <w:ilvl w:val="0"/>
          <w:numId w:val="113"/>
        </w:numPr>
        <w:suppressAutoHyphens w:val="0"/>
        <w:spacing w:after="116" w:line="249" w:lineRule="auto"/>
        <w:ind w:hanging="360"/>
        <w:jc w:val="both"/>
        <w:textAlignment w:val="auto"/>
        <w:rPr>
          <w:rFonts w:ascii="Arial" w:hAnsi="Arial" w:cs="Arial"/>
          <w:sz w:val="22"/>
          <w:szCs w:val="22"/>
        </w:rPr>
      </w:pPr>
      <w:r>
        <w:rPr>
          <w:rFonts w:ascii="Arial" w:hAnsi="Arial" w:cs="Arial"/>
          <w:sz w:val="22"/>
          <w:szCs w:val="22"/>
        </w:rPr>
        <w:t xml:space="preserve">Derechos y deberes de los voluntarios </w:t>
      </w:r>
    </w:p>
    <w:p w:rsidR="009B4233" w:rsidRDefault="006B08B9">
      <w:pPr>
        <w:widowControl/>
        <w:numPr>
          <w:ilvl w:val="0"/>
          <w:numId w:val="113"/>
        </w:numPr>
        <w:suppressAutoHyphens w:val="0"/>
        <w:spacing w:after="116" w:line="249" w:lineRule="auto"/>
        <w:ind w:hanging="360"/>
        <w:jc w:val="both"/>
        <w:textAlignment w:val="auto"/>
        <w:rPr>
          <w:rFonts w:ascii="Arial" w:hAnsi="Arial" w:cs="Arial"/>
          <w:sz w:val="22"/>
          <w:szCs w:val="22"/>
        </w:rPr>
      </w:pPr>
      <w:r>
        <w:rPr>
          <w:rFonts w:ascii="Arial" w:hAnsi="Arial" w:cs="Arial"/>
          <w:sz w:val="22"/>
          <w:szCs w:val="22"/>
        </w:rPr>
        <w:t xml:space="preserve">Cobertura legal (seguros, </w:t>
      </w:r>
      <w:r>
        <w:rPr>
          <w:rFonts w:ascii="Arial" w:hAnsi="Arial" w:cs="Arial"/>
          <w:sz w:val="22"/>
          <w:szCs w:val="22"/>
        </w:rPr>
        <w:t xml:space="preserve">confidencialidad, etc.) </w:t>
      </w:r>
    </w:p>
    <w:p w:rsidR="009B4233" w:rsidRDefault="006B08B9">
      <w:pPr>
        <w:widowControl/>
        <w:numPr>
          <w:ilvl w:val="0"/>
          <w:numId w:val="113"/>
        </w:numPr>
        <w:suppressAutoHyphens w:val="0"/>
        <w:spacing w:after="116" w:line="249" w:lineRule="auto"/>
        <w:ind w:hanging="360"/>
        <w:jc w:val="both"/>
        <w:textAlignment w:val="auto"/>
        <w:rPr>
          <w:rFonts w:ascii="Arial" w:hAnsi="Arial" w:cs="Arial"/>
          <w:sz w:val="22"/>
          <w:szCs w:val="22"/>
        </w:rPr>
      </w:pPr>
      <w:r>
        <w:rPr>
          <w:rFonts w:ascii="Arial" w:hAnsi="Arial" w:cs="Arial"/>
          <w:sz w:val="22"/>
          <w:szCs w:val="22"/>
        </w:rPr>
        <w:t xml:space="preserve">Protocolos de actuación </w:t>
      </w:r>
    </w:p>
    <w:p w:rsidR="009B4233" w:rsidRDefault="006B08B9">
      <w:pPr>
        <w:widowControl/>
        <w:numPr>
          <w:ilvl w:val="0"/>
          <w:numId w:val="113"/>
        </w:numPr>
        <w:suppressAutoHyphens w:val="0"/>
        <w:spacing w:after="356" w:line="249" w:lineRule="auto"/>
        <w:ind w:hanging="360"/>
        <w:jc w:val="both"/>
        <w:textAlignment w:val="auto"/>
        <w:rPr>
          <w:rFonts w:ascii="Arial" w:hAnsi="Arial" w:cs="Arial"/>
          <w:sz w:val="22"/>
          <w:szCs w:val="22"/>
        </w:rPr>
      </w:pPr>
      <w:r>
        <w:rPr>
          <w:rFonts w:ascii="Arial" w:hAnsi="Arial" w:cs="Arial"/>
          <w:sz w:val="22"/>
          <w:szCs w:val="22"/>
        </w:rPr>
        <w:t xml:space="preserve">Formación básica para las personas inscritas </w:t>
      </w:r>
    </w:p>
    <w:p w:rsidR="009B4233" w:rsidRDefault="006B08B9">
      <w:pPr>
        <w:ind w:left="270" w:firstLine="855"/>
        <w:jc w:val="both"/>
        <w:rPr>
          <w:rFonts w:ascii="Arial" w:hAnsi="Arial" w:cs="Arial"/>
          <w:sz w:val="22"/>
          <w:szCs w:val="22"/>
        </w:rPr>
      </w:pPr>
      <w:r>
        <w:rPr>
          <w:rFonts w:ascii="Arial" w:hAnsi="Arial" w:cs="Arial"/>
          <w:sz w:val="22"/>
          <w:szCs w:val="22"/>
        </w:rPr>
        <w:t>Este tipo de acciones está dentro del marco legal, según la Ley 45/2015, de 14 de octubre, del Voluntariado, que regula el voluntariado en España. Esta ley busc</w:t>
      </w:r>
      <w:r>
        <w:rPr>
          <w:rFonts w:ascii="Arial" w:hAnsi="Arial" w:cs="Arial"/>
          <w:sz w:val="22"/>
          <w:szCs w:val="22"/>
        </w:rPr>
        <w:t xml:space="preserve">a fomentar y reconocer el voluntariado como una forma de participación ciudadana y solidaridad, y las bolsas de voluntariado son un mecanismo para canalizar la acción de las personas interesadas en colaborar con el municipio.  </w:t>
      </w:r>
    </w:p>
    <w:p w:rsidR="009B4233" w:rsidRDefault="009B4233">
      <w:pPr>
        <w:ind w:left="270" w:firstLine="855"/>
        <w:jc w:val="both"/>
        <w:rPr>
          <w:rFonts w:ascii="Arial" w:hAnsi="Arial" w:cs="Arial"/>
          <w:sz w:val="22"/>
          <w:szCs w:val="22"/>
        </w:rPr>
      </w:pPr>
    </w:p>
    <w:p w:rsidR="009B4233" w:rsidRDefault="006B08B9">
      <w:pPr>
        <w:ind w:left="270" w:firstLine="855"/>
        <w:jc w:val="both"/>
        <w:rPr>
          <w:rFonts w:ascii="Arial" w:hAnsi="Arial" w:cs="Arial"/>
          <w:sz w:val="22"/>
          <w:szCs w:val="22"/>
        </w:rPr>
      </w:pPr>
      <w:r>
        <w:rPr>
          <w:rFonts w:ascii="Arial" w:hAnsi="Arial" w:cs="Arial"/>
          <w:sz w:val="22"/>
          <w:szCs w:val="22"/>
        </w:rPr>
        <w:t xml:space="preserve"> Desde el grupo municipal P</w:t>
      </w:r>
      <w:r>
        <w:rPr>
          <w:rFonts w:ascii="Arial" w:hAnsi="Arial" w:cs="Arial"/>
          <w:sz w:val="22"/>
          <w:szCs w:val="22"/>
        </w:rPr>
        <w:t>artido Popular creemos que esta iniciativa no solo responde a una demanda social creciente, sino que permite a la administración local contar con una herramienta eficaz, participativa y solidaria en la gestión del bienestar animal. Una bolsa de voluntariad</w:t>
      </w:r>
      <w:r>
        <w:rPr>
          <w:rFonts w:ascii="Arial" w:hAnsi="Arial" w:cs="Arial"/>
          <w:sz w:val="22"/>
          <w:szCs w:val="22"/>
        </w:rPr>
        <w:t xml:space="preserve">o bien estructurada es una muestra clara del compromiso del Ayuntamiento de Candelaria con una convivencia más ética, justa y responsable con todos los seres vivos </w:t>
      </w:r>
    </w:p>
    <w:p w:rsidR="009B4233" w:rsidRDefault="009B4233">
      <w:pPr>
        <w:ind w:left="270" w:firstLine="855"/>
        <w:jc w:val="both"/>
        <w:rPr>
          <w:rFonts w:ascii="Arial" w:hAnsi="Arial" w:cs="Arial"/>
          <w:sz w:val="22"/>
          <w:szCs w:val="22"/>
        </w:rPr>
      </w:pPr>
    </w:p>
    <w:p w:rsidR="009B4233" w:rsidRDefault="006B08B9">
      <w:pPr>
        <w:ind w:firstLine="570"/>
        <w:jc w:val="both"/>
        <w:rPr>
          <w:rFonts w:ascii="Arial" w:hAnsi="Arial" w:cs="Arial"/>
          <w:sz w:val="22"/>
          <w:szCs w:val="22"/>
        </w:rPr>
      </w:pPr>
      <w:r>
        <w:rPr>
          <w:rFonts w:ascii="Arial" w:hAnsi="Arial" w:cs="Arial"/>
          <w:sz w:val="22"/>
          <w:szCs w:val="22"/>
        </w:rPr>
        <w:t>Por todo lo anteriormente expuesto, el Grupo Municipal Popular (PP) somete a consideración</w:t>
      </w:r>
      <w:r>
        <w:rPr>
          <w:rFonts w:ascii="Arial" w:hAnsi="Arial" w:cs="Arial"/>
          <w:sz w:val="22"/>
          <w:szCs w:val="22"/>
        </w:rPr>
        <w:t xml:space="preserve"> del Pleno del Ayuntamiento de Candelaria los siguientes: </w:t>
      </w:r>
    </w:p>
    <w:p w:rsidR="009B4233" w:rsidRDefault="009B4233">
      <w:pPr>
        <w:spacing w:after="218" w:line="249" w:lineRule="auto"/>
        <w:ind w:left="67"/>
        <w:jc w:val="center"/>
        <w:rPr>
          <w:rFonts w:ascii="Arial" w:eastAsia="Arial" w:hAnsi="Arial" w:cs="Arial"/>
          <w:b/>
          <w:sz w:val="22"/>
          <w:szCs w:val="22"/>
        </w:rPr>
      </w:pPr>
    </w:p>
    <w:p w:rsidR="009B4233" w:rsidRDefault="009B4233">
      <w:pPr>
        <w:spacing w:after="218" w:line="249" w:lineRule="auto"/>
        <w:ind w:left="67"/>
        <w:jc w:val="center"/>
        <w:rPr>
          <w:rFonts w:ascii="Arial" w:eastAsia="Arial" w:hAnsi="Arial" w:cs="Arial"/>
          <w:b/>
          <w:sz w:val="22"/>
          <w:szCs w:val="22"/>
        </w:rPr>
      </w:pPr>
    </w:p>
    <w:p w:rsidR="009B4233" w:rsidRDefault="006B08B9">
      <w:pPr>
        <w:spacing w:after="218" w:line="249" w:lineRule="auto"/>
        <w:ind w:left="67"/>
        <w:jc w:val="center"/>
      </w:pPr>
      <w:r>
        <w:rPr>
          <w:rFonts w:ascii="Arial" w:eastAsia="Arial" w:hAnsi="Arial" w:cs="Arial"/>
          <w:b/>
          <w:sz w:val="22"/>
          <w:szCs w:val="22"/>
        </w:rPr>
        <w:t xml:space="preserve"> </w:t>
      </w:r>
    </w:p>
    <w:p w:rsidR="009B4233" w:rsidRDefault="006B08B9">
      <w:pPr>
        <w:spacing w:after="218" w:line="249" w:lineRule="auto"/>
        <w:jc w:val="center"/>
      </w:pPr>
      <w:r>
        <w:rPr>
          <w:rFonts w:ascii="Arial" w:eastAsia="Arial" w:hAnsi="Arial" w:cs="Arial"/>
          <w:b/>
          <w:sz w:val="22"/>
          <w:szCs w:val="22"/>
        </w:rPr>
        <w:t xml:space="preserve">ACUERDOS: </w:t>
      </w:r>
    </w:p>
    <w:p w:rsidR="009B4233" w:rsidRDefault="006B08B9">
      <w:pPr>
        <w:spacing w:line="249" w:lineRule="auto"/>
      </w:pPr>
      <w:r>
        <w:rPr>
          <w:rFonts w:ascii="Arial" w:eastAsia="Arial" w:hAnsi="Arial" w:cs="Arial"/>
          <w:b/>
          <w:sz w:val="22"/>
          <w:szCs w:val="22"/>
        </w:rPr>
        <w:t xml:space="preserve"> </w:t>
      </w:r>
    </w:p>
    <w:p w:rsidR="009B4233" w:rsidRDefault="006B08B9">
      <w:pPr>
        <w:widowControl/>
        <w:numPr>
          <w:ilvl w:val="0"/>
          <w:numId w:val="114"/>
        </w:numPr>
        <w:suppressAutoHyphens w:val="0"/>
        <w:spacing w:line="249" w:lineRule="auto"/>
        <w:ind w:left="-5" w:right="-4" w:firstLine="705"/>
        <w:jc w:val="both"/>
        <w:textAlignment w:val="auto"/>
      </w:pPr>
      <w:r>
        <w:rPr>
          <w:rFonts w:ascii="Arial" w:eastAsia="Arial" w:hAnsi="Arial" w:cs="Arial"/>
          <w:b/>
          <w:sz w:val="22"/>
          <w:szCs w:val="22"/>
        </w:rPr>
        <w:t xml:space="preserve">CREAR </w:t>
      </w:r>
      <w:r>
        <w:rPr>
          <w:rFonts w:ascii="Arial" w:eastAsia="Arial" w:hAnsi="Arial" w:cs="Arial"/>
          <w:b/>
          <w:sz w:val="22"/>
          <w:szCs w:val="22"/>
        </w:rPr>
        <w:tab/>
        <w:t xml:space="preserve">UNA </w:t>
      </w:r>
      <w:r>
        <w:rPr>
          <w:rFonts w:ascii="Arial" w:eastAsia="Arial" w:hAnsi="Arial" w:cs="Arial"/>
          <w:b/>
          <w:sz w:val="22"/>
          <w:szCs w:val="22"/>
        </w:rPr>
        <w:tab/>
        <w:t xml:space="preserve">BOLSA </w:t>
      </w:r>
      <w:r>
        <w:rPr>
          <w:rFonts w:ascii="Arial" w:eastAsia="Arial" w:hAnsi="Arial" w:cs="Arial"/>
          <w:b/>
          <w:sz w:val="22"/>
          <w:szCs w:val="22"/>
        </w:rPr>
        <w:tab/>
        <w:t xml:space="preserve">DE </w:t>
      </w:r>
      <w:r>
        <w:rPr>
          <w:rFonts w:ascii="Arial" w:eastAsia="Arial" w:hAnsi="Arial" w:cs="Arial"/>
          <w:b/>
          <w:sz w:val="22"/>
          <w:szCs w:val="22"/>
        </w:rPr>
        <w:tab/>
        <w:t xml:space="preserve">VOLUNTARIADO </w:t>
      </w:r>
      <w:r>
        <w:rPr>
          <w:rFonts w:ascii="Arial" w:eastAsia="Arial" w:hAnsi="Arial" w:cs="Arial"/>
          <w:b/>
          <w:sz w:val="22"/>
          <w:szCs w:val="22"/>
        </w:rPr>
        <w:tab/>
        <w:t>MUNICIPAL ESPECÍFICA PARA LA PROTECCIÓN Y CUIDADO DE ANIMALES, ABIERTA A LA CIUDADANÍA, CON EL FIN DE COLABORAR EN TAREAS RELACIONADAS CON EL B</w:t>
      </w:r>
      <w:r>
        <w:rPr>
          <w:rFonts w:ascii="Arial" w:eastAsia="Arial" w:hAnsi="Arial" w:cs="Arial"/>
          <w:b/>
          <w:sz w:val="22"/>
          <w:szCs w:val="22"/>
        </w:rPr>
        <w:t xml:space="preserve">IENESTAR ANIMAL. </w:t>
      </w:r>
    </w:p>
    <w:p w:rsidR="009B4233" w:rsidRDefault="006B08B9">
      <w:pPr>
        <w:spacing w:line="249" w:lineRule="auto"/>
        <w:rPr>
          <w:rFonts w:ascii="Arial" w:hAnsi="Arial" w:cs="Arial"/>
          <w:sz w:val="22"/>
          <w:szCs w:val="22"/>
        </w:rPr>
      </w:pPr>
      <w:r>
        <w:rPr>
          <w:rFonts w:ascii="Arial" w:hAnsi="Arial" w:cs="Arial"/>
          <w:sz w:val="22"/>
          <w:szCs w:val="22"/>
        </w:rPr>
        <w:t xml:space="preserve"> </w:t>
      </w:r>
    </w:p>
    <w:p w:rsidR="009B4233" w:rsidRDefault="006B08B9">
      <w:pPr>
        <w:spacing w:line="249" w:lineRule="auto"/>
      </w:pPr>
      <w:r>
        <w:rPr>
          <w:rFonts w:ascii="Arial" w:eastAsia="Arial" w:hAnsi="Arial" w:cs="Arial"/>
          <w:b/>
          <w:sz w:val="22"/>
          <w:szCs w:val="22"/>
        </w:rPr>
        <w:t xml:space="preserve"> </w:t>
      </w:r>
    </w:p>
    <w:p w:rsidR="009B4233" w:rsidRDefault="006B08B9">
      <w:pPr>
        <w:widowControl/>
        <w:numPr>
          <w:ilvl w:val="0"/>
          <w:numId w:val="114"/>
        </w:numPr>
        <w:suppressAutoHyphens w:val="0"/>
        <w:ind w:right="-4" w:firstLine="705"/>
        <w:jc w:val="both"/>
        <w:textAlignment w:val="auto"/>
      </w:pPr>
      <w:r>
        <w:rPr>
          <w:rFonts w:ascii="Arial" w:eastAsia="Arial" w:hAnsi="Arial" w:cs="Arial"/>
          <w:b/>
          <w:sz w:val="22"/>
          <w:szCs w:val="22"/>
        </w:rPr>
        <w:t xml:space="preserve">APROBAR UN REGLAMENTO BÁSICO DE FUNCIONAMIENTO DE DICHA BOLSA. </w:t>
      </w:r>
    </w:p>
    <w:p w:rsidR="009B4233" w:rsidRDefault="006B08B9">
      <w:pPr>
        <w:spacing w:line="249" w:lineRule="auto"/>
      </w:pPr>
      <w:r>
        <w:rPr>
          <w:rFonts w:ascii="Arial" w:eastAsia="Arial" w:hAnsi="Arial" w:cs="Arial"/>
          <w:b/>
          <w:sz w:val="22"/>
          <w:szCs w:val="22"/>
        </w:rPr>
        <w:t xml:space="preserve"> </w:t>
      </w:r>
    </w:p>
    <w:p w:rsidR="009B4233" w:rsidRDefault="006B08B9">
      <w:pPr>
        <w:widowControl/>
        <w:numPr>
          <w:ilvl w:val="0"/>
          <w:numId w:val="114"/>
        </w:numPr>
        <w:suppressAutoHyphens w:val="0"/>
        <w:ind w:right="-4" w:firstLine="705"/>
        <w:jc w:val="both"/>
        <w:textAlignment w:val="auto"/>
      </w:pPr>
      <w:r>
        <w:rPr>
          <w:rFonts w:ascii="Arial" w:eastAsia="Arial" w:hAnsi="Arial" w:cs="Arial"/>
          <w:b/>
          <w:sz w:val="22"/>
          <w:szCs w:val="22"/>
        </w:rPr>
        <w:t xml:space="preserve">IMPULSAR CAMPAÑAS INFORMATIVAS PARA DAR A CONOCER LA EXISTENCIA DE ESTA BOLSA DE VOLUNTARIADO ENTRE LA CIUDADANÍA, FOMENTANDO ASÍ LA PARTICIPACIÓN ACTIVA EN LA </w:t>
      </w:r>
      <w:r>
        <w:rPr>
          <w:rFonts w:ascii="Arial" w:eastAsia="Arial" w:hAnsi="Arial" w:cs="Arial"/>
          <w:b/>
          <w:sz w:val="22"/>
          <w:szCs w:val="22"/>
        </w:rPr>
        <w:t xml:space="preserve">PROTECCIÓN DE LOS ANIMALES DEL MUNICIPIO. </w:t>
      </w:r>
    </w:p>
    <w:p w:rsidR="009B4233" w:rsidRDefault="006B08B9">
      <w:pPr>
        <w:spacing w:line="249" w:lineRule="auto"/>
      </w:pPr>
      <w:r>
        <w:rPr>
          <w:rFonts w:ascii="Arial" w:eastAsia="Arial" w:hAnsi="Arial" w:cs="Arial"/>
          <w:b/>
          <w:sz w:val="22"/>
          <w:szCs w:val="22"/>
        </w:rPr>
        <w:t xml:space="preserve"> </w:t>
      </w:r>
    </w:p>
    <w:p w:rsidR="009B4233" w:rsidRDefault="006B08B9">
      <w:pPr>
        <w:widowControl/>
        <w:numPr>
          <w:ilvl w:val="0"/>
          <w:numId w:val="114"/>
        </w:numPr>
        <w:suppressAutoHyphens w:val="0"/>
        <w:spacing w:line="249" w:lineRule="auto"/>
        <w:ind w:right="-4" w:firstLine="705"/>
        <w:jc w:val="both"/>
        <w:textAlignment w:val="auto"/>
      </w:pPr>
      <w:r>
        <w:rPr>
          <w:rFonts w:ascii="Arial" w:eastAsia="Arial" w:hAnsi="Arial" w:cs="Arial"/>
          <w:b/>
          <w:sz w:val="22"/>
          <w:szCs w:val="22"/>
        </w:rPr>
        <w:t xml:space="preserve">FOMENTAR </w:t>
      </w:r>
      <w:r>
        <w:rPr>
          <w:rFonts w:ascii="Arial" w:eastAsia="Arial" w:hAnsi="Arial" w:cs="Arial"/>
          <w:b/>
          <w:sz w:val="22"/>
          <w:szCs w:val="22"/>
        </w:rPr>
        <w:tab/>
        <w:t xml:space="preserve">LA </w:t>
      </w:r>
      <w:r>
        <w:rPr>
          <w:rFonts w:ascii="Arial" w:eastAsia="Arial" w:hAnsi="Arial" w:cs="Arial"/>
          <w:b/>
          <w:sz w:val="22"/>
          <w:szCs w:val="22"/>
        </w:rPr>
        <w:tab/>
        <w:t xml:space="preserve">COLABORACIÓN </w:t>
      </w:r>
      <w:r>
        <w:rPr>
          <w:rFonts w:ascii="Arial" w:eastAsia="Arial" w:hAnsi="Arial" w:cs="Arial"/>
          <w:b/>
          <w:sz w:val="22"/>
          <w:szCs w:val="22"/>
        </w:rPr>
        <w:tab/>
        <w:t xml:space="preserve">PÚBLICO-PRIVADA, </w:t>
      </w:r>
    </w:p>
    <w:p w:rsidR="009B4233" w:rsidRDefault="006B08B9">
      <w:pPr>
        <w:ind w:left="-5"/>
      </w:pPr>
      <w:r>
        <w:rPr>
          <w:rFonts w:ascii="Arial" w:eastAsia="Arial" w:hAnsi="Arial" w:cs="Arial"/>
          <w:b/>
          <w:sz w:val="22"/>
          <w:szCs w:val="22"/>
        </w:rPr>
        <w:t>FACILITANDO CONVENIOS CON CLÍNICAS VETERINARIAS, ASOCIACIONES PROTECTORAS Y OTRAS ENTIDADES AFINES PARA REFORZAR LA RED DE PROTECCIÓN ANIMAL EN CANDELARIA. “</w:t>
      </w:r>
    </w:p>
    <w:p w:rsidR="009B4233" w:rsidRDefault="006B08B9">
      <w:pPr>
        <w:spacing w:line="249" w:lineRule="auto"/>
        <w:ind w:left="720"/>
      </w:pPr>
      <w:r>
        <w:rPr>
          <w:rFonts w:ascii="Arial" w:eastAsia="Arial" w:hAnsi="Arial" w:cs="Arial"/>
          <w:b/>
          <w:sz w:val="22"/>
          <w:szCs w:val="22"/>
        </w:rPr>
        <w:t xml:space="preserve"> </w:t>
      </w:r>
    </w:p>
    <w:p w:rsidR="009B4233" w:rsidRDefault="006B08B9">
      <w:pPr>
        <w:spacing w:line="249" w:lineRule="auto"/>
      </w:pPr>
      <w:r>
        <w:rPr>
          <w:rFonts w:ascii="Arial" w:eastAsia="Arial" w:hAnsi="Arial" w:cs="Arial"/>
          <w:b/>
          <w:sz w:val="22"/>
          <w:szCs w:val="22"/>
        </w:rPr>
        <w:t xml:space="preserve"> </w:t>
      </w:r>
    </w:p>
    <w:p w:rsidR="009B4233" w:rsidRDefault="006B08B9">
      <w:pPr>
        <w:spacing w:line="249" w:lineRule="auto"/>
        <w:ind w:left="720"/>
      </w:pPr>
      <w:r>
        <w:rPr>
          <w:rFonts w:ascii="Arial" w:eastAsia="Arial" w:hAnsi="Arial" w:cs="Arial"/>
          <w:b/>
          <w:sz w:val="22"/>
          <w:szCs w:val="22"/>
        </w:rPr>
        <w:t xml:space="preserve"> </w:t>
      </w:r>
    </w:p>
    <w:p w:rsidR="009B4233" w:rsidRDefault="006B08B9">
      <w:pPr>
        <w:spacing w:line="249" w:lineRule="auto"/>
        <w:ind w:left="67"/>
        <w:jc w:val="center"/>
        <w:rPr>
          <w:rFonts w:ascii="Arial" w:hAnsi="Arial" w:cs="Arial"/>
          <w:sz w:val="22"/>
          <w:szCs w:val="22"/>
        </w:rPr>
      </w:pPr>
      <w:r>
        <w:rPr>
          <w:rFonts w:ascii="Arial" w:hAnsi="Arial" w:cs="Arial"/>
          <w:sz w:val="22"/>
          <w:szCs w:val="22"/>
        </w:rPr>
        <w:t xml:space="preserve"> </w:t>
      </w:r>
    </w:p>
    <w:p w:rsidR="009B4233" w:rsidRDefault="006B08B9">
      <w:pPr>
        <w:spacing w:line="249" w:lineRule="auto"/>
        <w:jc w:val="center"/>
        <w:rPr>
          <w:rFonts w:ascii="Arial" w:hAnsi="Arial" w:cs="Arial"/>
          <w:sz w:val="22"/>
          <w:szCs w:val="22"/>
        </w:rPr>
      </w:pPr>
      <w:r>
        <w:rPr>
          <w:rFonts w:ascii="Arial" w:hAnsi="Arial" w:cs="Arial"/>
          <w:sz w:val="22"/>
          <w:szCs w:val="22"/>
        </w:rPr>
        <w:t xml:space="preserve">En Candelaria, a 16 de septiembre de 2025 </w:t>
      </w:r>
    </w:p>
    <w:p w:rsidR="009B4233" w:rsidRDefault="006B08B9">
      <w:pPr>
        <w:spacing w:line="249" w:lineRule="auto"/>
        <w:ind w:left="67"/>
        <w:jc w:val="center"/>
        <w:rPr>
          <w:rFonts w:ascii="Arial" w:hAnsi="Arial" w:cs="Arial"/>
          <w:sz w:val="22"/>
          <w:szCs w:val="22"/>
        </w:rPr>
      </w:pPr>
      <w:r>
        <w:rPr>
          <w:rFonts w:ascii="Arial" w:hAnsi="Arial" w:cs="Arial"/>
          <w:sz w:val="22"/>
          <w:szCs w:val="22"/>
        </w:rPr>
        <w:t xml:space="preserve"> </w:t>
      </w:r>
    </w:p>
    <w:p w:rsidR="009B4233" w:rsidRDefault="006B08B9">
      <w:pPr>
        <w:spacing w:line="249" w:lineRule="auto"/>
        <w:jc w:val="center"/>
      </w:pPr>
      <w:r>
        <w:rPr>
          <w:rFonts w:ascii="Arial" w:eastAsia="Arial" w:hAnsi="Arial" w:cs="Arial"/>
          <w:b/>
          <w:sz w:val="22"/>
          <w:szCs w:val="22"/>
        </w:rPr>
        <w:t xml:space="preserve">Jacobo López Fariña </w:t>
      </w:r>
    </w:p>
    <w:p w:rsidR="009B4233" w:rsidRDefault="006B08B9">
      <w:pPr>
        <w:spacing w:line="249" w:lineRule="auto"/>
        <w:jc w:val="center"/>
      </w:pPr>
      <w:r>
        <w:rPr>
          <w:rFonts w:ascii="Arial" w:eastAsia="Arial" w:hAnsi="Arial" w:cs="Arial"/>
          <w:i/>
          <w:sz w:val="22"/>
          <w:szCs w:val="22"/>
        </w:rPr>
        <w:t xml:space="preserve">Portavoz Grupo Municipal Popular </w:t>
      </w: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6B08B9">
      <w:pPr>
        <w:jc w:val="both"/>
        <w:rPr>
          <w:rFonts w:ascii="Arial" w:hAnsi="Arial" w:cs="Arial"/>
          <w:b/>
          <w:sz w:val="22"/>
          <w:szCs w:val="22"/>
        </w:rPr>
      </w:pPr>
      <w:r>
        <w:rPr>
          <w:rFonts w:ascii="Arial" w:hAnsi="Arial" w:cs="Arial"/>
          <w:b/>
          <w:sz w:val="22"/>
          <w:szCs w:val="22"/>
        </w:rPr>
        <w:t>DICTAMEN FAVORABLE DE LA COMISIÓN INFORMATIVA DE SERVICIO A LAS PERSONAS DE 22 DE SEPTIEMBRE DE 2025.</w:t>
      </w:r>
    </w:p>
    <w:p w:rsidR="009B4233" w:rsidRDefault="009B4233">
      <w:pPr>
        <w:rPr>
          <w:rFonts w:ascii="Arial" w:hAnsi="Arial" w:cs="Arial"/>
          <w:sz w:val="22"/>
          <w:szCs w:val="22"/>
        </w:rPr>
      </w:pPr>
    </w:p>
    <w:p w:rsidR="009B4233" w:rsidRDefault="006B08B9">
      <w:pPr>
        <w:rPr>
          <w:rFonts w:ascii="Arial" w:hAnsi="Arial" w:cs="Arial"/>
          <w:sz w:val="22"/>
          <w:szCs w:val="22"/>
        </w:rPr>
      </w:pPr>
      <w:r>
        <w:rPr>
          <w:rFonts w:ascii="Arial" w:hAnsi="Arial" w:cs="Arial"/>
          <w:sz w:val="22"/>
          <w:szCs w:val="22"/>
        </w:rPr>
        <w:t>Votos a favor: 2.</w:t>
      </w:r>
    </w:p>
    <w:p w:rsidR="009B4233" w:rsidRDefault="006B08B9">
      <w:pPr>
        <w:jc w:val="both"/>
        <w:rPr>
          <w:rFonts w:ascii="Arial" w:hAnsi="Arial" w:cs="Arial"/>
          <w:sz w:val="22"/>
          <w:szCs w:val="22"/>
        </w:rPr>
      </w:pPr>
      <w:r>
        <w:rPr>
          <w:rFonts w:ascii="Arial" w:hAnsi="Arial" w:cs="Arial"/>
          <w:sz w:val="22"/>
          <w:szCs w:val="22"/>
        </w:rPr>
        <w:t xml:space="preserve">1 del </w:t>
      </w:r>
      <w:r>
        <w:rPr>
          <w:rFonts w:ascii="Arial" w:hAnsi="Arial" w:cs="Arial"/>
          <w:sz w:val="22"/>
          <w:szCs w:val="22"/>
        </w:rPr>
        <w:t>concejal del Grupo Popular: D. Jacobo López Fariña.</w:t>
      </w:r>
    </w:p>
    <w:p w:rsidR="009B4233" w:rsidRDefault="006B08B9">
      <w:pPr>
        <w:rPr>
          <w:rFonts w:ascii="Arial" w:hAnsi="Arial" w:cs="Arial"/>
          <w:sz w:val="22"/>
          <w:szCs w:val="22"/>
        </w:rPr>
      </w:pPr>
      <w:r>
        <w:rPr>
          <w:rFonts w:ascii="Arial" w:hAnsi="Arial" w:cs="Arial"/>
          <w:sz w:val="22"/>
          <w:szCs w:val="22"/>
        </w:rPr>
        <w:t>1 del concejal del Grupo Mixto (Vox): Don José Tortosa Pallarés.</w:t>
      </w:r>
    </w:p>
    <w:p w:rsidR="009B4233" w:rsidRDefault="009B4233">
      <w:pPr>
        <w:jc w:val="both"/>
        <w:rPr>
          <w:rFonts w:ascii="Arial" w:hAnsi="Arial" w:cs="Arial"/>
          <w:sz w:val="22"/>
          <w:szCs w:val="22"/>
        </w:rPr>
      </w:pPr>
    </w:p>
    <w:p w:rsidR="009B4233" w:rsidRDefault="006B08B9">
      <w:pPr>
        <w:jc w:val="both"/>
        <w:rPr>
          <w:rFonts w:ascii="Arial" w:hAnsi="Arial" w:cs="Arial"/>
          <w:sz w:val="22"/>
          <w:szCs w:val="22"/>
        </w:rPr>
      </w:pPr>
      <w:r>
        <w:rPr>
          <w:rFonts w:ascii="Arial" w:hAnsi="Arial" w:cs="Arial"/>
          <w:sz w:val="22"/>
          <w:szCs w:val="22"/>
        </w:rPr>
        <w:t>Votos en contra: 4.</w:t>
      </w:r>
    </w:p>
    <w:p w:rsidR="009B4233" w:rsidRDefault="006B08B9">
      <w:pPr>
        <w:jc w:val="both"/>
        <w:rPr>
          <w:rFonts w:ascii="Arial" w:hAnsi="Arial" w:cs="Arial"/>
          <w:sz w:val="22"/>
          <w:szCs w:val="22"/>
        </w:rPr>
      </w:pPr>
      <w:r>
        <w:rPr>
          <w:rFonts w:ascii="Arial" w:hAnsi="Arial" w:cs="Arial"/>
          <w:sz w:val="22"/>
          <w:szCs w:val="22"/>
        </w:rPr>
        <w:t xml:space="preserve">Los 4 concejales del Grupo Socialista: Doña Olivia </w:t>
      </w:r>
      <w:r>
        <w:rPr>
          <w:rFonts w:ascii="Arial" w:hAnsi="Arial" w:cs="Arial"/>
          <w:sz w:val="22"/>
          <w:szCs w:val="22"/>
        </w:rPr>
        <w:br/>
      </w:r>
      <w:r>
        <w:rPr>
          <w:rFonts w:ascii="Arial" w:hAnsi="Arial" w:cs="Arial"/>
          <w:sz w:val="22"/>
          <w:szCs w:val="22"/>
        </w:rPr>
        <w:t>Concepción Pérez Díaz, D. Reinaldo José Triviño Blanco, Doña Marga</w:t>
      </w:r>
      <w:r>
        <w:rPr>
          <w:rFonts w:ascii="Arial" w:hAnsi="Arial" w:cs="Arial"/>
          <w:sz w:val="22"/>
          <w:szCs w:val="22"/>
        </w:rPr>
        <w:t xml:space="preserve">rita Eva Tendero Barroso y Doña Mónica Montserrat Yanes Delgado. </w:t>
      </w:r>
    </w:p>
    <w:p w:rsidR="009B4233" w:rsidRDefault="009B4233">
      <w:pPr>
        <w:jc w:val="both"/>
        <w:rPr>
          <w:rFonts w:ascii="Arial" w:hAnsi="Arial" w:cs="Arial"/>
          <w:sz w:val="22"/>
          <w:szCs w:val="22"/>
        </w:rPr>
      </w:pPr>
    </w:p>
    <w:p w:rsidR="009B4233" w:rsidRDefault="006B08B9">
      <w:pPr>
        <w:jc w:val="both"/>
        <w:rPr>
          <w:rFonts w:ascii="Arial" w:hAnsi="Arial" w:cs="Arial"/>
          <w:sz w:val="22"/>
          <w:szCs w:val="22"/>
        </w:rPr>
      </w:pPr>
      <w:r>
        <w:rPr>
          <w:rFonts w:ascii="Arial" w:hAnsi="Arial" w:cs="Arial"/>
          <w:sz w:val="22"/>
          <w:szCs w:val="22"/>
        </w:rPr>
        <w:t>Abstenciones: 0.</w:t>
      </w:r>
    </w:p>
    <w:p w:rsidR="009B4233" w:rsidRDefault="009B4233">
      <w:pPr>
        <w:jc w:val="both"/>
        <w:rPr>
          <w:rFonts w:ascii="Arial" w:hAnsi="Arial" w:cs="Arial"/>
          <w:sz w:val="22"/>
          <w:szCs w:val="22"/>
        </w:rPr>
      </w:pPr>
    </w:p>
    <w:p w:rsidR="009B4233" w:rsidRDefault="006B08B9">
      <w:pPr>
        <w:pStyle w:val="Textoindependiente"/>
        <w:jc w:val="both"/>
        <w:rPr>
          <w:rFonts w:cs="Arial"/>
          <w:b/>
          <w:szCs w:val="22"/>
        </w:rPr>
      </w:pPr>
      <w:r>
        <w:rPr>
          <w:rFonts w:cs="Arial"/>
          <w:b/>
          <w:szCs w:val="22"/>
        </w:rPr>
        <w:t>JUNTA DE PORTAVOCES DE 25 DE SEPTIEMBRE DE 2025.</w:t>
      </w:r>
    </w:p>
    <w:p w:rsidR="009B4233" w:rsidRDefault="006B08B9">
      <w:pPr>
        <w:pStyle w:val="Textoindependiente"/>
        <w:jc w:val="both"/>
        <w:rPr>
          <w:rFonts w:cs="Arial"/>
          <w:szCs w:val="22"/>
        </w:rPr>
      </w:pPr>
      <w:r>
        <w:rPr>
          <w:rFonts w:cs="Arial"/>
          <w:szCs w:val="22"/>
        </w:rPr>
        <w:t>Quedó oída.</w:t>
      </w:r>
    </w:p>
    <w:p w:rsidR="009B4233" w:rsidRDefault="009B4233">
      <w:pPr>
        <w:rPr>
          <w:rFonts w:ascii="Arial" w:hAnsi="Arial" w:cs="Arial"/>
          <w:sz w:val="22"/>
          <w:szCs w:val="22"/>
        </w:rPr>
      </w:pPr>
    </w:p>
    <w:p w:rsidR="009B4233" w:rsidRDefault="009B4233">
      <w:pPr>
        <w:rPr>
          <w:rFonts w:ascii="Arial" w:hAnsi="Arial" w:cs="Arial"/>
          <w:sz w:val="22"/>
          <w:szCs w:val="22"/>
        </w:rPr>
      </w:pPr>
    </w:p>
    <w:p w:rsidR="009B4233" w:rsidRDefault="006B08B9">
      <w:r>
        <w:rPr>
          <w:rFonts w:ascii="Arial" w:hAnsi="Arial" w:cs="Arial"/>
          <w:b/>
          <w:sz w:val="22"/>
          <w:szCs w:val="22"/>
        </w:rPr>
        <w:t>VOTACIÓN EN EL PLENO DE 25 DE SEPTIEMBRE DE 2025.</w:t>
      </w:r>
    </w:p>
    <w:p w:rsidR="009B4233" w:rsidRDefault="009B4233">
      <w:pPr>
        <w:ind w:firstLine="709"/>
        <w:jc w:val="both"/>
        <w:rPr>
          <w:rFonts w:ascii="Arial" w:hAnsi="Arial" w:cs="Arial"/>
          <w:sz w:val="22"/>
          <w:szCs w:val="22"/>
        </w:rPr>
      </w:pPr>
    </w:p>
    <w:p w:rsidR="009B4233" w:rsidRDefault="006B08B9">
      <w:pPr>
        <w:ind w:firstLine="709"/>
        <w:jc w:val="both"/>
        <w:rPr>
          <w:rFonts w:ascii="Arial" w:hAnsi="Arial" w:cs="Arial"/>
          <w:sz w:val="22"/>
          <w:szCs w:val="22"/>
        </w:rPr>
      </w:pPr>
      <w:r>
        <w:rPr>
          <w:rFonts w:ascii="Arial" w:hAnsi="Arial" w:cs="Arial"/>
          <w:sz w:val="22"/>
          <w:szCs w:val="22"/>
        </w:rPr>
        <w:t>Votos a favor: 7.</w:t>
      </w:r>
    </w:p>
    <w:p w:rsidR="009B4233" w:rsidRDefault="009B4233">
      <w:pPr>
        <w:ind w:firstLine="709"/>
        <w:jc w:val="both"/>
        <w:rPr>
          <w:rFonts w:ascii="Arial" w:hAnsi="Arial" w:cs="Arial"/>
          <w:sz w:val="22"/>
          <w:szCs w:val="22"/>
        </w:rPr>
      </w:pPr>
    </w:p>
    <w:p w:rsidR="009B4233" w:rsidRDefault="006B08B9">
      <w:pPr>
        <w:ind w:firstLine="709"/>
        <w:jc w:val="both"/>
        <w:rPr>
          <w:rFonts w:ascii="Arial" w:hAnsi="Arial" w:cs="Arial"/>
          <w:sz w:val="22"/>
          <w:szCs w:val="22"/>
        </w:rPr>
      </w:pPr>
      <w:r>
        <w:rPr>
          <w:rFonts w:ascii="Arial" w:hAnsi="Arial" w:cs="Arial"/>
          <w:sz w:val="22"/>
          <w:szCs w:val="22"/>
        </w:rPr>
        <w:t xml:space="preserve">5 concejales del Grupo Popular: Don </w:t>
      </w:r>
      <w:r>
        <w:rPr>
          <w:rFonts w:ascii="Arial" w:hAnsi="Arial" w:cs="Arial"/>
          <w:sz w:val="22"/>
          <w:szCs w:val="22"/>
        </w:rPr>
        <w:t xml:space="preserve">Jacobo López Fariña, Don Miguel Eduardo Hernández Chitty, Doña María Carlota Díaz González, Don José Daniel Sosa González, y Doña Shaila Castellano Batista. </w:t>
      </w:r>
    </w:p>
    <w:p w:rsidR="009B4233" w:rsidRDefault="009B4233">
      <w:pPr>
        <w:ind w:firstLine="709"/>
        <w:jc w:val="both"/>
        <w:rPr>
          <w:rFonts w:ascii="Arial" w:hAnsi="Arial" w:cs="Arial"/>
          <w:sz w:val="22"/>
          <w:szCs w:val="22"/>
        </w:rPr>
      </w:pPr>
    </w:p>
    <w:p w:rsidR="009B4233" w:rsidRDefault="006B08B9">
      <w:pPr>
        <w:ind w:firstLine="709"/>
        <w:jc w:val="both"/>
      </w:pPr>
      <w:r>
        <w:rPr>
          <w:rFonts w:ascii="Arial" w:hAnsi="Arial" w:cs="Arial"/>
          <w:sz w:val="22"/>
          <w:szCs w:val="22"/>
        </w:rPr>
        <w:t>2 concejales del Grupo Mixto: Don José Tortosa Pallarés (VOX) y Doña Violeta López Jiménez (USP).</w:t>
      </w:r>
    </w:p>
    <w:p w:rsidR="009B4233" w:rsidRDefault="009B4233">
      <w:pPr>
        <w:ind w:firstLine="709"/>
        <w:jc w:val="both"/>
        <w:rPr>
          <w:rFonts w:ascii="Arial" w:hAnsi="Arial" w:cs="Arial"/>
          <w:sz w:val="22"/>
          <w:szCs w:val="22"/>
        </w:rPr>
      </w:pPr>
    </w:p>
    <w:p w:rsidR="009B4233" w:rsidRDefault="009B4233">
      <w:pPr>
        <w:ind w:firstLine="709"/>
        <w:jc w:val="both"/>
        <w:rPr>
          <w:rFonts w:ascii="Arial" w:hAnsi="Arial" w:cs="Arial"/>
          <w:sz w:val="22"/>
          <w:szCs w:val="22"/>
        </w:rPr>
      </w:pPr>
    </w:p>
    <w:p w:rsidR="009B4233" w:rsidRDefault="009B4233">
      <w:pPr>
        <w:ind w:firstLine="709"/>
        <w:jc w:val="both"/>
        <w:rPr>
          <w:rFonts w:ascii="Arial" w:hAnsi="Arial" w:cs="Arial"/>
          <w:sz w:val="22"/>
          <w:szCs w:val="22"/>
        </w:rPr>
      </w:pPr>
    </w:p>
    <w:p w:rsidR="009B4233" w:rsidRDefault="006B08B9">
      <w:pPr>
        <w:ind w:firstLine="709"/>
        <w:jc w:val="both"/>
        <w:rPr>
          <w:rFonts w:ascii="Arial" w:hAnsi="Arial" w:cs="Arial"/>
          <w:sz w:val="22"/>
          <w:szCs w:val="22"/>
        </w:rPr>
      </w:pPr>
      <w:r>
        <w:rPr>
          <w:rFonts w:ascii="Arial" w:hAnsi="Arial" w:cs="Arial"/>
          <w:sz w:val="22"/>
          <w:szCs w:val="22"/>
        </w:rPr>
        <w:t>Votos en contra: 11.</w:t>
      </w:r>
    </w:p>
    <w:p w:rsidR="009B4233" w:rsidRDefault="006B08B9">
      <w:pPr>
        <w:ind w:firstLine="709"/>
        <w:jc w:val="both"/>
        <w:rPr>
          <w:rFonts w:ascii="Arial" w:hAnsi="Arial" w:cs="Arial"/>
          <w:sz w:val="22"/>
          <w:szCs w:val="22"/>
        </w:rPr>
      </w:pPr>
      <w:r>
        <w:rPr>
          <w:rFonts w:ascii="Arial" w:hAnsi="Arial" w:cs="Arial"/>
          <w:sz w:val="22"/>
          <w:szCs w:val="22"/>
        </w:rPr>
        <w:t>11 concejales del Grupo Socialista: Doña María Concepción Brito Núñez, Don Jorge Baute Delgado, Don José Francisco Pinto Ramos, Doña Olivia Concepción Pérez Díaz, Don Reinaldo José Triviño Blanco, Don Manuel Alberto González Pestan</w:t>
      </w:r>
      <w:r>
        <w:rPr>
          <w:rFonts w:ascii="Arial" w:hAnsi="Arial" w:cs="Arial"/>
          <w:sz w:val="22"/>
          <w:szCs w:val="22"/>
        </w:rPr>
        <w:t xml:space="preserve">o, Doña Margarita Eva Tendero Barroso, Don Airam Pérez Chinea, Doña María del Carmen Clemente Díaz, Don Olegario Francisco Alonso Bello, Doña Mónica Monserrat Yanes Delgado. </w:t>
      </w:r>
    </w:p>
    <w:p w:rsidR="009B4233" w:rsidRDefault="009B4233">
      <w:pPr>
        <w:ind w:firstLine="709"/>
        <w:jc w:val="both"/>
        <w:rPr>
          <w:rFonts w:ascii="Arial" w:hAnsi="Arial" w:cs="Arial"/>
          <w:sz w:val="22"/>
          <w:szCs w:val="22"/>
        </w:rPr>
      </w:pPr>
    </w:p>
    <w:p w:rsidR="009B4233" w:rsidRDefault="009B4233">
      <w:pPr>
        <w:ind w:firstLine="709"/>
        <w:jc w:val="both"/>
        <w:rPr>
          <w:rFonts w:ascii="Arial" w:hAnsi="Arial" w:cs="Arial"/>
          <w:sz w:val="22"/>
          <w:szCs w:val="22"/>
        </w:rPr>
      </w:pPr>
    </w:p>
    <w:p w:rsidR="009B4233" w:rsidRDefault="006B08B9">
      <w:pPr>
        <w:ind w:firstLine="709"/>
        <w:jc w:val="both"/>
        <w:rPr>
          <w:rFonts w:ascii="Arial" w:hAnsi="Arial" w:cs="Arial"/>
          <w:sz w:val="22"/>
          <w:szCs w:val="22"/>
        </w:rPr>
      </w:pPr>
      <w:r>
        <w:rPr>
          <w:rFonts w:ascii="Arial" w:hAnsi="Arial" w:cs="Arial"/>
          <w:sz w:val="22"/>
          <w:szCs w:val="22"/>
        </w:rPr>
        <w:t>Abstenciones: 2.</w:t>
      </w:r>
    </w:p>
    <w:p w:rsidR="009B4233" w:rsidRDefault="009B4233">
      <w:pPr>
        <w:ind w:firstLine="709"/>
        <w:jc w:val="both"/>
        <w:rPr>
          <w:rFonts w:ascii="Arial" w:hAnsi="Arial" w:cs="Arial"/>
          <w:sz w:val="22"/>
          <w:szCs w:val="22"/>
        </w:rPr>
      </w:pPr>
    </w:p>
    <w:p w:rsidR="009B4233" w:rsidRDefault="006B08B9">
      <w:pPr>
        <w:ind w:firstLine="709"/>
        <w:jc w:val="both"/>
      </w:pPr>
      <w:r>
        <w:rPr>
          <w:rFonts w:ascii="Arial" w:hAnsi="Arial" w:cs="Arial"/>
          <w:sz w:val="22"/>
          <w:szCs w:val="22"/>
        </w:rPr>
        <w:t>2 concejales del Grupo Mixto: Doña Ángela Cruz Perera Armas (</w:t>
      </w:r>
      <w:r>
        <w:rPr>
          <w:rFonts w:ascii="Arial" w:hAnsi="Arial" w:cs="Arial"/>
          <w:sz w:val="22"/>
          <w:szCs w:val="22"/>
        </w:rPr>
        <w:t>CC) y Don José Yeray Padilla Cruz (CC).</w:t>
      </w:r>
    </w:p>
    <w:p w:rsidR="009B4233" w:rsidRDefault="006B08B9">
      <w:pPr>
        <w:jc w:val="both"/>
        <w:rPr>
          <w:rFonts w:ascii="Arial" w:hAnsi="Arial" w:cs="Arial"/>
          <w:b/>
          <w:sz w:val="22"/>
          <w:szCs w:val="22"/>
        </w:rPr>
      </w:pPr>
      <w:r>
        <w:rPr>
          <w:rFonts w:ascii="Arial" w:hAnsi="Arial" w:cs="Arial"/>
          <w:b/>
          <w:sz w:val="22"/>
          <w:szCs w:val="22"/>
        </w:rPr>
        <w:t xml:space="preserve">                          </w:t>
      </w:r>
    </w:p>
    <w:p w:rsidR="009B4233" w:rsidRDefault="009B4233">
      <w:pPr>
        <w:pStyle w:val="Textoindependiente"/>
        <w:ind w:left="709" w:firstLine="709"/>
        <w:rPr>
          <w:rFonts w:cs="Arial"/>
          <w:b/>
          <w:szCs w:val="22"/>
        </w:rPr>
      </w:pPr>
    </w:p>
    <w:p w:rsidR="009B4233" w:rsidRDefault="009B4233">
      <w:pPr>
        <w:pStyle w:val="Textoindependiente"/>
        <w:ind w:left="709" w:firstLine="709"/>
        <w:rPr>
          <w:rFonts w:cs="Arial"/>
          <w:b/>
          <w:szCs w:val="22"/>
        </w:rPr>
      </w:pPr>
    </w:p>
    <w:p w:rsidR="009B4233" w:rsidRDefault="009B4233">
      <w:pPr>
        <w:rPr>
          <w:rFonts w:ascii="Arial" w:hAnsi="Arial" w:cs="Arial"/>
          <w:b/>
          <w:sz w:val="22"/>
          <w:szCs w:val="22"/>
        </w:rPr>
      </w:pPr>
    </w:p>
    <w:p w:rsidR="009B4233" w:rsidRDefault="009B4233">
      <w:pPr>
        <w:pStyle w:val="Textoindependiente"/>
        <w:jc w:val="both"/>
        <w:rPr>
          <w:rFonts w:cs="Arial"/>
          <w:szCs w:val="22"/>
        </w:rPr>
      </w:pPr>
    </w:p>
    <w:p w:rsidR="009B4233" w:rsidRDefault="006B08B9">
      <w:pPr>
        <w:pStyle w:val="Textoindependiente"/>
        <w:ind w:left="709" w:firstLine="709"/>
        <w:rPr>
          <w:rFonts w:cs="Arial"/>
          <w:b/>
          <w:szCs w:val="22"/>
        </w:rPr>
      </w:pPr>
      <w:r>
        <w:rPr>
          <w:rFonts w:cs="Arial"/>
          <w:b/>
          <w:szCs w:val="22"/>
        </w:rPr>
        <w:t>ACUERDO DEL PLENO DE 25 DE SEPTIEMBRE DE 2025.</w:t>
      </w:r>
    </w:p>
    <w:p w:rsidR="009B4233" w:rsidRDefault="006B08B9">
      <w:pPr>
        <w:ind w:firstLine="709"/>
        <w:jc w:val="both"/>
        <w:rPr>
          <w:rFonts w:ascii="Arial" w:hAnsi="Arial" w:cs="Arial"/>
          <w:b/>
          <w:sz w:val="22"/>
          <w:szCs w:val="22"/>
        </w:rPr>
      </w:pPr>
      <w:r>
        <w:rPr>
          <w:rFonts w:ascii="Arial" w:hAnsi="Arial" w:cs="Arial"/>
          <w:b/>
          <w:sz w:val="22"/>
          <w:szCs w:val="22"/>
        </w:rPr>
        <w:t>Desestimar la moción del Partido Popular con registro de entrada nº (2025-E-RE-8096) del 16 de septiembre de 2025, para la implantación de</w:t>
      </w:r>
      <w:r>
        <w:rPr>
          <w:rFonts w:ascii="Arial" w:hAnsi="Arial" w:cs="Arial"/>
          <w:b/>
          <w:sz w:val="22"/>
          <w:szCs w:val="22"/>
        </w:rPr>
        <w:t xml:space="preserve"> una bolsa de voluntariado municipal para la protección y cuidado de animales en el municipio de Candelaria.</w:t>
      </w:r>
    </w:p>
    <w:p w:rsidR="009B4233" w:rsidRDefault="009B4233">
      <w:pPr>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6B08B9">
      <w:pPr>
        <w:jc w:val="both"/>
        <w:rPr>
          <w:rFonts w:ascii="Arial" w:hAnsi="Arial" w:cs="Arial"/>
          <w:b/>
          <w:sz w:val="22"/>
          <w:szCs w:val="22"/>
        </w:rPr>
      </w:pPr>
      <w:r>
        <w:rPr>
          <w:rFonts w:ascii="Arial" w:hAnsi="Arial" w:cs="Arial"/>
          <w:b/>
          <w:sz w:val="22"/>
          <w:szCs w:val="22"/>
        </w:rPr>
        <w:t xml:space="preserve">12.- Expediente 8916/2025. Moción del Grupo Mixto (CC) con registro de entrada nº (2025-E-RE-8039) del 19 de </w:t>
      </w:r>
      <w:r>
        <w:rPr>
          <w:rFonts w:ascii="Arial" w:hAnsi="Arial" w:cs="Arial"/>
          <w:b/>
          <w:sz w:val="22"/>
          <w:szCs w:val="22"/>
        </w:rPr>
        <w:t>septiembre de 2025, para el apoyo a Gaza y a los derechos humanos.</w:t>
      </w: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6B08B9">
      <w:pPr>
        <w:jc w:val="both"/>
        <w:rPr>
          <w:rFonts w:ascii="Arial" w:hAnsi="Arial" w:cs="Arial"/>
          <w:b/>
          <w:sz w:val="22"/>
          <w:szCs w:val="22"/>
        </w:rPr>
      </w:pPr>
      <w:r>
        <w:rPr>
          <w:rFonts w:ascii="Arial" w:hAnsi="Arial" w:cs="Arial"/>
          <w:b/>
          <w:sz w:val="22"/>
          <w:szCs w:val="22"/>
        </w:rPr>
        <w:t xml:space="preserve">   Consta en el expediente electrónico la referida moción que se inserta literalmente:</w:t>
      </w: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6B08B9">
      <w:pPr>
        <w:jc w:val="both"/>
      </w:pPr>
      <w:r>
        <w:rPr>
          <w:rFonts w:ascii="Arial" w:hAnsi="Arial" w:cs="Arial"/>
          <w:noProof/>
          <w:sz w:val="22"/>
          <w:szCs w:val="22"/>
          <w:lang w:eastAsia="es-ES" w:bidi="ar-SA"/>
        </w:rPr>
        <w:drawing>
          <wp:anchor distT="0" distB="0" distL="114300" distR="114300" simplePos="0" relativeHeight="251663872" behindDoc="0" locked="0" layoutInCell="1" allowOverlap="1">
            <wp:simplePos x="0" y="0"/>
            <wp:positionH relativeFrom="column">
              <wp:posOffset>0</wp:posOffset>
            </wp:positionH>
            <wp:positionV relativeFrom="paragraph">
              <wp:posOffset>151762</wp:posOffset>
            </wp:positionV>
            <wp:extent cx="1115696" cy="900427"/>
            <wp:effectExtent l="0" t="0" r="8254" b="0"/>
            <wp:wrapSquare wrapText="bothSides"/>
            <wp:docPr id="129" name="Imagen 469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rcRect/>
                    <a:stretch>
                      <a:fillRect/>
                    </a:stretch>
                  </pic:blipFill>
                  <pic:spPr>
                    <a:xfrm>
                      <a:off x="0" y="0"/>
                      <a:ext cx="1115696" cy="900427"/>
                    </a:xfrm>
                    <a:prstGeom prst="rect">
                      <a:avLst/>
                    </a:prstGeom>
                    <a:noFill/>
                    <a:ln>
                      <a:noFill/>
                      <a:prstDash/>
                    </a:ln>
                  </pic:spPr>
                </pic:pic>
              </a:graphicData>
            </a:graphic>
          </wp:anchor>
        </w:drawing>
      </w: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6B08B9">
      <w:pPr>
        <w:spacing w:after="205"/>
        <w:ind w:left="274"/>
      </w:pPr>
      <w:r>
        <w:rPr>
          <w:rFonts w:ascii="Arial" w:eastAsia="Calibri" w:hAnsi="Arial" w:cs="Arial"/>
          <w:b/>
          <w:sz w:val="22"/>
          <w:szCs w:val="22"/>
        </w:rPr>
        <w:t>Candelaria</w:t>
      </w:r>
      <w:r>
        <w:rPr>
          <w:rFonts w:ascii="Arial" w:hAnsi="Arial" w:cs="Arial"/>
          <w:sz w:val="22"/>
          <w:szCs w:val="22"/>
        </w:rPr>
        <w:t xml:space="preserve"> </w:t>
      </w:r>
    </w:p>
    <w:p w:rsidR="009B4233" w:rsidRDefault="006B08B9">
      <w:pPr>
        <w:pStyle w:val="Ttulo1"/>
        <w:rPr>
          <w:rFonts w:ascii="Arial" w:hAnsi="Arial" w:cs="Arial"/>
          <w:sz w:val="22"/>
          <w:szCs w:val="22"/>
        </w:rPr>
      </w:pPr>
      <w:r>
        <w:rPr>
          <w:rFonts w:ascii="Arial" w:hAnsi="Arial" w:cs="Arial"/>
          <w:sz w:val="22"/>
          <w:szCs w:val="22"/>
        </w:rPr>
        <w:t xml:space="preserve">“MOCIÓN </w:t>
      </w:r>
    </w:p>
    <w:p w:rsidR="009B4233" w:rsidRDefault="009B4233">
      <w:pPr>
        <w:spacing w:after="380"/>
        <w:ind w:right="7"/>
        <w:jc w:val="both"/>
        <w:rPr>
          <w:rFonts w:ascii="Arial" w:hAnsi="Arial" w:cs="Arial"/>
          <w:color w:val="222222"/>
          <w:sz w:val="22"/>
          <w:szCs w:val="22"/>
        </w:rPr>
      </w:pPr>
    </w:p>
    <w:p w:rsidR="009B4233" w:rsidRDefault="006B08B9">
      <w:pPr>
        <w:spacing w:after="380"/>
        <w:ind w:right="7"/>
        <w:jc w:val="both"/>
      </w:pPr>
      <w:r>
        <w:rPr>
          <w:rFonts w:ascii="Arial" w:hAnsi="Arial" w:cs="Arial"/>
          <w:color w:val="222222"/>
          <w:sz w:val="22"/>
          <w:szCs w:val="22"/>
        </w:rPr>
        <w:t>Dña. Ángela Cruz Perera, con DNI ***4786**, en calidad de concejal</w:t>
      </w:r>
      <w:r>
        <w:rPr>
          <w:rFonts w:ascii="Arial" w:hAnsi="Arial" w:cs="Arial"/>
          <w:color w:val="222222"/>
          <w:sz w:val="22"/>
          <w:szCs w:val="22"/>
        </w:rPr>
        <w:t xml:space="preserve"> y portavoz de Coalición Canaria (CC), conforme establece el artículo 97.3 del Reglamento de Organización, Funcionamiento y Régimen Jurídico de las Entidades Locales, aprobado por R.D. 2568/1986, de 28 de noviembre, y los artículos 19.1b y 80 del Reglament</w:t>
      </w:r>
      <w:r>
        <w:rPr>
          <w:rFonts w:ascii="Arial" w:hAnsi="Arial" w:cs="Arial"/>
          <w:color w:val="222222"/>
          <w:sz w:val="22"/>
          <w:szCs w:val="22"/>
        </w:rPr>
        <w:t xml:space="preserve">o Orgánico y de la Administración del Ayuntamiento de Candelaria, presenta al Pleno para su debate y aprobación la siguiente </w:t>
      </w:r>
      <w:r>
        <w:rPr>
          <w:rFonts w:ascii="Arial" w:eastAsia="Calibri" w:hAnsi="Arial" w:cs="Arial"/>
          <w:b/>
          <w:color w:val="222222"/>
          <w:sz w:val="22"/>
          <w:szCs w:val="22"/>
        </w:rPr>
        <w:t xml:space="preserve">Moción </w:t>
      </w:r>
      <w:r>
        <w:rPr>
          <w:rFonts w:ascii="Arial" w:eastAsia="Calibri" w:hAnsi="Arial" w:cs="Arial"/>
          <w:b/>
          <w:sz w:val="22"/>
          <w:szCs w:val="22"/>
        </w:rPr>
        <w:t>en apoyo al pueblo palestino de Gaza y en defensa de los derechos humanos.</w:t>
      </w:r>
      <w:r>
        <w:rPr>
          <w:rFonts w:ascii="Arial" w:eastAsia="Calibri" w:hAnsi="Arial" w:cs="Arial"/>
          <w:b/>
          <w:color w:val="222222"/>
          <w:sz w:val="22"/>
          <w:szCs w:val="22"/>
        </w:rPr>
        <w:t xml:space="preserve"> </w:t>
      </w:r>
    </w:p>
    <w:p w:rsidR="009B4233" w:rsidRDefault="006B08B9">
      <w:pPr>
        <w:spacing w:after="96"/>
        <w:ind w:right="5"/>
        <w:jc w:val="center"/>
      </w:pPr>
      <w:r>
        <w:rPr>
          <w:rFonts w:ascii="Arial" w:eastAsia="Calibri" w:hAnsi="Arial" w:cs="Arial"/>
          <w:b/>
          <w:sz w:val="22"/>
          <w:szCs w:val="22"/>
        </w:rPr>
        <w:t xml:space="preserve">EXPOSICIÓN DE MOTIVOS </w:t>
      </w:r>
    </w:p>
    <w:p w:rsidR="009B4233" w:rsidRDefault="006B08B9">
      <w:pPr>
        <w:ind w:left="55"/>
        <w:jc w:val="center"/>
        <w:rPr>
          <w:rFonts w:ascii="Arial" w:hAnsi="Arial" w:cs="Arial"/>
          <w:sz w:val="22"/>
          <w:szCs w:val="22"/>
        </w:rPr>
      </w:pPr>
      <w:r>
        <w:rPr>
          <w:rFonts w:ascii="Arial" w:hAnsi="Arial" w:cs="Arial"/>
          <w:sz w:val="22"/>
          <w:szCs w:val="22"/>
        </w:rPr>
        <w:t xml:space="preserve"> </w:t>
      </w:r>
    </w:p>
    <w:p w:rsidR="009B4233" w:rsidRDefault="006B08B9">
      <w:pPr>
        <w:ind w:left="-5"/>
        <w:jc w:val="both"/>
      </w:pPr>
      <w:r>
        <w:rPr>
          <w:rFonts w:ascii="Arial" w:hAnsi="Arial" w:cs="Arial"/>
          <w:sz w:val="22"/>
          <w:szCs w:val="22"/>
        </w:rPr>
        <w:t xml:space="preserve">No podemos permanecer </w:t>
      </w:r>
      <w:r>
        <w:rPr>
          <w:rFonts w:ascii="Arial" w:hAnsi="Arial" w:cs="Arial"/>
          <w:sz w:val="22"/>
          <w:szCs w:val="22"/>
        </w:rPr>
        <w:t xml:space="preserve">indiferente ante la tragedia humanitaria que está sufriendo la población de Gaza. Según el </w:t>
      </w:r>
      <w:r>
        <w:rPr>
          <w:rFonts w:ascii="Arial" w:eastAsia="Calibri" w:hAnsi="Arial" w:cs="Arial"/>
          <w:i/>
          <w:sz w:val="22"/>
          <w:szCs w:val="22"/>
        </w:rPr>
        <w:t>Manifiesto Urgente por Gaza</w:t>
      </w:r>
      <w:r>
        <w:rPr>
          <w:rFonts w:ascii="Arial" w:hAnsi="Arial" w:cs="Arial"/>
          <w:sz w:val="22"/>
          <w:szCs w:val="22"/>
        </w:rPr>
        <w:t xml:space="preserve"> impulsado por UNICEF, UNRWA, Oxfam Intermón, Médicos Sin Fronteras, </w:t>
      </w:r>
      <w:r>
        <w:rPr>
          <w:rFonts w:ascii="Arial" w:eastAsia="Calibri" w:hAnsi="Arial" w:cs="Arial"/>
          <w:i/>
          <w:sz w:val="22"/>
          <w:szCs w:val="22"/>
        </w:rPr>
        <w:t>Save the Children</w:t>
      </w:r>
      <w:r>
        <w:rPr>
          <w:rFonts w:ascii="Arial" w:hAnsi="Arial" w:cs="Arial"/>
          <w:sz w:val="22"/>
          <w:szCs w:val="22"/>
        </w:rPr>
        <w:t xml:space="preserve"> y Movimiento por la Paz, más de 56.000 personas han</w:t>
      </w:r>
      <w:r>
        <w:rPr>
          <w:rFonts w:ascii="Arial" w:hAnsi="Arial" w:cs="Arial"/>
          <w:sz w:val="22"/>
          <w:szCs w:val="22"/>
        </w:rPr>
        <w:t xml:space="preserve"> sido asesinadas en menos de dos años, de las cuales más de 18.000 eran niños y niñas. A ello se suman más de 127.000 personas heridas, muchas con traumas irreversibles. </w:t>
      </w:r>
    </w:p>
    <w:p w:rsidR="009B4233" w:rsidRDefault="009B4233">
      <w:pPr>
        <w:ind w:left="-5"/>
        <w:jc w:val="both"/>
        <w:rPr>
          <w:rFonts w:ascii="Arial" w:hAnsi="Arial" w:cs="Arial"/>
          <w:sz w:val="22"/>
          <w:szCs w:val="22"/>
        </w:rPr>
      </w:pPr>
    </w:p>
    <w:p w:rsidR="009B4233" w:rsidRDefault="006B08B9">
      <w:pPr>
        <w:ind w:left="-5"/>
        <w:jc w:val="both"/>
        <w:rPr>
          <w:rFonts w:ascii="Arial" w:hAnsi="Arial" w:cs="Arial"/>
          <w:sz w:val="22"/>
          <w:szCs w:val="22"/>
        </w:rPr>
      </w:pPr>
      <w:r>
        <w:rPr>
          <w:rFonts w:ascii="Arial" w:hAnsi="Arial" w:cs="Arial"/>
          <w:sz w:val="22"/>
          <w:szCs w:val="22"/>
        </w:rPr>
        <w:t>No hablamos solo de cifras, sino de vidas humanas segadas: niños que no volverán a j</w:t>
      </w:r>
      <w:r>
        <w:rPr>
          <w:rFonts w:ascii="Arial" w:hAnsi="Arial" w:cs="Arial"/>
          <w:sz w:val="22"/>
          <w:szCs w:val="22"/>
        </w:rPr>
        <w:t>ugar, madres y padres que ya no podrán abrazar a sus hijos, familias enteras borradas bajo los escombros. Gaza hoy es un espejo en el que se refleja la fragilidad de nuestra humanidad. El dolor del pueblo palestino nos interpela, nos exige no mirar hacia o</w:t>
      </w:r>
      <w:r>
        <w:rPr>
          <w:rFonts w:ascii="Arial" w:hAnsi="Arial" w:cs="Arial"/>
          <w:sz w:val="22"/>
          <w:szCs w:val="22"/>
        </w:rPr>
        <w:t xml:space="preserve">tro lado, porque la indiferencia sería también una forma de violencia. </w:t>
      </w:r>
    </w:p>
    <w:p w:rsidR="009B4233" w:rsidRDefault="006B08B9">
      <w:pPr>
        <w:ind w:left="-5"/>
        <w:jc w:val="both"/>
        <w:rPr>
          <w:rFonts w:ascii="Arial" w:hAnsi="Arial" w:cs="Arial"/>
          <w:sz w:val="22"/>
          <w:szCs w:val="22"/>
        </w:rPr>
      </w:pPr>
      <w:r>
        <w:rPr>
          <w:rFonts w:ascii="Arial" w:hAnsi="Arial" w:cs="Arial"/>
          <w:sz w:val="22"/>
          <w:szCs w:val="22"/>
        </w:rPr>
        <w:t>Canarias, tierra mestiza y solidaria, que siempre ha sabido tender la mano a quienes sufren, no puede guardar silencio ante esta tragedia. Nuestra voz es pequeña en el escenario intern</w:t>
      </w:r>
      <w:r>
        <w:rPr>
          <w:rFonts w:ascii="Arial" w:hAnsi="Arial" w:cs="Arial"/>
          <w:sz w:val="22"/>
          <w:szCs w:val="22"/>
        </w:rPr>
        <w:t xml:space="preserve">acional, pero cargada de dignidad y humanidad. Desde estas islas queremos apelar a que ningún pueblo merece ser condenado al hambre, al exilio forzoso o a la muerte bajo las bombas. </w:t>
      </w:r>
    </w:p>
    <w:p w:rsidR="009B4233" w:rsidRDefault="009B4233">
      <w:pPr>
        <w:ind w:left="-5"/>
        <w:rPr>
          <w:rFonts w:ascii="Arial" w:hAnsi="Arial" w:cs="Arial"/>
          <w:sz w:val="22"/>
          <w:szCs w:val="22"/>
        </w:rPr>
      </w:pPr>
    </w:p>
    <w:p w:rsidR="009B4233" w:rsidRDefault="006B08B9">
      <w:pPr>
        <w:ind w:left="-5"/>
        <w:jc w:val="both"/>
        <w:rPr>
          <w:rFonts w:ascii="Arial" w:hAnsi="Arial" w:cs="Arial"/>
          <w:sz w:val="22"/>
          <w:szCs w:val="22"/>
        </w:rPr>
      </w:pPr>
      <w:r>
        <w:rPr>
          <w:rFonts w:ascii="Arial" w:hAnsi="Arial" w:cs="Arial"/>
          <w:sz w:val="22"/>
          <w:szCs w:val="22"/>
        </w:rPr>
        <w:t>La situación actual constituye, en palabras de Naciones Unidas, un riesg</w:t>
      </w:r>
      <w:r>
        <w:rPr>
          <w:rFonts w:ascii="Arial" w:hAnsi="Arial" w:cs="Arial"/>
          <w:sz w:val="22"/>
          <w:szCs w:val="22"/>
        </w:rPr>
        <w:t>o de hambruna total para la población de Gaza, con más de medio millón de personas en fase 5 de catástrofe alimentaria. Más de la mitad de la población desplazada son niños, niñas y adolescentes a los que se está masacrando y cercenando la posibilidad de a</w:t>
      </w:r>
      <w:r>
        <w:rPr>
          <w:rFonts w:ascii="Arial" w:hAnsi="Arial" w:cs="Arial"/>
          <w:sz w:val="22"/>
          <w:szCs w:val="22"/>
        </w:rPr>
        <w:t xml:space="preserve">cceder a un futuro digno y en paz.  </w:t>
      </w:r>
    </w:p>
    <w:p w:rsidR="009B4233" w:rsidRDefault="006B08B9">
      <w:pPr>
        <w:ind w:left="-5"/>
        <w:jc w:val="both"/>
        <w:rPr>
          <w:rFonts w:ascii="Arial" w:hAnsi="Arial" w:cs="Arial"/>
          <w:sz w:val="22"/>
          <w:szCs w:val="22"/>
        </w:rPr>
      </w:pPr>
      <w:r>
        <w:rPr>
          <w:rFonts w:ascii="Arial" w:hAnsi="Arial" w:cs="Arial"/>
          <w:sz w:val="22"/>
          <w:szCs w:val="22"/>
        </w:rPr>
        <w:t xml:space="preserve">El sistema de salud ha colapsado: el 94% de los hospitales han sido dañados o destruidos, el acceso a medicinas y material sanitario es prácticamente inexistente, y la ayuda humanitaria permanece bloqueada. </w:t>
      </w:r>
    </w:p>
    <w:p w:rsidR="009B4233" w:rsidRDefault="009B4233">
      <w:pPr>
        <w:ind w:left="-5"/>
        <w:rPr>
          <w:rFonts w:ascii="Arial" w:hAnsi="Arial" w:cs="Arial"/>
          <w:sz w:val="22"/>
          <w:szCs w:val="22"/>
        </w:rPr>
      </w:pPr>
    </w:p>
    <w:p w:rsidR="009B4233" w:rsidRDefault="009B4233">
      <w:pPr>
        <w:ind w:left="-5"/>
        <w:rPr>
          <w:rFonts w:ascii="Arial" w:hAnsi="Arial" w:cs="Arial"/>
          <w:sz w:val="22"/>
          <w:szCs w:val="22"/>
        </w:rPr>
      </w:pPr>
    </w:p>
    <w:p w:rsidR="009B4233" w:rsidRDefault="006B08B9">
      <w:pPr>
        <w:spacing w:after="3"/>
        <w:ind w:left="1767"/>
      </w:pPr>
      <w:r>
        <w:rPr>
          <w:rFonts w:ascii="Arial" w:eastAsia="Calibri" w:hAnsi="Arial" w:cs="Arial"/>
          <w:b/>
          <w:sz w:val="22"/>
          <w:szCs w:val="22"/>
        </w:rPr>
        <w:t xml:space="preserve"> </w:t>
      </w:r>
    </w:p>
    <w:p w:rsidR="009B4233" w:rsidRDefault="006B08B9">
      <w:pPr>
        <w:pStyle w:val="Ttulo2"/>
        <w:ind w:left="274"/>
        <w:jc w:val="center"/>
        <w:rPr>
          <w:rFonts w:ascii="Arial" w:hAnsi="Arial" w:cs="Arial"/>
          <w:sz w:val="22"/>
          <w:szCs w:val="22"/>
        </w:rPr>
      </w:pPr>
      <w:r>
        <w:rPr>
          <w:rFonts w:ascii="Arial" w:hAnsi="Arial" w:cs="Arial"/>
          <w:sz w:val="22"/>
          <w:szCs w:val="22"/>
        </w:rPr>
        <w:t>Candela</w:t>
      </w:r>
      <w:r>
        <w:rPr>
          <w:rFonts w:ascii="Arial" w:hAnsi="Arial" w:cs="Arial"/>
          <w:sz w:val="22"/>
          <w:szCs w:val="22"/>
        </w:rPr>
        <w:t>ria</w:t>
      </w:r>
    </w:p>
    <w:p w:rsidR="009B4233" w:rsidRDefault="006B08B9">
      <w:pPr>
        <w:ind w:left="-5"/>
        <w:jc w:val="both"/>
        <w:rPr>
          <w:rFonts w:ascii="Arial" w:hAnsi="Arial" w:cs="Arial"/>
          <w:sz w:val="22"/>
          <w:szCs w:val="22"/>
        </w:rPr>
      </w:pPr>
      <w:r>
        <w:rPr>
          <w:rFonts w:ascii="Arial" w:hAnsi="Arial" w:cs="Arial"/>
          <w:sz w:val="22"/>
          <w:szCs w:val="22"/>
        </w:rPr>
        <w:t xml:space="preserve">Estos hechos representan graves violaciones del Derecho Internacional Humanitario, incluyendo el castigo colectivo, el uso del hambre como arma de guerra, los ataques indiscriminados contra población civil, y la obstrucción a la ayuda humanitaria. </w:t>
      </w:r>
    </w:p>
    <w:p w:rsidR="009B4233" w:rsidRDefault="006B08B9">
      <w:pPr>
        <w:ind w:left="-5"/>
        <w:jc w:val="both"/>
        <w:rPr>
          <w:rFonts w:ascii="Arial" w:hAnsi="Arial" w:cs="Arial"/>
          <w:sz w:val="22"/>
          <w:szCs w:val="22"/>
        </w:rPr>
      </w:pPr>
      <w:r>
        <w:rPr>
          <w:rFonts w:ascii="Arial" w:hAnsi="Arial" w:cs="Arial"/>
          <w:sz w:val="22"/>
          <w:szCs w:val="22"/>
        </w:rPr>
        <w:t>Can</w:t>
      </w:r>
      <w:r>
        <w:rPr>
          <w:rFonts w:ascii="Arial" w:hAnsi="Arial" w:cs="Arial"/>
          <w:sz w:val="22"/>
          <w:szCs w:val="22"/>
        </w:rPr>
        <w:t xml:space="preserve">arias, como tierra históricamente solidaria, plural y puente entre pueblos, no puede permanecer en silencio. Con esta moción, reafirmamos nuestro compromiso con la paz, la justicia y los derechos humanos universales. </w:t>
      </w:r>
    </w:p>
    <w:p w:rsidR="009B4233" w:rsidRDefault="009B4233">
      <w:pPr>
        <w:ind w:left="-5"/>
        <w:jc w:val="both"/>
        <w:rPr>
          <w:rFonts w:ascii="Arial" w:hAnsi="Arial" w:cs="Arial"/>
          <w:sz w:val="22"/>
          <w:szCs w:val="22"/>
        </w:rPr>
      </w:pPr>
    </w:p>
    <w:p w:rsidR="009B4233" w:rsidRDefault="006B08B9">
      <w:pPr>
        <w:ind w:left="-5"/>
        <w:jc w:val="both"/>
        <w:rPr>
          <w:rFonts w:ascii="Arial" w:hAnsi="Arial" w:cs="Arial"/>
          <w:sz w:val="22"/>
          <w:szCs w:val="22"/>
        </w:rPr>
      </w:pPr>
      <w:r>
        <w:rPr>
          <w:rFonts w:ascii="Arial" w:hAnsi="Arial" w:cs="Arial"/>
          <w:sz w:val="22"/>
          <w:szCs w:val="22"/>
        </w:rPr>
        <w:t>Tal como indican los firmantes del Ma</w:t>
      </w:r>
      <w:r>
        <w:rPr>
          <w:rFonts w:ascii="Arial" w:hAnsi="Arial" w:cs="Arial"/>
          <w:sz w:val="22"/>
          <w:szCs w:val="22"/>
        </w:rPr>
        <w:t>nifiesto por Gaza “¿Cuánto más tiene que sufrir un pueblo para despertar la acción internacional? ¿Cuántos niños y niñas más deben morir para que quienes tienen poder actúen? Las palabras ya no bastan. Las condenas sin consecuencias no salvan vidas. Las de</w:t>
      </w:r>
      <w:r>
        <w:rPr>
          <w:rFonts w:ascii="Arial" w:hAnsi="Arial" w:cs="Arial"/>
          <w:sz w:val="22"/>
          <w:szCs w:val="22"/>
        </w:rPr>
        <w:t xml:space="preserve">claraciones sin medidas concretas se difuminan. La historia no juzgará lo que dijimos, sino lo que hicimos. O no hicimos” </w:t>
      </w:r>
    </w:p>
    <w:p w:rsidR="009B4233" w:rsidRDefault="009B4233">
      <w:pPr>
        <w:ind w:left="-5"/>
        <w:jc w:val="both"/>
        <w:rPr>
          <w:rFonts w:ascii="Arial" w:hAnsi="Arial" w:cs="Arial"/>
          <w:sz w:val="22"/>
          <w:szCs w:val="22"/>
        </w:rPr>
      </w:pPr>
    </w:p>
    <w:p w:rsidR="009B4233" w:rsidRDefault="009B4233">
      <w:pPr>
        <w:ind w:left="-5"/>
        <w:jc w:val="both"/>
        <w:rPr>
          <w:rFonts w:ascii="Arial" w:hAnsi="Arial" w:cs="Arial"/>
          <w:sz w:val="22"/>
          <w:szCs w:val="22"/>
        </w:rPr>
      </w:pPr>
    </w:p>
    <w:p w:rsidR="009B4233" w:rsidRDefault="009B4233">
      <w:pPr>
        <w:ind w:left="-5"/>
        <w:jc w:val="both"/>
        <w:rPr>
          <w:rFonts w:ascii="Arial" w:hAnsi="Arial" w:cs="Arial"/>
          <w:sz w:val="22"/>
          <w:szCs w:val="22"/>
        </w:rPr>
      </w:pPr>
    </w:p>
    <w:p w:rsidR="009B4233" w:rsidRDefault="009B4233">
      <w:pPr>
        <w:ind w:left="-5"/>
        <w:jc w:val="both"/>
        <w:rPr>
          <w:rFonts w:ascii="Arial" w:hAnsi="Arial" w:cs="Arial"/>
          <w:sz w:val="22"/>
          <w:szCs w:val="22"/>
        </w:rPr>
      </w:pPr>
    </w:p>
    <w:p w:rsidR="009B4233" w:rsidRDefault="009B4233">
      <w:pPr>
        <w:ind w:left="-5"/>
        <w:jc w:val="both"/>
        <w:rPr>
          <w:rFonts w:ascii="Arial" w:hAnsi="Arial" w:cs="Arial"/>
          <w:sz w:val="22"/>
          <w:szCs w:val="22"/>
        </w:rPr>
      </w:pPr>
    </w:p>
    <w:p w:rsidR="009B4233" w:rsidRDefault="006B08B9">
      <w:pPr>
        <w:spacing w:after="201"/>
        <w:ind w:left="-5"/>
        <w:jc w:val="both"/>
        <w:rPr>
          <w:rFonts w:ascii="Arial" w:hAnsi="Arial" w:cs="Arial"/>
          <w:sz w:val="22"/>
          <w:szCs w:val="22"/>
        </w:rPr>
      </w:pPr>
      <w:r>
        <w:rPr>
          <w:rFonts w:ascii="Arial" w:hAnsi="Arial" w:cs="Arial"/>
          <w:sz w:val="22"/>
          <w:szCs w:val="22"/>
        </w:rPr>
        <w:t xml:space="preserve">Por todo ello, a través de la presente moción, planteamos: </w:t>
      </w:r>
    </w:p>
    <w:p w:rsidR="009B4233" w:rsidRDefault="006B08B9">
      <w:pPr>
        <w:widowControl/>
        <w:numPr>
          <w:ilvl w:val="0"/>
          <w:numId w:val="115"/>
        </w:numPr>
        <w:suppressAutoHyphens w:val="0"/>
        <w:spacing w:after="38" w:line="249" w:lineRule="auto"/>
        <w:ind w:left="707" w:hanging="346"/>
        <w:jc w:val="both"/>
        <w:textAlignment w:val="auto"/>
        <w:rPr>
          <w:rFonts w:ascii="Arial" w:hAnsi="Arial" w:cs="Arial"/>
          <w:sz w:val="22"/>
          <w:szCs w:val="22"/>
        </w:rPr>
      </w:pPr>
      <w:r>
        <w:rPr>
          <w:rFonts w:ascii="Arial" w:hAnsi="Arial" w:cs="Arial"/>
          <w:sz w:val="22"/>
          <w:szCs w:val="22"/>
        </w:rPr>
        <w:t xml:space="preserve">Exigir un alto el fuego inmediato y definitivo en Gaza, que ponga </w:t>
      </w:r>
      <w:r>
        <w:rPr>
          <w:rFonts w:ascii="Arial" w:hAnsi="Arial" w:cs="Arial"/>
          <w:sz w:val="22"/>
          <w:szCs w:val="22"/>
        </w:rPr>
        <w:t xml:space="preserve">fin al sufrimiento de la población civil, reclamando para ello la protección efectiva de la población civil conforme al Derecho Internacional Humanitario, en especial de la infancia y de las personas desplazadas. </w:t>
      </w:r>
    </w:p>
    <w:p w:rsidR="009B4233" w:rsidRDefault="006B08B9">
      <w:pPr>
        <w:widowControl/>
        <w:numPr>
          <w:ilvl w:val="0"/>
          <w:numId w:val="115"/>
        </w:numPr>
        <w:suppressAutoHyphens w:val="0"/>
        <w:spacing w:after="37" w:line="249" w:lineRule="auto"/>
        <w:ind w:left="707" w:hanging="346"/>
        <w:jc w:val="both"/>
        <w:textAlignment w:val="auto"/>
        <w:rPr>
          <w:rFonts w:ascii="Arial" w:hAnsi="Arial" w:cs="Arial"/>
          <w:sz w:val="22"/>
          <w:szCs w:val="22"/>
        </w:rPr>
      </w:pPr>
      <w:r>
        <w:rPr>
          <w:rFonts w:ascii="Arial" w:hAnsi="Arial" w:cs="Arial"/>
          <w:sz w:val="22"/>
          <w:szCs w:val="22"/>
        </w:rPr>
        <w:t xml:space="preserve">Instar a la apertura total y sostenida de </w:t>
      </w:r>
      <w:r>
        <w:rPr>
          <w:rFonts w:ascii="Arial" w:hAnsi="Arial" w:cs="Arial"/>
          <w:sz w:val="22"/>
          <w:szCs w:val="22"/>
        </w:rPr>
        <w:t xml:space="preserve">todos los pasos fronterizos, para garantizar la entrada masiva de ayuda humanitaria sin condiciones políticas. </w:t>
      </w:r>
    </w:p>
    <w:p w:rsidR="009B4233" w:rsidRDefault="006B08B9">
      <w:pPr>
        <w:widowControl/>
        <w:numPr>
          <w:ilvl w:val="0"/>
          <w:numId w:val="115"/>
        </w:numPr>
        <w:suppressAutoHyphens w:val="0"/>
        <w:spacing w:after="33" w:line="249" w:lineRule="auto"/>
        <w:ind w:left="707" w:hanging="346"/>
        <w:jc w:val="both"/>
        <w:textAlignment w:val="auto"/>
        <w:rPr>
          <w:rFonts w:ascii="Arial" w:hAnsi="Arial" w:cs="Arial"/>
          <w:sz w:val="22"/>
          <w:szCs w:val="22"/>
        </w:rPr>
      </w:pPr>
      <w:r>
        <w:rPr>
          <w:rFonts w:ascii="Arial" w:hAnsi="Arial" w:cs="Arial"/>
          <w:sz w:val="22"/>
          <w:szCs w:val="22"/>
        </w:rPr>
        <w:t>Defender el pleno restablecimiento del mandato de UNRWA y de todas las agencias humanitarias, rechazando su criminalización u obstrucción políti</w:t>
      </w:r>
      <w:r>
        <w:rPr>
          <w:rFonts w:ascii="Arial" w:hAnsi="Arial" w:cs="Arial"/>
          <w:sz w:val="22"/>
          <w:szCs w:val="22"/>
        </w:rPr>
        <w:t xml:space="preserve">ca. </w:t>
      </w:r>
    </w:p>
    <w:p w:rsidR="009B4233" w:rsidRDefault="006B08B9">
      <w:pPr>
        <w:widowControl/>
        <w:numPr>
          <w:ilvl w:val="0"/>
          <w:numId w:val="115"/>
        </w:numPr>
        <w:suppressAutoHyphens w:val="0"/>
        <w:spacing w:after="38" w:line="249" w:lineRule="auto"/>
        <w:ind w:left="707" w:hanging="346"/>
        <w:jc w:val="both"/>
        <w:textAlignment w:val="auto"/>
        <w:rPr>
          <w:rFonts w:ascii="Arial" w:hAnsi="Arial" w:cs="Arial"/>
          <w:sz w:val="22"/>
          <w:szCs w:val="22"/>
        </w:rPr>
      </w:pPr>
      <w:r>
        <w:rPr>
          <w:rFonts w:ascii="Arial" w:hAnsi="Arial" w:cs="Arial"/>
          <w:sz w:val="22"/>
          <w:szCs w:val="22"/>
        </w:rPr>
        <w:t xml:space="preserve">Condenar la utilización del hambre, el desplazamiento forzado y otros castigos colectivos como armas de guerra contra la población palestina. </w:t>
      </w:r>
    </w:p>
    <w:p w:rsidR="009B4233" w:rsidRDefault="006B08B9">
      <w:pPr>
        <w:widowControl/>
        <w:numPr>
          <w:ilvl w:val="0"/>
          <w:numId w:val="115"/>
        </w:numPr>
        <w:suppressAutoHyphens w:val="0"/>
        <w:spacing w:after="38" w:line="249" w:lineRule="auto"/>
        <w:ind w:left="707" w:hanging="346"/>
        <w:jc w:val="both"/>
        <w:textAlignment w:val="auto"/>
        <w:rPr>
          <w:rFonts w:ascii="Arial" w:hAnsi="Arial" w:cs="Arial"/>
          <w:sz w:val="22"/>
          <w:szCs w:val="22"/>
        </w:rPr>
      </w:pPr>
      <w:r>
        <w:rPr>
          <w:rFonts w:ascii="Arial" w:hAnsi="Arial" w:cs="Arial"/>
          <w:sz w:val="22"/>
          <w:szCs w:val="22"/>
        </w:rPr>
        <w:t xml:space="preserve">Trasladar este acuerdo al Gobierno de España, al Parlamento Europeo y a las Naciones Unidas, instando a que </w:t>
      </w:r>
      <w:r>
        <w:rPr>
          <w:rFonts w:ascii="Arial" w:hAnsi="Arial" w:cs="Arial"/>
          <w:sz w:val="22"/>
          <w:szCs w:val="22"/>
        </w:rPr>
        <w:t xml:space="preserve">ejerzan toda la presión diplomática necesaria para detener las violaciones de derechos humanos en Gaza. </w:t>
      </w:r>
    </w:p>
    <w:p w:rsidR="009B4233" w:rsidRDefault="006B08B9">
      <w:pPr>
        <w:widowControl/>
        <w:numPr>
          <w:ilvl w:val="0"/>
          <w:numId w:val="115"/>
        </w:numPr>
        <w:suppressAutoHyphens w:val="0"/>
        <w:spacing w:after="162" w:line="249" w:lineRule="auto"/>
        <w:ind w:left="707" w:hanging="346"/>
        <w:jc w:val="both"/>
        <w:textAlignment w:val="auto"/>
        <w:rPr>
          <w:rFonts w:ascii="Arial" w:hAnsi="Arial" w:cs="Arial"/>
          <w:sz w:val="22"/>
          <w:szCs w:val="22"/>
        </w:rPr>
      </w:pPr>
      <w:r>
        <w:rPr>
          <w:rFonts w:ascii="Arial" w:hAnsi="Arial" w:cs="Arial"/>
          <w:sz w:val="22"/>
          <w:szCs w:val="22"/>
        </w:rPr>
        <w:t xml:space="preserve">Expresar la solidaridad del pueblo canario de Candelaria con la población palestina de Gaza, comprometiendo a las instituciones públicas de Canarias a </w:t>
      </w:r>
      <w:r>
        <w:rPr>
          <w:rFonts w:ascii="Arial" w:hAnsi="Arial" w:cs="Arial"/>
          <w:sz w:val="22"/>
          <w:szCs w:val="22"/>
        </w:rPr>
        <w:t>impulsar acciones de sensibilización, cooperación internacional y apoyo humanitario. “</w:t>
      </w:r>
    </w:p>
    <w:p w:rsidR="009B4233" w:rsidRDefault="006B08B9">
      <w:pPr>
        <w:rPr>
          <w:rFonts w:ascii="Arial" w:hAnsi="Arial" w:cs="Arial"/>
          <w:sz w:val="22"/>
          <w:szCs w:val="22"/>
        </w:rPr>
      </w:pPr>
      <w:r>
        <w:rPr>
          <w:rFonts w:ascii="Arial" w:hAnsi="Arial" w:cs="Arial"/>
          <w:sz w:val="22"/>
          <w:szCs w:val="22"/>
        </w:rPr>
        <w:t xml:space="preserve"> </w:t>
      </w:r>
    </w:p>
    <w:p w:rsidR="009B4233" w:rsidRDefault="006B08B9">
      <w:pPr>
        <w:rPr>
          <w:rFonts w:ascii="Arial" w:hAnsi="Arial" w:cs="Arial"/>
          <w:sz w:val="22"/>
          <w:szCs w:val="22"/>
        </w:rPr>
      </w:pPr>
      <w:r>
        <w:rPr>
          <w:rFonts w:ascii="Arial" w:hAnsi="Arial" w:cs="Arial"/>
          <w:sz w:val="22"/>
          <w:szCs w:val="22"/>
        </w:rPr>
        <w:t xml:space="preserve"> </w:t>
      </w:r>
    </w:p>
    <w:p w:rsidR="009B4233" w:rsidRDefault="006B08B9">
      <w:pPr>
        <w:spacing w:after="3"/>
        <w:ind w:right="12"/>
        <w:jc w:val="center"/>
        <w:rPr>
          <w:rFonts w:ascii="Arial" w:hAnsi="Arial" w:cs="Arial"/>
          <w:sz w:val="22"/>
          <w:szCs w:val="22"/>
        </w:rPr>
      </w:pPr>
      <w:r>
        <w:rPr>
          <w:rFonts w:ascii="Arial" w:hAnsi="Arial" w:cs="Arial"/>
          <w:sz w:val="22"/>
          <w:szCs w:val="22"/>
        </w:rPr>
        <w:t xml:space="preserve">En Candelaria, a 15 de septiembre de 2025 </w:t>
      </w:r>
    </w:p>
    <w:p w:rsidR="009B4233" w:rsidRDefault="006B08B9">
      <w:pPr>
        <w:ind w:left="55"/>
        <w:jc w:val="center"/>
        <w:rPr>
          <w:rFonts w:ascii="Arial" w:hAnsi="Arial" w:cs="Arial"/>
          <w:sz w:val="22"/>
          <w:szCs w:val="22"/>
        </w:rPr>
      </w:pPr>
      <w:r>
        <w:rPr>
          <w:rFonts w:ascii="Arial" w:hAnsi="Arial" w:cs="Arial"/>
          <w:sz w:val="22"/>
          <w:szCs w:val="22"/>
        </w:rPr>
        <w:t xml:space="preserve"> </w:t>
      </w:r>
    </w:p>
    <w:p w:rsidR="009B4233" w:rsidRDefault="006B08B9">
      <w:pPr>
        <w:spacing w:after="3"/>
        <w:ind w:right="6"/>
        <w:jc w:val="center"/>
        <w:rPr>
          <w:rFonts w:ascii="Arial" w:hAnsi="Arial" w:cs="Arial"/>
          <w:sz w:val="22"/>
          <w:szCs w:val="22"/>
        </w:rPr>
      </w:pPr>
      <w:r>
        <w:rPr>
          <w:rFonts w:ascii="Arial" w:hAnsi="Arial" w:cs="Arial"/>
          <w:sz w:val="22"/>
          <w:szCs w:val="22"/>
        </w:rPr>
        <w:t xml:space="preserve">Angela Cruz Perera </w:t>
      </w:r>
    </w:p>
    <w:p w:rsidR="009B4233" w:rsidRDefault="006B08B9">
      <w:pPr>
        <w:spacing w:after="3"/>
        <w:ind w:right="12"/>
        <w:jc w:val="center"/>
        <w:rPr>
          <w:rFonts w:ascii="Arial" w:hAnsi="Arial" w:cs="Arial"/>
          <w:sz w:val="22"/>
          <w:szCs w:val="22"/>
        </w:rPr>
      </w:pPr>
      <w:r>
        <w:rPr>
          <w:rFonts w:ascii="Arial" w:hAnsi="Arial" w:cs="Arial"/>
          <w:sz w:val="22"/>
          <w:szCs w:val="22"/>
        </w:rPr>
        <w:t xml:space="preserve">Portavoz de Coalición Canaria </w:t>
      </w:r>
    </w:p>
    <w:p w:rsidR="009B4233" w:rsidRDefault="006B08B9">
      <w:pPr>
        <w:jc w:val="center"/>
      </w:pPr>
      <w:r>
        <w:rPr>
          <w:rFonts w:ascii="Arial" w:hAnsi="Arial" w:cs="Arial"/>
          <w:sz w:val="22"/>
          <w:szCs w:val="22"/>
        </w:rPr>
        <w:t>Ayuntamiento de Candelaria</w:t>
      </w: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sz w:val="22"/>
          <w:szCs w:val="22"/>
        </w:rPr>
      </w:pPr>
    </w:p>
    <w:p w:rsidR="009B4233" w:rsidRDefault="006B08B9">
      <w:pPr>
        <w:jc w:val="both"/>
        <w:rPr>
          <w:rFonts w:ascii="Arial" w:hAnsi="Arial" w:cs="Arial"/>
          <w:b/>
          <w:sz w:val="22"/>
          <w:szCs w:val="22"/>
        </w:rPr>
      </w:pPr>
      <w:r>
        <w:rPr>
          <w:rFonts w:ascii="Arial" w:hAnsi="Arial" w:cs="Arial"/>
          <w:b/>
          <w:sz w:val="22"/>
          <w:szCs w:val="22"/>
        </w:rPr>
        <w:t xml:space="preserve">DICTAMEN FAVORABLE DE LA COMISIÓN INFORMATIVA DE SERVICIOS A LAS PERSONAS DE 22 DE SEPTIEMBRE DE 2025. </w:t>
      </w:r>
    </w:p>
    <w:p w:rsidR="009B4233" w:rsidRDefault="009B4233">
      <w:pPr>
        <w:jc w:val="both"/>
        <w:rPr>
          <w:rFonts w:ascii="Arial" w:hAnsi="Arial" w:cs="Arial"/>
          <w:b/>
          <w:sz w:val="22"/>
          <w:szCs w:val="22"/>
        </w:rPr>
      </w:pPr>
    </w:p>
    <w:p w:rsidR="009B4233" w:rsidRDefault="006B08B9">
      <w:pPr>
        <w:rPr>
          <w:rFonts w:ascii="Arial" w:hAnsi="Arial" w:cs="Arial"/>
          <w:sz w:val="22"/>
          <w:szCs w:val="22"/>
        </w:rPr>
      </w:pPr>
      <w:r>
        <w:rPr>
          <w:rFonts w:ascii="Arial" w:hAnsi="Arial" w:cs="Arial"/>
          <w:sz w:val="22"/>
          <w:szCs w:val="22"/>
        </w:rPr>
        <w:t>Votos a favor: 0.</w:t>
      </w:r>
    </w:p>
    <w:p w:rsidR="009B4233" w:rsidRDefault="009B4233">
      <w:pPr>
        <w:rPr>
          <w:rFonts w:ascii="Arial" w:hAnsi="Arial" w:cs="Arial"/>
          <w:sz w:val="22"/>
          <w:szCs w:val="22"/>
        </w:rPr>
      </w:pPr>
    </w:p>
    <w:p w:rsidR="009B4233" w:rsidRDefault="006B08B9">
      <w:pPr>
        <w:rPr>
          <w:rFonts w:ascii="Arial" w:hAnsi="Arial" w:cs="Arial"/>
          <w:sz w:val="22"/>
          <w:szCs w:val="22"/>
        </w:rPr>
      </w:pPr>
      <w:r>
        <w:rPr>
          <w:rFonts w:ascii="Arial" w:hAnsi="Arial" w:cs="Arial"/>
          <w:sz w:val="22"/>
          <w:szCs w:val="22"/>
        </w:rPr>
        <w:t>Votos en contra: 1.</w:t>
      </w:r>
    </w:p>
    <w:p w:rsidR="009B4233" w:rsidRDefault="006B08B9">
      <w:pPr>
        <w:rPr>
          <w:rFonts w:ascii="Arial" w:hAnsi="Arial" w:cs="Arial"/>
          <w:sz w:val="22"/>
          <w:szCs w:val="22"/>
        </w:rPr>
      </w:pPr>
      <w:r>
        <w:rPr>
          <w:rFonts w:ascii="Arial" w:hAnsi="Arial" w:cs="Arial"/>
          <w:sz w:val="22"/>
          <w:szCs w:val="22"/>
        </w:rPr>
        <w:t>1 del concejal del Grupo Mixto (Vox): Don José Tortosa Pallarés.</w:t>
      </w:r>
    </w:p>
    <w:p w:rsidR="009B4233" w:rsidRDefault="009B4233">
      <w:pPr>
        <w:jc w:val="both"/>
        <w:rPr>
          <w:rFonts w:ascii="Arial" w:hAnsi="Arial" w:cs="Arial"/>
          <w:sz w:val="22"/>
          <w:szCs w:val="22"/>
        </w:rPr>
      </w:pPr>
    </w:p>
    <w:p w:rsidR="009B4233" w:rsidRDefault="006B08B9">
      <w:pPr>
        <w:jc w:val="both"/>
        <w:rPr>
          <w:rFonts w:ascii="Arial" w:hAnsi="Arial" w:cs="Arial"/>
          <w:sz w:val="22"/>
          <w:szCs w:val="22"/>
        </w:rPr>
      </w:pPr>
      <w:r>
        <w:rPr>
          <w:rFonts w:ascii="Arial" w:hAnsi="Arial" w:cs="Arial"/>
          <w:sz w:val="22"/>
          <w:szCs w:val="22"/>
        </w:rPr>
        <w:t>Abstenciones: 5.</w:t>
      </w:r>
    </w:p>
    <w:p w:rsidR="009B4233" w:rsidRDefault="006B08B9">
      <w:pPr>
        <w:jc w:val="both"/>
        <w:rPr>
          <w:rFonts w:ascii="Arial" w:hAnsi="Arial" w:cs="Arial"/>
          <w:sz w:val="22"/>
          <w:szCs w:val="22"/>
        </w:rPr>
      </w:pPr>
      <w:r>
        <w:rPr>
          <w:rFonts w:ascii="Arial" w:hAnsi="Arial" w:cs="Arial"/>
          <w:sz w:val="22"/>
          <w:szCs w:val="22"/>
        </w:rPr>
        <w:t xml:space="preserve">Los 4 concejales del Grupo </w:t>
      </w:r>
      <w:r>
        <w:rPr>
          <w:rFonts w:ascii="Arial" w:hAnsi="Arial" w:cs="Arial"/>
          <w:sz w:val="22"/>
          <w:szCs w:val="22"/>
        </w:rPr>
        <w:t xml:space="preserve">Socialista: Doña Olivia </w:t>
      </w:r>
      <w:r>
        <w:rPr>
          <w:rFonts w:ascii="Arial" w:hAnsi="Arial" w:cs="Arial"/>
          <w:sz w:val="22"/>
          <w:szCs w:val="22"/>
        </w:rPr>
        <w:br/>
      </w:r>
      <w:r>
        <w:rPr>
          <w:rFonts w:ascii="Arial" w:hAnsi="Arial" w:cs="Arial"/>
          <w:sz w:val="22"/>
          <w:szCs w:val="22"/>
        </w:rPr>
        <w:t>Concepción Pérez Díaz,  D. Reinaldo José Triviño Blanco, Doña Margarita Eva Tendero Barroso y Doña Mónica Montserrat Yanes Delgado.</w:t>
      </w:r>
    </w:p>
    <w:p w:rsidR="009B4233" w:rsidRDefault="009B4233">
      <w:pPr>
        <w:rPr>
          <w:rFonts w:ascii="Arial" w:hAnsi="Arial" w:cs="Arial"/>
          <w:sz w:val="22"/>
          <w:szCs w:val="22"/>
        </w:rPr>
      </w:pPr>
    </w:p>
    <w:p w:rsidR="009B4233" w:rsidRDefault="006B08B9">
      <w:pPr>
        <w:rPr>
          <w:rFonts w:ascii="Arial" w:hAnsi="Arial" w:cs="Arial"/>
          <w:sz w:val="22"/>
          <w:szCs w:val="22"/>
        </w:rPr>
      </w:pPr>
      <w:r>
        <w:rPr>
          <w:rFonts w:ascii="Arial" w:hAnsi="Arial" w:cs="Arial"/>
          <w:sz w:val="22"/>
          <w:szCs w:val="22"/>
        </w:rPr>
        <w:t>1 del concejal del Grupo Popular: D. Jacobo López Fariña</w:t>
      </w:r>
    </w:p>
    <w:p w:rsidR="009B4233" w:rsidRDefault="009B4233">
      <w:pPr>
        <w:jc w:val="both"/>
        <w:rPr>
          <w:rFonts w:ascii="Arial" w:hAnsi="Arial" w:cs="Arial"/>
          <w:sz w:val="22"/>
          <w:szCs w:val="22"/>
        </w:rPr>
      </w:pPr>
    </w:p>
    <w:p w:rsidR="009B4233" w:rsidRDefault="009B4233">
      <w:pPr>
        <w:rPr>
          <w:rFonts w:ascii="Arial" w:hAnsi="Arial" w:cs="Arial"/>
          <w:b/>
          <w:sz w:val="22"/>
          <w:szCs w:val="22"/>
        </w:rPr>
      </w:pPr>
    </w:p>
    <w:p w:rsidR="009B4233" w:rsidRDefault="006B08B9">
      <w:pPr>
        <w:rPr>
          <w:rFonts w:ascii="Arial" w:hAnsi="Arial" w:cs="Arial"/>
          <w:b/>
          <w:sz w:val="22"/>
          <w:szCs w:val="22"/>
        </w:rPr>
      </w:pPr>
      <w:r>
        <w:rPr>
          <w:rFonts w:ascii="Arial" w:hAnsi="Arial" w:cs="Arial"/>
          <w:b/>
          <w:sz w:val="22"/>
          <w:szCs w:val="22"/>
        </w:rPr>
        <w:t>JUNTA DE PORTAVOCES DE 22 DE SEPTIEMBRE</w:t>
      </w:r>
      <w:r>
        <w:rPr>
          <w:rFonts w:ascii="Arial" w:hAnsi="Arial" w:cs="Arial"/>
          <w:b/>
          <w:sz w:val="22"/>
          <w:szCs w:val="22"/>
        </w:rPr>
        <w:t xml:space="preserve"> DE 2025.</w:t>
      </w:r>
    </w:p>
    <w:p w:rsidR="009B4233" w:rsidRDefault="006B08B9">
      <w:pPr>
        <w:rPr>
          <w:rFonts w:ascii="Arial" w:hAnsi="Arial" w:cs="Arial"/>
          <w:sz w:val="22"/>
          <w:szCs w:val="22"/>
        </w:rPr>
      </w:pPr>
      <w:r>
        <w:rPr>
          <w:rFonts w:ascii="Arial" w:hAnsi="Arial" w:cs="Arial"/>
          <w:sz w:val="22"/>
          <w:szCs w:val="22"/>
        </w:rPr>
        <w:t xml:space="preserve">Quedó oída. </w:t>
      </w:r>
    </w:p>
    <w:p w:rsidR="009B4233" w:rsidRDefault="009B4233">
      <w:pPr>
        <w:rPr>
          <w:rFonts w:ascii="Arial" w:hAnsi="Arial" w:cs="Arial"/>
          <w:b/>
          <w:sz w:val="22"/>
          <w:szCs w:val="22"/>
        </w:rPr>
      </w:pPr>
    </w:p>
    <w:p w:rsidR="009B4233" w:rsidRDefault="006B08B9">
      <w:pPr>
        <w:ind w:firstLine="709"/>
        <w:jc w:val="both"/>
        <w:rPr>
          <w:rFonts w:ascii="Arial" w:hAnsi="Arial" w:cs="Arial"/>
          <w:b/>
          <w:sz w:val="22"/>
          <w:szCs w:val="22"/>
        </w:rPr>
      </w:pPr>
      <w:r>
        <w:rPr>
          <w:rFonts w:ascii="Arial" w:hAnsi="Arial" w:cs="Arial"/>
          <w:b/>
          <w:sz w:val="22"/>
          <w:szCs w:val="22"/>
        </w:rPr>
        <w:t>Durante el transcurso del Pleno se presenta enmienda por el Grupo Socialista que es aceptada por la proponente de la moción (CC), que se transcribe a continuación:</w:t>
      </w:r>
    </w:p>
    <w:p w:rsidR="009B4233" w:rsidRDefault="006B08B9">
      <w:pPr>
        <w:rPr>
          <w:rFonts w:ascii="Arial" w:hAnsi="Arial" w:cs="Arial"/>
          <w:b/>
          <w:sz w:val="22"/>
          <w:szCs w:val="22"/>
        </w:rPr>
      </w:pPr>
      <w:r>
        <w:rPr>
          <w:rFonts w:ascii="Arial" w:hAnsi="Arial" w:cs="Arial"/>
          <w:b/>
          <w:sz w:val="22"/>
          <w:szCs w:val="22"/>
        </w:rPr>
        <w:t>ACUERDOS:</w:t>
      </w:r>
    </w:p>
    <w:p w:rsidR="009B4233" w:rsidRDefault="006B08B9">
      <w:pPr>
        <w:pStyle w:val="Default"/>
        <w:jc w:val="both"/>
      </w:pPr>
      <w:r>
        <w:rPr>
          <w:rFonts w:eastAsia="Calibri"/>
          <w:sz w:val="22"/>
          <w:szCs w:val="22"/>
        </w:rPr>
        <w:tab/>
      </w:r>
    </w:p>
    <w:p w:rsidR="009B4233" w:rsidRDefault="006B08B9">
      <w:pPr>
        <w:pStyle w:val="Default"/>
        <w:numPr>
          <w:ilvl w:val="0"/>
          <w:numId w:val="116"/>
        </w:numPr>
        <w:jc w:val="both"/>
        <w:rPr>
          <w:sz w:val="22"/>
          <w:szCs w:val="22"/>
        </w:rPr>
      </w:pPr>
      <w:r>
        <w:rPr>
          <w:sz w:val="22"/>
          <w:szCs w:val="22"/>
        </w:rPr>
        <w:t xml:space="preserve">Exigir un alto el fuego inmediato y definitivo en Gaza, </w:t>
      </w:r>
      <w:r>
        <w:rPr>
          <w:sz w:val="22"/>
          <w:szCs w:val="22"/>
        </w:rPr>
        <w:t xml:space="preserve">que ponga fin al sufrimiento de la población civil, reclamando para ello la protección efectiva de la población civil conforme al Derecho Internacional Humanitario, en especial de la infancia y de las personas desplazadas. </w:t>
      </w:r>
    </w:p>
    <w:p w:rsidR="009B4233" w:rsidRDefault="006B08B9">
      <w:pPr>
        <w:pStyle w:val="Prrafodelista"/>
        <w:widowControl/>
        <w:numPr>
          <w:ilvl w:val="0"/>
          <w:numId w:val="116"/>
        </w:numPr>
        <w:suppressAutoHyphens w:val="0"/>
        <w:spacing w:line="276" w:lineRule="auto"/>
        <w:jc w:val="both"/>
        <w:textAlignment w:val="auto"/>
      </w:pPr>
      <w:r>
        <w:rPr>
          <w:rFonts w:ascii="Arial" w:hAnsi="Arial" w:cs="Arial"/>
          <w:sz w:val="22"/>
          <w:szCs w:val="22"/>
        </w:rPr>
        <w:t>Respaldar la posición del Gobier</w:t>
      </w:r>
      <w:r>
        <w:rPr>
          <w:rFonts w:ascii="Arial" w:hAnsi="Arial" w:cs="Arial"/>
          <w:sz w:val="22"/>
          <w:szCs w:val="22"/>
        </w:rPr>
        <w:t>no de España</w:t>
      </w:r>
      <w:r>
        <w:rPr>
          <w:rFonts w:ascii="Arial" w:hAnsi="Arial" w:cs="Arial"/>
          <w:bCs/>
          <w:sz w:val="22"/>
          <w:szCs w:val="22"/>
        </w:rPr>
        <w:t xml:space="preserve"> en defensa de la paz, la Cumbre de la ONU sobre la solución de dos Estados y el reconocimiento de Palestina como Estado. </w:t>
      </w:r>
    </w:p>
    <w:p w:rsidR="009B4233" w:rsidRDefault="006B08B9">
      <w:pPr>
        <w:pStyle w:val="Prrafodelista"/>
        <w:widowControl/>
        <w:numPr>
          <w:ilvl w:val="0"/>
          <w:numId w:val="116"/>
        </w:numPr>
        <w:suppressAutoHyphens w:val="0"/>
        <w:spacing w:after="160" w:line="276" w:lineRule="auto"/>
        <w:jc w:val="both"/>
        <w:textAlignment w:val="auto"/>
      </w:pPr>
      <w:r>
        <w:rPr>
          <w:rFonts w:ascii="Arial" w:hAnsi="Arial" w:cs="Arial"/>
          <w:sz w:val="22"/>
          <w:szCs w:val="22"/>
        </w:rPr>
        <w:t>Reiterar absoluta condena al presunto genocidio y a la ocupación ilegal de Israel en Gaza y Cisjordania</w:t>
      </w:r>
      <w:r>
        <w:rPr>
          <w:rFonts w:ascii="Arial" w:hAnsi="Arial" w:cs="Arial"/>
          <w:bCs/>
          <w:sz w:val="22"/>
          <w:szCs w:val="22"/>
        </w:rPr>
        <w:t xml:space="preserve">, defendiendo las </w:t>
      </w:r>
      <w:r>
        <w:rPr>
          <w:rFonts w:ascii="Arial" w:hAnsi="Arial" w:cs="Arial"/>
          <w:bCs/>
          <w:sz w:val="22"/>
          <w:szCs w:val="22"/>
        </w:rPr>
        <w:t>resoluciones de las Naciones Unidas y fronteras del 67.</w:t>
      </w:r>
    </w:p>
    <w:p w:rsidR="009B4233" w:rsidRDefault="006B08B9">
      <w:pPr>
        <w:pStyle w:val="Prrafodelista"/>
        <w:widowControl/>
        <w:numPr>
          <w:ilvl w:val="0"/>
          <w:numId w:val="116"/>
        </w:numPr>
        <w:suppressAutoHyphens w:val="0"/>
        <w:spacing w:line="276" w:lineRule="auto"/>
        <w:jc w:val="both"/>
        <w:textAlignment w:val="auto"/>
      </w:pPr>
      <w:r>
        <w:rPr>
          <w:rFonts w:ascii="Arial" w:hAnsi="Arial" w:cs="Arial"/>
          <w:sz w:val="22"/>
          <w:szCs w:val="22"/>
        </w:rPr>
        <w:t>Expresar apoyo incondicional a la liberación de todos los rehenes</w:t>
      </w:r>
      <w:r>
        <w:rPr>
          <w:rFonts w:ascii="Arial" w:hAnsi="Arial" w:cs="Arial"/>
          <w:bCs/>
          <w:sz w:val="22"/>
          <w:szCs w:val="22"/>
        </w:rPr>
        <w:t xml:space="preserve"> y mostrar solidaridad con la sociedad civil democrática israelí que se manifiesta en contra de las acciones de su Gobierno en Gaza. </w:t>
      </w:r>
    </w:p>
    <w:p w:rsidR="009B4233" w:rsidRDefault="006B08B9">
      <w:pPr>
        <w:pStyle w:val="Prrafodelista"/>
        <w:widowControl/>
        <w:numPr>
          <w:ilvl w:val="0"/>
          <w:numId w:val="116"/>
        </w:numPr>
        <w:suppressAutoHyphens w:val="0"/>
        <w:spacing w:line="276" w:lineRule="auto"/>
        <w:jc w:val="both"/>
        <w:textAlignment w:val="auto"/>
      </w:pPr>
      <w:r>
        <w:rPr>
          <w:rFonts w:ascii="Arial" w:hAnsi="Arial" w:cs="Arial"/>
          <w:sz w:val="22"/>
          <w:szCs w:val="22"/>
        </w:rPr>
        <w:t>C</w:t>
      </w:r>
      <w:r>
        <w:rPr>
          <w:rFonts w:ascii="Arial" w:hAnsi="Arial" w:cs="Arial"/>
          <w:sz w:val="22"/>
          <w:szCs w:val="22"/>
        </w:rPr>
        <w:t>ondenar enérgicamente todos los actos terroristas perpetrados por Hamás</w:t>
      </w:r>
      <w:r>
        <w:rPr>
          <w:rFonts w:ascii="Arial" w:hAnsi="Arial" w:cs="Arial"/>
          <w:bCs/>
          <w:sz w:val="22"/>
          <w:szCs w:val="22"/>
        </w:rPr>
        <w:t xml:space="preserve">, incluidos los atentados del 7 de octubre de 2023 en Israel. </w:t>
      </w:r>
    </w:p>
    <w:p w:rsidR="009B4233" w:rsidRDefault="006B08B9">
      <w:pPr>
        <w:pStyle w:val="Prrafodelista"/>
        <w:widowControl/>
        <w:numPr>
          <w:ilvl w:val="0"/>
          <w:numId w:val="116"/>
        </w:numPr>
        <w:suppressAutoHyphens w:val="0"/>
        <w:spacing w:line="276" w:lineRule="auto"/>
        <w:jc w:val="both"/>
        <w:textAlignment w:val="auto"/>
      </w:pPr>
      <w:r>
        <w:rPr>
          <w:rFonts w:ascii="Arial" w:hAnsi="Arial" w:cs="Arial"/>
          <w:sz w:val="22"/>
          <w:szCs w:val="22"/>
        </w:rPr>
        <w:t>Apoyar las nueve medidas anunciadas por el presidente del Gobierno y el ministro de Asuntos Exteriores, Unión Europea y Co</w:t>
      </w:r>
      <w:r>
        <w:rPr>
          <w:rFonts w:ascii="Arial" w:hAnsi="Arial" w:cs="Arial"/>
          <w:sz w:val="22"/>
          <w:szCs w:val="22"/>
        </w:rPr>
        <w:t>operación</w:t>
      </w:r>
      <w:r>
        <w:rPr>
          <w:rFonts w:ascii="Arial" w:hAnsi="Arial" w:cs="Arial"/>
          <w:bCs/>
          <w:sz w:val="22"/>
          <w:szCs w:val="22"/>
        </w:rPr>
        <w:t xml:space="preserve">, en el marco del Consejo de Ministros, que constituyen un paquete pionero de acciones para detener el genocidio en Gaza, perseguir a sus responsables y apoyar a la población palestina. </w:t>
      </w:r>
    </w:p>
    <w:p w:rsidR="009B4233" w:rsidRDefault="006B08B9">
      <w:pPr>
        <w:pStyle w:val="Prrafodelista"/>
        <w:widowControl/>
        <w:numPr>
          <w:ilvl w:val="0"/>
          <w:numId w:val="116"/>
        </w:numPr>
        <w:suppressAutoHyphens w:val="0"/>
        <w:spacing w:line="276" w:lineRule="auto"/>
        <w:jc w:val="both"/>
        <w:textAlignment w:val="auto"/>
      </w:pPr>
      <w:r>
        <w:rPr>
          <w:rFonts w:ascii="Arial" w:hAnsi="Arial" w:cs="Arial"/>
          <w:sz w:val="22"/>
          <w:szCs w:val="22"/>
        </w:rPr>
        <w:t xml:space="preserve">Manifestar su apoyo a las conclusiones y recomendaciones de </w:t>
      </w:r>
      <w:r>
        <w:rPr>
          <w:rFonts w:ascii="Arial" w:hAnsi="Arial" w:cs="Arial"/>
          <w:sz w:val="22"/>
          <w:szCs w:val="22"/>
        </w:rPr>
        <w:t>la Comisión Internacional Independiente de Investigación sobre los territorios palestinos ocupados</w:t>
      </w:r>
      <w:r>
        <w:rPr>
          <w:rFonts w:ascii="Arial" w:hAnsi="Arial" w:cs="Arial"/>
          <w:bCs/>
          <w:sz w:val="22"/>
          <w:szCs w:val="22"/>
        </w:rPr>
        <w:t>, establecida por el Consejo de Derechos Humanos de la ONU, que denuncia la comisión de actos genocidas en Gaza y reclama la adopción de medidas inmediatas pa</w:t>
      </w:r>
      <w:r>
        <w:rPr>
          <w:rFonts w:ascii="Arial" w:hAnsi="Arial" w:cs="Arial"/>
          <w:bCs/>
          <w:sz w:val="22"/>
          <w:szCs w:val="22"/>
        </w:rPr>
        <w:t>ra proteger a la población civil y garantizar el cumplimiento del Derecho Internacional.</w:t>
      </w:r>
    </w:p>
    <w:p w:rsidR="009B4233" w:rsidRDefault="006B08B9">
      <w:pPr>
        <w:pStyle w:val="Prrafodelista"/>
        <w:widowControl/>
        <w:numPr>
          <w:ilvl w:val="0"/>
          <w:numId w:val="116"/>
        </w:numPr>
        <w:suppressAutoHyphens w:val="0"/>
        <w:spacing w:line="276" w:lineRule="auto"/>
        <w:jc w:val="both"/>
        <w:textAlignment w:val="auto"/>
      </w:pPr>
      <w:r>
        <w:rPr>
          <w:rFonts w:ascii="Arial" w:hAnsi="Arial" w:cs="Arial"/>
          <w:sz w:val="22"/>
          <w:szCs w:val="22"/>
        </w:rPr>
        <w:t>Apoyar las iniciativas y medidas adoptadas por la Unión Europea</w:t>
      </w:r>
      <w:r>
        <w:rPr>
          <w:rFonts w:ascii="Arial" w:hAnsi="Arial" w:cs="Arial"/>
          <w:bCs/>
          <w:sz w:val="22"/>
          <w:szCs w:val="22"/>
        </w:rPr>
        <w:t xml:space="preserve"> en defensa del Derecho Internacional Humanitario, la protección de la población civil palestina y la pr</w:t>
      </w:r>
      <w:r>
        <w:rPr>
          <w:rFonts w:ascii="Arial" w:hAnsi="Arial" w:cs="Arial"/>
          <w:bCs/>
          <w:sz w:val="22"/>
          <w:szCs w:val="22"/>
        </w:rPr>
        <w:t>omoción de la paz y la solución de dos Estados.</w:t>
      </w:r>
    </w:p>
    <w:p w:rsidR="009B4233" w:rsidRDefault="006B08B9">
      <w:pPr>
        <w:pStyle w:val="Prrafodelista"/>
        <w:widowControl/>
        <w:numPr>
          <w:ilvl w:val="0"/>
          <w:numId w:val="116"/>
        </w:numPr>
        <w:suppressAutoHyphens w:val="0"/>
        <w:spacing w:line="276" w:lineRule="auto"/>
        <w:jc w:val="both"/>
        <w:textAlignment w:val="auto"/>
      </w:pPr>
      <w:r>
        <w:rPr>
          <w:rFonts w:ascii="Arial" w:hAnsi="Arial" w:cs="Arial"/>
          <w:sz w:val="22"/>
          <w:szCs w:val="22"/>
        </w:rPr>
        <w:t xml:space="preserve">Reiterar el apoyo de la Unión Europea y la Liga Árabe a la Declaración de Nueva York, </w:t>
      </w:r>
      <w:r>
        <w:rPr>
          <w:rFonts w:ascii="Arial" w:hAnsi="Arial" w:cs="Arial"/>
          <w:bCs/>
          <w:sz w:val="22"/>
          <w:szCs w:val="22"/>
        </w:rPr>
        <w:t>adoptada en la conferencia internacional de la ONU presidida por Francia y Arabia Saudí, en favor de la solución de dos Es</w:t>
      </w:r>
      <w:r>
        <w:rPr>
          <w:rFonts w:ascii="Arial" w:hAnsi="Arial" w:cs="Arial"/>
          <w:bCs/>
          <w:sz w:val="22"/>
          <w:szCs w:val="22"/>
        </w:rPr>
        <w:t>tados, instando a Hamás a desarmarse y entregar el control de Gaza a la Autoridad Palestina bajo supervisión internacional.</w:t>
      </w:r>
    </w:p>
    <w:p w:rsidR="009B4233" w:rsidRDefault="006B08B9">
      <w:pPr>
        <w:pStyle w:val="Prrafodelista"/>
        <w:widowControl/>
        <w:numPr>
          <w:ilvl w:val="0"/>
          <w:numId w:val="116"/>
        </w:numPr>
        <w:suppressAutoHyphens w:val="0"/>
        <w:spacing w:line="276" w:lineRule="auto"/>
        <w:jc w:val="both"/>
        <w:textAlignment w:val="auto"/>
      </w:pPr>
      <w:r>
        <w:rPr>
          <w:rFonts w:ascii="Arial" w:hAnsi="Arial" w:cs="Arial"/>
          <w:sz w:val="22"/>
          <w:szCs w:val="22"/>
        </w:rPr>
        <w:t>Reclamar el acceso completo, seguro y sin restricciones de la ayuda humanitaria a la población palestina</w:t>
      </w:r>
      <w:r>
        <w:rPr>
          <w:rFonts w:ascii="Arial" w:hAnsi="Arial" w:cs="Arial"/>
          <w:bCs/>
          <w:sz w:val="22"/>
          <w:szCs w:val="22"/>
        </w:rPr>
        <w:t xml:space="preserve">, conforme a los principios </w:t>
      </w:r>
      <w:r>
        <w:rPr>
          <w:rFonts w:ascii="Arial" w:hAnsi="Arial" w:cs="Arial"/>
          <w:bCs/>
          <w:sz w:val="22"/>
          <w:szCs w:val="22"/>
        </w:rPr>
        <w:t>de imparcialidad, independencia y neutralidad, y rechazar el uso de la asistencia humanitaria como instrumento de guerra.</w:t>
      </w:r>
    </w:p>
    <w:p w:rsidR="009B4233" w:rsidRDefault="006B08B9">
      <w:pPr>
        <w:pStyle w:val="NormalWeb"/>
        <w:numPr>
          <w:ilvl w:val="0"/>
          <w:numId w:val="116"/>
        </w:numPr>
        <w:spacing w:after="100"/>
        <w:jc w:val="both"/>
      </w:pPr>
      <w:r>
        <w:rPr>
          <w:rFonts w:ascii="Arial" w:eastAsia="Calibri" w:hAnsi="Arial" w:cs="Arial"/>
          <w:sz w:val="22"/>
          <w:szCs w:val="22"/>
          <w:lang w:eastAsia="en-US"/>
        </w:rPr>
        <w:t xml:space="preserve">Manifestar el compromiso del Ayuntamiento de Candelaria con la solución de dos Estados, con la legalidad internacional, la defensa de </w:t>
      </w:r>
      <w:r>
        <w:rPr>
          <w:rFonts w:ascii="Arial" w:eastAsia="Calibri" w:hAnsi="Arial" w:cs="Arial"/>
          <w:sz w:val="22"/>
          <w:szCs w:val="22"/>
          <w:lang w:eastAsia="en-US"/>
        </w:rPr>
        <w:t>los derechos humanos y la paz</w:t>
      </w:r>
      <w:r>
        <w:rPr>
          <w:rFonts w:ascii="Arial" w:eastAsia="Calibri" w:hAnsi="Arial" w:cs="Arial"/>
          <w:bCs/>
          <w:sz w:val="22"/>
          <w:szCs w:val="22"/>
          <w:lang w:eastAsia="en-US"/>
        </w:rPr>
        <w:t xml:space="preserve">, así como su solidaridad con el pueblo palestino, especialmente con quienes han sido víctimas directas de la violencia, el desplazamiento forzoso o la destrucción de sus hogares e infraestructuras. </w:t>
      </w:r>
    </w:p>
    <w:p w:rsidR="009B4233" w:rsidRDefault="006B08B9">
      <w:pPr>
        <w:pStyle w:val="Prrafodelista"/>
        <w:widowControl/>
        <w:numPr>
          <w:ilvl w:val="0"/>
          <w:numId w:val="116"/>
        </w:numPr>
        <w:suppressAutoHyphens w:val="0"/>
        <w:jc w:val="both"/>
        <w:textAlignment w:val="auto"/>
      </w:pPr>
      <w:r>
        <w:rPr>
          <w:rFonts w:ascii="Arial" w:hAnsi="Arial" w:cs="Arial"/>
          <w:sz w:val="22"/>
          <w:szCs w:val="22"/>
        </w:rPr>
        <w:t xml:space="preserve">Dar traslado del presente </w:t>
      </w:r>
      <w:r>
        <w:rPr>
          <w:rFonts w:ascii="Arial" w:hAnsi="Arial" w:cs="Arial"/>
          <w:sz w:val="22"/>
          <w:szCs w:val="22"/>
        </w:rPr>
        <w:t xml:space="preserve">acuerdo </w:t>
      </w:r>
      <w:r>
        <w:rPr>
          <w:rFonts w:ascii="Arial" w:hAnsi="Arial" w:cs="Arial"/>
          <w:bCs/>
          <w:sz w:val="22"/>
          <w:szCs w:val="22"/>
        </w:rPr>
        <w:t>al Presidente del Gobierno, al Ministerio de Asuntos Exteriores, Unión Europea y Cooperación, a los portavoces de los grupos parlamentarios del Congreso y del Senado, al Parlamento Europeo, a la Embajada del Estado de Palestina en España y a la Fed</w:t>
      </w:r>
      <w:r>
        <w:rPr>
          <w:rFonts w:ascii="Arial" w:hAnsi="Arial" w:cs="Arial"/>
          <w:bCs/>
          <w:sz w:val="22"/>
          <w:szCs w:val="22"/>
        </w:rPr>
        <w:t>eración Española de Municipios y Provincias (FEMP).</w:t>
      </w:r>
    </w:p>
    <w:p w:rsidR="009B4233" w:rsidRDefault="009B4233">
      <w:pPr>
        <w:ind w:firstLine="709"/>
        <w:jc w:val="both"/>
        <w:rPr>
          <w:rFonts w:ascii="Arial" w:hAnsi="Arial" w:cs="Arial"/>
          <w:b/>
          <w:sz w:val="22"/>
          <w:szCs w:val="22"/>
        </w:rPr>
      </w:pPr>
    </w:p>
    <w:p w:rsidR="009B4233" w:rsidRDefault="009B4233">
      <w:pPr>
        <w:ind w:firstLine="709"/>
        <w:jc w:val="both"/>
        <w:rPr>
          <w:rFonts w:ascii="Arial" w:hAnsi="Arial" w:cs="Arial"/>
          <w:b/>
          <w:sz w:val="22"/>
          <w:szCs w:val="22"/>
        </w:rPr>
      </w:pPr>
    </w:p>
    <w:p w:rsidR="009B4233" w:rsidRDefault="006B08B9">
      <w:pPr>
        <w:ind w:firstLine="709"/>
        <w:jc w:val="both"/>
        <w:rPr>
          <w:rFonts w:ascii="Arial" w:hAnsi="Arial" w:cs="Arial"/>
          <w:b/>
          <w:sz w:val="22"/>
          <w:szCs w:val="22"/>
        </w:rPr>
      </w:pPr>
      <w:r>
        <w:rPr>
          <w:rFonts w:ascii="Arial" w:hAnsi="Arial" w:cs="Arial"/>
          <w:b/>
          <w:sz w:val="22"/>
          <w:szCs w:val="22"/>
        </w:rPr>
        <w:t>El Secretario de la Corporación, una vez finalizado el debate, solicita la palabra, que se la concede la Alcaldía-Presidencia y explica la evolución jurisprudencial sobre la adopción de acuerdos por los</w:t>
      </w:r>
      <w:r>
        <w:rPr>
          <w:rFonts w:ascii="Arial" w:hAnsi="Arial" w:cs="Arial"/>
          <w:b/>
          <w:sz w:val="22"/>
          <w:szCs w:val="22"/>
        </w:rPr>
        <w:t xml:space="preserve"> plenos de asuntos de política nacional o internacional, que se transcribe a continuación:</w:t>
      </w:r>
    </w:p>
    <w:p w:rsidR="009B4233" w:rsidRDefault="009B4233">
      <w:pPr>
        <w:ind w:firstLine="708"/>
        <w:jc w:val="both"/>
        <w:rPr>
          <w:rFonts w:ascii="Arial" w:hAnsi="Arial" w:cs="Arial"/>
          <w:sz w:val="22"/>
          <w:szCs w:val="22"/>
        </w:rPr>
      </w:pPr>
    </w:p>
    <w:p w:rsidR="009B4233" w:rsidRDefault="006B08B9">
      <w:pPr>
        <w:ind w:firstLine="708"/>
        <w:jc w:val="both"/>
        <w:rPr>
          <w:rFonts w:ascii="Arial" w:hAnsi="Arial" w:cs="Arial"/>
          <w:sz w:val="22"/>
          <w:szCs w:val="22"/>
        </w:rPr>
      </w:pPr>
      <w:r>
        <w:rPr>
          <w:rFonts w:ascii="Arial" w:hAnsi="Arial" w:cs="Arial"/>
          <w:sz w:val="22"/>
          <w:szCs w:val="22"/>
        </w:rPr>
        <w:t>CONSIDERACIONES JURÍDICAS</w:t>
      </w:r>
    </w:p>
    <w:p w:rsidR="009B4233" w:rsidRDefault="006B08B9">
      <w:pPr>
        <w:ind w:firstLine="708"/>
        <w:jc w:val="both"/>
        <w:rPr>
          <w:rFonts w:ascii="Arial" w:hAnsi="Arial" w:cs="Arial"/>
          <w:sz w:val="22"/>
          <w:szCs w:val="22"/>
        </w:rPr>
      </w:pPr>
      <w:r>
        <w:rPr>
          <w:rFonts w:ascii="Arial" w:hAnsi="Arial" w:cs="Arial"/>
          <w:sz w:val="22"/>
          <w:szCs w:val="22"/>
        </w:rPr>
        <w:t>Primera.- Sobre las competencias municipales para aprobar cuestiones que afecten al derecho internacional y a las relaciones internacional</w:t>
      </w:r>
      <w:r>
        <w:rPr>
          <w:rFonts w:ascii="Arial" w:hAnsi="Arial" w:cs="Arial"/>
          <w:sz w:val="22"/>
          <w:szCs w:val="22"/>
        </w:rPr>
        <w:t>es en el régimen jurídico local.</w:t>
      </w:r>
    </w:p>
    <w:p w:rsidR="009B4233" w:rsidRDefault="006B08B9">
      <w:pPr>
        <w:jc w:val="both"/>
        <w:rPr>
          <w:rFonts w:ascii="Arial" w:hAnsi="Arial" w:cs="Arial"/>
          <w:sz w:val="22"/>
          <w:szCs w:val="22"/>
        </w:rPr>
      </w:pPr>
      <w:r>
        <w:rPr>
          <w:rFonts w:ascii="Arial" w:hAnsi="Arial" w:cs="Arial"/>
          <w:sz w:val="22"/>
          <w:szCs w:val="22"/>
        </w:rPr>
        <w:tab/>
        <w:t xml:space="preserve">Según las competencias municipales de los artículos 25 al 28 de la Ley de Bases del Régimen local, los asuntos de relaciones internacionales, fuerzas armadas, defensa, relaciones exteriores son competencias excluidas para </w:t>
      </w:r>
      <w:r>
        <w:rPr>
          <w:rFonts w:ascii="Arial" w:hAnsi="Arial" w:cs="Arial"/>
          <w:sz w:val="22"/>
          <w:szCs w:val="22"/>
        </w:rPr>
        <w:t>su conocimiento y acuerdo por las entidades locales ya que según el artículo 149 de la constitución son competencias exclusivas del Estado:</w:t>
      </w:r>
    </w:p>
    <w:p w:rsidR="009B4233" w:rsidRDefault="006B08B9">
      <w:pPr>
        <w:ind w:firstLine="708"/>
        <w:jc w:val="both"/>
        <w:rPr>
          <w:rFonts w:ascii="Arial" w:hAnsi="Arial" w:cs="Arial"/>
          <w:i/>
          <w:sz w:val="22"/>
          <w:szCs w:val="22"/>
        </w:rPr>
      </w:pPr>
      <w:r>
        <w:rPr>
          <w:rFonts w:ascii="Arial" w:hAnsi="Arial" w:cs="Arial"/>
          <w:i/>
          <w:sz w:val="22"/>
          <w:szCs w:val="22"/>
        </w:rPr>
        <w:t xml:space="preserve">1. El Estado tiene competencia exclusiva sobre las siguientes materias: </w:t>
      </w:r>
    </w:p>
    <w:p w:rsidR="009B4233" w:rsidRDefault="006B08B9">
      <w:pPr>
        <w:ind w:firstLine="708"/>
        <w:jc w:val="both"/>
        <w:rPr>
          <w:rFonts w:ascii="Arial" w:hAnsi="Arial" w:cs="Arial"/>
          <w:i/>
          <w:sz w:val="22"/>
          <w:szCs w:val="22"/>
        </w:rPr>
      </w:pPr>
      <w:r>
        <w:rPr>
          <w:rFonts w:ascii="Arial" w:hAnsi="Arial" w:cs="Arial"/>
          <w:i/>
          <w:sz w:val="22"/>
          <w:szCs w:val="22"/>
        </w:rPr>
        <w:t xml:space="preserve">3.ª Relaciones internacionales. </w:t>
      </w:r>
    </w:p>
    <w:p w:rsidR="009B4233" w:rsidRDefault="006B08B9">
      <w:pPr>
        <w:ind w:firstLine="708"/>
        <w:jc w:val="both"/>
        <w:rPr>
          <w:rFonts w:ascii="Arial" w:hAnsi="Arial" w:cs="Arial"/>
          <w:i/>
          <w:sz w:val="22"/>
          <w:szCs w:val="22"/>
        </w:rPr>
      </w:pPr>
      <w:r>
        <w:rPr>
          <w:rFonts w:ascii="Arial" w:hAnsi="Arial" w:cs="Arial"/>
          <w:i/>
          <w:sz w:val="22"/>
          <w:szCs w:val="22"/>
        </w:rPr>
        <w:t>4.ª Defens</w:t>
      </w:r>
      <w:r>
        <w:rPr>
          <w:rFonts w:ascii="Arial" w:hAnsi="Arial" w:cs="Arial"/>
          <w:i/>
          <w:sz w:val="22"/>
          <w:szCs w:val="22"/>
        </w:rPr>
        <w:t>a y Fuerzas Armadas.</w:t>
      </w:r>
    </w:p>
    <w:p w:rsidR="009B4233" w:rsidRDefault="006B08B9">
      <w:pPr>
        <w:ind w:firstLine="708"/>
        <w:jc w:val="both"/>
        <w:rPr>
          <w:rFonts w:ascii="Arial" w:hAnsi="Arial" w:cs="Arial"/>
          <w:sz w:val="22"/>
          <w:szCs w:val="22"/>
        </w:rPr>
      </w:pPr>
      <w:r>
        <w:rPr>
          <w:rFonts w:ascii="Arial" w:hAnsi="Arial" w:cs="Arial"/>
          <w:sz w:val="22"/>
          <w:szCs w:val="22"/>
        </w:rPr>
        <w:t>Es corriente que los grupos políticos a través de mociones políticas en la parte declarativa del pleno que no son expedientes administrativos, sino propuestas no decisorias, sometan al pleno asuntos en los que fijan posición sobre asun</w:t>
      </w:r>
      <w:r>
        <w:rPr>
          <w:rFonts w:ascii="Arial" w:hAnsi="Arial" w:cs="Arial"/>
          <w:sz w:val="22"/>
          <w:szCs w:val="22"/>
        </w:rPr>
        <w:t>tos de actualidad que no son estrictamente de competencia municipal, sino que son materias de carácter nacional o internacional.</w:t>
      </w:r>
    </w:p>
    <w:p w:rsidR="009B4233" w:rsidRDefault="006B08B9">
      <w:pPr>
        <w:ind w:firstLine="708"/>
        <w:jc w:val="both"/>
        <w:rPr>
          <w:rFonts w:ascii="Arial" w:hAnsi="Arial" w:cs="Arial"/>
          <w:sz w:val="22"/>
          <w:szCs w:val="22"/>
        </w:rPr>
      </w:pPr>
      <w:r>
        <w:rPr>
          <w:rFonts w:ascii="Arial" w:hAnsi="Arial" w:cs="Arial"/>
          <w:sz w:val="22"/>
          <w:szCs w:val="22"/>
        </w:rPr>
        <w:t>Al respecto en Canarias el artículo 97.1 c) de la ley 7/2015, de 1 de abril, de los municipios de Canarias, establece:</w:t>
      </w:r>
    </w:p>
    <w:p w:rsidR="009B4233" w:rsidRDefault="006B08B9">
      <w:pPr>
        <w:ind w:firstLine="708"/>
        <w:jc w:val="both"/>
        <w:rPr>
          <w:rFonts w:ascii="Arial" w:hAnsi="Arial" w:cs="Arial"/>
          <w:i/>
          <w:sz w:val="22"/>
          <w:szCs w:val="22"/>
        </w:rPr>
      </w:pPr>
      <w:r>
        <w:rPr>
          <w:rFonts w:ascii="Arial" w:hAnsi="Arial" w:cs="Arial"/>
          <w:i/>
          <w:sz w:val="22"/>
          <w:szCs w:val="22"/>
        </w:rPr>
        <w:t>Artículo</w:t>
      </w:r>
      <w:r>
        <w:rPr>
          <w:rFonts w:ascii="Arial" w:hAnsi="Arial" w:cs="Arial"/>
          <w:i/>
          <w:sz w:val="22"/>
          <w:szCs w:val="22"/>
        </w:rPr>
        <w:t xml:space="preserve"> 97. Propuestas no decisorias. </w:t>
      </w:r>
    </w:p>
    <w:p w:rsidR="009B4233" w:rsidRDefault="006B08B9">
      <w:pPr>
        <w:ind w:firstLine="708"/>
        <w:jc w:val="both"/>
      </w:pPr>
      <w:r>
        <w:rPr>
          <w:rFonts w:ascii="Arial" w:hAnsi="Arial" w:cs="Arial"/>
          <w:i/>
          <w:sz w:val="22"/>
          <w:szCs w:val="22"/>
        </w:rPr>
        <w:t xml:space="preserve">c) Las propuestas no resolutivas solo podrán estar referidas a cuestiones de política municipal y de competencia de la corporación, no pudiendo ser incluidas en el orden del día las que excedan notoriamente de esos ámbitos, </w:t>
      </w:r>
      <w:r>
        <w:rPr>
          <w:rFonts w:ascii="Arial" w:hAnsi="Arial" w:cs="Arial"/>
          <w:i/>
          <w:sz w:val="22"/>
          <w:szCs w:val="22"/>
        </w:rPr>
        <w:t>a juicio del Alcalde o Presidente, previa calificación por la persona titular de la Secretaría General.</w:t>
      </w:r>
    </w:p>
    <w:p w:rsidR="009B4233" w:rsidRDefault="006B08B9">
      <w:pPr>
        <w:ind w:firstLine="708"/>
        <w:jc w:val="both"/>
        <w:rPr>
          <w:rFonts w:ascii="Arial" w:hAnsi="Arial" w:cs="Arial"/>
          <w:sz w:val="22"/>
          <w:szCs w:val="22"/>
        </w:rPr>
      </w:pPr>
      <w:r>
        <w:rPr>
          <w:rFonts w:ascii="Arial" w:hAnsi="Arial" w:cs="Arial"/>
          <w:sz w:val="22"/>
          <w:szCs w:val="22"/>
        </w:rPr>
        <w:t>Por tanto, en virtud de la misma, el Secretario General debe actuar de la siguiente manera:</w:t>
      </w:r>
    </w:p>
    <w:p w:rsidR="009B4233" w:rsidRDefault="006B08B9">
      <w:pPr>
        <w:ind w:firstLine="708"/>
        <w:jc w:val="both"/>
        <w:rPr>
          <w:rFonts w:ascii="Arial" w:hAnsi="Arial" w:cs="Arial"/>
          <w:sz w:val="22"/>
          <w:szCs w:val="22"/>
        </w:rPr>
      </w:pPr>
      <w:r>
        <w:rPr>
          <w:rFonts w:ascii="Arial" w:hAnsi="Arial" w:cs="Arial"/>
          <w:sz w:val="22"/>
          <w:szCs w:val="22"/>
        </w:rPr>
        <w:t>1.- Se presenta moción por el grupo político o por el concej</w:t>
      </w:r>
      <w:r>
        <w:rPr>
          <w:rFonts w:ascii="Arial" w:hAnsi="Arial" w:cs="Arial"/>
          <w:sz w:val="22"/>
          <w:szCs w:val="22"/>
        </w:rPr>
        <w:t>al no adscrito correspondiente por registro de entrada.</w:t>
      </w:r>
    </w:p>
    <w:p w:rsidR="009B4233" w:rsidRDefault="006B08B9">
      <w:pPr>
        <w:ind w:firstLine="708"/>
        <w:jc w:val="both"/>
        <w:rPr>
          <w:rFonts w:ascii="Arial" w:hAnsi="Arial" w:cs="Arial"/>
          <w:sz w:val="22"/>
          <w:szCs w:val="22"/>
        </w:rPr>
      </w:pPr>
      <w:r>
        <w:rPr>
          <w:rFonts w:ascii="Arial" w:hAnsi="Arial" w:cs="Arial"/>
          <w:sz w:val="22"/>
          <w:szCs w:val="22"/>
        </w:rPr>
        <w:t xml:space="preserve">2.- El Secretario debe realizar un informe jurídico en que debe calificar si la moción presentada excede o no “notoriamente” de la competencia municipal. </w:t>
      </w:r>
    </w:p>
    <w:p w:rsidR="009B4233" w:rsidRDefault="006B08B9">
      <w:pPr>
        <w:ind w:firstLine="708"/>
        <w:jc w:val="both"/>
        <w:rPr>
          <w:rFonts w:ascii="Arial" w:hAnsi="Arial" w:cs="Arial"/>
          <w:sz w:val="22"/>
          <w:szCs w:val="22"/>
        </w:rPr>
      </w:pPr>
      <w:r>
        <w:rPr>
          <w:rFonts w:ascii="Arial" w:hAnsi="Arial" w:cs="Arial"/>
          <w:sz w:val="22"/>
          <w:szCs w:val="22"/>
        </w:rPr>
        <w:t>Si excede “notoriamente” de la competencia mu</w:t>
      </w:r>
      <w:r>
        <w:rPr>
          <w:rFonts w:ascii="Arial" w:hAnsi="Arial" w:cs="Arial"/>
          <w:sz w:val="22"/>
          <w:szCs w:val="22"/>
        </w:rPr>
        <w:t>nicipal debe proponer al Alcalde su exclusión del orden del día de la sesión plenaria ya que es un asunto que notoriamente no es municipal.</w:t>
      </w:r>
    </w:p>
    <w:p w:rsidR="009B4233" w:rsidRDefault="006B08B9">
      <w:pPr>
        <w:ind w:firstLine="708"/>
        <w:jc w:val="both"/>
        <w:rPr>
          <w:rFonts w:ascii="Arial" w:hAnsi="Arial" w:cs="Arial"/>
          <w:sz w:val="22"/>
          <w:szCs w:val="22"/>
        </w:rPr>
      </w:pPr>
      <w:r>
        <w:rPr>
          <w:rFonts w:ascii="Arial" w:hAnsi="Arial" w:cs="Arial"/>
          <w:sz w:val="22"/>
          <w:szCs w:val="22"/>
        </w:rPr>
        <w:t>Si el Secretario la informa favorablemente, entonces el Alcalde la incluye en el orden del día del Pleno de la sesió</w:t>
      </w:r>
      <w:r>
        <w:rPr>
          <w:rFonts w:ascii="Arial" w:hAnsi="Arial" w:cs="Arial"/>
          <w:sz w:val="22"/>
          <w:szCs w:val="22"/>
        </w:rPr>
        <w:t>n plenaria.</w:t>
      </w:r>
    </w:p>
    <w:p w:rsidR="009B4233" w:rsidRDefault="006B08B9">
      <w:pPr>
        <w:ind w:firstLine="708"/>
        <w:jc w:val="both"/>
        <w:rPr>
          <w:rFonts w:ascii="Arial" w:hAnsi="Arial" w:cs="Arial"/>
          <w:sz w:val="22"/>
          <w:szCs w:val="22"/>
        </w:rPr>
      </w:pPr>
      <w:r>
        <w:rPr>
          <w:rFonts w:ascii="Arial" w:hAnsi="Arial" w:cs="Arial"/>
          <w:sz w:val="22"/>
          <w:szCs w:val="22"/>
        </w:rPr>
        <w:t xml:space="preserve">3.- Los grupos políticos o el concejal no adscrito (en función de quien haya presentado esta moción) en el caso de que la misma sea excluida del orden del día, pueden interponer contra el Decreto de la convocatoria del Alcalde del pleno que ha </w:t>
      </w:r>
      <w:r>
        <w:rPr>
          <w:rFonts w:ascii="Arial" w:hAnsi="Arial" w:cs="Arial"/>
          <w:sz w:val="22"/>
          <w:szCs w:val="22"/>
        </w:rPr>
        <w:t>excluido su moción el correspondiente recurso potestativo de reposición en el plazo de un mes o directamente interponer recurso contencioso-administrativo en el plazo de dos meses ante el Juzgado de lo Contencioso-Administrativo que por turno corresponda.</w:t>
      </w:r>
    </w:p>
    <w:p w:rsidR="009B4233" w:rsidRDefault="009B4233">
      <w:pPr>
        <w:jc w:val="both"/>
        <w:rPr>
          <w:rFonts w:ascii="Arial" w:hAnsi="Arial" w:cs="Arial"/>
          <w:sz w:val="22"/>
          <w:szCs w:val="22"/>
        </w:rPr>
      </w:pPr>
    </w:p>
    <w:p w:rsidR="009B4233" w:rsidRDefault="009B4233">
      <w:pPr>
        <w:jc w:val="both"/>
        <w:rPr>
          <w:rFonts w:ascii="Arial" w:hAnsi="Arial" w:cs="Arial"/>
          <w:sz w:val="22"/>
          <w:szCs w:val="22"/>
        </w:rPr>
      </w:pPr>
    </w:p>
    <w:p w:rsidR="009B4233" w:rsidRDefault="006B08B9">
      <w:pPr>
        <w:ind w:firstLine="708"/>
        <w:jc w:val="both"/>
        <w:rPr>
          <w:rFonts w:ascii="Arial" w:hAnsi="Arial" w:cs="Arial"/>
          <w:sz w:val="22"/>
          <w:szCs w:val="22"/>
        </w:rPr>
      </w:pPr>
      <w:r>
        <w:rPr>
          <w:rFonts w:ascii="Arial" w:hAnsi="Arial" w:cs="Arial"/>
          <w:sz w:val="22"/>
          <w:szCs w:val="22"/>
        </w:rPr>
        <w:t>Segundo.- La evolución jurisprudencial sobre la introducción en el orden del día de los plenos de las entidades locales de asuntos de política nacional e internacional y su aplicación práctica.</w:t>
      </w:r>
    </w:p>
    <w:p w:rsidR="009B4233" w:rsidRDefault="006B08B9">
      <w:pPr>
        <w:ind w:firstLine="708"/>
        <w:jc w:val="both"/>
        <w:rPr>
          <w:rFonts w:ascii="Arial" w:hAnsi="Arial" w:cs="Arial"/>
          <w:sz w:val="22"/>
          <w:szCs w:val="22"/>
        </w:rPr>
      </w:pPr>
      <w:r>
        <w:rPr>
          <w:rFonts w:ascii="Arial" w:hAnsi="Arial" w:cs="Arial"/>
          <w:sz w:val="22"/>
          <w:szCs w:val="22"/>
        </w:rPr>
        <w:t xml:space="preserve">Exponemos a continuación las dos últimas sentencias de </w:t>
      </w:r>
      <w:r>
        <w:rPr>
          <w:rFonts w:ascii="Arial" w:hAnsi="Arial" w:cs="Arial"/>
          <w:sz w:val="22"/>
          <w:szCs w:val="22"/>
        </w:rPr>
        <w:t>nuestro Tribunal Supremo que han abordado esta cuestión.</w:t>
      </w:r>
    </w:p>
    <w:p w:rsidR="009B4233" w:rsidRDefault="006B08B9">
      <w:pPr>
        <w:ind w:firstLine="708"/>
        <w:jc w:val="both"/>
        <w:rPr>
          <w:rFonts w:ascii="Arial" w:hAnsi="Arial" w:cs="Arial"/>
          <w:sz w:val="22"/>
          <w:szCs w:val="22"/>
        </w:rPr>
      </w:pPr>
      <w:r>
        <w:rPr>
          <w:rFonts w:ascii="Arial" w:hAnsi="Arial" w:cs="Arial"/>
          <w:sz w:val="22"/>
          <w:szCs w:val="22"/>
        </w:rPr>
        <w:t xml:space="preserve"> Una primera, en la que se da un portazo a la posibilidad de que los plenos puedan aprobar cuestiones relativas a política nacional o internacional.</w:t>
      </w:r>
    </w:p>
    <w:p w:rsidR="009B4233" w:rsidRDefault="006B08B9">
      <w:pPr>
        <w:ind w:firstLine="708"/>
        <w:jc w:val="both"/>
        <w:rPr>
          <w:rFonts w:ascii="Arial" w:hAnsi="Arial" w:cs="Arial"/>
          <w:sz w:val="22"/>
          <w:szCs w:val="22"/>
        </w:rPr>
      </w:pPr>
      <w:r>
        <w:rPr>
          <w:rFonts w:ascii="Arial" w:hAnsi="Arial" w:cs="Arial"/>
          <w:sz w:val="22"/>
          <w:szCs w:val="22"/>
        </w:rPr>
        <w:t>Y una segunda, que matiza la primera en el sentido</w:t>
      </w:r>
      <w:r>
        <w:rPr>
          <w:rFonts w:ascii="Arial" w:hAnsi="Arial" w:cs="Arial"/>
          <w:sz w:val="22"/>
          <w:szCs w:val="22"/>
        </w:rPr>
        <w:t xml:space="preserve"> de que permite a los plenos aprobar mociones de política nacional o internacional pero sólo a efectos meramente declarativos y de solidaridad con otros pueblos y siempre que tal declaración sobre política nacional o internacional no vulnere derechos funda</w:t>
      </w:r>
      <w:r>
        <w:rPr>
          <w:rFonts w:ascii="Arial" w:hAnsi="Arial" w:cs="Arial"/>
          <w:sz w:val="22"/>
          <w:szCs w:val="22"/>
        </w:rPr>
        <w:t>mentales de terceras personas.</w:t>
      </w:r>
    </w:p>
    <w:p w:rsidR="009B4233" w:rsidRDefault="006B08B9">
      <w:pPr>
        <w:pStyle w:val="Ttulo2"/>
        <w:spacing w:line="336" w:lineRule="atLeast"/>
        <w:jc w:val="both"/>
      </w:pPr>
      <w:r>
        <w:rPr>
          <w:rFonts w:ascii="Arial" w:hAnsi="Arial" w:cs="Arial"/>
          <w:b w:val="0"/>
          <w:color w:val="000000"/>
          <w:sz w:val="22"/>
          <w:szCs w:val="22"/>
        </w:rPr>
        <w:t>1.- La sentencia 920/2019, de 26 de junio, de la Sala de lo Contencioso-Administrativo del Tribunal Supremo (rec. 5075/2017), cuyo ponente es Don Jorge Rodríguez Zapata,  en la que se anula el acuerdo del pleno del Ayuntamien</w:t>
      </w:r>
      <w:r>
        <w:rPr>
          <w:rFonts w:ascii="Arial" w:hAnsi="Arial" w:cs="Arial"/>
          <w:b w:val="0"/>
          <w:color w:val="000000"/>
          <w:sz w:val="22"/>
          <w:szCs w:val="22"/>
        </w:rPr>
        <w:t>to de Caldes de Montbui (Cataluña) sobre que el municipio es libre y soberano para decidir sobre la autodeterminación de una Cataluña independiente lo que ataca la soberanía que es competencia del Estado ya que reside en el pueblo español del que emanan to</w:t>
      </w:r>
      <w:r>
        <w:rPr>
          <w:rFonts w:ascii="Arial" w:hAnsi="Arial" w:cs="Arial"/>
          <w:b w:val="0"/>
          <w:color w:val="000000"/>
          <w:sz w:val="22"/>
          <w:szCs w:val="22"/>
        </w:rPr>
        <w:t>dos los poderes del Estado, por lo que un municipio carece de competencias para pronunciarse sobre asuntos de trascendencia constitucional y que atañen a la nación y al Estado y además tampoco un municipio en su pleno puede tomar partido de forma ideológic</w:t>
      </w:r>
      <w:r>
        <w:rPr>
          <w:rFonts w:ascii="Arial" w:hAnsi="Arial" w:cs="Arial"/>
          <w:b w:val="0"/>
          <w:color w:val="000000"/>
          <w:sz w:val="22"/>
          <w:szCs w:val="22"/>
        </w:rPr>
        <w:t>a sobre asuntos nacionales o internacionales.</w:t>
      </w:r>
    </w:p>
    <w:p w:rsidR="009B4233" w:rsidRDefault="009B4233">
      <w:pPr>
        <w:suppressAutoHyphens w:val="0"/>
        <w:autoSpaceDE w:val="0"/>
        <w:rPr>
          <w:rFonts w:ascii="Arial" w:hAnsi="Arial" w:cs="Arial"/>
          <w:bCs/>
          <w:color w:val="00255C"/>
          <w:kern w:val="0"/>
          <w:sz w:val="22"/>
          <w:szCs w:val="22"/>
        </w:rPr>
      </w:pPr>
    </w:p>
    <w:p w:rsidR="009B4233" w:rsidRDefault="009B4233">
      <w:pPr>
        <w:suppressAutoHyphens w:val="0"/>
        <w:autoSpaceDE w:val="0"/>
        <w:rPr>
          <w:rFonts w:ascii="Arial" w:hAnsi="Arial" w:cs="Arial"/>
          <w:bCs/>
          <w:color w:val="00255C"/>
          <w:kern w:val="0"/>
          <w:sz w:val="22"/>
          <w:szCs w:val="22"/>
        </w:rPr>
      </w:pPr>
    </w:p>
    <w:p w:rsidR="009B4233" w:rsidRDefault="009B4233">
      <w:pPr>
        <w:suppressAutoHyphens w:val="0"/>
        <w:autoSpaceDE w:val="0"/>
        <w:rPr>
          <w:rFonts w:ascii="Arial" w:hAnsi="Arial" w:cs="Arial"/>
          <w:bCs/>
          <w:color w:val="00255C"/>
          <w:kern w:val="0"/>
          <w:sz w:val="22"/>
          <w:szCs w:val="22"/>
        </w:rPr>
      </w:pPr>
    </w:p>
    <w:p w:rsidR="009B4233" w:rsidRDefault="006B08B9">
      <w:pPr>
        <w:suppressAutoHyphens w:val="0"/>
        <w:autoSpaceDE w:val="0"/>
        <w:jc w:val="both"/>
      </w:pPr>
      <w:r>
        <w:rPr>
          <w:rFonts w:ascii="Arial" w:hAnsi="Arial" w:cs="Arial"/>
          <w:i/>
          <w:sz w:val="22"/>
          <w:szCs w:val="22"/>
        </w:rPr>
        <w:t>(…) PRIMERO.- El Pleno del Ayuntamiento de Caldes de Montbui aprobó un Acuerdo el 28 de febrero de 2013 por mayoría absoluta de los presentes, que recogía 13 votos favorables de los miembros de los grupos mu</w:t>
      </w:r>
      <w:r>
        <w:rPr>
          <w:rFonts w:ascii="Arial" w:hAnsi="Arial" w:cs="Arial"/>
          <w:i/>
          <w:sz w:val="22"/>
          <w:szCs w:val="22"/>
        </w:rPr>
        <w:t xml:space="preserve">nicipales (10 de ERC y 3 de CIU) 3 abstenciones (2 del PSC y 1 de ICV-EUiA) y 1 voto en contra del PPC, en el que tras una amplia exposición introductoria, se recogía el siguiente contenido: " </w:t>
      </w:r>
    </w:p>
    <w:p w:rsidR="009B4233" w:rsidRDefault="009B4233">
      <w:pPr>
        <w:suppressAutoHyphens w:val="0"/>
        <w:autoSpaceDE w:val="0"/>
        <w:jc w:val="both"/>
        <w:rPr>
          <w:rFonts w:ascii="Arial" w:hAnsi="Arial" w:cs="Arial"/>
          <w:i/>
          <w:sz w:val="22"/>
          <w:szCs w:val="22"/>
        </w:rPr>
      </w:pPr>
    </w:p>
    <w:p w:rsidR="009B4233" w:rsidRDefault="006B08B9">
      <w:pPr>
        <w:suppressAutoHyphens w:val="0"/>
        <w:autoSpaceDE w:val="0"/>
        <w:jc w:val="both"/>
        <w:rPr>
          <w:rFonts w:ascii="Arial" w:hAnsi="Arial" w:cs="Arial"/>
          <w:i/>
          <w:sz w:val="22"/>
          <w:szCs w:val="22"/>
        </w:rPr>
      </w:pPr>
      <w:r>
        <w:rPr>
          <w:rFonts w:ascii="Arial" w:hAnsi="Arial" w:cs="Arial"/>
          <w:i/>
          <w:sz w:val="22"/>
          <w:szCs w:val="22"/>
        </w:rPr>
        <w:t>1. Declarar que el municipi de Caldes de Montbui es territori</w:t>
      </w:r>
      <w:r>
        <w:rPr>
          <w:rFonts w:ascii="Arial" w:hAnsi="Arial" w:cs="Arial"/>
          <w:i/>
          <w:sz w:val="22"/>
          <w:szCs w:val="22"/>
        </w:rPr>
        <w:t xml:space="preserve"> català lliure i sobirà </w:t>
      </w:r>
    </w:p>
    <w:p w:rsidR="009B4233" w:rsidRDefault="009B4233">
      <w:pPr>
        <w:suppressAutoHyphens w:val="0"/>
        <w:autoSpaceDE w:val="0"/>
        <w:jc w:val="both"/>
        <w:rPr>
          <w:rFonts w:ascii="Arial" w:hAnsi="Arial" w:cs="Arial"/>
          <w:i/>
          <w:sz w:val="22"/>
          <w:szCs w:val="22"/>
        </w:rPr>
      </w:pPr>
    </w:p>
    <w:p w:rsidR="009B4233" w:rsidRDefault="006B08B9">
      <w:pPr>
        <w:suppressAutoHyphens w:val="0"/>
        <w:autoSpaceDE w:val="0"/>
        <w:jc w:val="both"/>
        <w:rPr>
          <w:rFonts w:ascii="Arial" w:hAnsi="Arial" w:cs="Arial"/>
          <w:i/>
          <w:sz w:val="22"/>
          <w:szCs w:val="22"/>
        </w:rPr>
      </w:pPr>
      <w:r>
        <w:rPr>
          <w:rFonts w:ascii="Arial" w:hAnsi="Arial" w:cs="Arial"/>
          <w:i/>
          <w:sz w:val="22"/>
          <w:szCs w:val="22"/>
        </w:rPr>
        <w:t>2. Declarar que la voluntat majoritaria del seus ciutadans és que aquesta sobirania sigui exercida per un nou estat lliure i sobirá.</w:t>
      </w:r>
    </w:p>
    <w:p w:rsidR="009B4233" w:rsidRDefault="009B4233">
      <w:pPr>
        <w:suppressAutoHyphens w:val="0"/>
        <w:autoSpaceDE w:val="0"/>
        <w:jc w:val="both"/>
        <w:rPr>
          <w:rFonts w:ascii="Arial" w:hAnsi="Arial" w:cs="Arial"/>
          <w:i/>
          <w:sz w:val="22"/>
          <w:szCs w:val="22"/>
        </w:rPr>
      </w:pPr>
    </w:p>
    <w:p w:rsidR="009B4233" w:rsidRDefault="006B08B9">
      <w:pPr>
        <w:suppressAutoHyphens w:val="0"/>
        <w:autoSpaceDE w:val="0"/>
        <w:jc w:val="both"/>
        <w:rPr>
          <w:rFonts w:ascii="Arial" w:hAnsi="Arial" w:cs="Arial"/>
          <w:i/>
          <w:sz w:val="22"/>
          <w:szCs w:val="22"/>
        </w:rPr>
      </w:pPr>
      <w:r>
        <w:rPr>
          <w:rFonts w:ascii="Arial" w:hAnsi="Arial" w:cs="Arial"/>
          <w:i/>
          <w:sz w:val="22"/>
          <w:szCs w:val="22"/>
        </w:rPr>
        <w:t xml:space="preserve">3. Demanar al Parlament de Catalunya que traballi per aconseguir aquesta fita com abans millor, </w:t>
      </w:r>
      <w:r>
        <w:rPr>
          <w:rFonts w:ascii="Arial" w:hAnsi="Arial" w:cs="Arial"/>
          <w:i/>
          <w:sz w:val="22"/>
          <w:szCs w:val="22"/>
        </w:rPr>
        <w:t xml:space="preserve">i que entre tanti gestioni la solució des problemes que afronta Catalunya, pensant en aquest futur i en el present del mes necessitats del seus ciutadans. </w:t>
      </w:r>
    </w:p>
    <w:p w:rsidR="009B4233" w:rsidRDefault="009B4233">
      <w:pPr>
        <w:suppressAutoHyphens w:val="0"/>
        <w:autoSpaceDE w:val="0"/>
        <w:jc w:val="both"/>
        <w:rPr>
          <w:rFonts w:ascii="Arial" w:hAnsi="Arial" w:cs="Arial"/>
          <w:i/>
          <w:sz w:val="22"/>
          <w:szCs w:val="22"/>
        </w:rPr>
      </w:pPr>
    </w:p>
    <w:p w:rsidR="009B4233" w:rsidRDefault="006B08B9">
      <w:pPr>
        <w:suppressAutoHyphens w:val="0"/>
        <w:autoSpaceDE w:val="0"/>
        <w:jc w:val="both"/>
        <w:rPr>
          <w:rFonts w:ascii="Arial" w:hAnsi="Arial" w:cs="Arial"/>
          <w:i/>
          <w:sz w:val="22"/>
          <w:szCs w:val="22"/>
        </w:rPr>
      </w:pPr>
      <w:r>
        <w:rPr>
          <w:rFonts w:ascii="Arial" w:hAnsi="Arial" w:cs="Arial"/>
          <w:i/>
          <w:sz w:val="22"/>
          <w:szCs w:val="22"/>
        </w:rPr>
        <w:t>4. Fer publics aquests acords, com a incentiu per altres municipis i com a solidaritat amb aquellos</w:t>
      </w:r>
      <w:r>
        <w:rPr>
          <w:rFonts w:ascii="Arial" w:hAnsi="Arial" w:cs="Arial"/>
          <w:i/>
          <w:sz w:val="22"/>
          <w:szCs w:val="22"/>
        </w:rPr>
        <w:t xml:space="preserve"> que están assetjats per haver-se manifestat en forma similar ."</w:t>
      </w:r>
    </w:p>
    <w:p w:rsidR="009B4233" w:rsidRDefault="009B4233">
      <w:pPr>
        <w:suppressAutoHyphens w:val="0"/>
        <w:autoSpaceDE w:val="0"/>
        <w:jc w:val="both"/>
        <w:rPr>
          <w:rFonts w:ascii="Arial" w:hAnsi="Arial" w:cs="Arial"/>
          <w:i/>
          <w:sz w:val="22"/>
          <w:szCs w:val="22"/>
        </w:rPr>
      </w:pPr>
    </w:p>
    <w:p w:rsidR="009B4233" w:rsidRDefault="006B08B9">
      <w:pPr>
        <w:suppressAutoHyphens w:val="0"/>
        <w:autoSpaceDE w:val="0"/>
        <w:jc w:val="both"/>
      </w:pPr>
      <w:r>
        <w:rPr>
          <w:rFonts w:ascii="Arial" w:hAnsi="Arial" w:cs="Arial"/>
          <w:i/>
          <w:sz w:val="22"/>
          <w:szCs w:val="22"/>
        </w:rPr>
        <w:t xml:space="preserve"> SEGUNDO.- La Delegación del Gobierno en Cataluña interpuso recurso contencioso-administrativo contra dicho acuerdo. Entendió que estaba viciado de nulidad de pleno derecho por referirse a a</w:t>
      </w:r>
      <w:r>
        <w:rPr>
          <w:rFonts w:ascii="Arial" w:hAnsi="Arial" w:cs="Arial"/>
          <w:i/>
          <w:sz w:val="22"/>
          <w:szCs w:val="22"/>
        </w:rPr>
        <w:t>spectos de trascendencia constitucional al margen de la competencia municipal y subsidiariamente porque infringía el principio de objetividad de las Administraciones Públicas en el cumplimiento de sus fines por decantarse por una posición ideológica determ</w:t>
      </w:r>
      <w:r>
        <w:rPr>
          <w:rFonts w:ascii="Arial" w:hAnsi="Arial" w:cs="Arial"/>
          <w:i/>
          <w:sz w:val="22"/>
          <w:szCs w:val="22"/>
        </w:rPr>
        <w:t>inada.</w:t>
      </w:r>
    </w:p>
    <w:p w:rsidR="009B4233" w:rsidRDefault="009B4233">
      <w:pPr>
        <w:suppressAutoHyphens w:val="0"/>
        <w:autoSpaceDE w:val="0"/>
        <w:jc w:val="both"/>
        <w:rPr>
          <w:rFonts w:ascii="Arial" w:hAnsi="Arial" w:cs="Arial"/>
          <w:bCs/>
          <w:i/>
          <w:color w:val="00255C"/>
          <w:kern w:val="0"/>
          <w:sz w:val="22"/>
          <w:szCs w:val="22"/>
        </w:rPr>
      </w:pPr>
    </w:p>
    <w:p w:rsidR="009B4233" w:rsidRDefault="009B4233">
      <w:pPr>
        <w:suppressAutoHyphens w:val="0"/>
        <w:autoSpaceDE w:val="0"/>
        <w:jc w:val="both"/>
        <w:rPr>
          <w:rFonts w:ascii="Arial" w:hAnsi="Arial" w:cs="Arial"/>
          <w:bCs/>
          <w:i/>
          <w:color w:val="00255C"/>
          <w:kern w:val="0"/>
          <w:sz w:val="22"/>
          <w:szCs w:val="22"/>
        </w:rPr>
      </w:pPr>
    </w:p>
    <w:p w:rsidR="009B4233" w:rsidRDefault="006B08B9">
      <w:pPr>
        <w:suppressAutoHyphens w:val="0"/>
        <w:autoSpaceDE w:val="0"/>
        <w:jc w:val="both"/>
      </w:pPr>
      <w:r>
        <w:rPr>
          <w:rFonts w:ascii="Arial" w:hAnsi="Arial" w:cs="Arial"/>
          <w:bCs/>
          <w:i/>
          <w:color w:val="00255C"/>
          <w:kern w:val="0"/>
          <w:sz w:val="22"/>
          <w:szCs w:val="22"/>
        </w:rPr>
        <w:t xml:space="preserve">OCTAVO.- </w:t>
      </w:r>
      <w:r>
        <w:rPr>
          <w:rFonts w:ascii="Arial" w:hAnsi="Arial" w:cs="Arial"/>
          <w:i/>
          <w:iCs/>
          <w:color w:val="000000"/>
          <w:kern w:val="0"/>
          <w:sz w:val="22"/>
          <w:szCs w:val="22"/>
        </w:rPr>
        <w:t>Lo expuesto determina que proceda dar lugar a la casación y anular la sentencia dictada en</w:t>
      </w:r>
      <w:r>
        <w:rPr>
          <w:rFonts w:ascii="Arial" w:hAnsi="Arial" w:cs="Arial"/>
          <w:i/>
          <w:sz w:val="22"/>
          <w:szCs w:val="22"/>
        </w:rPr>
        <w:t xml:space="preserve"> </w:t>
      </w:r>
      <w:r>
        <w:rPr>
          <w:rFonts w:ascii="Arial" w:hAnsi="Arial" w:cs="Arial"/>
          <w:i/>
          <w:iCs/>
          <w:color w:val="000000"/>
          <w:kern w:val="0"/>
          <w:sz w:val="22"/>
          <w:szCs w:val="22"/>
        </w:rPr>
        <w:t xml:space="preserve">apelación </w:t>
      </w:r>
      <w:r>
        <w:rPr>
          <w:rFonts w:ascii="Arial" w:hAnsi="Arial" w:cs="Arial"/>
          <w:i/>
          <w:color w:val="000000"/>
          <w:kern w:val="0"/>
          <w:sz w:val="22"/>
          <w:szCs w:val="22"/>
        </w:rPr>
        <w:t>por la Sala territorial de Cataluña.</w:t>
      </w:r>
    </w:p>
    <w:p w:rsidR="009B4233" w:rsidRDefault="009B4233">
      <w:pPr>
        <w:suppressAutoHyphens w:val="0"/>
        <w:autoSpaceDE w:val="0"/>
        <w:jc w:val="both"/>
        <w:rPr>
          <w:rFonts w:ascii="Arial" w:hAnsi="Arial" w:cs="Arial"/>
          <w:i/>
          <w:iCs/>
          <w:color w:val="000000"/>
          <w:kern w:val="0"/>
          <w:sz w:val="22"/>
          <w:szCs w:val="22"/>
        </w:rPr>
      </w:pPr>
    </w:p>
    <w:p w:rsidR="009B4233" w:rsidRDefault="006B08B9">
      <w:pPr>
        <w:suppressAutoHyphens w:val="0"/>
        <w:autoSpaceDE w:val="0"/>
        <w:jc w:val="both"/>
      </w:pPr>
      <w:r>
        <w:rPr>
          <w:rFonts w:ascii="Arial" w:hAnsi="Arial" w:cs="Arial"/>
          <w:i/>
          <w:iCs/>
          <w:color w:val="000000"/>
          <w:kern w:val="0"/>
          <w:sz w:val="22"/>
          <w:szCs w:val="22"/>
        </w:rPr>
        <w:t xml:space="preserve">Lo impugnado en el caso es un acto administrativo que, con independencia de su contenido político, </w:t>
      </w:r>
      <w:r>
        <w:rPr>
          <w:rFonts w:ascii="Arial" w:hAnsi="Arial" w:cs="Arial"/>
          <w:i/>
          <w:iCs/>
          <w:color w:val="000000"/>
          <w:kern w:val="0"/>
          <w:sz w:val="22"/>
          <w:szCs w:val="22"/>
        </w:rPr>
        <w:t>sus efectos y su finalidad es, en forma evidente, susceptible de control judicial y ha de ser valorado en su conjunto. De esa valoración resulta en forma evidente que el acuerdo incurre en un vicio patente de falta de competencia que debe determinar su nul</w:t>
      </w:r>
      <w:r>
        <w:rPr>
          <w:rFonts w:ascii="Arial" w:hAnsi="Arial" w:cs="Arial"/>
          <w:i/>
          <w:iCs/>
          <w:color w:val="000000"/>
          <w:kern w:val="0"/>
          <w:sz w:val="22"/>
          <w:szCs w:val="22"/>
        </w:rPr>
        <w:t xml:space="preserve">idad de pleno Derecho, de conformidad con lo dispuesto en el artículo 62.1 b) de la LRJPAC </w:t>
      </w:r>
      <w:r>
        <w:rPr>
          <w:rFonts w:ascii="Arial" w:hAnsi="Arial" w:cs="Arial"/>
          <w:i/>
          <w:color w:val="000000"/>
          <w:kern w:val="0"/>
          <w:sz w:val="22"/>
          <w:szCs w:val="22"/>
        </w:rPr>
        <w:t>aplicable al mismo.</w:t>
      </w:r>
    </w:p>
    <w:p w:rsidR="009B4233" w:rsidRDefault="006B08B9">
      <w:pPr>
        <w:suppressAutoHyphens w:val="0"/>
        <w:autoSpaceDE w:val="0"/>
        <w:jc w:val="both"/>
        <w:rPr>
          <w:rFonts w:ascii="Arial" w:hAnsi="Arial" w:cs="Arial"/>
          <w:i/>
          <w:color w:val="000000"/>
          <w:kern w:val="0"/>
          <w:sz w:val="22"/>
          <w:szCs w:val="22"/>
        </w:rPr>
      </w:pPr>
      <w:r>
        <w:rPr>
          <w:rFonts w:ascii="Arial" w:hAnsi="Arial" w:cs="Arial"/>
          <w:i/>
          <w:color w:val="000000"/>
          <w:kern w:val="0"/>
          <w:sz w:val="22"/>
          <w:szCs w:val="22"/>
        </w:rPr>
        <w:t>No son relevantes para este caso los precedentes jurisprudenciales de esta Sala que consienten a los Ayuntamientos manifestaciones de deseos, asp</w:t>
      </w:r>
      <w:r>
        <w:rPr>
          <w:rFonts w:ascii="Arial" w:hAnsi="Arial" w:cs="Arial"/>
          <w:i/>
          <w:color w:val="000000"/>
          <w:kern w:val="0"/>
          <w:sz w:val="22"/>
          <w:szCs w:val="22"/>
        </w:rPr>
        <w:t>iraciones ideales, inquietudes o preocupaciones de sus vecinos.</w:t>
      </w:r>
    </w:p>
    <w:p w:rsidR="009B4233" w:rsidRDefault="009B4233">
      <w:pPr>
        <w:suppressAutoHyphens w:val="0"/>
        <w:autoSpaceDE w:val="0"/>
        <w:jc w:val="both"/>
        <w:rPr>
          <w:rFonts w:ascii="Arial" w:hAnsi="Arial" w:cs="Arial"/>
          <w:i/>
          <w:color w:val="000000"/>
          <w:kern w:val="0"/>
          <w:sz w:val="22"/>
          <w:szCs w:val="22"/>
        </w:rPr>
      </w:pPr>
    </w:p>
    <w:p w:rsidR="009B4233" w:rsidRDefault="006B08B9">
      <w:pPr>
        <w:suppressAutoHyphens w:val="0"/>
        <w:autoSpaceDE w:val="0"/>
        <w:jc w:val="both"/>
      </w:pPr>
      <w:r>
        <w:rPr>
          <w:rFonts w:ascii="Arial" w:hAnsi="Arial" w:cs="Arial"/>
          <w:i/>
          <w:color w:val="000000"/>
          <w:kern w:val="0"/>
          <w:sz w:val="22"/>
          <w:szCs w:val="22"/>
        </w:rPr>
        <w:t>De los que se invocan puede tener algún relieve la sentencia de esta Sala de 23 de abril de 2008 (Casación</w:t>
      </w:r>
      <w:r>
        <w:rPr>
          <w:rFonts w:ascii="Arial" w:hAnsi="Arial" w:cs="Arial"/>
          <w:i/>
          <w:color w:val="000000"/>
          <w:sz w:val="22"/>
          <w:szCs w:val="22"/>
        </w:rPr>
        <w:t xml:space="preserve"> </w:t>
      </w:r>
      <w:r>
        <w:rPr>
          <w:rFonts w:ascii="Arial" w:hAnsi="Arial" w:cs="Arial"/>
          <w:i/>
          <w:color w:val="000000"/>
          <w:kern w:val="0"/>
          <w:sz w:val="22"/>
          <w:szCs w:val="22"/>
        </w:rPr>
        <w:t xml:space="preserve">10444/2003). El precedente no es aplicable, sin embargo, al presente caso porque </w:t>
      </w:r>
      <w:r>
        <w:rPr>
          <w:rFonts w:ascii="Arial" w:hAnsi="Arial" w:cs="Arial"/>
          <w:i/>
          <w:color w:val="000000"/>
          <w:kern w:val="0"/>
          <w:sz w:val="22"/>
          <w:szCs w:val="22"/>
        </w:rPr>
        <w:t>aquí la actividad municipal</w:t>
      </w:r>
      <w:r>
        <w:rPr>
          <w:rFonts w:ascii="Arial" w:hAnsi="Arial" w:cs="Arial"/>
          <w:i/>
          <w:color w:val="000000"/>
          <w:sz w:val="22"/>
          <w:szCs w:val="22"/>
        </w:rPr>
        <w:t xml:space="preserve"> </w:t>
      </w:r>
      <w:r>
        <w:rPr>
          <w:rFonts w:ascii="Arial" w:hAnsi="Arial" w:cs="Arial"/>
          <w:i/>
          <w:color w:val="000000"/>
          <w:kern w:val="0"/>
          <w:sz w:val="22"/>
          <w:szCs w:val="22"/>
        </w:rPr>
        <w:t>tiene unos efectos prácticos directos y un contenido administrativo relevante que debe determinar su</w:t>
      </w:r>
      <w:r>
        <w:rPr>
          <w:rFonts w:ascii="Arial" w:hAnsi="Arial" w:cs="Arial"/>
          <w:i/>
          <w:color w:val="000000"/>
          <w:sz w:val="22"/>
          <w:szCs w:val="22"/>
        </w:rPr>
        <w:t xml:space="preserve"> </w:t>
      </w:r>
      <w:r>
        <w:rPr>
          <w:rFonts w:ascii="Arial" w:hAnsi="Arial" w:cs="Arial"/>
          <w:i/>
          <w:color w:val="000000"/>
          <w:kern w:val="0"/>
          <w:sz w:val="22"/>
          <w:szCs w:val="22"/>
        </w:rPr>
        <w:t xml:space="preserve">anulación. </w:t>
      </w:r>
    </w:p>
    <w:p w:rsidR="009B4233" w:rsidRDefault="009B4233">
      <w:pPr>
        <w:suppressAutoHyphens w:val="0"/>
        <w:autoSpaceDE w:val="0"/>
        <w:jc w:val="both"/>
        <w:rPr>
          <w:rFonts w:ascii="Arial" w:hAnsi="Arial" w:cs="Arial"/>
          <w:i/>
          <w:color w:val="000000"/>
          <w:kern w:val="0"/>
          <w:sz w:val="22"/>
          <w:szCs w:val="22"/>
        </w:rPr>
      </w:pPr>
    </w:p>
    <w:p w:rsidR="009B4233" w:rsidRDefault="006B08B9">
      <w:pPr>
        <w:suppressAutoHyphens w:val="0"/>
        <w:autoSpaceDE w:val="0"/>
        <w:jc w:val="both"/>
      </w:pPr>
      <w:r>
        <w:rPr>
          <w:rFonts w:ascii="Arial" w:hAnsi="Arial" w:cs="Arial"/>
          <w:i/>
          <w:color w:val="000000"/>
          <w:kern w:val="0"/>
          <w:sz w:val="22"/>
          <w:szCs w:val="22"/>
        </w:rPr>
        <w:t>En cuanto a los demás precedentes que se citan hay que recordar que esta Sala resuelve, en estos</w:t>
      </w:r>
      <w:r>
        <w:rPr>
          <w:rFonts w:ascii="Arial" w:hAnsi="Arial" w:cs="Arial"/>
          <w:i/>
          <w:color w:val="000000"/>
          <w:sz w:val="22"/>
          <w:szCs w:val="22"/>
        </w:rPr>
        <w:t xml:space="preserve"> </w:t>
      </w:r>
      <w:r>
        <w:rPr>
          <w:rFonts w:ascii="Arial" w:hAnsi="Arial" w:cs="Arial"/>
          <w:i/>
          <w:color w:val="000000"/>
          <w:kern w:val="0"/>
          <w:sz w:val="22"/>
          <w:szCs w:val="22"/>
        </w:rPr>
        <w:t>recursos de casac</w:t>
      </w:r>
      <w:r>
        <w:rPr>
          <w:rFonts w:ascii="Arial" w:hAnsi="Arial" w:cs="Arial"/>
          <w:i/>
          <w:color w:val="000000"/>
          <w:kern w:val="0"/>
          <w:sz w:val="22"/>
          <w:szCs w:val="22"/>
        </w:rPr>
        <w:t xml:space="preserve">ión por interés casacional objetivo, impugnaciones concretas, por lo que carece de sentido pronunciarse con carácter general y abstracto sobre cuestiones que resultan ajenas al enjuiciamiento de lo que se plantea en este caso. </w:t>
      </w:r>
    </w:p>
    <w:p w:rsidR="009B4233" w:rsidRDefault="009B4233">
      <w:pPr>
        <w:suppressAutoHyphens w:val="0"/>
        <w:autoSpaceDE w:val="0"/>
        <w:jc w:val="both"/>
        <w:rPr>
          <w:rFonts w:ascii="Arial" w:hAnsi="Arial" w:cs="Arial"/>
          <w:i/>
          <w:color w:val="000000"/>
          <w:kern w:val="0"/>
          <w:sz w:val="22"/>
          <w:szCs w:val="22"/>
        </w:rPr>
      </w:pPr>
    </w:p>
    <w:p w:rsidR="009B4233" w:rsidRDefault="006B08B9">
      <w:pPr>
        <w:suppressAutoHyphens w:val="0"/>
        <w:autoSpaceDE w:val="0"/>
        <w:jc w:val="both"/>
      </w:pPr>
      <w:r>
        <w:rPr>
          <w:rFonts w:ascii="Arial" w:hAnsi="Arial" w:cs="Arial"/>
          <w:i/>
          <w:iCs/>
          <w:color w:val="000000"/>
          <w:kern w:val="0"/>
          <w:sz w:val="22"/>
          <w:szCs w:val="22"/>
        </w:rPr>
        <w:t>Los actos de una Administra</w:t>
      </w:r>
      <w:r>
        <w:rPr>
          <w:rFonts w:ascii="Arial" w:hAnsi="Arial" w:cs="Arial"/>
          <w:i/>
          <w:iCs/>
          <w:color w:val="000000"/>
          <w:kern w:val="0"/>
          <w:sz w:val="22"/>
          <w:szCs w:val="22"/>
        </w:rPr>
        <w:t>ción Pública</w:t>
      </w:r>
      <w:r>
        <w:rPr>
          <w:rFonts w:ascii="Arial" w:hAnsi="Arial" w:cs="Arial"/>
          <w:i/>
          <w:color w:val="000000"/>
          <w:kern w:val="0"/>
          <w:sz w:val="22"/>
          <w:szCs w:val="22"/>
        </w:rPr>
        <w:t xml:space="preserve">, y el Ayuntamiento recurrido sin duda lo es, </w:t>
      </w:r>
      <w:r>
        <w:rPr>
          <w:rFonts w:ascii="Arial" w:hAnsi="Arial" w:cs="Arial"/>
          <w:i/>
          <w:iCs/>
          <w:color w:val="000000"/>
          <w:kern w:val="0"/>
          <w:sz w:val="22"/>
          <w:szCs w:val="22"/>
        </w:rPr>
        <w:t>se deben ejercer en todo caso en el marco de lealtad institucional con las restantes Administraciones Públicas,</w:t>
      </w:r>
      <w:r>
        <w:rPr>
          <w:rFonts w:ascii="Arial" w:hAnsi="Arial" w:cs="Arial"/>
          <w:i/>
          <w:color w:val="000000"/>
          <w:kern w:val="0"/>
          <w:sz w:val="22"/>
          <w:szCs w:val="22"/>
        </w:rPr>
        <w:t xml:space="preserve"> </w:t>
      </w:r>
      <w:r>
        <w:rPr>
          <w:rFonts w:ascii="Arial" w:hAnsi="Arial" w:cs="Arial"/>
          <w:i/>
          <w:iCs/>
          <w:color w:val="000000"/>
          <w:kern w:val="0"/>
          <w:sz w:val="22"/>
          <w:szCs w:val="22"/>
        </w:rPr>
        <w:t xml:space="preserve">que exige el artículo 55 de la LBRL .En este caso la llamada a una modificación total </w:t>
      </w:r>
      <w:r>
        <w:rPr>
          <w:rFonts w:ascii="Arial" w:hAnsi="Arial" w:cs="Arial"/>
          <w:i/>
          <w:iCs/>
          <w:color w:val="000000"/>
          <w:kern w:val="0"/>
          <w:sz w:val="22"/>
          <w:szCs w:val="22"/>
        </w:rPr>
        <w:t>de la organización</w:t>
      </w:r>
      <w:r>
        <w:rPr>
          <w:rFonts w:ascii="Arial" w:hAnsi="Arial" w:cs="Arial"/>
          <w:i/>
          <w:color w:val="000000"/>
          <w:kern w:val="0"/>
          <w:sz w:val="22"/>
          <w:szCs w:val="22"/>
        </w:rPr>
        <w:t xml:space="preserve"> </w:t>
      </w:r>
      <w:r>
        <w:rPr>
          <w:rFonts w:ascii="Arial" w:hAnsi="Arial" w:cs="Arial"/>
          <w:i/>
          <w:iCs/>
          <w:color w:val="000000"/>
          <w:kern w:val="0"/>
          <w:sz w:val="22"/>
          <w:szCs w:val="22"/>
        </w:rPr>
        <w:t>territorial del Estado, sin observar ni contemplar siquiera el procedimiento de reforma constitucional, es evidente que no las respeta</w:t>
      </w:r>
      <w:r>
        <w:rPr>
          <w:rFonts w:ascii="Arial" w:hAnsi="Arial" w:cs="Arial"/>
          <w:i/>
          <w:color w:val="000000"/>
          <w:kern w:val="0"/>
          <w:sz w:val="22"/>
          <w:szCs w:val="22"/>
        </w:rPr>
        <w:t xml:space="preserve">. Es obvio que </w:t>
      </w:r>
      <w:r>
        <w:rPr>
          <w:rFonts w:ascii="Arial" w:hAnsi="Arial" w:cs="Arial"/>
          <w:i/>
          <w:iCs/>
          <w:color w:val="000000"/>
          <w:kern w:val="0"/>
          <w:sz w:val="22"/>
          <w:szCs w:val="22"/>
        </w:rPr>
        <w:t>la declaración es totalmente ajena a las competencias que la Ley asigna al municipio rec</w:t>
      </w:r>
      <w:r>
        <w:rPr>
          <w:rFonts w:ascii="Arial" w:hAnsi="Arial" w:cs="Arial"/>
          <w:i/>
          <w:iCs/>
          <w:color w:val="000000"/>
          <w:kern w:val="0"/>
          <w:sz w:val="22"/>
          <w:szCs w:val="22"/>
        </w:rPr>
        <w:t xml:space="preserve">urrido y, también, que al ejercerse se ha vulnerado el principio de objetividad que invoca el Abogado del Estado y se desprende del artículo 103.1 CE . </w:t>
      </w:r>
    </w:p>
    <w:p w:rsidR="009B4233" w:rsidRDefault="009B4233">
      <w:pPr>
        <w:suppressAutoHyphens w:val="0"/>
        <w:autoSpaceDE w:val="0"/>
        <w:jc w:val="both"/>
        <w:rPr>
          <w:rFonts w:ascii="Arial" w:hAnsi="Arial" w:cs="Arial"/>
          <w:i/>
          <w:iCs/>
          <w:color w:val="000000"/>
          <w:kern w:val="0"/>
          <w:sz w:val="22"/>
          <w:szCs w:val="22"/>
        </w:rPr>
      </w:pPr>
    </w:p>
    <w:p w:rsidR="009B4233" w:rsidRDefault="006B08B9">
      <w:pPr>
        <w:suppressAutoHyphens w:val="0"/>
        <w:autoSpaceDE w:val="0"/>
        <w:jc w:val="both"/>
      </w:pPr>
      <w:r>
        <w:rPr>
          <w:rFonts w:ascii="Arial" w:hAnsi="Arial" w:cs="Arial"/>
          <w:i/>
          <w:iCs/>
          <w:color w:val="000000"/>
          <w:kern w:val="0"/>
          <w:sz w:val="22"/>
          <w:szCs w:val="22"/>
        </w:rPr>
        <w:t>También vulnera el acuerdo</w:t>
      </w:r>
      <w:r>
        <w:rPr>
          <w:rFonts w:ascii="Arial" w:hAnsi="Arial" w:cs="Arial"/>
          <w:i/>
          <w:color w:val="000000"/>
          <w:kern w:val="0"/>
          <w:sz w:val="22"/>
          <w:szCs w:val="22"/>
        </w:rPr>
        <w:t>, tanto en su</w:t>
      </w:r>
      <w:r>
        <w:rPr>
          <w:rFonts w:ascii="Arial" w:hAnsi="Arial" w:cs="Arial"/>
          <w:i/>
          <w:color w:val="000000"/>
          <w:sz w:val="22"/>
          <w:szCs w:val="22"/>
        </w:rPr>
        <w:t xml:space="preserve"> </w:t>
      </w:r>
      <w:r>
        <w:rPr>
          <w:rFonts w:ascii="Arial" w:hAnsi="Arial" w:cs="Arial"/>
          <w:i/>
          <w:color w:val="000000"/>
          <w:kern w:val="0"/>
          <w:sz w:val="22"/>
          <w:szCs w:val="22"/>
        </w:rPr>
        <w:t xml:space="preserve">parte dispositiva como en la exposición que la precede, </w:t>
      </w:r>
      <w:r>
        <w:rPr>
          <w:rFonts w:ascii="Arial" w:hAnsi="Arial" w:cs="Arial"/>
          <w:i/>
          <w:iCs/>
          <w:color w:val="000000"/>
          <w:kern w:val="0"/>
          <w:sz w:val="22"/>
          <w:szCs w:val="22"/>
        </w:rPr>
        <w:t>ese pr</w:t>
      </w:r>
      <w:r>
        <w:rPr>
          <w:rFonts w:ascii="Arial" w:hAnsi="Arial" w:cs="Arial"/>
          <w:i/>
          <w:iCs/>
          <w:color w:val="000000"/>
          <w:kern w:val="0"/>
          <w:sz w:val="22"/>
          <w:szCs w:val="22"/>
        </w:rPr>
        <w:t>incipio constitucional de objetividad de la</w:t>
      </w:r>
      <w:r>
        <w:rPr>
          <w:rFonts w:ascii="Arial" w:hAnsi="Arial" w:cs="Arial"/>
          <w:i/>
          <w:color w:val="000000"/>
          <w:sz w:val="22"/>
          <w:szCs w:val="22"/>
        </w:rPr>
        <w:t xml:space="preserve"> </w:t>
      </w:r>
      <w:r>
        <w:rPr>
          <w:rFonts w:ascii="Arial" w:hAnsi="Arial" w:cs="Arial"/>
          <w:i/>
          <w:iCs/>
          <w:color w:val="000000"/>
          <w:kern w:val="0"/>
          <w:sz w:val="22"/>
          <w:szCs w:val="22"/>
        </w:rPr>
        <w:t>actividad administrativa, que el artículo 6.1 LBRL impone a los entes locales, ya que asume - e identifica a la</w:t>
      </w:r>
      <w:r>
        <w:rPr>
          <w:rFonts w:ascii="Arial" w:hAnsi="Arial" w:cs="Arial"/>
          <w:i/>
          <w:color w:val="000000"/>
          <w:sz w:val="22"/>
          <w:szCs w:val="22"/>
        </w:rPr>
        <w:t xml:space="preserve"> </w:t>
      </w:r>
      <w:r>
        <w:rPr>
          <w:rFonts w:ascii="Arial" w:hAnsi="Arial" w:cs="Arial"/>
          <w:i/>
          <w:iCs/>
          <w:color w:val="000000"/>
          <w:kern w:val="0"/>
          <w:sz w:val="22"/>
          <w:szCs w:val="22"/>
        </w:rPr>
        <w:t>Corporación municipal con ella - una posición de parte que, lejos de someterse a la Ley y al Derecho</w:t>
      </w:r>
      <w:r>
        <w:rPr>
          <w:rFonts w:ascii="Arial" w:hAnsi="Arial" w:cs="Arial"/>
          <w:i/>
          <w:iCs/>
          <w:color w:val="000000"/>
          <w:kern w:val="0"/>
          <w:sz w:val="22"/>
          <w:szCs w:val="22"/>
        </w:rPr>
        <w:t>, está en</w:t>
      </w:r>
      <w:r>
        <w:rPr>
          <w:rFonts w:ascii="Arial" w:hAnsi="Arial" w:cs="Arial"/>
          <w:i/>
          <w:color w:val="000000"/>
          <w:sz w:val="22"/>
          <w:szCs w:val="22"/>
        </w:rPr>
        <w:t xml:space="preserve"> </w:t>
      </w:r>
      <w:r>
        <w:rPr>
          <w:rFonts w:ascii="Arial" w:hAnsi="Arial" w:cs="Arial"/>
          <w:i/>
          <w:iCs/>
          <w:color w:val="000000"/>
          <w:kern w:val="0"/>
          <w:sz w:val="22"/>
          <w:szCs w:val="22"/>
        </w:rPr>
        <w:t>abierta contradicción con la Constitución</w:t>
      </w:r>
      <w:r>
        <w:rPr>
          <w:rFonts w:ascii="Arial" w:hAnsi="Arial" w:cs="Arial"/>
          <w:i/>
          <w:color w:val="000000"/>
          <w:kern w:val="0"/>
          <w:sz w:val="22"/>
          <w:szCs w:val="22"/>
        </w:rPr>
        <w:t>.</w:t>
      </w:r>
    </w:p>
    <w:p w:rsidR="009B4233" w:rsidRDefault="009B4233">
      <w:pPr>
        <w:suppressAutoHyphens w:val="0"/>
        <w:autoSpaceDE w:val="0"/>
        <w:jc w:val="both"/>
        <w:rPr>
          <w:rFonts w:ascii="Arial" w:hAnsi="Arial" w:cs="Arial"/>
          <w:i/>
          <w:iCs/>
          <w:color w:val="000000"/>
          <w:kern w:val="0"/>
          <w:sz w:val="22"/>
          <w:szCs w:val="22"/>
        </w:rPr>
      </w:pPr>
    </w:p>
    <w:p w:rsidR="009B4233" w:rsidRDefault="006B08B9">
      <w:pPr>
        <w:suppressAutoHyphens w:val="0"/>
        <w:autoSpaceDE w:val="0"/>
        <w:jc w:val="both"/>
      </w:pPr>
      <w:r>
        <w:rPr>
          <w:rFonts w:ascii="Arial" w:hAnsi="Arial" w:cs="Arial"/>
          <w:i/>
          <w:iCs/>
          <w:color w:val="000000"/>
          <w:kern w:val="0"/>
          <w:sz w:val="22"/>
          <w:szCs w:val="22"/>
        </w:rPr>
        <w:t>Una Administración Pública no se puede manifestar en una materia de la trascendencia de la que aborda el acuerdo recurrido asumiendo una posición de parte e identificando con ella a la Corporación misma</w:t>
      </w:r>
      <w:r>
        <w:rPr>
          <w:rFonts w:ascii="Arial" w:hAnsi="Arial" w:cs="Arial"/>
          <w:i/>
          <w:iCs/>
          <w:color w:val="000000"/>
          <w:kern w:val="0"/>
          <w:sz w:val="22"/>
          <w:szCs w:val="22"/>
        </w:rPr>
        <w:t>, mucho menos sin manifestar que la misma no se adopta con el acuerdo unánime de los miembros de la Corporación</w:t>
      </w:r>
      <w:r>
        <w:rPr>
          <w:rFonts w:ascii="Arial" w:hAnsi="Arial" w:cs="Arial"/>
          <w:i/>
          <w:color w:val="000000"/>
          <w:kern w:val="0"/>
          <w:sz w:val="22"/>
          <w:szCs w:val="22"/>
        </w:rPr>
        <w:t>,</w:t>
      </w:r>
      <w:r>
        <w:rPr>
          <w:rFonts w:ascii="Arial" w:hAnsi="Arial" w:cs="Arial"/>
          <w:i/>
          <w:iCs/>
          <w:color w:val="000000"/>
          <w:kern w:val="0"/>
          <w:sz w:val="22"/>
          <w:szCs w:val="22"/>
        </w:rPr>
        <w:t xml:space="preserve"> </w:t>
      </w:r>
      <w:r>
        <w:rPr>
          <w:rFonts w:ascii="Arial" w:hAnsi="Arial" w:cs="Arial"/>
          <w:i/>
          <w:color w:val="000000"/>
          <w:kern w:val="0"/>
          <w:sz w:val="22"/>
          <w:szCs w:val="22"/>
        </w:rPr>
        <w:t>que en este caso no ha existido.</w:t>
      </w:r>
    </w:p>
    <w:p w:rsidR="009B4233" w:rsidRDefault="009B4233">
      <w:pPr>
        <w:suppressAutoHyphens w:val="0"/>
        <w:autoSpaceDE w:val="0"/>
        <w:jc w:val="both"/>
        <w:rPr>
          <w:rFonts w:ascii="Arial" w:hAnsi="Arial" w:cs="Arial"/>
          <w:i/>
          <w:color w:val="000000"/>
          <w:kern w:val="0"/>
          <w:sz w:val="22"/>
          <w:szCs w:val="22"/>
        </w:rPr>
      </w:pPr>
    </w:p>
    <w:p w:rsidR="009B4233" w:rsidRDefault="006B08B9">
      <w:pPr>
        <w:suppressAutoHyphens w:val="0"/>
        <w:autoSpaceDE w:val="0"/>
        <w:jc w:val="both"/>
      </w:pPr>
      <w:r>
        <w:rPr>
          <w:rFonts w:ascii="Arial" w:hAnsi="Arial" w:cs="Arial"/>
          <w:i/>
          <w:color w:val="000000"/>
          <w:kern w:val="0"/>
          <w:sz w:val="22"/>
          <w:szCs w:val="22"/>
        </w:rPr>
        <w:t xml:space="preserve">No es preciso dictar, en lugar de la que hemos anulado, una nueva sentencia. </w:t>
      </w:r>
      <w:r>
        <w:rPr>
          <w:rFonts w:ascii="Arial" w:hAnsi="Arial" w:cs="Arial"/>
          <w:i/>
          <w:iCs/>
          <w:color w:val="000000"/>
          <w:kern w:val="0"/>
          <w:sz w:val="22"/>
          <w:szCs w:val="22"/>
        </w:rPr>
        <w:t>La anulación de la apelada debe</w:t>
      </w:r>
      <w:r>
        <w:rPr>
          <w:rFonts w:ascii="Arial" w:hAnsi="Arial" w:cs="Arial"/>
          <w:i/>
          <w:sz w:val="22"/>
          <w:szCs w:val="22"/>
        </w:rPr>
        <w:t xml:space="preserve"> </w:t>
      </w:r>
      <w:r>
        <w:rPr>
          <w:rFonts w:ascii="Arial" w:hAnsi="Arial" w:cs="Arial"/>
          <w:i/>
          <w:iCs/>
          <w:color w:val="000000"/>
          <w:kern w:val="0"/>
          <w:sz w:val="22"/>
          <w:szCs w:val="22"/>
        </w:rPr>
        <w:t>determinar</w:t>
      </w:r>
      <w:r>
        <w:rPr>
          <w:rFonts w:ascii="Arial" w:hAnsi="Arial" w:cs="Arial"/>
          <w:i/>
          <w:color w:val="000000"/>
          <w:kern w:val="0"/>
          <w:sz w:val="22"/>
          <w:szCs w:val="22"/>
        </w:rPr>
        <w:t xml:space="preserve">, y así lo declaramos, </w:t>
      </w:r>
      <w:r>
        <w:rPr>
          <w:rFonts w:ascii="Arial" w:hAnsi="Arial" w:cs="Arial"/>
          <w:i/>
          <w:iCs/>
          <w:color w:val="000000"/>
          <w:kern w:val="0"/>
          <w:sz w:val="22"/>
          <w:szCs w:val="22"/>
        </w:rPr>
        <w:t>la vigencia de la sentencia 95/2014 del Juzgado número 13 de Barcelona</w:t>
      </w:r>
      <w:r>
        <w:rPr>
          <w:rFonts w:ascii="Arial" w:hAnsi="Arial" w:cs="Arial"/>
          <w:i/>
          <w:color w:val="000000"/>
          <w:kern w:val="0"/>
          <w:sz w:val="22"/>
          <w:szCs w:val="22"/>
        </w:rPr>
        <w:t>,</w:t>
      </w:r>
      <w:r>
        <w:rPr>
          <w:rFonts w:ascii="Arial" w:hAnsi="Arial" w:cs="Arial"/>
          <w:i/>
          <w:sz w:val="22"/>
          <w:szCs w:val="22"/>
        </w:rPr>
        <w:t xml:space="preserve"> </w:t>
      </w:r>
      <w:r>
        <w:rPr>
          <w:rFonts w:ascii="Arial" w:hAnsi="Arial" w:cs="Arial"/>
          <w:i/>
          <w:color w:val="000000"/>
          <w:kern w:val="0"/>
          <w:sz w:val="22"/>
          <w:szCs w:val="22"/>
        </w:rPr>
        <w:t>recaída en el proceso 191/2013 que es confirmada por esta Sala en sus mismos y atinados razonamientos, de los que nos hemos hecho eco en el extracto de</w:t>
      </w:r>
      <w:r>
        <w:rPr>
          <w:rFonts w:ascii="Arial" w:hAnsi="Arial" w:cs="Arial"/>
          <w:i/>
          <w:color w:val="000000"/>
          <w:kern w:val="0"/>
          <w:sz w:val="22"/>
          <w:szCs w:val="22"/>
        </w:rPr>
        <w:t xml:space="preserve"> antecedentes de esta sentencia.</w:t>
      </w:r>
    </w:p>
    <w:p w:rsidR="009B4233" w:rsidRDefault="009B4233">
      <w:pPr>
        <w:suppressAutoHyphens w:val="0"/>
        <w:autoSpaceDE w:val="0"/>
        <w:jc w:val="both"/>
        <w:rPr>
          <w:rFonts w:ascii="Arial" w:hAnsi="Arial" w:cs="Arial"/>
          <w:bCs/>
          <w:i/>
          <w:color w:val="00255C"/>
          <w:kern w:val="0"/>
          <w:sz w:val="22"/>
          <w:szCs w:val="22"/>
        </w:rPr>
      </w:pPr>
    </w:p>
    <w:p w:rsidR="009B4233" w:rsidRDefault="009B4233">
      <w:pPr>
        <w:suppressAutoHyphens w:val="0"/>
        <w:autoSpaceDE w:val="0"/>
        <w:jc w:val="both"/>
        <w:rPr>
          <w:rFonts w:ascii="Arial" w:hAnsi="Arial" w:cs="Arial"/>
          <w:bCs/>
          <w:i/>
          <w:color w:val="00255C"/>
          <w:kern w:val="0"/>
          <w:sz w:val="22"/>
          <w:szCs w:val="22"/>
        </w:rPr>
      </w:pPr>
    </w:p>
    <w:p w:rsidR="009B4233" w:rsidRDefault="006B08B9">
      <w:pPr>
        <w:suppressAutoHyphens w:val="0"/>
        <w:autoSpaceDE w:val="0"/>
        <w:jc w:val="both"/>
      </w:pPr>
      <w:r>
        <w:rPr>
          <w:rFonts w:ascii="Arial" w:hAnsi="Arial" w:cs="Arial"/>
          <w:bCs/>
          <w:i/>
          <w:color w:val="000000"/>
          <w:kern w:val="0"/>
          <w:sz w:val="22"/>
          <w:szCs w:val="22"/>
        </w:rPr>
        <w:t xml:space="preserve">NOVENO.- </w:t>
      </w:r>
      <w:r>
        <w:rPr>
          <w:rFonts w:ascii="Arial" w:hAnsi="Arial" w:cs="Arial"/>
          <w:i/>
          <w:color w:val="000000"/>
          <w:kern w:val="0"/>
          <w:sz w:val="22"/>
          <w:szCs w:val="22"/>
        </w:rPr>
        <w:t xml:space="preserve">Podemos dar </w:t>
      </w:r>
      <w:r>
        <w:rPr>
          <w:rFonts w:ascii="Arial" w:hAnsi="Arial" w:cs="Arial"/>
          <w:i/>
          <w:iCs/>
          <w:color w:val="000000"/>
          <w:kern w:val="0"/>
          <w:sz w:val="22"/>
          <w:szCs w:val="22"/>
        </w:rPr>
        <w:t>respuesta a las tres cuestiones que plantea el auto de admisión.  En cuanto a la</w:t>
      </w:r>
      <w:r>
        <w:rPr>
          <w:rFonts w:ascii="Arial" w:hAnsi="Arial" w:cs="Arial"/>
          <w:i/>
          <w:color w:val="000000"/>
          <w:sz w:val="22"/>
          <w:szCs w:val="22"/>
        </w:rPr>
        <w:t xml:space="preserve"> </w:t>
      </w:r>
      <w:r>
        <w:rPr>
          <w:rFonts w:ascii="Arial" w:hAnsi="Arial" w:cs="Arial"/>
          <w:i/>
          <w:iCs/>
          <w:color w:val="000000"/>
          <w:kern w:val="0"/>
          <w:sz w:val="22"/>
          <w:szCs w:val="22"/>
        </w:rPr>
        <w:t>naturaleza política, siempre que la misma se encuentre al margen de las cuestiones de interés municipal y de</w:t>
      </w:r>
      <w:r>
        <w:rPr>
          <w:rFonts w:ascii="Arial" w:hAnsi="Arial" w:cs="Arial"/>
          <w:i/>
          <w:color w:val="000000"/>
          <w:sz w:val="22"/>
          <w:szCs w:val="22"/>
        </w:rPr>
        <w:t xml:space="preserve"> </w:t>
      </w:r>
      <w:r>
        <w:rPr>
          <w:rFonts w:ascii="Arial" w:hAnsi="Arial" w:cs="Arial"/>
          <w:i/>
          <w:iCs/>
          <w:color w:val="000000"/>
          <w:kern w:val="0"/>
          <w:sz w:val="22"/>
          <w:szCs w:val="22"/>
        </w:rPr>
        <w:t>las compet</w:t>
      </w:r>
      <w:r>
        <w:rPr>
          <w:rFonts w:ascii="Arial" w:hAnsi="Arial" w:cs="Arial"/>
          <w:i/>
          <w:iCs/>
          <w:color w:val="000000"/>
          <w:kern w:val="0"/>
          <w:sz w:val="22"/>
          <w:szCs w:val="22"/>
        </w:rPr>
        <w:t>encias que corresponden a la entidad local, de acuerdo con la Constitución y el marco normativo que le sea aplicable</w:t>
      </w:r>
      <w:r>
        <w:rPr>
          <w:rFonts w:ascii="Arial" w:hAnsi="Arial" w:cs="Arial"/>
          <w:i/>
          <w:color w:val="000000"/>
          <w:kern w:val="0"/>
          <w:sz w:val="22"/>
          <w:szCs w:val="22"/>
        </w:rPr>
        <w:t xml:space="preserve">. </w:t>
      </w:r>
    </w:p>
    <w:p w:rsidR="009B4233" w:rsidRDefault="006B08B9">
      <w:pPr>
        <w:suppressAutoHyphens w:val="0"/>
        <w:autoSpaceDE w:val="0"/>
        <w:jc w:val="both"/>
      </w:pPr>
      <w:r>
        <w:rPr>
          <w:rFonts w:ascii="Arial" w:hAnsi="Arial" w:cs="Arial"/>
          <w:i/>
          <w:color w:val="000000"/>
          <w:kern w:val="0"/>
          <w:sz w:val="22"/>
          <w:szCs w:val="22"/>
        </w:rPr>
        <w:t>A estos efectos carece de relevancia la doctrina del FJ 2 de la STC 42/2014 .</w:t>
      </w:r>
      <w:r>
        <w:rPr>
          <w:rFonts w:ascii="Arial" w:hAnsi="Arial" w:cs="Arial"/>
          <w:i/>
          <w:color w:val="000000"/>
          <w:sz w:val="22"/>
          <w:szCs w:val="22"/>
        </w:rPr>
        <w:t xml:space="preserve"> </w:t>
      </w:r>
      <w:r>
        <w:rPr>
          <w:rFonts w:ascii="Arial" w:hAnsi="Arial" w:cs="Arial"/>
          <w:i/>
          <w:iCs/>
          <w:color w:val="000000"/>
          <w:kern w:val="0"/>
          <w:sz w:val="22"/>
          <w:szCs w:val="22"/>
        </w:rPr>
        <w:t>En cuanto a la segunda cuestión, el contenido de la declara</w:t>
      </w:r>
      <w:r>
        <w:rPr>
          <w:rFonts w:ascii="Arial" w:hAnsi="Arial" w:cs="Arial"/>
          <w:i/>
          <w:iCs/>
          <w:color w:val="000000"/>
          <w:kern w:val="0"/>
          <w:sz w:val="22"/>
          <w:szCs w:val="22"/>
        </w:rPr>
        <w:t>ción y su finalidad ha de respetar en todo caso el</w:t>
      </w:r>
      <w:r>
        <w:rPr>
          <w:rFonts w:ascii="Arial" w:hAnsi="Arial" w:cs="Arial"/>
          <w:i/>
          <w:color w:val="000000"/>
          <w:sz w:val="22"/>
          <w:szCs w:val="22"/>
        </w:rPr>
        <w:t xml:space="preserve"> </w:t>
      </w:r>
      <w:r>
        <w:rPr>
          <w:rFonts w:ascii="Arial" w:hAnsi="Arial" w:cs="Arial"/>
          <w:i/>
          <w:iCs/>
          <w:color w:val="000000"/>
          <w:kern w:val="0"/>
          <w:sz w:val="22"/>
          <w:szCs w:val="22"/>
        </w:rPr>
        <w:t>principio de vinculación positiva a la Constitución y el resto del ordenamiento jurídico vigente en nuestro</w:t>
      </w:r>
      <w:r>
        <w:rPr>
          <w:rFonts w:ascii="Arial" w:hAnsi="Arial" w:cs="Arial"/>
          <w:i/>
          <w:color w:val="000000"/>
          <w:sz w:val="22"/>
          <w:szCs w:val="22"/>
        </w:rPr>
        <w:t xml:space="preserve"> </w:t>
      </w:r>
      <w:r>
        <w:rPr>
          <w:rFonts w:ascii="Arial" w:hAnsi="Arial" w:cs="Arial"/>
          <w:i/>
          <w:iCs/>
          <w:color w:val="000000"/>
          <w:kern w:val="0"/>
          <w:sz w:val="22"/>
          <w:szCs w:val="22"/>
        </w:rPr>
        <w:t>Derecho cualquiera que sea el contenido o finalidad de esa declaración y en cuanto a la tercera c</w:t>
      </w:r>
      <w:r>
        <w:rPr>
          <w:rFonts w:ascii="Arial" w:hAnsi="Arial" w:cs="Arial"/>
          <w:i/>
          <w:iCs/>
          <w:color w:val="000000"/>
          <w:kern w:val="0"/>
          <w:sz w:val="22"/>
          <w:szCs w:val="22"/>
        </w:rPr>
        <w:t>arece de</w:t>
      </w:r>
      <w:r>
        <w:rPr>
          <w:rFonts w:ascii="Arial" w:hAnsi="Arial" w:cs="Arial"/>
          <w:i/>
          <w:color w:val="000000"/>
          <w:sz w:val="22"/>
          <w:szCs w:val="22"/>
        </w:rPr>
        <w:t xml:space="preserve"> </w:t>
      </w:r>
      <w:r>
        <w:rPr>
          <w:rFonts w:ascii="Arial" w:hAnsi="Arial" w:cs="Arial"/>
          <w:i/>
          <w:iCs/>
          <w:color w:val="000000"/>
          <w:kern w:val="0"/>
          <w:sz w:val="22"/>
          <w:szCs w:val="22"/>
        </w:rPr>
        <w:t>relevancia que la declaración agote, o no, sus efectos en el hecho de la propia declaración (…)”</w:t>
      </w:r>
    </w:p>
    <w:p w:rsidR="009B4233" w:rsidRDefault="009B4233">
      <w:pPr>
        <w:ind w:firstLine="708"/>
        <w:jc w:val="both"/>
        <w:rPr>
          <w:rFonts w:ascii="Arial" w:hAnsi="Arial" w:cs="Arial"/>
          <w:i/>
          <w:sz w:val="22"/>
          <w:szCs w:val="22"/>
        </w:rPr>
      </w:pPr>
    </w:p>
    <w:p w:rsidR="009B4233" w:rsidRDefault="009B4233">
      <w:pPr>
        <w:jc w:val="both"/>
        <w:rPr>
          <w:rFonts w:ascii="Arial" w:hAnsi="Arial" w:cs="Arial"/>
          <w:sz w:val="22"/>
          <w:szCs w:val="22"/>
        </w:rPr>
      </w:pPr>
    </w:p>
    <w:p w:rsidR="009B4233" w:rsidRDefault="006B08B9">
      <w:pPr>
        <w:jc w:val="both"/>
        <w:rPr>
          <w:rFonts w:ascii="Arial" w:hAnsi="Arial" w:cs="Arial"/>
          <w:sz w:val="22"/>
          <w:szCs w:val="22"/>
        </w:rPr>
      </w:pPr>
      <w:r>
        <w:rPr>
          <w:rFonts w:ascii="Arial" w:hAnsi="Arial" w:cs="Arial"/>
          <w:sz w:val="22"/>
          <w:szCs w:val="22"/>
        </w:rPr>
        <w:t>2.- Y la sentencia de la Sala de lo Contencioso-Administrativo del Tribunal Supremo de 20 de septiembre de 2022 (rec.5002/2020) cuya ponente es Doña</w:t>
      </w:r>
      <w:r>
        <w:rPr>
          <w:rFonts w:ascii="Arial" w:hAnsi="Arial" w:cs="Arial"/>
          <w:sz w:val="22"/>
          <w:szCs w:val="22"/>
        </w:rPr>
        <w:t xml:space="preserve"> Celsa Pico Lorenzo, en la que se permite a los plenos pronunciarse sobre asuntos supramunicipales ya que la manifestación de la solidaridad con determinada población es una declaración que al carecer de efectos jurídicos vinculantes responde al carácter p</w:t>
      </w:r>
      <w:r>
        <w:rPr>
          <w:rFonts w:ascii="Arial" w:hAnsi="Arial" w:cs="Arial"/>
          <w:sz w:val="22"/>
          <w:szCs w:val="22"/>
        </w:rPr>
        <w:t>olítico de la autonomía municipal siempre que no se afecte a terceros.</w:t>
      </w:r>
    </w:p>
    <w:p w:rsidR="009B4233" w:rsidRDefault="009B4233">
      <w:pPr>
        <w:ind w:firstLine="708"/>
        <w:jc w:val="both"/>
        <w:rPr>
          <w:rFonts w:ascii="Arial" w:hAnsi="Arial" w:cs="Arial"/>
          <w:sz w:val="22"/>
          <w:szCs w:val="22"/>
        </w:rPr>
      </w:pPr>
    </w:p>
    <w:p w:rsidR="009B4233" w:rsidRDefault="006B08B9">
      <w:pPr>
        <w:suppressAutoHyphens w:val="0"/>
        <w:autoSpaceDE w:val="0"/>
        <w:jc w:val="both"/>
      </w:pPr>
      <w:r>
        <w:rPr>
          <w:rFonts w:ascii="Arial" w:hAnsi="Arial" w:cs="Arial"/>
          <w:i/>
          <w:kern w:val="0"/>
          <w:sz w:val="22"/>
          <w:szCs w:val="22"/>
        </w:rPr>
        <w:t xml:space="preserve">(…) Esta Sala ha visto el recurso de casación registrado bajo el número RCA 5002/2020, interpuesto por la procuradora doña Virginia Sánchez de León Herencia en nombre y representación </w:t>
      </w:r>
      <w:r>
        <w:rPr>
          <w:rFonts w:ascii="Arial" w:hAnsi="Arial" w:cs="Arial"/>
          <w:i/>
          <w:kern w:val="0"/>
          <w:sz w:val="22"/>
          <w:szCs w:val="22"/>
        </w:rPr>
        <w:t xml:space="preserve">de la Asociación Interpueblos, contra la </w:t>
      </w:r>
      <w:r>
        <w:rPr>
          <w:rFonts w:ascii="Arial" w:hAnsi="Arial" w:cs="Arial"/>
          <w:i/>
          <w:iCs/>
          <w:kern w:val="0"/>
          <w:sz w:val="22"/>
          <w:szCs w:val="22"/>
        </w:rPr>
        <w:t>sentencia 209/2020, de 19 de junio de 2020 de la Sala de lo Contencioso</w:t>
      </w:r>
      <w:r>
        <w:rPr>
          <w:rFonts w:ascii="Arial" w:hAnsi="Arial" w:cs="Arial"/>
          <w:i/>
          <w:kern w:val="0"/>
          <w:sz w:val="22"/>
          <w:szCs w:val="22"/>
        </w:rPr>
        <w:t xml:space="preserve"> </w:t>
      </w:r>
      <w:r>
        <w:rPr>
          <w:rFonts w:ascii="Arial" w:hAnsi="Arial" w:cs="Arial"/>
          <w:i/>
          <w:iCs/>
          <w:kern w:val="0"/>
          <w:sz w:val="22"/>
          <w:szCs w:val="22"/>
        </w:rPr>
        <w:t>Administrativo del Tribunal Superior de Justicia de Cantabria, que estimó el recurso de</w:t>
      </w:r>
      <w:r>
        <w:rPr>
          <w:rFonts w:ascii="Arial" w:hAnsi="Arial" w:cs="Arial"/>
          <w:i/>
          <w:kern w:val="0"/>
          <w:sz w:val="22"/>
          <w:szCs w:val="22"/>
        </w:rPr>
        <w:t xml:space="preserve"> </w:t>
      </w:r>
      <w:r>
        <w:rPr>
          <w:rFonts w:ascii="Arial" w:hAnsi="Arial" w:cs="Arial"/>
          <w:i/>
          <w:iCs/>
          <w:kern w:val="0"/>
          <w:sz w:val="22"/>
          <w:szCs w:val="22"/>
        </w:rPr>
        <w:t xml:space="preserve">apelación núm. 37/2020 </w:t>
      </w:r>
      <w:r>
        <w:rPr>
          <w:rFonts w:ascii="Arial" w:hAnsi="Arial" w:cs="Arial"/>
          <w:i/>
          <w:kern w:val="0"/>
          <w:sz w:val="22"/>
          <w:szCs w:val="22"/>
        </w:rPr>
        <w:t xml:space="preserve">, interpuesto por la Asociación </w:t>
      </w:r>
      <w:r>
        <w:rPr>
          <w:rFonts w:ascii="Arial" w:hAnsi="Arial" w:cs="Arial"/>
          <w:i/>
          <w:kern w:val="0"/>
          <w:sz w:val="22"/>
          <w:szCs w:val="22"/>
        </w:rPr>
        <w:t xml:space="preserve">Acción y Comunicación sobre Oriente Medio, contra la </w:t>
      </w:r>
      <w:r>
        <w:rPr>
          <w:rFonts w:ascii="Arial" w:hAnsi="Arial" w:cs="Arial"/>
          <w:i/>
          <w:iCs/>
          <w:kern w:val="0"/>
          <w:sz w:val="22"/>
          <w:szCs w:val="22"/>
        </w:rPr>
        <w:t>sentencia de 28 de noviembre de 2019 dictada por el</w:t>
      </w:r>
      <w:r>
        <w:rPr>
          <w:rFonts w:ascii="Arial" w:hAnsi="Arial" w:cs="Arial"/>
          <w:i/>
          <w:kern w:val="0"/>
          <w:sz w:val="22"/>
          <w:szCs w:val="22"/>
        </w:rPr>
        <w:t xml:space="preserve"> </w:t>
      </w:r>
      <w:r>
        <w:rPr>
          <w:rFonts w:ascii="Arial" w:hAnsi="Arial" w:cs="Arial"/>
          <w:i/>
          <w:iCs/>
          <w:kern w:val="0"/>
          <w:sz w:val="22"/>
          <w:szCs w:val="22"/>
        </w:rPr>
        <w:t>Juzgado de lo Contencioso Administrativo nº 3 de Santander en el procedimiento</w:t>
      </w:r>
      <w:r>
        <w:rPr>
          <w:rFonts w:ascii="Arial" w:hAnsi="Arial" w:cs="Arial"/>
          <w:i/>
          <w:kern w:val="0"/>
          <w:sz w:val="22"/>
          <w:szCs w:val="22"/>
        </w:rPr>
        <w:t xml:space="preserve"> </w:t>
      </w:r>
      <w:r>
        <w:rPr>
          <w:rFonts w:ascii="Arial" w:hAnsi="Arial" w:cs="Arial"/>
          <w:i/>
          <w:iCs/>
          <w:kern w:val="0"/>
          <w:sz w:val="22"/>
          <w:szCs w:val="22"/>
        </w:rPr>
        <w:t xml:space="preserve">abreviado 4/2019 </w:t>
      </w:r>
      <w:r>
        <w:rPr>
          <w:rFonts w:ascii="Arial" w:hAnsi="Arial" w:cs="Arial"/>
          <w:i/>
          <w:kern w:val="0"/>
          <w:sz w:val="22"/>
          <w:szCs w:val="22"/>
        </w:rPr>
        <w:t>.</w:t>
      </w:r>
    </w:p>
    <w:p w:rsidR="009B4233" w:rsidRDefault="009B4233">
      <w:pPr>
        <w:jc w:val="both"/>
        <w:rPr>
          <w:rFonts w:ascii="Arial" w:hAnsi="Arial" w:cs="Arial"/>
          <w:i/>
          <w:sz w:val="22"/>
          <w:szCs w:val="22"/>
        </w:rPr>
      </w:pPr>
    </w:p>
    <w:p w:rsidR="009B4233" w:rsidRDefault="006B08B9">
      <w:pPr>
        <w:jc w:val="both"/>
        <w:rPr>
          <w:rFonts w:ascii="Arial" w:hAnsi="Arial" w:cs="Arial"/>
          <w:i/>
          <w:sz w:val="22"/>
          <w:szCs w:val="22"/>
        </w:rPr>
      </w:pPr>
      <w:r>
        <w:rPr>
          <w:rFonts w:ascii="Arial" w:hAnsi="Arial" w:cs="Arial"/>
          <w:i/>
          <w:sz w:val="22"/>
          <w:szCs w:val="22"/>
        </w:rPr>
        <w:t xml:space="preserve">F.J. 6º.- La posición de la Sala, estimación de los </w:t>
      </w:r>
      <w:r>
        <w:rPr>
          <w:rFonts w:ascii="Arial" w:hAnsi="Arial" w:cs="Arial"/>
          <w:i/>
          <w:sz w:val="22"/>
          <w:szCs w:val="22"/>
        </w:rPr>
        <w:t xml:space="preserve">recursos de casación y apelación y estimación parcial del recurso contencioso administrativo. </w:t>
      </w:r>
    </w:p>
    <w:p w:rsidR="009B4233" w:rsidRDefault="006B08B9">
      <w:pPr>
        <w:jc w:val="both"/>
        <w:rPr>
          <w:rFonts w:ascii="Arial" w:hAnsi="Arial" w:cs="Arial"/>
          <w:i/>
          <w:sz w:val="22"/>
          <w:szCs w:val="22"/>
        </w:rPr>
      </w:pPr>
      <w:r>
        <w:rPr>
          <w:rFonts w:ascii="Arial" w:hAnsi="Arial" w:cs="Arial"/>
          <w:i/>
          <w:sz w:val="22"/>
          <w:szCs w:val="22"/>
        </w:rPr>
        <w:t>El hecho de que hubiere resoluciones del Consejo de Seguridad de Naciones Unidas que puedan vincular al Reino de España, como miembro de Naciones Unidas, y al Go</w:t>
      </w:r>
      <w:r>
        <w:rPr>
          <w:rFonts w:ascii="Arial" w:hAnsi="Arial" w:cs="Arial"/>
          <w:i/>
          <w:sz w:val="22"/>
          <w:szCs w:val="22"/>
        </w:rPr>
        <w:t xml:space="preserve">bierno de España, como su representante exterior, en principio, no es óbice para que, dada la organización territorial del Estado en municipios, provincias y Comunidades Autónomas ( artículo 137 CE ), cada una de estas entidades territoriales gestione sus </w:t>
      </w:r>
      <w:r>
        <w:rPr>
          <w:rFonts w:ascii="Arial" w:hAnsi="Arial" w:cs="Arial"/>
          <w:i/>
          <w:sz w:val="22"/>
          <w:szCs w:val="22"/>
        </w:rPr>
        <w:t xml:space="preserve">respectivos intereses y se atenga a las competencias establecidas en la Constitución . </w:t>
      </w:r>
    </w:p>
    <w:p w:rsidR="009B4233" w:rsidRDefault="006B08B9">
      <w:pPr>
        <w:jc w:val="both"/>
        <w:rPr>
          <w:rFonts w:ascii="Arial" w:hAnsi="Arial" w:cs="Arial"/>
          <w:i/>
          <w:sz w:val="22"/>
          <w:szCs w:val="22"/>
        </w:rPr>
      </w:pPr>
      <w:r>
        <w:rPr>
          <w:rFonts w:ascii="Arial" w:hAnsi="Arial" w:cs="Arial"/>
          <w:i/>
          <w:sz w:val="22"/>
          <w:szCs w:val="22"/>
        </w:rPr>
        <w:t>Mas también acabamos de señalar que cuando el acto municipal carece de efectos prácticos directos, nada obsta a su permanencia si no viola derechos fundamentales o de t</w:t>
      </w:r>
      <w:r>
        <w:rPr>
          <w:rFonts w:ascii="Arial" w:hAnsi="Arial" w:cs="Arial"/>
          <w:i/>
          <w:sz w:val="22"/>
          <w:szCs w:val="22"/>
        </w:rPr>
        <w:t xml:space="preserve">erceros. </w:t>
      </w:r>
    </w:p>
    <w:p w:rsidR="009B4233" w:rsidRDefault="006B08B9">
      <w:pPr>
        <w:jc w:val="both"/>
        <w:rPr>
          <w:rFonts w:ascii="Arial" w:hAnsi="Arial" w:cs="Arial"/>
          <w:i/>
          <w:sz w:val="22"/>
          <w:szCs w:val="22"/>
        </w:rPr>
      </w:pPr>
      <w:r>
        <w:rPr>
          <w:rFonts w:ascii="Arial" w:hAnsi="Arial" w:cs="Arial"/>
          <w:i/>
          <w:sz w:val="22"/>
          <w:szCs w:val="22"/>
        </w:rPr>
        <w:t xml:space="preserve">Pues bien, a juicio de la Sala carecen de eficacia administrativa y entran en el ámbito de las declaraciones políticas que se agotan en sí mismas sin trascendencia de aquella naturaleza estos dos puntos del acuerdo de 7 de julio de 2016: </w:t>
      </w:r>
    </w:p>
    <w:p w:rsidR="009B4233" w:rsidRDefault="006B08B9">
      <w:pPr>
        <w:jc w:val="both"/>
        <w:rPr>
          <w:rFonts w:ascii="Arial" w:hAnsi="Arial" w:cs="Arial"/>
          <w:i/>
          <w:sz w:val="22"/>
          <w:szCs w:val="22"/>
        </w:rPr>
      </w:pPr>
      <w:r>
        <w:rPr>
          <w:rFonts w:ascii="Arial" w:hAnsi="Arial" w:cs="Arial"/>
          <w:i/>
          <w:sz w:val="22"/>
          <w:szCs w:val="22"/>
        </w:rPr>
        <w:t>"1ª man</w:t>
      </w:r>
      <w:r>
        <w:rPr>
          <w:rFonts w:ascii="Arial" w:hAnsi="Arial" w:cs="Arial"/>
          <w:i/>
          <w:sz w:val="22"/>
          <w:szCs w:val="22"/>
        </w:rPr>
        <w:t xml:space="preserve">ifestar su adhesión y apoyo a la resolución del Parlamento Europeo de 17 de diciembre de 2014 por la que se reconoce el Estado de Palestina." </w:t>
      </w:r>
    </w:p>
    <w:p w:rsidR="009B4233" w:rsidRDefault="006B08B9">
      <w:pPr>
        <w:jc w:val="both"/>
        <w:rPr>
          <w:rFonts w:ascii="Arial" w:hAnsi="Arial" w:cs="Arial"/>
          <w:i/>
          <w:sz w:val="22"/>
          <w:szCs w:val="22"/>
        </w:rPr>
      </w:pPr>
      <w:r>
        <w:rPr>
          <w:rFonts w:ascii="Arial" w:hAnsi="Arial" w:cs="Arial"/>
          <w:i/>
          <w:sz w:val="22"/>
          <w:szCs w:val="22"/>
        </w:rPr>
        <w:t>2ª "mostrar la solidaridad con la población de los territorios ocupados instando a la ONU a garantizar su protecc</w:t>
      </w:r>
      <w:r>
        <w:rPr>
          <w:rFonts w:ascii="Arial" w:hAnsi="Arial" w:cs="Arial"/>
          <w:i/>
          <w:sz w:val="22"/>
          <w:szCs w:val="22"/>
        </w:rPr>
        <w:t xml:space="preserve">ión y a obligar a Israel a cumplir la legalidad internacional"." </w:t>
      </w:r>
    </w:p>
    <w:p w:rsidR="009B4233" w:rsidRDefault="006B08B9">
      <w:pPr>
        <w:jc w:val="both"/>
        <w:rPr>
          <w:rFonts w:ascii="Arial" w:hAnsi="Arial" w:cs="Arial"/>
          <w:i/>
          <w:sz w:val="22"/>
          <w:szCs w:val="22"/>
        </w:rPr>
      </w:pPr>
      <w:r>
        <w:rPr>
          <w:rFonts w:ascii="Arial" w:hAnsi="Arial" w:cs="Arial"/>
          <w:i/>
          <w:sz w:val="22"/>
          <w:szCs w:val="22"/>
        </w:rPr>
        <w:t xml:space="preserve">La adhesión municipal a un pronunciamiento del Parlamento Europeo, no quebranta las competencias municipales ni incurre en ilegalidad. La manifestación de la solidaridad con determinada </w:t>
      </w:r>
      <w:r>
        <w:rPr>
          <w:rFonts w:ascii="Arial" w:hAnsi="Arial" w:cs="Arial"/>
          <w:i/>
          <w:sz w:val="22"/>
          <w:szCs w:val="22"/>
        </w:rPr>
        <w:t>población es una declaración que al carecer de efectos jurídicos vinculantes responde al carácter político de la autonomía municipal.</w:t>
      </w:r>
    </w:p>
    <w:p w:rsidR="009B4233" w:rsidRDefault="006B08B9">
      <w:pPr>
        <w:jc w:val="both"/>
        <w:rPr>
          <w:rFonts w:ascii="Arial" w:hAnsi="Arial" w:cs="Arial"/>
          <w:i/>
          <w:sz w:val="22"/>
          <w:szCs w:val="22"/>
        </w:rPr>
      </w:pPr>
      <w:r>
        <w:rPr>
          <w:rFonts w:ascii="Arial" w:hAnsi="Arial" w:cs="Arial"/>
          <w:i/>
          <w:sz w:val="22"/>
          <w:szCs w:val="22"/>
        </w:rPr>
        <w:t>Procede, pues, estimar el recurso de casación, anular la sentencia de la Sala de Santander, así como estimar el recurso de</w:t>
      </w:r>
      <w:r>
        <w:rPr>
          <w:rFonts w:ascii="Arial" w:hAnsi="Arial" w:cs="Arial"/>
          <w:i/>
          <w:sz w:val="22"/>
          <w:szCs w:val="22"/>
        </w:rPr>
        <w:t xml:space="preserve"> apelación de la Asociación Acción y Comunicación sobre Oriente Medio y desestimar el de la Asociación Interpueblos. </w:t>
      </w:r>
    </w:p>
    <w:p w:rsidR="009B4233" w:rsidRDefault="006B08B9">
      <w:pPr>
        <w:jc w:val="both"/>
        <w:rPr>
          <w:rFonts w:ascii="Arial" w:hAnsi="Arial" w:cs="Arial"/>
          <w:i/>
          <w:sz w:val="22"/>
          <w:szCs w:val="22"/>
        </w:rPr>
      </w:pPr>
      <w:r>
        <w:rPr>
          <w:rFonts w:ascii="Arial" w:hAnsi="Arial" w:cs="Arial"/>
          <w:i/>
          <w:sz w:val="22"/>
          <w:szCs w:val="22"/>
        </w:rPr>
        <w:t>La estimación de la apelación lleva a anular también la sentencia del Juzgado y a estimar en parte, en los términos que vamos a explicar e</w:t>
      </w:r>
      <w:r>
        <w:rPr>
          <w:rFonts w:ascii="Arial" w:hAnsi="Arial" w:cs="Arial"/>
          <w:i/>
          <w:sz w:val="22"/>
          <w:szCs w:val="22"/>
        </w:rPr>
        <w:t>l recurso contencioso-administrativo.</w:t>
      </w:r>
    </w:p>
    <w:p w:rsidR="009B4233" w:rsidRDefault="006B08B9">
      <w:pPr>
        <w:jc w:val="both"/>
        <w:rPr>
          <w:rFonts w:ascii="Arial" w:hAnsi="Arial" w:cs="Arial"/>
          <w:i/>
          <w:sz w:val="22"/>
          <w:szCs w:val="22"/>
        </w:rPr>
      </w:pPr>
      <w:r>
        <w:rPr>
          <w:rFonts w:ascii="Arial" w:hAnsi="Arial" w:cs="Arial"/>
          <w:i/>
          <w:sz w:val="22"/>
          <w:szCs w:val="22"/>
        </w:rPr>
        <w:t xml:space="preserve">Mas debemos apartarnos de el en lo que atañe al tercer apartado que dice así: </w:t>
      </w:r>
    </w:p>
    <w:p w:rsidR="009B4233" w:rsidRDefault="006B08B9">
      <w:pPr>
        <w:jc w:val="both"/>
        <w:rPr>
          <w:rFonts w:ascii="Arial" w:hAnsi="Arial" w:cs="Arial"/>
          <w:i/>
          <w:sz w:val="22"/>
          <w:szCs w:val="22"/>
        </w:rPr>
      </w:pPr>
      <w:r>
        <w:rPr>
          <w:rFonts w:ascii="Arial" w:hAnsi="Arial" w:cs="Arial"/>
          <w:i/>
          <w:sz w:val="22"/>
          <w:szCs w:val="22"/>
        </w:rPr>
        <w:t>"3. Declarar el concejo de Reinosa Espacio Libre de Apartheid Israeli y difundirlo entre la ciudadanía, insertando el sello de Espacio Libr</w:t>
      </w:r>
      <w:r>
        <w:rPr>
          <w:rFonts w:ascii="Arial" w:hAnsi="Arial" w:cs="Arial"/>
          <w:i/>
          <w:sz w:val="22"/>
          <w:szCs w:val="22"/>
        </w:rPr>
        <w:t xml:space="preserve">e de Apartheid Israelí en la web municipal." </w:t>
      </w:r>
    </w:p>
    <w:p w:rsidR="009B4233" w:rsidRDefault="006B08B9">
      <w:pPr>
        <w:jc w:val="both"/>
      </w:pPr>
      <w:r>
        <w:rPr>
          <w:rFonts w:ascii="Arial" w:hAnsi="Arial" w:cs="Arial"/>
          <w:i/>
          <w:sz w:val="22"/>
          <w:szCs w:val="22"/>
        </w:rPr>
        <w:t>Este apartado tercero implica discriminación de terceros, esto es lesión de derechos fundamentales, por lo que debe recibir el mismo tratamiento anulatorio que los apartados cuarto a sexto del acuerdo de 7 de j</w:t>
      </w:r>
      <w:r>
        <w:rPr>
          <w:rFonts w:ascii="Arial" w:hAnsi="Arial" w:cs="Arial"/>
          <w:i/>
          <w:sz w:val="22"/>
          <w:szCs w:val="22"/>
        </w:rPr>
        <w:t>ulio de 2016:</w:t>
      </w:r>
    </w:p>
    <w:p w:rsidR="009B4233" w:rsidRDefault="006B08B9">
      <w:pPr>
        <w:jc w:val="both"/>
        <w:rPr>
          <w:rFonts w:ascii="Arial" w:hAnsi="Arial" w:cs="Arial"/>
          <w:i/>
          <w:sz w:val="22"/>
          <w:szCs w:val="22"/>
        </w:rPr>
      </w:pPr>
      <w:r>
        <w:rPr>
          <w:rFonts w:ascii="Arial" w:hAnsi="Arial" w:cs="Arial"/>
          <w:i/>
          <w:sz w:val="22"/>
          <w:szCs w:val="22"/>
        </w:rPr>
        <w:t xml:space="preserve"> "4- Adoptar las medidas legales oportunas para que los procesos de contratación y compra incluyan las previsiones que impidan contratar servicios o comprar productos a empresas cómplices de violaciones del Derecho Internacional de la Declara</w:t>
      </w:r>
      <w:r>
        <w:rPr>
          <w:rFonts w:ascii="Arial" w:hAnsi="Arial" w:cs="Arial"/>
          <w:i/>
          <w:sz w:val="22"/>
          <w:szCs w:val="22"/>
        </w:rPr>
        <w:t xml:space="preserve">ción Universal de los Derechos Humanos. </w:t>
      </w:r>
    </w:p>
    <w:p w:rsidR="009B4233" w:rsidRDefault="006B08B9">
      <w:pPr>
        <w:jc w:val="both"/>
        <w:rPr>
          <w:rFonts w:ascii="Arial" w:hAnsi="Arial" w:cs="Arial"/>
          <w:i/>
          <w:sz w:val="22"/>
          <w:szCs w:val="22"/>
        </w:rPr>
      </w:pPr>
      <w:r>
        <w:rPr>
          <w:rFonts w:ascii="Arial" w:hAnsi="Arial" w:cs="Arial"/>
          <w:i/>
          <w:sz w:val="22"/>
          <w:szCs w:val="22"/>
        </w:rPr>
        <w:t xml:space="preserve">5- No suscribir ningún convenio o acuerdo con instituciones públicas, empresas y organizaciones que participen, colaboren u obtengan beneficio económico de la violación del Derecho Internacional y de la Declaración </w:t>
      </w:r>
      <w:r>
        <w:rPr>
          <w:rFonts w:ascii="Arial" w:hAnsi="Arial" w:cs="Arial"/>
          <w:i/>
          <w:sz w:val="22"/>
          <w:szCs w:val="22"/>
        </w:rPr>
        <w:t xml:space="preserve">de los Derechos Humanos. </w:t>
      </w:r>
    </w:p>
    <w:p w:rsidR="009B4233" w:rsidRDefault="006B08B9">
      <w:pPr>
        <w:jc w:val="both"/>
      </w:pPr>
      <w:r>
        <w:rPr>
          <w:rFonts w:ascii="Arial" w:hAnsi="Arial" w:cs="Arial"/>
          <w:i/>
          <w:sz w:val="22"/>
          <w:szCs w:val="22"/>
        </w:rPr>
        <w:t xml:space="preserve">6- Fomentar la cooperación con el movimiento BDS (Boicot, Desinversión y Sanciones) articulado a nivel estatal por la Red Solidaria contra la Ocupación de Palestina y a nivel autonómico y local por el Comité de solidaridad con la </w:t>
      </w:r>
      <w:r>
        <w:rPr>
          <w:rFonts w:ascii="Arial" w:hAnsi="Arial" w:cs="Arial"/>
          <w:i/>
          <w:sz w:val="22"/>
          <w:szCs w:val="22"/>
        </w:rPr>
        <w:t>Causa Árabe."</w:t>
      </w:r>
    </w:p>
    <w:p w:rsidR="009B4233" w:rsidRDefault="009B4233">
      <w:pPr>
        <w:jc w:val="both"/>
        <w:rPr>
          <w:rFonts w:ascii="Arial" w:hAnsi="Arial" w:cs="Arial"/>
          <w:i/>
          <w:sz w:val="22"/>
          <w:szCs w:val="22"/>
        </w:rPr>
      </w:pPr>
    </w:p>
    <w:p w:rsidR="009B4233" w:rsidRDefault="006B08B9">
      <w:pPr>
        <w:jc w:val="both"/>
        <w:rPr>
          <w:rFonts w:ascii="Arial" w:hAnsi="Arial" w:cs="Arial"/>
          <w:i/>
          <w:sz w:val="22"/>
          <w:szCs w:val="22"/>
        </w:rPr>
      </w:pPr>
      <w:r>
        <w:rPr>
          <w:rFonts w:ascii="Arial" w:hAnsi="Arial" w:cs="Arial"/>
          <w:i/>
          <w:sz w:val="22"/>
          <w:szCs w:val="22"/>
        </w:rPr>
        <w:t xml:space="preserve">SÉPTIMO.- La respuesta a la cuestión de interés casacional. </w:t>
      </w:r>
    </w:p>
    <w:p w:rsidR="009B4233" w:rsidRDefault="006B08B9">
      <w:pPr>
        <w:jc w:val="both"/>
      </w:pPr>
      <w:r>
        <w:rPr>
          <w:rFonts w:ascii="Arial" w:hAnsi="Arial" w:cs="Arial"/>
          <w:i/>
          <w:sz w:val="22"/>
          <w:szCs w:val="22"/>
        </w:rPr>
        <w:t>Los acuerdos del Pleno del Ayuntamiento objeto de impugnación en la instancia son susceptibles de control por la jurisdicción contencioso-administrativa, atendiendo a su naturaleza</w:t>
      </w:r>
      <w:r>
        <w:rPr>
          <w:rFonts w:ascii="Arial" w:hAnsi="Arial" w:cs="Arial"/>
          <w:i/>
          <w:sz w:val="22"/>
          <w:szCs w:val="22"/>
        </w:rPr>
        <w:t>, contenido y efectos. Justamente esa naturaleza, contenido y efectos dan lugar a la viabilidad o inviabilidad de los distintos apartados.</w:t>
      </w:r>
    </w:p>
    <w:p w:rsidR="009B4233" w:rsidRDefault="009B4233">
      <w:pPr>
        <w:jc w:val="both"/>
        <w:rPr>
          <w:rFonts w:ascii="Arial" w:hAnsi="Arial" w:cs="Arial"/>
          <w:color w:val="000000"/>
          <w:sz w:val="22"/>
          <w:szCs w:val="22"/>
          <w:shd w:val="clear" w:color="auto" w:fill="FFFFFF"/>
        </w:rPr>
      </w:pPr>
    </w:p>
    <w:p w:rsidR="009B4233" w:rsidRDefault="006B08B9">
      <w:pPr>
        <w:jc w:val="both"/>
        <w:rPr>
          <w:rFonts w:ascii="Arial" w:hAnsi="Arial" w:cs="Arial"/>
          <w:i/>
          <w:color w:val="000000"/>
          <w:sz w:val="22"/>
          <w:szCs w:val="22"/>
          <w:shd w:val="clear" w:color="auto" w:fill="FFFFFF"/>
        </w:rPr>
      </w:pPr>
      <w:r>
        <w:rPr>
          <w:rFonts w:ascii="Arial" w:hAnsi="Arial" w:cs="Arial"/>
          <w:i/>
          <w:color w:val="000000"/>
          <w:sz w:val="22"/>
          <w:szCs w:val="22"/>
          <w:shd w:val="clear" w:color="auto" w:fill="FFFFFF"/>
        </w:rPr>
        <w:t xml:space="preserve">CONCLUSIONES </w:t>
      </w:r>
    </w:p>
    <w:p w:rsidR="009B4233" w:rsidRDefault="009B4233">
      <w:pPr>
        <w:jc w:val="both"/>
        <w:rPr>
          <w:rFonts w:ascii="Arial" w:hAnsi="Arial" w:cs="Arial"/>
          <w:i/>
          <w:color w:val="000000"/>
          <w:sz w:val="22"/>
          <w:szCs w:val="22"/>
          <w:shd w:val="clear" w:color="auto" w:fill="FFFFFF"/>
        </w:rPr>
      </w:pPr>
    </w:p>
    <w:p w:rsidR="009B4233" w:rsidRDefault="006B08B9">
      <w:pPr>
        <w:jc w:val="both"/>
      </w:pPr>
      <w:r>
        <w:rPr>
          <w:rFonts w:ascii="Arial" w:hAnsi="Arial" w:cs="Arial"/>
          <w:i/>
          <w:color w:val="000000"/>
          <w:sz w:val="22"/>
          <w:szCs w:val="22"/>
          <w:shd w:val="clear" w:color="auto" w:fill="FFFFFF"/>
        </w:rPr>
        <w:t xml:space="preserve">Primera.- Que la declaración que se plantea en el pleno </w:t>
      </w:r>
      <w:r>
        <w:rPr>
          <w:rFonts w:ascii="Arial" w:hAnsi="Arial" w:cs="Arial"/>
          <w:i/>
          <w:sz w:val="22"/>
          <w:szCs w:val="22"/>
        </w:rPr>
        <w:t xml:space="preserve">no quebranta las competencias municipales ni </w:t>
      </w:r>
      <w:r>
        <w:rPr>
          <w:rFonts w:ascii="Arial" w:hAnsi="Arial" w:cs="Arial"/>
          <w:i/>
          <w:sz w:val="22"/>
          <w:szCs w:val="22"/>
        </w:rPr>
        <w:t>incurre en ilegalidad. La manifestación de la solidaridad con determinada población es una declaración que al carecer de efectos jurídicos vinculantes responde al carácter político de la autonomía municipal.</w:t>
      </w:r>
    </w:p>
    <w:p w:rsidR="009B4233" w:rsidRDefault="006B08B9">
      <w:pPr>
        <w:jc w:val="both"/>
      </w:pPr>
      <w:r>
        <w:rPr>
          <w:rFonts w:ascii="Arial" w:hAnsi="Arial" w:cs="Arial"/>
          <w:i/>
          <w:sz w:val="22"/>
          <w:szCs w:val="22"/>
        </w:rPr>
        <w:t xml:space="preserve"> Ahora bien, la calificación de “genocidio” al n</w:t>
      </w:r>
      <w:r>
        <w:rPr>
          <w:rFonts w:ascii="Arial" w:hAnsi="Arial" w:cs="Arial"/>
          <w:i/>
          <w:sz w:val="22"/>
          <w:szCs w:val="22"/>
        </w:rPr>
        <w:t>o está sentenciado por ningún Tribunal, debe venir acompañado con el epíteto de “presunto” para garantizar la presunción de inocencia del Estado de Israel.</w:t>
      </w:r>
    </w:p>
    <w:p w:rsidR="009B4233" w:rsidRDefault="009B4233">
      <w:pPr>
        <w:jc w:val="both"/>
        <w:rPr>
          <w:rFonts w:ascii="Arial" w:hAnsi="Arial" w:cs="Arial"/>
          <w:i/>
          <w:color w:val="000000"/>
          <w:sz w:val="22"/>
          <w:szCs w:val="22"/>
          <w:shd w:val="clear" w:color="auto" w:fill="FFFFFF"/>
        </w:rPr>
      </w:pPr>
    </w:p>
    <w:p w:rsidR="009B4233" w:rsidRDefault="006B08B9">
      <w:pPr>
        <w:jc w:val="both"/>
      </w:pPr>
      <w:r>
        <w:rPr>
          <w:rFonts w:ascii="Arial" w:hAnsi="Arial" w:cs="Arial"/>
          <w:i/>
          <w:color w:val="000000"/>
          <w:sz w:val="22"/>
          <w:szCs w:val="22"/>
          <w:shd w:val="clear" w:color="auto" w:fill="FFFFFF"/>
        </w:rPr>
        <w:t>Segunda.- Que dicha declaración en el pleno no debe contener pronunciamientos expresos contra perso</w:t>
      </w:r>
      <w:r>
        <w:rPr>
          <w:rFonts w:ascii="Arial" w:hAnsi="Arial" w:cs="Arial"/>
          <w:i/>
          <w:color w:val="000000"/>
          <w:sz w:val="22"/>
          <w:szCs w:val="22"/>
          <w:shd w:val="clear" w:color="auto" w:fill="FFFFFF"/>
        </w:rPr>
        <w:t>nas físicas o jurídicas o contra otros pueblos que infrinjan los derechos fundamentales de los mismos.</w:t>
      </w:r>
    </w:p>
    <w:p w:rsidR="009B4233" w:rsidRDefault="009B4233">
      <w:pPr>
        <w:ind w:firstLine="708"/>
        <w:jc w:val="both"/>
        <w:rPr>
          <w:rFonts w:ascii="Arial" w:hAnsi="Arial" w:cs="Arial"/>
          <w:i/>
          <w:sz w:val="22"/>
          <w:szCs w:val="22"/>
        </w:rPr>
      </w:pPr>
    </w:p>
    <w:p w:rsidR="009B4233" w:rsidRDefault="009B4233">
      <w:pPr>
        <w:ind w:firstLine="708"/>
        <w:jc w:val="both"/>
        <w:rPr>
          <w:rFonts w:ascii="Arial" w:hAnsi="Arial" w:cs="Arial"/>
          <w:b/>
          <w:sz w:val="22"/>
          <w:szCs w:val="22"/>
        </w:rPr>
      </w:pPr>
    </w:p>
    <w:p w:rsidR="009B4233" w:rsidRDefault="009B4233">
      <w:pPr>
        <w:ind w:left="709" w:firstLine="709"/>
        <w:rPr>
          <w:rFonts w:ascii="Arial" w:hAnsi="Arial" w:cs="Arial"/>
          <w:b/>
          <w:sz w:val="22"/>
          <w:szCs w:val="22"/>
        </w:rPr>
      </w:pPr>
    </w:p>
    <w:p w:rsidR="009B4233" w:rsidRDefault="006B08B9">
      <w:pPr>
        <w:ind w:left="709" w:firstLine="709"/>
        <w:rPr>
          <w:rFonts w:ascii="Arial" w:hAnsi="Arial" w:cs="Arial"/>
          <w:b/>
          <w:sz w:val="22"/>
          <w:szCs w:val="22"/>
        </w:rPr>
      </w:pPr>
      <w:r>
        <w:rPr>
          <w:rFonts w:ascii="Arial" w:hAnsi="Arial" w:cs="Arial"/>
          <w:b/>
          <w:sz w:val="22"/>
          <w:szCs w:val="22"/>
        </w:rPr>
        <w:t>VOTACIÓN EN EL PLENO DE 25 DE SEPTIEMBRE DE 2025.</w:t>
      </w:r>
    </w:p>
    <w:p w:rsidR="009B4233" w:rsidRDefault="009B4233">
      <w:pPr>
        <w:rPr>
          <w:rFonts w:ascii="Arial" w:hAnsi="Arial" w:cs="Arial"/>
          <w:b/>
          <w:sz w:val="22"/>
          <w:szCs w:val="22"/>
        </w:rPr>
      </w:pPr>
    </w:p>
    <w:p w:rsidR="009B4233" w:rsidRDefault="009B4233">
      <w:pPr>
        <w:rPr>
          <w:rFonts w:ascii="Arial" w:hAnsi="Arial" w:cs="Arial"/>
          <w:b/>
          <w:sz w:val="22"/>
          <w:szCs w:val="22"/>
        </w:rPr>
      </w:pPr>
    </w:p>
    <w:p w:rsidR="009B4233" w:rsidRDefault="006B08B9">
      <w:pPr>
        <w:ind w:firstLine="709"/>
        <w:jc w:val="both"/>
        <w:rPr>
          <w:rFonts w:ascii="Arial" w:hAnsi="Arial" w:cs="Arial"/>
          <w:sz w:val="22"/>
          <w:szCs w:val="22"/>
        </w:rPr>
      </w:pPr>
      <w:r>
        <w:rPr>
          <w:rFonts w:ascii="Arial" w:hAnsi="Arial" w:cs="Arial"/>
          <w:sz w:val="22"/>
          <w:szCs w:val="22"/>
        </w:rPr>
        <w:t>Votos a favor: 19.</w:t>
      </w:r>
    </w:p>
    <w:p w:rsidR="009B4233" w:rsidRDefault="006B08B9">
      <w:pPr>
        <w:ind w:firstLine="709"/>
        <w:jc w:val="both"/>
        <w:rPr>
          <w:rFonts w:ascii="Arial" w:hAnsi="Arial" w:cs="Arial"/>
          <w:sz w:val="22"/>
          <w:szCs w:val="22"/>
        </w:rPr>
      </w:pPr>
      <w:r>
        <w:rPr>
          <w:rFonts w:ascii="Arial" w:hAnsi="Arial" w:cs="Arial"/>
          <w:sz w:val="22"/>
          <w:szCs w:val="22"/>
        </w:rPr>
        <w:t xml:space="preserve">11 concejales del Grupo Socialista: Doña María Concepción Brito Núñez, Don </w:t>
      </w:r>
      <w:r>
        <w:rPr>
          <w:rFonts w:ascii="Arial" w:hAnsi="Arial" w:cs="Arial"/>
          <w:sz w:val="22"/>
          <w:szCs w:val="22"/>
        </w:rPr>
        <w:t xml:space="preserve">Jorge Baute Delgado, Don José Francisco Pinto Ramos, Doña Olivia Concepción Pérez Díaz, Don Reinaldo José Triviño Blanco, Don Manuel Alberto González Pestano, Doña Margarita Eva Tendero Barroso, Don Airam Pérez Chinea, Doña María del Carmen Clemente Díaz, </w:t>
      </w:r>
      <w:r>
        <w:rPr>
          <w:rFonts w:ascii="Arial" w:hAnsi="Arial" w:cs="Arial"/>
          <w:sz w:val="22"/>
          <w:szCs w:val="22"/>
        </w:rPr>
        <w:t xml:space="preserve">Don Olegario Francisco Alonso Bello, Doña Mónica Monserrat Yanes Delgado. </w:t>
      </w:r>
    </w:p>
    <w:p w:rsidR="009B4233" w:rsidRDefault="009B4233">
      <w:pPr>
        <w:jc w:val="both"/>
        <w:rPr>
          <w:rFonts w:ascii="Arial" w:hAnsi="Arial" w:cs="Arial"/>
          <w:sz w:val="22"/>
          <w:szCs w:val="22"/>
        </w:rPr>
      </w:pPr>
    </w:p>
    <w:p w:rsidR="009B4233" w:rsidRDefault="006B08B9">
      <w:pPr>
        <w:ind w:firstLine="709"/>
        <w:jc w:val="both"/>
        <w:rPr>
          <w:rFonts w:ascii="Arial" w:hAnsi="Arial" w:cs="Arial"/>
          <w:sz w:val="22"/>
          <w:szCs w:val="22"/>
        </w:rPr>
      </w:pPr>
      <w:r>
        <w:rPr>
          <w:rFonts w:ascii="Arial" w:hAnsi="Arial" w:cs="Arial"/>
          <w:sz w:val="22"/>
          <w:szCs w:val="22"/>
        </w:rPr>
        <w:t>5 concejales del Grupo Popular: Don Jacobo López Fariña, Don Miguel Eduardo Hernández Chitty, Doña María Carlota Díaz González, Don José Daniel Sosa González, y Doña Shaila Castell</w:t>
      </w:r>
      <w:r>
        <w:rPr>
          <w:rFonts w:ascii="Arial" w:hAnsi="Arial" w:cs="Arial"/>
          <w:sz w:val="22"/>
          <w:szCs w:val="22"/>
        </w:rPr>
        <w:t xml:space="preserve">ano Batista. </w:t>
      </w:r>
    </w:p>
    <w:p w:rsidR="009B4233" w:rsidRDefault="009B4233">
      <w:pPr>
        <w:jc w:val="both"/>
        <w:rPr>
          <w:rFonts w:ascii="Arial" w:hAnsi="Arial" w:cs="Arial"/>
          <w:sz w:val="22"/>
          <w:szCs w:val="22"/>
        </w:rPr>
      </w:pPr>
    </w:p>
    <w:p w:rsidR="009B4233" w:rsidRDefault="006B08B9">
      <w:pPr>
        <w:ind w:firstLine="709"/>
        <w:jc w:val="both"/>
        <w:rPr>
          <w:rFonts w:ascii="Arial" w:hAnsi="Arial" w:cs="Arial"/>
          <w:sz w:val="22"/>
          <w:szCs w:val="22"/>
        </w:rPr>
      </w:pPr>
      <w:r>
        <w:rPr>
          <w:rFonts w:ascii="Arial" w:hAnsi="Arial" w:cs="Arial"/>
          <w:sz w:val="22"/>
          <w:szCs w:val="22"/>
        </w:rPr>
        <w:t>3 concejales del Grupo Mixto: Doña Ángela Cruz Perera Armas y Don José Yeray Padilla Cruz (CC), Don José Tortosa Pallarés (VOX) y Doña Violeta López Jiménez (USP)</w:t>
      </w:r>
    </w:p>
    <w:p w:rsidR="009B4233" w:rsidRDefault="009B4233">
      <w:pPr>
        <w:ind w:firstLine="709"/>
        <w:jc w:val="both"/>
        <w:rPr>
          <w:rFonts w:ascii="Arial" w:hAnsi="Arial" w:cs="Arial"/>
          <w:sz w:val="22"/>
          <w:szCs w:val="22"/>
        </w:rPr>
      </w:pPr>
    </w:p>
    <w:p w:rsidR="009B4233" w:rsidRDefault="006B08B9">
      <w:pPr>
        <w:ind w:firstLine="709"/>
        <w:jc w:val="both"/>
        <w:rPr>
          <w:rFonts w:ascii="Arial" w:hAnsi="Arial" w:cs="Arial"/>
          <w:sz w:val="22"/>
          <w:szCs w:val="22"/>
        </w:rPr>
      </w:pPr>
      <w:r>
        <w:rPr>
          <w:rFonts w:ascii="Arial" w:hAnsi="Arial" w:cs="Arial"/>
          <w:sz w:val="22"/>
          <w:szCs w:val="22"/>
        </w:rPr>
        <w:t>Votos en contra: 0.</w:t>
      </w:r>
    </w:p>
    <w:p w:rsidR="009B4233" w:rsidRDefault="009B4233">
      <w:pPr>
        <w:ind w:firstLine="709"/>
        <w:jc w:val="both"/>
        <w:rPr>
          <w:rFonts w:ascii="Arial" w:hAnsi="Arial" w:cs="Arial"/>
          <w:sz w:val="22"/>
          <w:szCs w:val="22"/>
        </w:rPr>
      </w:pPr>
    </w:p>
    <w:p w:rsidR="009B4233" w:rsidRDefault="006B08B9">
      <w:pPr>
        <w:ind w:firstLine="709"/>
        <w:jc w:val="both"/>
        <w:rPr>
          <w:rFonts w:ascii="Arial" w:hAnsi="Arial" w:cs="Arial"/>
          <w:sz w:val="22"/>
          <w:szCs w:val="22"/>
        </w:rPr>
      </w:pPr>
      <w:r>
        <w:rPr>
          <w:rFonts w:ascii="Arial" w:hAnsi="Arial" w:cs="Arial"/>
          <w:sz w:val="22"/>
          <w:szCs w:val="22"/>
        </w:rPr>
        <w:t>Abstenciones: 1.</w:t>
      </w:r>
    </w:p>
    <w:p w:rsidR="009B4233" w:rsidRDefault="006B08B9">
      <w:pPr>
        <w:ind w:firstLine="709"/>
        <w:jc w:val="both"/>
      </w:pPr>
      <w:r>
        <w:rPr>
          <w:rFonts w:ascii="Arial" w:hAnsi="Arial" w:cs="Arial"/>
          <w:sz w:val="22"/>
          <w:szCs w:val="22"/>
        </w:rPr>
        <w:t xml:space="preserve">1 del concejal del Grupo Mixto (Vox), </w:t>
      </w:r>
      <w:r>
        <w:rPr>
          <w:rFonts w:ascii="Arial" w:hAnsi="Arial" w:cs="Arial"/>
          <w:sz w:val="22"/>
          <w:szCs w:val="22"/>
        </w:rPr>
        <w:t>Don José Tortosa Pallarés.</w:t>
      </w:r>
    </w:p>
    <w:p w:rsidR="009B4233" w:rsidRDefault="006B08B9">
      <w:pPr>
        <w:jc w:val="both"/>
        <w:rPr>
          <w:rFonts w:ascii="Arial" w:hAnsi="Arial" w:cs="Arial"/>
          <w:b/>
          <w:sz w:val="22"/>
          <w:szCs w:val="22"/>
        </w:rPr>
      </w:pPr>
      <w:r>
        <w:rPr>
          <w:rFonts w:ascii="Arial" w:hAnsi="Arial" w:cs="Arial"/>
          <w:b/>
          <w:sz w:val="22"/>
          <w:szCs w:val="22"/>
        </w:rPr>
        <w:t xml:space="preserve">                          </w:t>
      </w:r>
    </w:p>
    <w:p w:rsidR="009B4233" w:rsidRDefault="009B4233">
      <w:pPr>
        <w:rPr>
          <w:rFonts w:ascii="Arial" w:hAnsi="Arial" w:cs="Arial"/>
          <w:b/>
          <w:sz w:val="22"/>
          <w:szCs w:val="22"/>
        </w:rPr>
      </w:pPr>
    </w:p>
    <w:p w:rsidR="009B4233" w:rsidRDefault="009B4233">
      <w:pPr>
        <w:pStyle w:val="Textoindependiente"/>
        <w:ind w:firstLine="706"/>
        <w:rPr>
          <w:rFonts w:cs="Arial"/>
          <w:b/>
          <w:szCs w:val="22"/>
        </w:rPr>
      </w:pPr>
    </w:p>
    <w:p w:rsidR="009B4233" w:rsidRDefault="009B4233">
      <w:pPr>
        <w:pStyle w:val="Textoindependiente"/>
        <w:ind w:firstLine="706"/>
        <w:rPr>
          <w:rFonts w:cs="Arial"/>
          <w:b/>
          <w:szCs w:val="22"/>
        </w:rPr>
      </w:pPr>
    </w:p>
    <w:p w:rsidR="009B4233" w:rsidRDefault="009B4233">
      <w:pPr>
        <w:pStyle w:val="Textoindependiente"/>
        <w:ind w:firstLine="706"/>
        <w:rPr>
          <w:rFonts w:cs="Arial"/>
          <w:b/>
          <w:szCs w:val="22"/>
        </w:rPr>
      </w:pPr>
    </w:p>
    <w:p w:rsidR="009B4233" w:rsidRDefault="009B4233">
      <w:pPr>
        <w:pStyle w:val="Textoindependiente"/>
        <w:ind w:firstLine="706"/>
        <w:rPr>
          <w:rFonts w:cs="Arial"/>
          <w:b/>
          <w:szCs w:val="22"/>
        </w:rPr>
      </w:pPr>
    </w:p>
    <w:p w:rsidR="009B4233" w:rsidRDefault="009B4233">
      <w:pPr>
        <w:pStyle w:val="Textoindependiente"/>
        <w:ind w:firstLine="706"/>
        <w:rPr>
          <w:rFonts w:cs="Arial"/>
          <w:b/>
          <w:szCs w:val="22"/>
        </w:rPr>
      </w:pPr>
    </w:p>
    <w:p w:rsidR="009B4233" w:rsidRDefault="006B08B9">
      <w:pPr>
        <w:pStyle w:val="Textoindependiente"/>
        <w:ind w:firstLine="706"/>
        <w:rPr>
          <w:rFonts w:cs="Arial"/>
          <w:b/>
          <w:szCs w:val="22"/>
        </w:rPr>
      </w:pPr>
      <w:r>
        <w:rPr>
          <w:rFonts w:cs="Arial"/>
          <w:b/>
          <w:szCs w:val="22"/>
        </w:rPr>
        <w:t>ACUERDO DEL PLENO DE 25 DE SEPTIEMBRE DE 2025.</w:t>
      </w:r>
    </w:p>
    <w:p w:rsidR="009B4233" w:rsidRDefault="006B08B9">
      <w:pPr>
        <w:pStyle w:val="Default"/>
        <w:jc w:val="both"/>
      </w:pPr>
      <w:r>
        <w:rPr>
          <w:rFonts w:eastAsia="Calibri"/>
          <w:sz w:val="22"/>
          <w:szCs w:val="22"/>
        </w:rPr>
        <w:tab/>
      </w:r>
    </w:p>
    <w:p w:rsidR="009B4233" w:rsidRDefault="006B08B9">
      <w:pPr>
        <w:pStyle w:val="Default"/>
        <w:numPr>
          <w:ilvl w:val="0"/>
          <w:numId w:val="117"/>
        </w:numPr>
        <w:jc w:val="both"/>
        <w:rPr>
          <w:b/>
          <w:sz w:val="22"/>
          <w:szCs w:val="22"/>
        </w:rPr>
      </w:pPr>
      <w:r>
        <w:rPr>
          <w:b/>
          <w:sz w:val="22"/>
          <w:szCs w:val="22"/>
        </w:rPr>
        <w:t>Exigir un alto el fuego inmediato y definitivo en Gaza, que ponga fin al sufrimiento de la población civil, reclamando para ello la protección efec</w:t>
      </w:r>
      <w:r>
        <w:rPr>
          <w:b/>
          <w:sz w:val="22"/>
          <w:szCs w:val="22"/>
        </w:rPr>
        <w:t xml:space="preserve">tiva de la población civil conforme al Derecho Internacional Humanitario, en especial de la infancia y de las personas desplazadas. </w:t>
      </w:r>
    </w:p>
    <w:p w:rsidR="009B4233" w:rsidRDefault="006B08B9">
      <w:pPr>
        <w:pStyle w:val="Prrafodelista"/>
        <w:widowControl/>
        <w:numPr>
          <w:ilvl w:val="0"/>
          <w:numId w:val="117"/>
        </w:numPr>
        <w:suppressAutoHyphens w:val="0"/>
        <w:spacing w:line="276" w:lineRule="auto"/>
        <w:jc w:val="both"/>
        <w:textAlignment w:val="auto"/>
      </w:pPr>
      <w:r>
        <w:rPr>
          <w:rFonts w:ascii="Arial" w:hAnsi="Arial" w:cs="Arial"/>
          <w:b/>
          <w:sz w:val="22"/>
          <w:szCs w:val="22"/>
        </w:rPr>
        <w:t>Respaldar la posición del Gobierno de España</w:t>
      </w:r>
      <w:r>
        <w:rPr>
          <w:rFonts w:ascii="Arial" w:hAnsi="Arial" w:cs="Arial"/>
          <w:b/>
          <w:bCs/>
          <w:sz w:val="22"/>
          <w:szCs w:val="22"/>
        </w:rPr>
        <w:t xml:space="preserve"> en defensa de la paz, la Cumbre de la ONU sobre la solución de dos Estados y e</w:t>
      </w:r>
      <w:r>
        <w:rPr>
          <w:rFonts w:ascii="Arial" w:hAnsi="Arial" w:cs="Arial"/>
          <w:b/>
          <w:bCs/>
          <w:sz w:val="22"/>
          <w:szCs w:val="22"/>
        </w:rPr>
        <w:t xml:space="preserve">l reconocimiento de Palestina como Estado. </w:t>
      </w:r>
    </w:p>
    <w:p w:rsidR="009B4233" w:rsidRDefault="006B08B9">
      <w:pPr>
        <w:pStyle w:val="Prrafodelista"/>
        <w:widowControl/>
        <w:numPr>
          <w:ilvl w:val="0"/>
          <w:numId w:val="117"/>
        </w:numPr>
        <w:suppressAutoHyphens w:val="0"/>
        <w:spacing w:after="160" w:line="276" w:lineRule="auto"/>
        <w:jc w:val="both"/>
        <w:textAlignment w:val="auto"/>
      </w:pPr>
      <w:r>
        <w:rPr>
          <w:rFonts w:ascii="Arial" w:hAnsi="Arial" w:cs="Arial"/>
          <w:b/>
          <w:sz w:val="22"/>
          <w:szCs w:val="22"/>
        </w:rPr>
        <w:t>Reiterar absoluta condena al presunto genocidio y a la ocupación ilegal de Israel en Gaza y Cisjordania</w:t>
      </w:r>
      <w:r>
        <w:rPr>
          <w:rFonts w:ascii="Arial" w:hAnsi="Arial" w:cs="Arial"/>
          <w:b/>
          <w:bCs/>
          <w:sz w:val="22"/>
          <w:szCs w:val="22"/>
        </w:rPr>
        <w:t>, defendiendo las resoluciones de las Naciones Unidas y fronteras del 67.</w:t>
      </w:r>
    </w:p>
    <w:p w:rsidR="009B4233" w:rsidRDefault="006B08B9">
      <w:pPr>
        <w:pStyle w:val="Prrafodelista"/>
        <w:widowControl/>
        <w:numPr>
          <w:ilvl w:val="0"/>
          <w:numId w:val="117"/>
        </w:numPr>
        <w:suppressAutoHyphens w:val="0"/>
        <w:spacing w:line="276" w:lineRule="auto"/>
        <w:jc w:val="both"/>
        <w:textAlignment w:val="auto"/>
      </w:pPr>
      <w:r>
        <w:rPr>
          <w:rFonts w:ascii="Arial" w:hAnsi="Arial" w:cs="Arial"/>
          <w:b/>
          <w:sz w:val="22"/>
          <w:szCs w:val="22"/>
        </w:rPr>
        <w:t xml:space="preserve">Expresar apoyo incondicional a la </w:t>
      </w:r>
      <w:r>
        <w:rPr>
          <w:rFonts w:ascii="Arial" w:hAnsi="Arial" w:cs="Arial"/>
          <w:b/>
          <w:sz w:val="22"/>
          <w:szCs w:val="22"/>
        </w:rPr>
        <w:t>liberación de todos los rehenes</w:t>
      </w:r>
      <w:r>
        <w:rPr>
          <w:rFonts w:ascii="Arial" w:hAnsi="Arial" w:cs="Arial"/>
          <w:b/>
          <w:bCs/>
          <w:sz w:val="22"/>
          <w:szCs w:val="22"/>
        </w:rPr>
        <w:t xml:space="preserve"> y mostrar solidaridad con la sociedad civil democrática israelí que se manifiesta en contra de las acciones de su Gobierno en Gaza. </w:t>
      </w:r>
    </w:p>
    <w:p w:rsidR="009B4233" w:rsidRDefault="006B08B9">
      <w:pPr>
        <w:pStyle w:val="Prrafodelista"/>
        <w:widowControl/>
        <w:numPr>
          <w:ilvl w:val="0"/>
          <w:numId w:val="117"/>
        </w:numPr>
        <w:suppressAutoHyphens w:val="0"/>
        <w:spacing w:line="276" w:lineRule="auto"/>
        <w:jc w:val="both"/>
        <w:textAlignment w:val="auto"/>
      </w:pPr>
      <w:r>
        <w:rPr>
          <w:rFonts w:ascii="Arial" w:hAnsi="Arial" w:cs="Arial"/>
          <w:b/>
          <w:sz w:val="22"/>
          <w:szCs w:val="22"/>
        </w:rPr>
        <w:t>Condenar enérgicamente todos los actos terroristas perpetrados por Hamás</w:t>
      </w:r>
      <w:r>
        <w:rPr>
          <w:rFonts w:ascii="Arial" w:hAnsi="Arial" w:cs="Arial"/>
          <w:b/>
          <w:bCs/>
          <w:sz w:val="22"/>
          <w:szCs w:val="22"/>
        </w:rPr>
        <w:t>, incluidos los ate</w:t>
      </w:r>
      <w:r>
        <w:rPr>
          <w:rFonts w:ascii="Arial" w:hAnsi="Arial" w:cs="Arial"/>
          <w:b/>
          <w:bCs/>
          <w:sz w:val="22"/>
          <w:szCs w:val="22"/>
        </w:rPr>
        <w:t xml:space="preserve">ntados del 7 de octubre de 2023 en Israel. </w:t>
      </w:r>
    </w:p>
    <w:p w:rsidR="009B4233" w:rsidRDefault="006B08B9">
      <w:pPr>
        <w:pStyle w:val="Prrafodelista"/>
        <w:widowControl/>
        <w:numPr>
          <w:ilvl w:val="0"/>
          <w:numId w:val="117"/>
        </w:numPr>
        <w:suppressAutoHyphens w:val="0"/>
        <w:spacing w:line="276" w:lineRule="auto"/>
        <w:jc w:val="both"/>
        <w:textAlignment w:val="auto"/>
      </w:pPr>
      <w:r>
        <w:rPr>
          <w:rFonts w:ascii="Arial" w:hAnsi="Arial" w:cs="Arial"/>
          <w:b/>
          <w:sz w:val="22"/>
          <w:szCs w:val="22"/>
        </w:rPr>
        <w:t>Apoyar las nueve medidas anunciadas por el presidente del Gobierno y el ministro de Asuntos Exteriores, Unión Europea y Cooperación</w:t>
      </w:r>
      <w:r>
        <w:rPr>
          <w:rFonts w:ascii="Arial" w:hAnsi="Arial" w:cs="Arial"/>
          <w:b/>
          <w:bCs/>
          <w:sz w:val="22"/>
          <w:szCs w:val="22"/>
        </w:rPr>
        <w:t>, en el marco del Consejo de Ministros, que constituyen un paquete pionero de acc</w:t>
      </w:r>
      <w:r>
        <w:rPr>
          <w:rFonts w:ascii="Arial" w:hAnsi="Arial" w:cs="Arial"/>
          <w:b/>
          <w:bCs/>
          <w:sz w:val="22"/>
          <w:szCs w:val="22"/>
        </w:rPr>
        <w:t xml:space="preserve">iones para detener el genocidio en Gaza, perseguir a sus responsables y apoyar a la población palestina. </w:t>
      </w:r>
    </w:p>
    <w:p w:rsidR="009B4233" w:rsidRDefault="006B08B9">
      <w:pPr>
        <w:pStyle w:val="Prrafodelista"/>
        <w:widowControl/>
        <w:numPr>
          <w:ilvl w:val="0"/>
          <w:numId w:val="117"/>
        </w:numPr>
        <w:suppressAutoHyphens w:val="0"/>
        <w:spacing w:line="276" w:lineRule="auto"/>
        <w:jc w:val="both"/>
        <w:textAlignment w:val="auto"/>
      </w:pPr>
      <w:r>
        <w:rPr>
          <w:rFonts w:ascii="Arial" w:hAnsi="Arial" w:cs="Arial"/>
          <w:b/>
          <w:sz w:val="22"/>
          <w:szCs w:val="22"/>
        </w:rPr>
        <w:t xml:space="preserve">Manifestar su apoyo a las conclusiones y recomendaciones de la Comisión Internacional Independiente de Investigación sobre los territorios palestinos </w:t>
      </w:r>
      <w:r>
        <w:rPr>
          <w:rFonts w:ascii="Arial" w:hAnsi="Arial" w:cs="Arial"/>
          <w:b/>
          <w:sz w:val="22"/>
          <w:szCs w:val="22"/>
        </w:rPr>
        <w:t>ocupados</w:t>
      </w:r>
      <w:r>
        <w:rPr>
          <w:rFonts w:ascii="Arial" w:hAnsi="Arial" w:cs="Arial"/>
          <w:b/>
          <w:bCs/>
          <w:sz w:val="22"/>
          <w:szCs w:val="22"/>
        </w:rPr>
        <w:t>, establecida por el Consejo de Derechos Humanos de la ONU, que denuncia la comisión de actos genocidas en Gaza y reclama la adopción de medidas inmediatas para proteger a la población civil y garantizar el cumplimiento del Derecho Internacional.</w:t>
      </w:r>
    </w:p>
    <w:p w:rsidR="009B4233" w:rsidRDefault="006B08B9">
      <w:pPr>
        <w:pStyle w:val="Prrafodelista"/>
        <w:widowControl/>
        <w:numPr>
          <w:ilvl w:val="0"/>
          <w:numId w:val="117"/>
        </w:numPr>
        <w:suppressAutoHyphens w:val="0"/>
        <w:spacing w:line="276" w:lineRule="auto"/>
        <w:jc w:val="both"/>
        <w:textAlignment w:val="auto"/>
      </w:pPr>
      <w:r>
        <w:rPr>
          <w:rFonts w:ascii="Arial" w:hAnsi="Arial" w:cs="Arial"/>
          <w:b/>
          <w:sz w:val="22"/>
          <w:szCs w:val="22"/>
        </w:rPr>
        <w:t>A</w:t>
      </w:r>
      <w:r>
        <w:rPr>
          <w:rFonts w:ascii="Arial" w:hAnsi="Arial" w:cs="Arial"/>
          <w:b/>
          <w:sz w:val="22"/>
          <w:szCs w:val="22"/>
        </w:rPr>
        <w:t>poyar las iniciativas y medidas adoptadas por la Unión Europea</w:t>
      </w:r>
      <w:r>
        <w:rPr>
          <w:rFonts w:ascii="Arial" w:hAnsi="Arial" w:cs="Arial"/>
          <w:b/>
          <w:bCs/>
          <w:sz w:val="22"/>
          <w:szCs w:val="22"/>
        </w:rPr>
        <w:t xml:space="preserve"> en defensa del Derecho Internacional Humanitario, la protección de la población civil palestina y la promoción de la paz y la solución de dos Estados.</w:t>
      </w:r>
    </w:p>
    <w:p w:rsidR="009B4233" w:rsidRDefault="006B08B9">
      <w:pPr>
        <w:pStyle w:val="Prrafodelista"/>
        <w:widowControl/>
        <w:numPr>
          <w:ilvl w:val="0"/>
          <w:numId w:val="117"/>
        </w:numPr>
        <w:suppressAutoHyphens w:val="0"/>
        <w:spacing w:line="276" w:lineRule="auto"/>
        <w:jc w:val="both"/>
        <w:textAlignment w:val="auto"/>
      </w:pPr>
      <w:r>
        <w:rPr>
          <w:rFonts w:ascii="Arial" w:hAnsi="Arial" w:cs="Arial"/>
          <w:b/>
          <w:sz w:val="22"/>
          <w:szCs w:val="22"/>
        </w:rPr>
        <w:t>Reiterar el apoyo de la Unión Europea y la</w:t>
      </w:r>
      <w:r>
        <w:rPr>
          <w:rFonts w:ascii="Arial" w:hAnsi="Arial" w:cs="Arial"/>
          <w:b/>
          <w:sz w:val="22"/>
          <w:szCs w:val="22"/>
        </w:rPr>
        <w:t xml:space="preserve"> Liga Árabe a la Declaración de Nueva York, </w:t>
      </w:r>
      <w:r>
        <w:rPr>
          <w:rFonts w:ascii="Arial" w:hAnsi="Arial" w:cs="Arial"/>
          <w:b/>
          <w:bCs/>
          <w:sz w:val="22"/>
          <w:szCs w:val="22"/>
        </w:rPr>
        <w:t>adoptada en la conferencia internacional de la ONU presidida por Francia y Arabia Saudí, en favor de la solución de dos Estados, instando a Hamás a desarmarse y entregar el control de Gaza a la Autoridad Palestin</w:t>
      </w:r>
      <w:r>
        <w:rPr>
          <w:rFonts w:ascii="Arial" w:hAnsi="Arial" w:cs="Arial"/>
          <w:b/>
          <w:bCs/>
          <w:sz w:val="22"/>
          <w:szCs w:val="22"/>
        </w:rPr>
        <w:t>a bajo supervisión internacional.</w:t>
      </w:r>
    </w:p>
    <w:p w:rsidR="009B4233" w:rsidRDefault="006B08B9">
      <w:pPr>
        <w:pStyle w:val="Prrafodelista"/>
        <w:widowControl/>
        <w:numPr>
          <w:ilvl w:val="0"/>
          <w:numId w:val="117"/>
        </w:numPr>
        <w:suppressAutoHyphens w:val="0"/>
        <w:spacing w:line="276" w:lineRule="auto"/>
        <w:jc w:val="both"/>
        <w:textAlignment w:val="auto"/>
      </w:pPr>
      <w:r>
        <w:rPr>
          <w:rFonts w:ascii="Arial" w:hAnsi="Arial" w:cs="Arial"/>
          <w:b/>
          <w:sz w:val="22"/>
          <w:szCs w:val="22"/>
        </w:rPr>
        <w:t>Reclamar el acceso completo, seguro y sin restricciones de la ayuda humanitaria a la población palestina</w:t>
      </w:r>
      <w:r>
        <w:rPr>
          <w:rFonts w:ascii="Arial" w:hAnsi="Arial" w:cs="Arial"/>
          <w:b/>
          <w:bCs/>
          <w:sz w:val="22"/>
          <w:szCs w:val="22"/>
        </w:rPr>
        <w:t>, conforme a los principios de imparcialidad, independencia y neutralidad, y rechazar el uso de la asistencia humanita</w:t>
      </w:r>
      <w:r>
        <w:rPr>
          <w:rFonts w:ascii="Arial" w:hAnsi="Arial" w:cs="Arial"/>
          <w:b/>
          <w:bCs/>
          <w:sz w:val="22"/>
          <w:szCs w:val="22"/>
        </w:rPr>
        <w:t>ria como instrumento de guerra.</w:t>
      </w:r>
    </w:p>
    <w:p w:rsidR="009B4233" w:rsidRDefault="006B08B9">
      <w:pPr>
        <w:pStyle w:val="NormalWeb"/>
        <w:numPr>
          <w:ilvl w:val="0"/>
          <w:numId w:val="117"/>
        </w:numPr>
        <w:spacing w:after="100"/>
        <w:jc w:val="both"/>
      </w:pPr>
      <w:r>
        <w:rPr>
          <w:rFonts w:ascii="Arial" w:eastAsia="Calibri" w:hAnsi="Arial" w:cs="Arial"/>
          <w:b/>
          <w:sz w:val="22"/>
          <w:szCs w:val="22"/>
          <w:lang w:eastAsia="en-US"/>
        </w:rPr>
        <w:t>Manifestar el compromiso del Ayuntamiento de Candelaria con la solución de dos Estados, con la legalidad internacional, la defensa de los derechos humanos y la paz</w:t>
      </w:r>
      <w:r>
        <w:rPr>
          <w:rFonts w:ascii="Arial" w:eastAsia="Calibri" w:hAnsi="Arial" w:cs="Arial"/>
          <w:b/>
          <w:bCs/>
          <w:sz w:val="22"/>
          <w:szCs w:val="22"/>
          <w:lang w:eastAsia="en-US"/>
        </w:rPr>
        <w:t>, así como su solidaridad con el pueblo palestino, especialme</w:t>
      </w:r>
      <w:r>
        <w:rPr>
          <w:rFonts w:ascii="Arial" w:eastAsia="Calibri" w:hAnsi="Arial" w:cs="Arial"/>
          <w:b/>
          <w:bCs/>
          <w:sz w:val="22"/>
          <w:szCs w:val="22"/>
          <w:lang w:eastAsia="en-US"/>
        </w:rPr>
        <w:t xml:space="preserve">nte con quienes han sido víctimas directas de la violencia, el desplazamiento forzoso o la destrucción de sus hogares e infraestructuras. </w:t>
      </w:r>
    </w:p>
    <w:p w:rsidR="009B4233" w:rsidRDefault="006B08B9">
      <w:pPr>
        <w:pStyle w:val="Prrafodelista"/>
        <w:widowControl/>
        <w:numPr>
          <w:ilvl w:val="0"/>
          <w:numId w:val="117"/>
        </w:numPr>
        <w:suppressAutoHyphens w:val="0"/>
        <w:jc w:val="both"/>
        <w:textAlignment w:val="auto"/>
      </w:pPr>
      <w:r>
        <w:rPr>
          <w:rFonts w:ascii="Arial" w:hAnsi="Arial" w:cs="Arial"/>
          <w:b/>
          <w:sz w:val="22"/>
          <w:szCs w:val="22"/>
        </w:rPr>
        <w:t xml:space="preserve">Dar traslado del presente acuerdo </w:t>
      </w:r>
      <w:r>
        <w:rPr>
          <w:rFonts w:ascii="Arial" w:hAnsi="Arial" w:cs="Arial"/>
          <w:b/>
          <w:bCs/>
          <w:sz w:val="22"/>
          <w:szCs w:val="22"/>
        </w:rPr>
        <w:t xml:space="preserve">al Presidente del Gobierno, al Ministerio de Asuntos Exteriores, Unión Europea y </w:t>
      </w:r>
      <w:r>
        <w:rPr>
          <w:rFonts w:ascii="Arial" w:hAnsi="Arial" w:cs="Arial"/>
          <w:b/>
          <w:bCs/>
          <w:sz w:val="22"/>
          <w:szCs w:val="22"/>
        </w:rPr>
        <w:t>Cooperación, a los portavoces de los grupos parlamentarios del Congreso y del Senado, al Parlamento Europeo, a la Embajada del Estado de Palestina en España y a la Federación Española de Municipios y Provincias (FEMP).</w:t>
      </w:r>
    </w:p>
    <w:p w:rsidR="009B4233" w:rsidRDefault="009B4233">
      <w:pPr>
        <w:ind w:firstLine="709"/>
        <w:jc w:val="both"/>
        <w:rPr>
          <w:rFonts w:ascii="Arial" w:hAnsi="Arial" w:cs="Arial"/>
          <w:b/>
          <w:sz w:val="22"/>
          <w:szCs w:val="22"/>
        </w:rPr>
      </w:pPr>
    </w:p>
    <w:p w:rsidR="009B4233" w:rsidRDefault="009B4233">
      <w:pPr>
        <w:jc w:val="both"/>
        <w:rPr>
          <w:rFonts w:ascii="Arial" w:hAnsi="Arial" w:cs="Arial"/>
          <w:b/>
          <w:sz w:val="22"/>
          <w:szCs w:val="22"/>
        </w:rPr>
      </w:pPr>
    </w:p>
    <w:p w:rsidR="009B4233" w:rsidRDefault="009B4233">
      <w:pPr>
        <w:jc w:val="both"/>
        <w:rPr>
          <w:rFonts w:ascii="Arial" w:hAnsi="Arial" w:cs="Arial"/>
          <w:b/>
        </w:rPr>
      </w:pPr>
    </w:p>
    <w:p w:rsidR="009B4233" w:rsidRDefault="009B4233">
      <w:pPr>
        <w:jc w:val="both"/>
        <w:rPr>
          <w:rFonts w:ascii="Arial" w:hAnsi="Arial" w:cs="Arial"/>
          <w:b/>
        </w:rPr>
      </w:pPr>
    </w:p>
    <w:p w:rsidR="009B4233" w:rsidRDefault="009B4233">
      <w:pPr>
        <w:jc w:val="both"/>
        <w:rPr>
          <w:rFonts w:ascii="Arial" w:hAnsi="Arial" w:cs="Arial"/>
          <w:b/>
        </w:rPr>
      </w:pPr>
    </w:p>
    <w:p w:rsidR="009B4233" w:rsidRDefault="009B4233">
      <w:pPr>
        <w:jc w:val="both"/>
        <w:rPr>
          <w:rFonts w:ascii="Arial" w:hAnsi="Arial" w:cs="Arial"/>
          <w:b/>
        </w:rPr>
      </w:pPr>
    </w:p>
    <w:p w:rsidR="009B4233" w:rsidRDefault="009B4233">
      <w:pPr>
        <w:jc w:val="both"/>
        <w:rPr>
          <w:rFonts w:ascii="Arial" w:hAnsi="Arial" w:cs="Arial"/>
          <w:b/>
        </w:rPr>
      </w:pPr>
    </w:p>
    <w:p w:rsidR="009B4233" w:rsidRDefault="006B08B9">
      <w:pPr>
        <w:jc w:val="both"/>
        <w:rPr>
          <w:rFonts w:ascii="Arial" w:hAnsi="Arial" w:cs="Arial"/>
          <w:b/>
        </w:rPr>
      </w:pPr>
      <w:r>
        <w:rPr>
          <w:rFonts w:ascii="Arial" w:hAnsi="Arial" w:cs="Arial"/>
          <w:b/>
        </w:rPr>
        <w:t>13.- Expediente 8945/2025. Moc</w:t>
      </w:r>
      <w:r>
        <w:rPr>
          <w:rFonts w:ascii="Arial" w:hAnsi="Arial" w:cs="Arial"/>
          <w:b/>
        </w:rPr>
        <w:t>ión del Grupo Mixto (USP) con registro de entrada nº (2025-E-RE-8068) del 15 de septiembre de 2025, para las ayudas económicas al estudio para el alumnado empadronado en Candelaria, curso escolar 2025-2026.</w:t>
      </w:r>
    </w:p>
    <w:p w:rsidR="009B4233" w:rsidRDefault="009B4233">
      <w:pPr>
        <w:pStyle w:val="Standard"/>
        <w:ind w:firstLine="709"/>
        <w:jc w:val="both"/>
        <w:rPr>
          <w:rFonts w:ascii="Arial" w:hAnsi="Arial" w:cs="Arial"/>
          <w:b/>
          <w:sz w:val="22"/>
          <w:szCs w:val="22"/>
        </w:rPr>
      </w:pPr>
    </w:p>
    <w:p w:rsidR="009B4233" w:rsidRDefault="009B4233">
      <w:pPr>
        <w:pStyle w:val="Standard"/>
        <w:ind w:firstLine="709"/>
        <w:jc w:val="both"/>
        <w:rPr>
          <w:rFonts w:ascii="Arial" w:hAnsi="Arial" w:cs="Arial"/>
          <w:b/>
          <w:sz w:val="22"/>
          <w:szCs w:val="22"/>
        </w:rPr>
      </w:pPr>
    </w:p>
    <w:p w:rsidR="009B4233" w:rsidRDefault="006B08B9">
      <w:pPr>
        <w:pStyle w:val="Standard"/>
        <w:ind w:firstLine="709"/>
        <w:jc w:val="both"/>
      </w:pPr>
      <w:r>
        <w:rPr>
          <w:rFonts w:ascii="Arial" w:hAnsi="Arial" w:cs="Arial"/>
          <w:noProof/>
          <w:sz w:val="22"/>
          <w:szCs w:val="22"/>
          <w:lang w:eastAsia="es-ES"/>
        </w:rPr>
        <w:drawing>
          <wp:inline distT="0" distB="0" distL="0" distR="0">
            <wp:extent cx="1104896" cy="1059176"/>
            <wp:effectExtent l="0" t="0" r="4" b="7624"/>
            <wp:docPr id="130" name="Imagen 469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rcRect/>
                    <a:stretch>
                      <a:fillRect/>
                    </a:stretch>
                  </pic:blipFill>
                  <pic:spPr>
                    <a:xfrm>
                      <a:off x="0" y="0"/>
                      <a:ext cx="1104896" cy="1059176"/>
                    </a:xfrm>
                    <a:prstGeom prst="rect">
                      <a:avLst/>
                    </a:prstGeom>
                    <a:noFill/>
                    <a:ln>
                      <a:noFill/>
                      <a:prstDash/>
                    </a:ln>
                  </pic:spPr>
                </pic:pic>
              </a:graphicData>
            </a:graphic>
          </wp:inline>
        </w:drawing>
      </w:r>
    </w:p>
    <w:p w:rsidR="009B4233" w:rsidRDefault="009B4233">
      <w:pPr>
        <w:pStyle w:val="Standard"/>
        <w:ind w:firstLine="709"/>
        <w:jc w:val="both"/>
        <w:rPr>
          <w:rFonts w:ascii="Arial" w:hAnsi="Arial" w:cs="Arial"/>
          <w:b/>
          <w:sz w:val="22"/>
          <w:szCs w:val="22"/>
        </w:rPr>
      </w:pPr>
    </w:p>
    <w:p w:rsidR="009B4233" w:rsidRDefault="009B4233">
      <w:pPr>
        <w:pStyle w:val="Standard"/>
        <w:ind w:firstLine="709"/>
        <w:jc w:val="both"/>
        <w:rPr>
          <w:rFonts w:ascii="Arial" w:hAnsi="Arial" w:cs="Arial"/>
          <w:b/>
          <w:sz w:val="22"/>
          <w:szCs w:val="22"/>
        </w:rPr>
      </w:pPr>
    </w:p>
    <w:p w:rsidR="009B4233" w:rsidRDefault="009B4233">
      <w:pPr>
        <w:pStyle w:val="Standard"/>
        <w:ind w:firstLine="709"/>
        <w:jc w:val="both"/>
        <w:rPr>
          <w:rFonts w:ascii="Arial" w:hAnsi="Arial" w:cs="Arial"/>
          <w:b/>
          <w:sz w:val="22"/>
          <w:szCs w:val="22"/>
        </w:rPr>
      </w:pPr>
    </w:p>
    <w:p w:rsidR="009B4233" w:rsidRDefault="006B08B9">
      <w:pPr>
        <w:spacing w:line="249" w:lineRule="auto"/>
        <w:ind w:left="-5"/>
        <w:jc w:val="both"/>
      </w:pPr>
      <w:r>
        <w:rPr>
          <w:rFonts w:ascii="Arial" w:eastAsia="Calibri" w:hAnsi="Arial" w:cs="Arial"/>
          <w:b/>
          <w:sz w:val="22"/>
          <w:szCs w:val="22"/>
        </w:rPr>
        <w:t xml:space="preserve">      “MOCIÓN DE UNIDAS SÍ PODEMOS SOBRE </w:t>
      </w:r>
      <w:r>
        <w:rPr>
          <w:rFonts w:ascii="Arial" w:eastAsia="Calibri" w:hAnsi="Arial" w:cs="Arial"/>
          <w:b/>
          <w:sz w:val="22"/>
          <w:szCs w:val="22"/>
        </w:rPr>
        <w:t xml:space="preserve">LAS AYUDAS ECONÓMICAS AL ESTUDIO PARA </w:t>
      </w:r>
      <w:r>
        <w:rPr>
          <w:rFonts w:ascii="Arial" w:eastAsia="Calibri" w:hAnsi="Arial" w:cs="Arial"/>
          <w:b/>
          <w:sz w:val="22"/>
          <w:szCs w:val="22"/>
        </w:rPr>
        <w:tab/>
        <w:t xml:space="preserve">EL </w:t>
      </w:r>
      <w:r>
        <w:rPr>
          <w:rFonts w:ascii="Arial" w:eastAsia="Calibri" w:hAnsi="Arial" w:cs="Arial"/>
          <w:b/>
          <w:sz w:val="22"/>
          <w:szCs w:val="22"/>
        </w:rPr>
        <w:tab/>
        <w:t xml:space="preserve">ALUMNADO </w:t>
      </w:r>
      <w:r>
        <w:rPr>
          <w:rFonts w:ascii="Arial" w:eastAsia="Calibri" w:hAnsi="Arial" w:cs="Arial"/>
          <w:b/>
          <w:sz w:val="22"/>
          <w:szCs w:val="22"/>
        </w:rPr>
        <w:tab/>
        <w:t xml:space="preserve">EMPADRONADO </w:t>
      </w:r>
      <w:r>
        <w:rPr>
          <w:rFonts w:ascii="Arial" w:eastAsia="Calibri" w:hAnsi="Arial" w:cs="Arial"/>
          <w:b/>
          <w:sz w:val="22"/>
          <w:szCs w:val="22"/>
        </w:rPr>
        <w:tab/>
        <w:t xml:space="preserve">EN CANDELARIA, </w:t>
      </w:r>
      <w:r>
        <w:rPr>
          <w:rFonts w:ascii="Arial" w:eastAsia="Calibri" w:hAnsi="Arial" w:cs="Arial"/>
          <w:b/>
          <w:sz w:val="22"/>
          <w:szCs w:val="22"/>
        </w:rPr>
        <w:tab/>
        <w:t xml:space="preserve">CURSO </w:t>
      </w:r>
      <w:r>
        <w:rPr>
          <w:rFonts w:ascii="Arial" w:eastAsia="Calibri" w:hAnsi="Arial" w:cs="Arial"/>
          <w:b/>
          <w:sz w:val="22"/>
          <w:szCs w:val="22"/>
        </w:rPr>
        <w:tab/>
        <w:t>ESCOLAR  2025-2026.</w:t>
      </w:r>
      <w:r>
        <w:rPr>
          <w:rFonts w:ascii="Arial" w:eastAsia="Calibri" w:hAnsi="Arial" w:cs="Arial"/>
          <w:sz w:val="22"/>
          <w:szCs w:val="22"/>
        </w:rPr>
        <w:t xml:space="preserve"> </w:t>
      </w:r>
    </w:p>
    <w:p w:rsidR="009B4233" w:rsidRDefault="006B08B9">
      <w:pPr>
        <w:spacing w:line="249" w:lineRule="auto"/>
      </w:pPr>
      <w:r>
        <w:rPr>
          <w:rFonts w:ascii="Arial" w:eastAsia="Calibri" w:hAnsi="Arial" w:cs="Arial"/>
          <w:b/>
          <w:sz w:val="22"/>
          <w:szCs w:val="22"/>
        </w:rPr>
        <w:t xml:space="preserve"> </w:t>
      </w:r>
    </w:p>
    <w:p w:rsidR="009B4233" w:rsidRDefault="006B08B9">
      <w:pPr>
        <w:ind w:left="-5"/>
        <w:jc w:val="both"/>
        <w:rPr>
          <w:rFonts w:ascii="Arial" w:hAnsi="Arial" w:cs="Arial"/>
          <w:sz w:val="22"/>
          <w:szCs w:val="22"/>
        </w:rPr>
      </w:pPr>
      <w:r>
        <w:rPr>
          <w:rFonts w:ascii="Arial" w:hAnsi="Arial" w:cs="Arial"/>
          <w:sz w:val="22"/>
          <w:szCs w:val="22"/>
        </w:rPr>
        <w:t>Violeta López Jiménez, Concejal de Unidas Sí Podemos, y miembro del Grupo Municipal Mixto, conforme a lo establecido en la reglamentación aplica</w:t>
      </w:r>
      <w:r>
        <w:rPr>
          <w:rFonts w:ascii="Arial" w:hAnsi="Arial" w:cs="Arial"/>
          <w:sz w:val="22"/>
          <w:szCs w:val="22"/>
        </w:rPr>
        <w:t xml:space="preserve">ble, presenta MOCIÓN para su debate y aprobación, si procede, de acuerdo con la siguiente: </w:t>
      </w:r>
    </w:p>
    <w:p w:rsidR="009B4233" w:rsidRDefault="006B08B9">
      <w:pPr>
        <w:spacing w:after="18" w:line="249" w:lineRule="auto"/>
        <w:rPr>
          <w:rFonts w:ascii="Arial" w:hAnsi="Arial" w:cs="Arial"/>
          <w:sz w:val="22"/>
          <w:szCs w:val="22"/>
        </w:rPr>
      </w:pPr>
      <w:r>
        <w:rPr>
          <w:rFonts w:ascii="Arial" w:hAnsi="Arial" w:cs="Arial"/>
          <w:sz w:val="22"/>
          <w:szCs w:val="22"/>
        </w:rPr>
        <w:t xml:space="preserve"> </w:t>
      </w:r>
    </w:p>
    <w:p w:rsidR="009B4233" w:rsidRDefault="006B08B9">
      <w:pPr>
        <w:spacing w:after="18" w:line="249" w:lineRule="auto"/>
        <w:jc w:val="center"/>
      </w:pPr>
      <w:r>
        <w:rPr>
          <w:rFonts w:ascii="Arial" w:eastAsia="Arial" w:hAnsi="Arial" w:cs="Arial"/>
          <w:b/>
          <w:sz w:val="22"/>
          <w:szCs w:val="22"/>
        </w:rPr>
        <w:t xml:space="preserve">EXPOSICIÓN DE MOTIVOS   </w:t>
      </w:r>
    </w:p>
    <w:p w:rsidR="009B4233" w:rsidRDefault="006B08B9">
      <w:pPr>
        <w:spacing w:after="18" w:line="249" w:lineRule="auto"/>
        <w:rPr>
          <w:rFonts w:ascii="Arial" w:hAnsi="Arial" w:cs="Arial"/>
          <w:sz w:val="22"/>
          <w:szCs w:val="22"/>
        </w:rPr>
      </w:pPr>
      <w:r>
        <w:rPr>
          <w:rFonts w:ascii="Arial" w:hAnsi="Arial" w:cs="Arial"/>
          <w:sz w:val="22"/>
          <w:szCs w:val="22"/>
        </w:rPr>
        <w:t xml:space="preserve"> </w:t>
      </w:r>
    </w:p>
    <w:p w:rsidR="009B4233" w:rsidRDefault="006B08B9">
      <w:pPr>
        <w:ind w:left="-5"/>
        <w:jc w:val="both"/>
        <w:rPr>
          <w:rFonts w:ascii="Arial" w:hAnsi="Arial" w:cs="Arial"/>
          <w:sz w:val="22"/>
          <w:szCs w:val="22"/>
        </w:rPr>
      </w:pPr>
      <w:r>
        <w:rPr>
          <w:rFonts w:ascii="Arial" w:hAnsi="Arial" w:cs="Arial"/>
          <w:sz w:val="22"/>
          <w:szCs w:val="22"/>
        </w:rPr>
        <w:t>El inicio del curso escolar 2025/2026 se presenta, un año más, como un desafío económico considerable para la mayoría de las familias e</w:t>
      </w:r>
      <w:r>
        <w:rPr>
          <w:rFonts w:ascii="Arial" w:hAnsi="Arial" w:cs="Arial"/>
          <w:sz w:val="22"/>
          <w:szCs w:val="22"/>
        </w:rPr>
        <w:t>spañolas con hijos e hijas en edad escolar. Los gastos asociados a septiembre, especialmente la adquisición de material escolar y libros de texto, suponen un esfuerzo económico significativo que muchos hogares afrontan con crecientes dificultades, una real</w:t>
      </w:r>
      <w:r>
        <w:rPr>
          <w:rFonts w:ascii="Arial" w:hAnsi="Arial" w:cs="Arial"/>
          <w:sz w:val="22"/>
          <w:szCs w:val="22"/>
        </w:rPr>
        <w:t xml:space="preserve">idad que afecta incluso a un 34% de los menores que ya se encuentran en situación de vulnerabilidad o riesgo de pobreza, según datos de abril de 2025. </w:t>
      </w:r>
    </w:p>
    <w:p w:rsidR="009B4233" w:rsidRDefault="006B08B9">
      <w:pPr>
        <w:spacing w:after="18" w:line="249" w:lineRule="auto"/>
        <w:rPr>
          <w:rFonts w:ascii="Arial" w:hAnsi="Arial" w:cs="Arial"/>
          <w:sz w:val="22"/>
          <w:szCs w:val="22"/>
        </w:rPr>
      </w:pPr>
      <w:r>
        <w:rPr>
          <w:rFonts w:ascii="Arial" w:hAnsi="Arial" w:cs="Arial"/>
          <w:sz w:val="22"/>
          <w:szCs w:val="22"/>
        </w:rPr>
        <w:t xml:space="preserve"> </w:t>
      </w:r>
    </w:p>
    <w:p w:rsidR="009B4233" w:rsidRDefault="006B08B9">
      <w:pPr>
        <w:ind w:left="-5"/>
        <w:jc w:val="both"/>
        <w:rPr>
          <w:rFonts w:ascii="Arial" w:hAnsi="Arial" w:cs="Arial"/>
          <w:sz w:val="22"/>
          <w:szCs w:val="22"/>
        </w:rPr>
      </w:pPr>
      <w:r>
        <w:rPr>
          <w:rFonts w:ascii="Arial" w:hAnsi="Arial" w:cs="Arial"/>
          <w:sz w:val="22"/>
          <w:szCs w:val="22"/>
        </w:rPr>
        <w:t xml:space="preserve">La preocupación por el encarecimiento de los productos necesarios para la "vuelta al cole" es una </w:t>
      </w:r>
      <w:r>
        <w:rPr>
          <w:rFonts w:ascii="Arial" w:hAnsi="Arial" w:cs="Arial"/>
          <w:sz w:val="22"/>
          <w:szCs w:val="22"/>
        </w:rPr>
        <w:t>constante. La tendencia observada en los años previos y las previsiones de inflación para 2025 (con estimaciones de IPC anual en España que alcanzan el 2,6%) sugieren que la inquietud se mantiene e incluso aumenta. Las familias continúan percibiendo un inc</w:t>
      </w:r>
      <w:r>
        <w:rPr>
          <w:rFonts w:ascii="Arial" w:hAnsi="Arial" w:cs="Arial"/>
          <w:sz w:val="22"/>
          <w:szCs w:val="22"/>
        </w:rPr>
        <w:t xml:space="preserve">remento en el coste de la educación. </w:t>
      </w:r>
    </w:p>
    <w:p w:rsidR="009B4233" w:rsidRDefault="006B08B9">
      <w:pPr>
        <w:spacing w:after="18" w:line="249" w:lineRule="auto"/>
        <w:jc w:val="both"/>
        <w:rPr>
          <w:rFonts w:ascii="Arial" w:hAnsi="Arial" w:cs="Arial"/>
          <w:sz w:val="22"/>
          <w:szCs w:val="22"/>
        </w:rPr>
      </w:pPr>
      <w:r>
        <w:rPr>
          <w:rFonts w:ascii="Arial" w:hAnsi="Arial" w:cs="Arial"/>
          <w:sz w:val="22"/>
          <w:szCs w:val="22"/>
        </w:rPr>
        <w:t xml:space="preserve"> </w:t>
      </w:r>
    </w:p>
    <w:p w:rsidR="009B4233" w:rsidRDefault="006B08B9">
      <w:pPr>
        <w:ind w:left="-5"/>
        <w:jc w:val="both"/>
        <w:rPr>
          <w:rFonts w:ascii="Arial" w:hAnsi="Arial" w:cs="Arial"/>
          <w:sz w:val="22"/>
          <w:szCs w:val="22"/>
        </w:rPr>
      </w:pPr>
      <w:r>
        <w:rPr>
          <w:rFonts w:ascii="Arial" w:hAnsi="Arial" w:cs="Arial"/>
          <w:sz w:val="22"/>
          <w:szCs w:val="22"/>
        </w:rPr>
        <w:t>Según los últimos estudios de la OCU para el curso 2024/2025, cada hogar con hijos en edad escolar gastará de media alrededor de 2.588 euros por hijo, lo que representa un incremento del 13% respecto al año anterior.</w:t>
      </w:r>
      <w:r>
        <w:rPr>
          <w:rFonts w:ascii="Arial" w:hAnsi="Arial" w:cs="Arial"/>
          <w:sz w:val="22"/>
          <w:szCs w:val="22"/>
        </w:rPr>
        <w:t xml:space="preserve"> Esta situación exige una respuesta contundente por parte de las administraciones para garantizar la igualdad de oportunidades y aliviar la presión económica sobre las familias. </w:t>
      </w:r>
    </w:p>
    <w:p w:rsidR="009B4233" w:rsidRDefault="006B08B9">
      <w:pPr>
        <w:spacing w:after="18" w:line="249" w:lineRule="auto"/>
        <w:jc w:val="both"/>
        <w:rPr>
          <w:rFonts w:ascii="Arial" w:hAnsi="Arial" w:cs="Arial"/>
          <w:sz w:val="22"/>
          <w:szCs w:val="22"/>
        </w:rPr>
      </w:pPr>
      <w:r>
        <w:rPr>
          <w:rFonts w:ascii="Arial" w:hAnsi="Arial" w:cs="Arial"/>
          <w:sz w:val="22"/>
          <w:szCs w:val="22"/>
        </w:rPr>
        <w:t xml:space="preserve"> </w:t>
      </w:r>
    </w:p>
    <w:p w:rsidR="009B4233" w:rsidRDefault="006B08B9">
      <w:pPr>
        <w:ind w:left="-5"/>
        <w:jc w:val="both"/>
        <w:rPr>
          <w:rFonts w:ascii="Arial" w:hAnsi="Arial" w:cs="Arial"/>
          <w:sz w:val="22"/>
          <w:szCs w:val="22"/>
        </w:rPr>
      </w:pPr>
      <w:r>
        <w:rPr>
          <w:rFonts w:ascii="Arial" w:hAnsi="Arial" w:cs="Arial"/>
          <w:sz w:val="22"/>
          <w:szCs w:val="22"/>
        </w:rPr>
        <w:t>Nos dirigimos a ustedes con el fin de exponer una situación relevante en re</w:t>
      </w:r>
      <w:r>
        <w:rPr>
          <w:rFonts w:ascii="Arial" w:hAnsi="Arial" w:cs="Arial"/>
          <w:sz w:val="22"/>
          <w:szCs w:val="22"/>
        </w:rPr>
        <w:t xml:space="preserve">lación con las ayudas al estudio, material escolar y transporte que el Ayuntamiento de Candelaria destina a la educación infantil, primaria, ESO y bachillerato, dentro del subprograma de Servicios Complementarios de Educación. </w:t>
      </w:r>
    </w:p>
    <w:p w:rsidR="009B4233" w:rsidRDefault="006B08B9">
      <w:pPr>
        <w:spacing w:after="18" w:line="249" w:lineRule="auto"/>
        <w:jc w:val="both"/>
        <w:rPr>
          <w:rFonts w:ascii="Arial" w:hAnsi="Arial" w:cs="Arial"/>
          <w:sz w:val="22"/>
          <w:szCs w:val="22"/>
        </w:rPr>
      </w:pPr>
      <w:r>
        <w:rPr>
          <w:rFonts w:ascii="Arial" w:hAnsi="Arial" w:cs="Arial"/>
          <w:sz w:val="22"/>
          <w:szCs w:val="22"/>
        </w:rPr>
        <w:t xml:space="preserve"> </w:t>
      </w:r>
    </w:p>
    <w:p w:rsidR="009B4233" w:rsidRDefault="006B08B9">
      <w:pPr>
        <w:ind w:left="-5"/>
        <w:jc w:val="both"/>
        <w:rPr>
          <w:rFonts w:ascii="Arial" w:hAnsi="Arial" w:cs="Arial"/>
          <w:sz w:val="22"/>
          <w:szCs w:val="22"/>
        </w:rPr>
      </w:pPr>
      <w:r>
        <w:rPr>
          <w:rFonts w:ascii="Arial" w:hAnsi="Arial" w:cs="Arial"/>
          <w:sz w:val="22"/>
          <w:szCs w:val="22"/>
        </w:rPr>
        <w:t>Para el presente ejercicio</w:t>
      </w:r>
      <w:r>
        <w:rPr>
          <w:rFonts w:ascii="Arial" w:hAnsi="Arial" w:cs="Arial"/>
          <w:sz w:val="22"/>
          <w:szCs w:val="22"/>
        </w:rPr>
        <w:t xml:space="preserve">, el presupuesto asignado a esta partida asciende a 100.000 euros. No obstante, es importante señalar que esta cantidad representa una disminución del 83% respecto al presupuesto del año anterior. </w:t>
      </w:r>
    </w:p>
    <w:p w:rsidR="009B4233" w:rsidRDefault="006B08B9">
      <w:pPr>
        <w:spacing w:after="18" w:line="249" w:lineRule="auto"/>
        <w:jc w:val="both"/>
        <w:rPr>
          <w:rFonts w:ascii="Arial" w:hAnsi="Arial" w:cs="Arial"/>
          <w:sz w:val="22"/>
          <w:szCs w:val="22"/>
        </w:rPr>
      </w:pPr>
      <w:r>
        <w:rPr>
          <w:rFonts w:ascii="Arial" w:hAnsi="Arial" w:cs="Arial"/>
          <w:sz w:val="22"/>
          <w:szCs w:val="22"/>
        </w:rPr>
        <w:t xml:space="preserve"> </w:t>
      </w:r>
    </w:p>
    <w:p w:rsidR="009B4233" w:rsidRDefault="006B08B9">
      <w:pPr>
        <w:ind w:left="-5"/>
        <w:jc w:val="both"/>
        <w:rPr>
          <w:rFonts w:ascii="Arial" w:hAnsi="Arial" w:cs="Arial"/>
          <w:sz w:val="22"/>
          <w:szCs w:val="22"/>
        </w:rPr>
      </w:pPr>
      <w:r>
        <w:rPr>
          <w:rFonts w:ascii="Arial" w:hAnsi="Arial" w:cs="Arial"/>
          <w:sz w:val="22"/>
          <w:szCs w:val="22"/>
        </w:rPr>
        <w:t xml:space="preserve">Nos preocupa observar que, a pesar de la importancia de </w:t>
      </w:r>
      <w:r>
        <w:rPr>
          <w:rFonts w:ascii="Arial" w:hAnsi="Arial" w:cs="Arial"/>
          <w:sz w:val="22"/>
          <w:szCs w:val="22"/>
        </w:rPr>
        <w:t xml:space="preserve">estas ayudas para las familias del municipio, la ejecución presupuestaria en años anteriores ha sido notablemente baja.  </w:t>
      </w:r>
    </w:p>
    <w:p w:rsidR="009B4233" w:rsidRDefault="006B08B9">
      <w:pPr>
        <w:spacing w:after="18" w:line="249" w:lineRule="auto"/>
        <w:rPr>
          <w:rFonts w:ascii="Arial" w:hAnsi="Arial" w:cs="Arial"/>
          <w:sz w:val="22"/>
          <w:szCs w:val="22"/>
        </w:rPr>
      </w:pPr>
      <w:r>
        <w:rPr>
          <w:rFonts w:ascii="Arial" w:hAnsi="Arial" w:cs="Arial"/>
          <w:sz w:val="22"/>
          <w:szCs w:val="22"/>
        </w:rPr>
        <w:t xml:space="preserve"> </w:t>
      </w:r>
    </w:p>
    <w:p w:rsidR="009B4233" w:rsidRDefault="006B08B9">
      <w:pPr>
        <w:ind w:left="-5"/>
        <w:jc w:val="both"/>
        <w:rPr>
          <w:rFonts w:ascii="Arial" w:hAnsi="Arial" w:cs="Arial"/>
          <w:sz w:val="22"/>
          <w:szCs w:val="22"/>
        </w:rPr>
      </w:pPr>
      <w:r>
        <w:rPr>
          <w:rFonts w:ascii="Arial" w:hAnsi="Arial" w:cs="Arial"/>
          <w:sz w:val="22"/>
          <w:szCs w:val="22"/>
        </w:rPr>
        <w:t xml:space="preserve">A modo de ejemplo: </w:t>
      </w:r>
    </w:p>
    <w:p w:rsidR="009B4233" w:rsidRDefault="006B08B9">
      <w:pPr>
        <w:spacing w:after="37" w:line="249" w:lineRule="auto"/>
        <w:jc w:val="both"/>
        <w:rPr>
          <w:rFonts w:ascii="Arial" w:hAnsi="Arial" w:cs="Arial"/>
          <w:sz w:val="22"/>
          <w:szCs w:val="22"/>
        </w:rPr>
      </w:pPr>
      <w:r>
        <w:rPr>
          <w:rFonts w:ascii="Arial" w:hAnsi="Arial" w:cs="Arial"/>
          <w:sz w:val="22"/>
          <w:szCs w:val="22"/>
        </w:rPr>
        <w:t xml:space="preserve"> </w:t>
      </w:r>
    </w:p>
    <w:p w:rsidR="009B4233" w:rsidRDefault="006B08B9">
      <w:pPr>
        <w:widowControl/>
        <w:numPr>
          <w:ilvl w:val="0"/>
          <w:numId w:val="118"/>
        </w:numPr>
        <w:suppressAutoHyphens w:val="0"/>
        <w:spacing w:after="9" w:line="264" w:lineRule="auto"/>
        <w:ind w:hanging="360"/>
        <w:jc w:val="both"/>
        <w:textAlignment w:val="auto"/>
        <w:rPr>
          <w:rFonts w:ascii="Arial" w:hAnsi="Arial" w:cs="Arial"/>
          <w:sz w:val="22"/>
          <w:szCs w:val="22"/>
        </w:rPr>
      </w:pPr>
      <w:r>
        <w:rPr>
          <w:rFonts w:ascii="Arial" w:hAnsi="Arial" w:cs="Arial"/>
          <w:sz w:val="22"/>
          <w:szCs w:val="22"/>
        </w:rPr>
        <w:t xml:space="preserve">En 2024, de un presupuesto de 120.000 €, se ejecutaron únicamente 42.240 €, lo que representa un 35,2%. </w:t>
      </w:r>
    </w:p>
    <w:p w:rsidR="009B4233" w:rsidRDefault="006B08B9">
      <w:pPr>
        <w:widowControl/>
        <w:numPr>
          <w:ilvl w:val="0"/>
          <w:numId w:val="118"/>
        </w:numPr>
        <w:suppressAutoHyphens w:val="0"/>
        <w:spacing w:after="9" w:line="264" w:lineRule="auto"/>
        <w:ind w:hanging="360"/>
        <w:jc w:val="both"/>
        <w:textAlignment w:val="auto"/>
        <w:rPr>
          <w:rFonts w:ascii="Arial" w:hAnsi="Arial" w:cs="Arial"/>
          <w:sz w:val="22"/>
          <w:szCs w:val="22"/>
        </w:rPr>
      </w:pPr>
      <w:r>
        <w:rPr>
          <w:rFonts w:ascii="Arial" w:hAnsi="Arial" w:cs="Arial"/>
          <w:sz w:val="22"/>
          <w:szCs w:val="22"/>
        </w:rPr>
        <w:t xml:space="preserve">En </w:t>
      </w:r>
      <w:r>
        <w:rPr>
          <w:rFonts w:ascii="Arial" w:hAnsi="Arial" w:cs="Arial"/>
          <w:sz w:val="22"/>
          <w:szCs w:val="22"/>
        </w:rPr>
        <w:t xml:space="preserve">2023, de un presupuesto de 117.000 €, se ejecutaron 48.000 €, es decir, un 41%. </w:t>
      </w:r>
    </w:p>
    <w:p w:rsidR="009B4233" w:rsidRDefault="006B08B9">
      <w:pPr>
        <w:spacing w:after="18" w:line="249" w:lineRule="auto"/>
        <w:ind w:left="720"/>
        <w:jc w:val="both"/>
        <w:rPr>
          <w:rFonts w:ascii="Arial" w:hAnsi="Arial" w:cs="Arial"/>
          <w:sz w:val="22"/>
          <w:szCs w:val="22"/>
        </w:rPr>
      </w:pPr>
      <w:r>
        <w:rPr>
          <w:rFonts w:ascii="Arial" w:hAnsi="Arial" w:cs="Arial"/>
          <w:sz w:val="22"/>
          <w:szCs w:val="22"/>
        </w:rPr>
        <w:t xml:space="preserve"> </w:t>
      </w:r>
    </w:p>
    <w:p w:rsidR="009B4233" w:rsidRDefault="006B08B9">
      <w:pPr>
        <w:ind w:left="-5"/>
        <w:jc w:val="both"/>
        <w:rPr>
          <w:rFonts w:ascii="Arial" w:hAnsi="Arial" w:cs="Arial"/>
          <w:sz w:val="22"/>
          <w:szCs w:val="22"/>
        </w:rPr>
      </w:pPr>
      <w:r>
        <w:rPr>
          <w:rFonts w:ascii="Arial" w:hAnsi="Arial" w:cs="Arial"/>
          <w:sz w:val="22"/>
          <w:szCs w:val="22"/>
        </w:rPr>
        <w:t>Consideramos que, en un contexto de incremento del Índice de Precios al Consumo (IPC), la cantidad presupuestada debería tender a incrementarse para mitigar el impacto en la</w:t>
      </w:r>
      <w:r>
        <w:rPr>
          <w:rFonts w:ascii="Arial" w:hAnsi="Arial" w:cs="Arial"/>
          <w:sz w:val="22"/>
          <w:szCs w:val="22"/>
        </w:rPr>
        <w:t>s familias. Si a esto le sumamos que no se logra ejecutar ni la mitad del presupuesto disponible, resulta evidente la necesidad de revisar y modificar los mecanismos actuales para asegurar que estas ayudas lleguen de manera efectiva a sus destinatarios. El</w:t>
      </w:r>
      <w:r>
        <w:rPr>
          <w:rFonts w:ascii="Arial" w:hAnsi="Arial" w:cs="Arial"/>
          <w:sz w:val="22"/>
          <w:szCs w:val="22"/>
        </w:rPr>
        <w:t xml:space="preserve">lo implica, en nuestra opinión, mejorar tanto la difusión de la información como los criterios que rigen su adjudicación. </w:t>
      </w:r>
    </w:p>
    <w:p w:rsidR="009B4233" w:rsidRDefault="006B08B9">
      <w:pPr>
        <w:spacing w:after="18" w:line="249" w:lineRule="auto"/>
        <w:jc w:val="both"/>
        <w:rPr>
          <w:rFonts w:ascii="Arial" w:hAnsi="Arial" w:cs="Arial"/>
          <w:sz w:val="22"/>
          <w:szCs w:val="22"/>
        </w:rPr>
      </w:pPr>
      <w:r>
        <w:rPr>
          <w:rFonts w:ascii="Arial" w:hAnsi="Arial" w:cs="Arial"/>
          <w:sz w:val="22"/>
          <w:szCs w:val="22"/>
        </w:rPr>
        <w:t xml:space="preserve"> </w:t>
      </w:r>
    </w:p>
    <w:p w:rsidR="009B4233" w:rsidRDefault="006B08B9">
      <w:pPr>
        <w:ind w:left="-5"/>
        <w:jc w:val="both"/>
        <w:rPr>
          <w:rFonts w:ascii="Arial" w:hAnsi="Arial" w:cs="Arial"/>
          <w:sz w:val="22"/>
          <w:szCs w:val="22"/>
        </w:rPr>
      </w:pPr>
      <w:r>
        <w:rPr>
          <w:rFonts w:ascii="Arial" w:hAnsi="Arial" w:cs="Arial"/>
          <w:sz w:val="22"/>
          <w:szCs w:val="22"/>
        </w:rPr>
        <w:t>Queremos recordar que esta propuesta ya fue presentada a este Pleno en septiembre de 2024 por el grupo Unidas Sí Podemos. Nos const</w:t>
      </w:r>
      <w:r>
        <w:rPr>
          <w:rFonts w:ascii="Arial" w:hAnsi="Arial" w:cs="Arial"/>
          <w:sz w:val="22"/>
          <w:szCs w:val="22"/>
        </w:rPr>
        <w:t xml:space="preserve">a, además, que el Equipo de Gobierno manifestó su compromiso de revisar los criterios de adjudicación de estas ayudas para el año 2025. </w:t>
      </w:r>
    </w:p>
    <w:p w:rsidR="009B4233" w:rsidRDefault="006B08B9">
      <w:pPr>
        <w:spacing w:after="18" w:line="249" w:lineRule="auto"/>
        <w:rPr>
          <w:rFonts w:ascii="Arial" w:hAnsi="Arial" w:cs="Arial"/>
          <w:sz w:val="22"/>
          <w:szCs w:val="22"/>
        </w:rPr>
      </w:pPr>
      <w:r>
        <w:rPr>
          <w:rFonts w:ascii="Arial" w:hAnsi="Arial" w:cs="Arial"/>
          <w:sz w:val="22"/>
          <w:szCs w:val="22"/>
        </w:rPr>
        <w:t xml:space="preserve"> </w:t>
      </w:r>
    </w:p>
    <w:p w:rsidR="009B4233" w:rsidRDefault="006B08B9">
      <w:pPr>
        <w:ind w:left="-5"/>
        <w:jc w:val="both"/>
        <w:rPr>
          <w:rFonts w:ascii="Arial" w:hAnsi="Arial" w:cs="Arial"/>
          <w:sz w:val="22"/>
          <w:szCs w:val="22"/>
        </w:rPr>
      </w:pPr>
      <w:r>
        <w:rPr>
          <w:rFonts w:ascii="Arial" w:hAnsi="Arial" w:cs="Arial"/>
          <w:sz w:val="22"/>
          <w:szCs w:val="22"/>
        </w:rPr>
        <w:t>Además, nos gustaría señalar nuestra preocupación por el hecho de que la convocatoria de estas ayudas para el present</w:t>
      </w:r>
      <w:r>
        <w:rPr>
          <w:rFonts w:ascii="Arial" w:hAnsi="Arial" w:cs="Arial"/>
          <w:sz w:val="22"/>
          <w:szCs w:val="22"/>
        </w:rPr>
        <w:t xml:space="preserve">e año haya coincidido con el periodo de vacaciones estivales, meses más tarde que anteriores convocatorias. Esta circunstancia dificulta notablemente que las familias puedan presentar sus solicitudes en tiempo y forma, lo que sin duda contribuye a la baja </w:t>
      </w:r>
      <w:r>
        <w:rPr>
          <w:rFonts w:ascii="Arial" w:hAnsi="Arial" w:cs="Arial"/>
          <w:sz w:val="22"/>
          <w:szCs w:val="22"/>
        </w:rPr>
        <w:t xml:space="preserve">ejecución presupuestaria que venimos observando. </w:t>
      </w:r>
    </w:p>
    <w:p w:rsidR="009B4233" w:rsidRDefault="006B08B9">
      <w:pPr>
        <w:spacing w:after="18" w:line="249" w:lineRule="auto"/>
        <w:jc w:val="both"/>
        <w:rPr>
          <w:rFonts w:ascii="Arial" w:hAnsi="Arial" w:cs="Arial"/>
          <w:sz w:val="22"/>
          <w:szCs w:val="22"/>
        </w:rPr>
      </w:pPr>
      <w:r>
        <w:rPr>
          <w:rFonts w:ascii="Arial" w:hAnsi="Arial" w:cs="Arial"/>
          <w:sz w:val="22"/>
          <w:szCs w:val="22"/>
        </w:rPr>
        <w:t xml:space="preserve"> </w:t>
      </w:r>
    </w:p>
    <w:p w:rsidR="009B4233" w:rsidRDefault="006B08B9">
      <w:pPr>
        <w:ind w:left="-5"/>
        <w:jc w:val="both"/>
        <w:rPr>
          <w:rFonts w:ascii="Arial" w:hAnsi="Arial" w:cs="Arial"/>
          <w:sz w:val="22"/>
          <w:szCs w:val="22"/>
        </w:rPr>
      </w:pPr>
      <w:r>
        <w:rPr>
          <w:rFonts w:ascii="Arial" w:hAnsi="Arial" w:cs="Arial"/>
          <w:sz w:val="22"/>
          <w:szCs w:val="22"/>
        </w:rPr>
        <w:t xml:space="preserve">Si bien es cierto que en las bases de la convocatoria de este año se han incorporado subidas en los umbrales económicos para el reparto de las ayudas, adaptándose al Salario Mínimo Interprofesional (SMI) </w:t>
      </w:r>
      <w:r>
        <w:rPr>
          <w:rFonts w:ascii="Arial" w:hAnsi="Arial" w:cs="Arial"/>
          <w:sz w:val="22"/>
          <w:szCs w:val="22"/>
        </w:rPr>
        <w:t>para 2025, desde Unidas Sí Podemos consideramos que estas medidas son insuficientes. Nuestra preocupación radica en que una parte significativa de esta partida económica podría no ser ejecutada, impidiendo así que los fondos cumplan el propósito para el qu</w:t>
      </w:r>
      <w:r>
        <w:rPr>
          <w:rFonts w:ascii="Arial" w:hAnsi="Arial" w:cs="Arial"/>
          <w:sz w:val="22"/>
          <w:szCs w:val="22"/>
        </w:rPr>
        <w:t xml:space="preserve">e fueron designados </w:t>
      </w:r>
    </w:p>
    <w:p w:rsidR="009B4233" w:rsidRDefault="006B08B9">
      <w:pPr>
        <w:spacing w:after="18" w:line="249" w:lineRule="auto"/>
        <w:jc w:val="both"/>
        <w:rPr>
          <w:rFonts w:ascii="Arial" w:hAnsi="Arial" w:cs="Arial"/>
          <w:sz w:val="22"/>
          <w:szCs w:val="22"/>
        </w:rPr>
      </w:pPr>
      <w:r>
        <w:rPr>
          <w:rFonts w:ascii="Arial" w:hAnsi="Arial" w:cs="Arial"/>
          <w:sz w:val="22"/>
          <w:szCs w:val="22"/>
        </w:rPr>
        <w:t xml:space="preserve"> </w:t>
      </w:r>
    </w:p>
    <w:p w:rsidR="009B4233" w:rsidRDefault="006B08B9">
      <w:pPr>
        <w:ind w:left="-5"/>
        <w:jc w:val="both"/>
        <w:rPr>
          <w:rFonts w:ascii="Arial" w:hAnsi="Arial" w:cs="Arial"/>
          <w:sz w:val="22"/>
          <w:szCs w:val="22"/>
        </w:rPr>
      </w:pPr>
      <w:r>
        <w:rPr>
          <w:rFonts w:ascii="Arial" w:hAnsi="Arial" w:cs="Arial"/>
          <w:sz w:val="22"/>
          <w:szCs w:val="22"/>
        </w:rPr>
        <w:t xml:space="preserve">Por todo lo expuesto, Unidas Sí Podemos somete a la consideración de este Pleno los siguientes:  </w:t>
      </w:r>
    </w:p>
    <w:p w:rsidR="009B4233" w:rsidRDefault="006B08B9">
      <w:pPr>
        <w:spacing w:after="18" w:line="249" w:lineRule="auto"/>
        <w:jc w:val="both"/>
        <w:rPr>
          <w:rFonts w:ascii="Arial" w:hAnsi="Arial" w:cs="Arial"/>
          <w:sz w:val="22"/>
          <w:szCs w:val="22"/>
        </w:rPr>
      </w:pPr>
      <w:r>
        <w:rPr>
          <w:rFonts w:ascii="Arial" w:hAnsi="Arial" w:cs="Arial"/>
          <w:sz w:val="22"/>
          <w:szCs w:val="22"/>
        </w:rPr>
        <w:t xml:space="preserve"> </w:t>
      </w:r>
    </w:p>
    <w:p w:rsidR="009B4233" w:rsidRDefault="006B08B9">
      <w:pPr>
        <w:spacing w:after="18" w:line="249" w:lineRule="auto"/>
        <w:ind w:left="-5"/>
      </w:pPr>
      <w:r>
        <w:rPr>
          <w:rFonts w:ascii="Arial" w:eastAsia="Arial" w:hAnsi="Arial" w:cs="Arial"/>
          <w:b/>
          <w:sz w:val="22"/>
          <w:szCs w:val="22"/>
        </w:rPr>
        <w:t xml:space="preserve">ACUERDOS:   </w:t>
      </w:r>
    </w:p>
    <w:p w:rsidR="009B4233" w:rsidRDefault="006B08B9">
      <w:pPr>
        <w:spacing w:after="18" w:line="249" w:lineRule="auto"/>
      </w:pPr>
      <w:r>
        <w:rPr>
          <w:rFonts w:ascii="Arial" w:eastAsia="Arial" w:hAnsi="Arial" w:cs="Arial"/>
          <w:b/>
          <w:sz w:val="22"/>
          <w:szCs w:val="22"/>
        </w:rPr>
        <w:t xml:space="preserve"> </w:t>
      </w:r>
    </w:p>
    <w:p w:rsidR="009B4233" w:rsidRDefault="006B08B9">
      <w:pPr>
        <w:widowControl/>
        <w:numPr>
          <w:ilvl w:val="0"/>
          <w:numId w:val="119"/>
        </w:numPr>
        <w:suppressAutoHyphens w:val="0"/>
        <w:spacing w:after="9" w:line="264" w:lineRule="auto"/>
        <w:ind w:hanging="360"/>
        <w:jc w:val="both"/>
        <w:textAlignment w:val="auto"/>
        <w:rPr>
          <w:rFonts w:ascii="Arial" w:hAnsi="Arial" w:cs="Arial"/>
          <w:sz w:val="22"/>
          <w:szCs w:val="22"/>
        </w:rPr>
      </w:pPr>
      <w:r>
        <w:rPr>
          <w:rFonts w:ascii="Arial" w:hAnsi="Arial" w:cs="Arial"/>
          <w:sz w:val="22"/>
          <w:szCs w:val="22"/>
        </w:rPr>
        <w:t xml:space="preserve">Realizar con carácter urgente una convocatoria extraordinaria para el ejercicio 2025, una vez resuelto el proceso de </w:t>
      </w:r>
      <w:r>
        <w:rPr>
          <w:rFonts w:ascii="Arial" w:hAnsi="Arial" w:cs="Arial"/>
          <w:sz w:val="22"/>
          <w:szCs w:val="22"/>
        </w:rPr>
        <w:t xml:space="preserve">la convocatoria actual. Esta nueva convocatoria se financiará con la partida presupuestaria no utilizada e incluiría modificaciones en las bases para ampliar significativamente el número de familias beneficiarias. </w:t>
      </w:r>
    </w:p>
    <w:p w:rsidR="009B4233" w:rsidRDefault="006B08B9">
      <w:pPr>
        <w:spacing w:after="18" w:line="249" w:lineRule="auto"/>
        <w:rPr>
          <w:rFonts w:ascii="Arial" w:hAnsi="Arial" w:cs="Arial"/>
          <w:sz w:val="22"/>
          <w:szCs w:val="22"/>
        </w:rPr>
      </w:pPr>
      <w:r>
        <w:rPr>
          <w:rFonts w:ascii="Arial" w:hAnsi="Arial" w:cs="Arial"/>
          <w:sz w:val="22"/>
          <w:szCs w:val="22"/>
        </w:rPr>
        <w:t xml:space="preserve"> </w:t>
      </w:r>
    </w:p>
    <w:p w:rsidR="009B4233" w:rsidRDefault="006B08B9">
      <w:pPr>
        <w:widowControl/>
        <w:numPr>
          <w:ilvl w:val="0"/>
          <w:numId w:val="119"/>
        </w:numPr>
        <w:suppressAutoHyphens w:val="0"/>
        <w:spacing w:after="9" w:line="264" w:lineRule="auto"/>
        <w:ind w:hanging="360"/>
        <w:jc w:val="both"/>
        <w:textAlignment w:val="auto"/>
        <w:rPr>
          <w:rFonts w:ascii="Arial" w:hAnsi="Arial" w:cs="Arial"/>
          <w:sz w:val="22"/>
          <w:szCs w:val="22"/>
        </w:rPr>
      </w:pPr>
      <w:r>
        <w:rPr>
          <w:rFonts w:ascii="Arial" w:hAnsi="Arial" w:cs="Arial"/>
          <w:sz w:val="22"/>
          <w:szCs w:val="22"/>
        </w:rPr>
        <w:t>Modificar las bases de esta nueva convo</w:t>
      </w:r>
      <w:r>
        <w:rPr>
          <w:rFonts w:ascii="Arial" w:hAnsi="Arial" w:cs="Arial"/>
          <w:sz w:val="22"/>
          <w:szCs w:val="22"/>
        </w:rPr>
        <w:t xml:space="preserve">catoria extraordinaria para eliminar las limitaciones de los umbrales de renta anual por unidad familiar. La ayuda se concederá en régimen de concurrencia competitiva, priorizando a las familias con ingresos más bajos. El objetivo es utilizar la totalidad </w:t>
      </w:r>
      <w:r>
        <w:rPr>
          <w:rFonts w:ascii="Arial" w:hAnsi="Arial" w:cs="Arial"/>
          <w:sz w:val="22"/>
          <w:szCs w:val="22"/>
        </w:rPr>
        <w:t xml:space="preserve">del presupuesto o, al menos, un porcentaje de ejecución mucho mayor al de años anteriores. </w:t>
      </w:r>
    </w:p>
    <w:p w:rsidR="009B4233" w:rsidRDefault="006B08B9">
      <w:pPr>
        <w:spacing w:after="18" w:line="249" w:lineRule="auto"/>
        <w:ind w:left="720"/>
        <w:rPr>
          <w:rFonts w:ascii="Arial" w:hAnsi="Arial" w:cs="Arial"/>
          <w:sz w:val="22"/>
          <w:szCs w:val="22"/>
        </w:rPr>
      </w:pPr>
      <w:r>
        <w:rPr>
          <w:rFonts w:ascii="Arial" w:hAnsi="Arial" w:cs="Arial"/>
          <w:sz w:val="22"/>
          <w:szCs w:val="22"/>
        </w:rPr>
        <w:t xml:space="preserve"> </w:t>
      </w:r>
    </w:p>
    <w:p w:rsidR="009B4233" w:rsidRDefault="006B08B9">
      <w:pPr>
        <w:widowControl/>
        <w:numPr>
          <w:ilvl w:val="0"/>
          <w:numId w:val="119"/>
        </w:numPr>
        <w:suppressAutoHyphens w:val="0"/>
        <w:spacing w:after="9" w:line="264" w:lineRule="auto"/>
        <w:ind w:hanging="360"/>
        <w:jc w:val="both"/>
        <w:textAlignment w:val="auto"/>
        <w:rPr>
          <w:rFonts w:ascii="Arial" w:hAnsi="Arial" w:cs="Arial"/>
          <w:sz w:val="22"/>
          <w:szCs w:val="22"/>
        </w:rPr>
      </w:pPr>
      <w:r>
        <w:rPr>
          <w:rFonts w:ascii="Arial" w:hAnsi="Arial" w:cs="Arial"/>
          <w:sz w:val="22"/>
          <w:szCs w:val="22"/>
        </w:rPr>
        <w:t xml:space="preserve">Aplicar las mismas modificaciones en las bases de la convocatoria ordinaria para el curso escolar 2026-2027”  </w:t>
      </w:r>
    </w:p>
    <w:p w:rsidR="009B4233" w:rsidRDefault="006B08B9">
      <w:pPr>
        <w:spacing w:after="18" w:line="249" w:lineRule="auto"/>
        <w:rPr>
          <w:rFonts w:ascii="Arial" w:hAnsi="Arial" w:cs="Arial"/>
          <w:sz w:val="22"/>
          <w:szCs w:val="22"/>
        </w:rPr>
      </w:pPr>
      <w:r>
        <w:rPr>
          <w:rFonts w:ascii="Arial" w:hAnsi="Arial" w:cs="Arial"/>
          <w:sz w:val="22"/>
          <w:szCs w:val="22"/>
        </w:rPr>
        <w:t xml:space="preserve"> </w:t>
      </w:r>
    </w:p>
    <w:p w:rsidR="009B4233" w:rsidRDefault="006B08B9">
      <w:pPr>
        <w:spacing w:after="18" w:line="249" w:lineRule="auto"/>
        <w:rPr>
          <w:rFonts w:ascii="Arial" w:hAnsi="Arial" w:cs="Arial"/>
          <w:sz w:val="22"/>
          <w:szCs w:val="22"/>
        </w:rPr>
      </w:pPr>
      <w:r>
        <w:rPr>
          <w:rFonts w:ascii="Arial" w:hAnsi="Arial" w:cs="Arial"/>
          <w:sz w:val="22"/>
          <w:szCs w:val="22"/>
        </w:rPr>
        <w:t xml:space="preserve"> </w:t>
      </w:r>
    </w:p>
    <w:p w:rsidR="009B4233" w:rsidRDefault="006B08B9">
      <w:pPr>
        <w:ind w:left="-5"/>
        <w:rPr>
          <w:rFonts w:ascii="Arial" w:hAnsi="Arial" w:cs="Arial"/>
          <w:sz w:val="22"/>
          <w:szCs w:val="22"/>
        </w:rPr>
      </w:pPr>
      <w:r>
        <w:rPr>
          <w:rFonts w:ascii="Arial" w:hAnsi="Arial" w:cs="Arial"/>
          <w:sz w:val="22"/>
          <w:szCs w:val="22"/>
        </w:rPr>
        <w:t xml:space="preserve">En Candelaria, a 15 de septiembre de 2025   </w:t>
      </w:r>
    </w:p>
    <w:p w:rsidR="009B4233" w:rsidRDefault="006B08B9">
      <w:pPr>
        <w:spacing w:after="18" w:line="249" w:lineRule="auto"/>
        <w:rPr>
          <w:rFonts w:ascii="Arial" w:hAnsi="Arial" w:cs="Arial"/>
          <w:sz w:val="22"/>
          <w:szCs w:val="22"/>
        </w:rPr>
      </w:pPr>
      <w:r>
        <w:rPr>
          <w:rFonts w:ascii="Arial" w:hAnsi="Arial" w:cs="Arial"/>
          <w:sz w:val="22"/>
          <w:szCs w:val="22"/>
        </w:rPr>
        <w:t xml:space="preserve"> </w:t>
      </w:r>
    </w:p>
    <w:p w:rsidR="009B4233" w:rsidRDefault="006B08B9">
      <w:pPr>
        <w:ind w:left="-5"/>
        <w:rPr>
          <w:rFonts w:ascii="Arial" w:hAnsi="Arial" w:cs="Arial"/>
          <w:sz w:val="22"/>
          <w:szCs w:val="22"/>
        </w:rPr>
      </w:pPr>
      <w:r>
        <w:rPr>
          <w:rFonts w:ascii="Arial" w:hAnsi="Arial" w:cs="Arial"/>
          <w:sz w:val="22"/>
          <w:szCs w:val="22"/>
        </w:rPr>
        <w:t xml:space="preserve">Violeta López Jiménez </w:t>
      </w:r>
    </w:p>
    <w:p w:rsidR="009B4233" w:rsidRDefault="006B08B9">
      <w:pPr>
        <w:spacing w:after="18" w:line="249" w:lineRule="auto"/>
        <w:ind w:left="-5"/>
      </w:pPr>
      <w:r>
        <w:rPr>
          <w:rFonts w:ascii="Arial" w:eastAsia="Arial" w:hAnsi="Arial" w:cs="Arial"/>
          <w:b/>
          <w:sz w:val="22"/>
          <w:szCs w:val="22"/>
        </w:rPr>
        <w:t xml:space="preserve">Concejal de Unidas Sí Podemos Candelaria </w:t>
      </w:r>
      <w:r>
        <w:rPr>
          <w:rFonts w:ascii="Arial" w:eastAsia="Calibri" w:hAnsi="Arial" w:cs="Arial"/>
          <w:b/>
          <w:sz w:val="22"/>
          <w:szCs w:val="22"/>
        </w:rPr>
        <w:t xml:space="preserve"> </w:t>
      </w:r>
    </w:p>
    <w:p w:rsidR="009B4233" w:rsidRDefault="009B4233">
      <w:pPr>
        <w:pStyle w:val="Standard"/>
        <w:ind w:firstLine="709"/>
        <w:jc w:val="both"/>
        <w:rPr>
          <w:rFonts w:ascii="Arial" w:hAnsi="Arial" w:cs="Arial"/>
          <w:b/>
          <w:sz w:val="22"/>
          <w:szCs w:val="22"/>
        </w:rPr>
      </w:pPr>
    </w:p>
    <w:p w:rsidR="009B4233" w:rsidRDefault="009B4233">
      <w:pPr>
        <w:pStyle w:val="Standard"/>
        <w:ind w:firstLine="709"/>
        <w:jc w:val="both"/>
        <w:rPr>
          <w:rFonts w:ascii="Arial" w:hAnsi="Arial" w:cs="Arial"/>
          <w:b/>
          <w:sz w:val="22"/>
          <w:szCs w:val="22"/>
        </w:rPr>
      </w:pPr>
    </w:p>
    <w:p w:rsidR="009B4233" w:rsidRDefault="006B08B9">
      <w:pPr>
        <w:jc w:val="both"/>
        <w:rPr>
          <w:rFonts w:ascii="Arial" w:hAnsi="Arial" w:cs="Arial"/>
          <w:b/>
          <w:sz w:val="22"/>
          <w:szCs w:val="22"/>
        </w:rPr>
      </w:pPr>
      <w:r>
        <w:rPr>
          <w:rFonts w:ascii="Arial" w:hAnsi="Arial" w:cs="Arial"/>
          <w:b/>
          <w:sz w:val="22"/>
          <w:szCs w:val="22"/>
        </w:rPr>
        <w:t xml:space="preserve">DICTAMEN FAVORABLE DE LA COMISIÓN INFORMATIVA DE SERVICIOS A LAS PERSONAS DE 22 DE SEPTIEMBRE DE 2025. </w:t>
      </w:r>
    </w:p>
    <w:p w:rsidR="009B4233" w:rsidRDefault="009B4233">
      <w:pPr>
        <w:jc w:val="both"/>
        <w:rPr>
          <w:rFonts w:ascii="Arial" w:hAnsi="Arial" w:cs="Arial"/>
          <w:b/>
          <w:sz w:val="22"/>
          <w:szCs w:val="22"/>
        </w:rPr>
      </w:pPr>
    </w:p>
    <w:p w:rsidR="009B4233" w:rsidRDefault="006B08B9">
      <w:pPr>
        <w:rPr>
          <w:rFonts w:ascii="Arial" w:hAnsi="Arial" w:cs="Arial"/>
          <w:sz w:val="22"/>
          <w:szCs w:val="22"/>
        </w:rPr>
      </w:pPr>
      <w:r>
        <w:rPr>
          <w:rFonts w:ascii="Arial" w:hAnsi="Arial" w:cs="Arial"/>
          <w:sz w:val="22"/>
          <w:szCs w:val="22"/>
        </w:rPr>
        <w:t>Votos a favor: 0.</w:t>
      </w:r>
    </w:p>
    <w:p w:rsidR="009B4233" w:rsidRDefault="009B4233">
      <w:pPr>
        <w:jc w:val="both"/>
        <w:rPr>
          <w:rFonts w:ascii="Arial" w:hAnsi="Arial" w:cs="Arial"/>
          <w:sz w:val="22"/>
          <w:szCs w:val="22"/>
        </w:rPr>
      </w:pPr>
    </w:p>
    <w:p w:rsidR="009B4233" w:rsidRDefault="006B08B9">
      <w:pPr>
        <w:jc w:val="both"/>
        <w:rPr>
          <w:rFonts w:ascii="Arial" w:hAnsi="Arial" w:cs="Arial"/>
          <w:sz w:val="22"/>
          <w:szCs w:val="22"/>
        </w:rPr>
      </w:pPr>
      <w:r>
        <w:rPr>
          <w:rFonts w:ascii="Arial" w:hAnsi="Arial" w:cs="Arial"/>
          <w:sz w:val="22"/>
          <w:szCs w:val="22"/>
        </w:rPr>
        <w:t>Votos en contra: 4.</w:t>
      </w:r>
    </w:p>
    <w:p w:rsidR="009B4233" w:rsidRDefault="006B08B9">
      <w:pPr>
        <w:jc w:val="both"/>
        <w:rPr>
          <w:rFonts w:ascii="Arial" w:hAnsi="Arial" w:cs="Arial"/>
          <w:sz w:val="22"/>
          <w:szCs w:val="22"/>
        </w:rPr>
      </w:pPr>
      <w:r>
        <w:rPr>
          <w:rFonts w:ascii="Arial" w:hAnsi="Arial" w:cs="Arial"/>
          <w:sz w:val="22"/>
          <w:szCs w:val="22"/>
        </w:rPr>
        <w:t xml:space="preserve">Los 4 concejales del Grupo Socialista: Doña </w:t>
      </w:r>
      <w:r>
        <w:rPr>
          <w:rFonts w:ascii="Arial" w:hAnsi="Arial" w:cs="Arial"/>
          <w:sz w:val="22"/>
          <w:szCs w:val="22"/>
        </w:rPr>
        <w:t xml:space="preserve">Olivia </w:t>
      </w:r>
      <w:r>
        <w:rPr>
          <w:rFonts w:ascii="Arial" w:hAnsi="Arial" w:cs="Arial"/>
          <w:sz w:val="22"/>
          <w:szCs w:val="22"/>
        </w:rPr>
        <w:br/>
      </w:r>
      <w:r>
        <w:rPr>
          <w:rFonts w:ascii="Arial" w:hAnsi="Arial" w:cs="Arial"/>
          <w:sz w:val="22"/>
          <w:szCs w:val="22"/>
        </w:rPr>
        <w:t xml:space="preserve">Concepción Pérez Díaz, D. Reinaldo José Triviño Blanco, Doña Margarita Eva Tendero Barroso y Doña Mónica Montserrat Yanes Delgado. </w:t>
      </w:r>
    </w:p>
    <w:p w:rsidR="009B4233" w:rsidRDefault="009B4233">
      <w:pPr>
        <w:jc w:val="both"/>
        <w:rPr>
          <w:rFonts w:ascii="Arial" w:hAnsi="Arial" w:cs="Arial"/>
          <w:sz w:val="22"/>
          <w:szCs w:val="22"/>
        </w:rPr>
      </w:pPr>
    </w:p>
    <w:p w:rsidR="009B4233" w:rsidRDefault="006B08B9">
      <w:pPr>
        <w:jc w:val="both"/>
        <w:rPr>
          <w:rFonts w:ascii="Arial" w:hAnsi="Arial" w:cs="Arial"/>
          <w:sz w:val="22"/>
          <w:szCs w:val="22"/>
        </w:rPr>
      </w:pPr>
      <w:r>
        <w:rPr>
          <w:rFonts w:ascii="Arial" w:hAnsi="Arial" w:cs="Arial"/>
          <w:sz w:val="22"/>
          <w:szCs w:val="22"/>
        </w:rPr>
        <w:t>Abstenciones: 2.</w:t>
      </w:r>
    </w:p>
    <w:p w:rsidR="009B4233" w:rsidRDefault="006B08B9">
      <w:pPr>
        <w:jc w:val="both"/>
        <w:rPr>
          <w:rFonts w:ascii="Arial" w:hAnsi="Arial" w:cs="Arial"/>
          <w:sz w:val="22"/>
          <w:szCs w:val="22"/>
        </w:rPr>
      </w:pPr>
      <w:r>
        <w:rPr>
          <w:rFonts w:ascii="Arial" w:hAnsi="Arial" w:cs="Arial"/>
          <w:sz w:val="22"/>
          <w:szCs w:val="22"/>
        </w:rPr>
        <w:t>1 del concejal del Grupo Popular, Don Jacobo López Fariña</w:t>
      </w:r>
    </w:p>
    <w:p w:rsidR="009B4233" w:rsidRDefault="006B08B9">
      <w:pPr>
        <w:jc w:val="both"/>
        <w:rPr>
          <w:rFonts w:ascii="Arial" w:hAnsi="Arial" w:cs="Arial"/>
          <w:sz w:val="22"/>
          <w:szCs w:val="22"/>
        </w:rPr>
      </w:pPr>
      <w:r>
        <w:rPr>
          <w:rFonts w:ascii="Arial" w:hAnsi="Arial" w:cs="Arial"/>
          <w:sz w:val="22"/>
          <w:szCs w:val="22"/>
        </w:rPr>
        <w:t xml:space="preserve">1 del concejal de Vox, Don José Tortosa </w:t>
      </w:r>
      <w:r>
        <w:rPr>
          <w:rFonts w:ascii="Arial" w:hAnsi="Arial" w:cs="Arial"/>
          <w:sz w:val="22"/>
          <w:szCs w:val="22"/>
        </w:rPr>
        <w:t>Pallarés.</w:t>
      </w:r>
    </w:p>
    <w:p w:rsidR="009B4233" w:rsidRDefault="009B4233">
      <w:pPr>
        <w:rPr>
          <w:rFonts w:ascii="Arial" w:hAnsi="Arial" w:cs="Arial"/>
          <w:b/>
          <w:sz w:val="22"/>
          <w:szCs w:val="22"/>
        </w:rPr>
      </w:pPr>
    </w:p>
    <w:p w:rsidR="009B4233" w:rsidRDefault="009B4233">
      <w:pPr>
        <w:rPr>
          <w:rFonts w:ascii="Arial" w:hAnsi="Arial" w:cs="Arial"/>
          <w:b/>
          <w:sz w:val="22"/>
          <w:szCs w:val="22"/>
        </w:rPr>
      </w:pPr>
    </w:p>
    <w:p w:rsidR="009B4233" w:rsidRDefault="006B08B9">
      <w:pPr>
        <w:rPr>
          <w:rFonts w:ascii="Arial" w:hAnsi="Arial" w:cs="Arial"/>
          <w:b/>
          <w:sz w:val="22"/>
          <w:szCs w:val="22"/>
        </w:rPr>
      </w:pPr>
      <w:r>
        <w:rPr>
          <w:rFonts w:ascii="Arial" w:hAnsi="Arial" w:cs="Arial"/>
          <w:b/>
          <w:sz w:val="22"/>
          <w:szCs w:val="22"/>
        </w:rPr>
        <w:t>JUNTA DE PORTAVOCES DE 22 DE SEPTIEMBRE DE 2025.</w:t>
      </w:r>
    </w:p>
    <w:p w:rsidR="009B4233" w:rsidRDefault="006B08B9">
      <w:pPr>
        <w:rPr>
          <w:rFonts w:ascii="Arial" w:hAnsi="Arial" w:cs="Arial"/>
          <w:sz w:val="22"/>
          <w:szCs w:val="22"/>
        </w:rPr>
      </w:pPr>
      <w:r>
        <w:rPr>
          <w:rFonts w:ascii="Arial" w:hAnsi="Arial" w:cs="Arial"/>
          <w:sz w:val="22"/>
          <w:szCs w:val="22"/>
        </w:rPr>
        <w:t xml:space="preserve">Quedó oída. </w:t>
      </w:r>
    </w:p>
    <w:p w:rsidR="009B4233" w:rsidRDefault="009B4233">
      <w:pPr>
        <w:rPr>
          <w:rFonts w:ascii="Arial" w:hAnsi="Arial" w:cs="Arial"/>
          <w:b/>
          <w:sz w:val="22"/>
          <w:szCs w:val="22"/>
        </w:rPr>
      </w:pPr>
    </w:p>
    <w:p w:rsidR="009B4233" w:rsidRDefault="009B4233">
      <w:pPr>
        <w:rPr>
          <w:rFonts w:ascii="Arial" w:hAnsi="Arial" w:cs="Arial"/>
          <w:b/>
          <w:sz w:val="22"/>
          <w:szCs w:val="22"/>
        </w:rPr>
      </w:pPr>
    </w:p>
    <w:p w:rsidR="009B4233" w:rsidRDefault="009B4233">
      <w:pPr>
        <w:jc w:val="both"/>
        <w:rPr>
          <w:rFonts w:ascii="Arial" w:hAnsi="Arial" w:cs="Arial"/>
          <w:b/>
          <w:sz w:val="22"/>
          <w:szCs w:val="22"/>
        </w:rPr>
      </w:pPr>
    </w:p>
    <w:p w:rsidR="009B4233" w:rsidRDefault="006B08B9">
      <w:pPr>
        <w:jc w:val="center"/>
        <w:rPr>
          <w:rFonts w:ascii="Arial" w:hAnsi="Arial" w:cs="Arial"/>
          <w:b/>
          <w:sz w:val="22"/>
          <w:szCs w:val="22"/>
        </w:rPr>
      </w:pPr>
      <w:r>
        <w:rPr>
          <w:rFonts w:ascii="Arial" w:hAnsi="Arial" w:cs="Arial"/>
          <w:b/>
          <w:sz w:val="22"/>
          <w:szCs w:val="22"/>
        </w:rPr>
        <w:t>VOTACIÓN EN EL PLENO DE 25 DE SEPTIEMBRE DE 2025.</w:t>
      </w:r>
    </w:p>
    <w:p w:rsidR="009B4233" w:rsidRDefault="009B4233">
      <w:pPr>
        <w:rPr>
          <w:rFonts w:ascii="Arial" w:hAnsi="Arial" w:cs="Arial"/>
          <w:b/>
          <w:sz w:val="22"/>
          <w:szCs w:val="22"/>
        </w:rPr>
      </w:pPr>
    </w:p>
    <w:p w:rsidR="009B4233" w:rsidRDefault="009B4233">
      <w:pPr>
        <w:rPr>
          <w:rFonts w:ascii="Arial" w:hAnsi="Arial" w:cs="Arial"/>
          <w:b/>
          <w:sz w:val="22"/>
          <w:szCs w:val="22"/>
        </w:rPr>
      </w:pPr>
    </w:p>
    <w:p w:rsidR="009B4233" w:rsidRDefault="006B08B9">
      <w:pPr>
        <w:jc w:val="both"/>
        <w:rPr>
          <w:rFonts w:ascii="Arial" w:hAnsi="Arial" w:cs="Arial"/>
          <w:sz w:val="22"/>
          <w:szCs w:val="22"/>
        </w:rPr>
      </w:pPr>
      <w:r>
        <w:rPr>
          <w:rFonts w:ascii="Arial" w:hAnsi="Arial" w:cs="Arial"/>
          <w:sz w:val="22"/>
          <w:szCs w:val="22"/>
        </w:rPr>
        <w:t>Votos a favor: 1.</w:t>
      </w:r>
    </w:p>
    <w:p w:rsidR="009B4233" w:rsidRDefault="006B08B9">
      <w:pPr>
        <w:jc w:val="both"/>
        <w:rPr>
          <w:rFonts w:ascii="Arial" w:hAnsi="Arial" w:cs="Arial"/>
          <w:sz w:val="22"/>
          <w:szCs w:val="22"/>
        </w:rPr>
      </w:pPr>
      <w:r>
        <w:rPr>
          <w:rFonts w:ascii="Arial" w:hAnsi="Arial" w:cs="Arial"/>
          <w:sz w:val="22"/>
          <w:szCs w:val="22"/>
        </w:rPr>
        <w:t>1 de la concejal, Doña Violeta López Jiménez (USP).</w:t>
      </w:r>
    </w:p>
    <w:p w:rsidR="009B4233" w:rsidRDefault="009B4233">
      <w:pPr>
        <w:jc w:val="both"/>
        <w:rPr>
          <w:rFonts w:ascii="Arial" w:hAnsi="Arial" w:cs="Arial"/>
          <w:sz w:val="22"/>
          <w:szCs w:val="22"/>
        </w:rPr>
      </w:pPr>
    </w:p>
    <w:p w:rsidR="009B4233" w:rsidRDefault="006B08B9">
      <w:pPr>
        <w:jc w:val="both"/>
        <w:rPr>
          <w:rFonts w:ascii="Arial" w:hAnsi="Arial" w:cs="Arial"/>
          <w:sz w:val="22"/>
          <w:szCs w:val="22"/>
        </w:rPr>
      </w:pPr>
      <w:r>
        <w:rPr>
          <w:rFonts w:ascii="Arial" w:hAnsi="Arial" w:cs="Arial"/>
          <w:sz w:val="22"/>
          <w:szCs w:val="22"/>
        </w:rPr>
        <w:t>Votos en contra: 11.</w:t>
      </w:r>
    </w:p>
    <w:p w:rsidR="009B4233" w:rsidRDefault="006B08B9">
      <w:pPr>
        <w:jc w:val="both"/>
        <w:rPr>
          <w:rFonts w:ascii="Arial" w:hAnsi="Arial" w:cs="Arial"/>
          <w:sz w:val="22"/>
          <w:szCs w:val="22"/>
        </w:rPr>
      </w:pPr>
      <w:r>
        <w:rPr>
          <w:rFonts w:ascii="Arial" w:hAnsi="Arial" w:cs="Arial"/>
          <w:sz w:val="22"/>
          <w:szCs w:val="22"/>
        </w:rPr>
        <w:t>11 concejales del Grupo Socialista:</w:t>
      </w:r>
      <w:r>
        <w:rPr>
          <w:rFonts w:ascii="Arial" w:hAnsi="Arial" w:cs="Arial"/>
          <w:sz w:val="22"/>
          <w:szCs w:val="22"/>
        </w:rPr>
        <w:t xml:space="preserve"> Doña María Concepción Brito Núñez, Don Jorge Baute Delgado, Don José Francisco Pinto Ramos, Doña Olivia Concepción Pérez Díaz, Don Reinaldo José Triviño Blanco, Don Manuel Alberto González Pestano, Doña Margarita Eva Tendero Barroso, Don Airam Pérez Chine</w:t>
      </w:r>
      <w:r>
        <w:rPr>
          <w:rFonts w:ascii="Arial" w:hAnsi="Arial" w:cs="Arial"/>
          <w:sz w:val="22"/>
          <w:szCs w:val="22"/>
        </w:rPr>
        <w:t xml:space="preserve">a, Doña María del Carmen Clemente Díaz, Don Olegario Francisco Alonso Bello, Doña Mónica Monserrat Yanes Delgado. </w:t>
      </w:r>
    </w:p>
    <w:p w:rsidR="009B4233" w:rsidRDefault="009B4233">
      <w:pPr>
        <w:jc w:val="both"/>
        <w:rPr>
          <w:rFonts w:ascii="Arial" w:hAnsi="Arial" w:cs="Arial"/>
          <w:sz w:val="22"/>
          <w:szCs w:val="22"/>
        </w:rPr>
      </w:pPr>
    </w:p>
    <w:p w:rsidR="009B4233" w:rsidRDefault="006B08B9">
      <w:pPr>
        <w:jc w:val="both"/>
        <w:rPr>
          <w:rFonts w:ascii="Arial" w:hAnsi="Arial" w:cs="Arial"/>
          <w:sz w:val="22"/>
          <w:szCs w:val="22"/>
        </w:rPr>
      </w:pPr>
      <w:r>
        <w:rPr>
          <w:rFonts w:ascii="Arial" w:hAnsi="Arial" w:cs="Arial"/>
          <w:sz w:val="22"/>
          <w:szCs w:val="22"/>
        </w:rPr>
        <w:t>Abstenciones: 7.</w:t>
      </w:r>
    </w:p>
    <w:p w:rsidR="009B4233" w:rsidRDefault="006B08B9">
      <w:pPr>
        <w:jc w:val="both"/>
        <w:rPr>
          <w:rFonts w:ascii="Arial" w:hAnsi="Arial" w:cs="Arial"/>
          <w:sz w:val="22"/>
          <w:szCs w:val="22"/>
        </w:rPr>
      </w:pPr>
      <w:r>
        <w:rPr>
          <w:rFonts w:ascii="Arial" w:hAnsi="Arial" w:cs="Arial"/>
          <w:sz w:val="22"/>
          <w:szCs w:val="22"/>
        </w:rPr>
        <w:t>4 concejales del Grupo Popular: Don Jacobo López Fariña, Don Miguel Eduardo Hernández Chitty, Don José Daniel Sosa González</w:t>
      </w:r>
      <w:r>
        <w:rPr>
          <w:rFonts w:ascii="Arial" w:hAnsi="Arial" w:cs="Arial"/>
          <w:sz w:val="22"/>
          <w:szCs w:val="22"/>
        </w:rPr>
        <w:t xml:space="preserve">, y Doña Shaila Castellano Batista. </w:t>
      </w:r>
    </w:p>
    <w:p w:rsidR="009B4233" w:rsidRDefault="009B4233">
      <w:pPr>
        <w:jc w:val="both"/>
        <w:rPr>
          <w:rFonts w:ascii="Arial" w:hAnsi="Arial" w:cs="Arial"/>
          <w:sz w:val="22"/>
          <w:szCs w:val="22"/>
        </w:rPr>
      </w:pPr>
    </w:p>
    <w:p w:rsidR="009B4233" w:rsidRDefault="006B08B9">
      <w:pPr>
        <w:jc w:val="both"/>
      </w:pPr>
      <w:r>
        <w:rPr>
          <w:rFonts w:ascii="Arial" w:hAnsi="Arial" w:cs="Arial"/>
          <w:sz w:val="22"/>
          <w:szCs w:val="22"/>
        </w:rPr>
        <w:t>3 concejales del Grupo Mixto: Doña Ángela Cruz Perera Armas y Don José Yeray Padilla Cruz (CC) y Don José Tortosa Pallarés (VOX).</w:t>
      </w:r>
    </w:p>
    <w:p w:rsidR="009B4233" w:rsidRDefault="006B08B9">
      <w:pPr>
        <w:jc w:val="both"/>
        <w:rPr>
          <w:rFonts w:ascii="Arial" w:hAnsi="Arial" w:cs="Arial"/>
          <w:b/>
          <w:sz w:val="22"/>
          <w:szCs w:val="22"/>
        </w:rPr>
      </w:pPr>
      <w:r>
        <w:rPr>
          <w:rFonts w:ascii="Arial" w:hAnsi="Arial" w:cs="Arial"/>
          <w:b/>
          <w:sz w:val="22"/>
          <w:szCs w:val="22"/>
        </w:rPr>
        <w:t xml:space="preserve">                          </w:t>
      </w:r>
    </w:p>
    <w:p w:rsidR="009B4233" w:rsidRDefault="009B4233">
      <w:pPr>
        <w:rPr>
          <w:rFonts w:ascii="Arial" w:hAnsi="Arial" w:cs="Arial"/>
          <w:b/>
          <w:sz w:val="22"/>
          <w:szCs w:val="22"/>
        </w:rPr>
      </w:pPr>
    </w:p>
    <w:p w:rsidR="009B4233" w:rsidRDefault="009B4233">
      <w:pPr>
        <w:rPr>
          <w:rFonts w:ascii="Arial" w:hAnsi="Arial" w:cs="Arial"/>
          <w:b/>
          <w:sz w:val="22"/>
          <w:szCs w:val="22"/>
        </w:rPr>
      </w:pPr>
    </w:p>
    <w:p w:rsidR="009B4233" w:rsidRDefault="006B08B9">
      <w:pPr>
        <w:pStyle w:val="Textoindependiente"/>
        <w:ind w:left="1416" w:firstLine="708"/>
        <w:rPr>
          <w:rFonts w:cs="Arial"/>
          <w:b/>
          <w:szCs w:val="22"/>
        </w:rPr>
      </w:pPr>
      <w:r>
        <w:rPr>
          <w:rFonts w:cs="Arial"/>
          <w:b/>
          <w:szCs w:val="22"/>
        </w:rPr>
        <w:t>ACUERDO DEL PLENO DE 25 DE SEPTIEMBRE DE 2025.</w:t>
      </w:r>
    </w:p>
    <w:p w:rsidR="009B4233" w:rsidRDefault="009B4233">
      <w:pPr>
        <w:pStyle w:val="Standard"/>
        <w:ind w:firstLine="709"/>
        <w:jc w:val="both"/>
        <w:rPr>
          <w:rFonts w:ascii="Arial" w:hAnsi="Arial" w:cs="Arial"/>
          <w:b/>
          <w:sz w:val="22"/>
          <w:szCs w:val="22"/>
        </w:rPr>
      </w:pPr>
    </w:p>
    <w:p w:rsidR="009B4233" w:rsidRDefault="006B08B9">
      <w:pPr>
        <w:pStyle w:val="Standard"/>
        <w:jc w:val="both"/>
        <w:rPr>
          <w:rFonts w:ascii="Arial" w:hAnsi="Arial" w:cs="Arial"/>
          <w:b/>
          <w:sz w:val="22"/>
          <w:szCs w:val="22"/>
        </w:rPr>
      </w:pPr>
      <w:r>
        <w:rPr>
          <w:rFonts w:ascii="Arial" w:hAnsi="Arial" w:cs="Arial"/>
          <w:b/>
          <w:sz w:val="22"/>
          <w:szCs w:val="22"/>
        </w:rPr>
        <w:t xml:space="preserve">Desestimar </w:t>
      </w:r>
      <w:r>
        <w:rPr>
          <w:rFonts w:ascii="Arial" w:hAnsi="Arial" w:cs="Arial"/>
          <w:b/>
          <w:sz w:val="22"/>
          <w:szCs w:val="22"/>
        </w:rPr>
        <w:t>la moción del Grupo Mixto (USP) con registro de entrada nº (2025-E-RE-8068) del 15 de septiembre de 2025, para las ayudas económicas al estudio para el alumnado empadronado en Candelaria, curso escolar 2025-2026.</w:t>
      </w:r>
    </w:p>
    <w:p w:rsidR="009B4233" w:rsidRDefault="009B4233">
      <w:pPr>
        <w:pStyle w:val="Standard"/>
        <w:jc w:val="both"/>
        <w:rPr>
          <w:rFonts w:ascii="Arial" w:hAnsi="Arial" w:cs="Arial"/>
          <w:b/>
          <w:sz w:val="22"/>
          <w:szCs w:val="22"/>
        </w:rPr>
      </w:pPr>
    </w:p>
    <w:p w:rsidR="009B4233" w:rsidRDefault="006B08B9">
      <w:pPr>
        <w:pStyle w:val="Standard"/>
        <w:jc w:val="both"/>
        <w:rPr>
          <w:rFonts w:ascii="Arial" w:hAnsi="Arial" w:cs="Arial"/>
          <w:b/>
          <w:sz w:val="22"/>
          <w:szCs w:val="22"/>
        </w:rPr>
      </w:pPr>
      <w:r>
        <w:rPr>
          <w:rFonts w:ascii="Arial" w:hAnsi="Arial" w:cs="Arial"/>
          <w:b/>
          <w:sz w:val="22"/>
          <w:szCs w:val="22"/>
        </w:rPr>
        <w:t>14.- URGENCIAS.</w:t>
      </w:r>
    </w:p>
    <w:p w:rsidR="009B4233" w:rsidRDefault="009B4233">
      <w:pPr>
        <w:pStyle w:val="Standard"/>
        <w:jc w:val="both"/>
        <w:rPr>
          <w:rFonts w:ascii="Arial" w:hAnsi="Arial" w:cs="Arial"/>
          <w:b/>
          <w:sz w:val="22"/>
          <w:szCs w:val="22"/>
        </w:rPr>
      </w:pPr>
    </w:p>
    <w:p w:rsidR="009B4233" w:rsidRDefault="009B4233">
      <w:pPr>
        <w:pStyle w:val="Standard"/>
        <w:jc w:val="both"/>
        <w:rPr>
          <w:rFonts w:ascii="Arial" w:hAnsi="Arial" w:cs="Arial"/>
          <w:b/>
          <w:sz w:val="22"/>
          <w:szCs w:val="22"/>
        </w:rPr>
      </w:pPr>
    </w:p>
    <w:p w:rsidR="009B4233" w:rsidRDefault="009B4233">
      <w:pPr>
        <w:pStyle w:val="Standard"/>
        <w:jc w:val="both"/>
        <w:rPr>
          <w:rFonts w:ascii="Arial" w:hAnsi="Arial" w:cs="Arial"/>
          <w:b/>
          <w:bCs/>
          <w:kern w:val="0"/>
          <w:sz w:val="22"/>
          <w:szCs w:val="22"/>
        </w:rPr>
      </w:pPr>
    </w:p>
    <w:p w:rsidR="009B4233" w:rsidRDefault="009B4233">
      <w:pPr>
        <w:pStyle w:val="Standard"/>
        <w:jc w:val="both"/>
        <w:rPr>
          <w:rFonts w:ascii="Arial" w:hAnsi="Arial" w:cs="Arial"/>
          <w:b/>
          <w:sz w:val="22"/>
          <w:szCs w:val="22"/>
          <w:u w:val="single"/>
        </w:rPr>
      </w:pPr>
    </w:p>
    <w:p w:rsidR="009B4233" w:rsidRDefault="009B4233">
      <w:pPr>
        <w:ind w:right="67"/>
        <w:jc w:val="both"/>
        <w:rPr>
          <w:rFonts w:ascii="Arial" w:hAnsi="Arial" w:cs="Arial"/>
          <w:b/>
          <w:bCs/>
          <w:iCs/>
          <w:sz w:val="22"/>
          <w:szCs w:val="22"/>
          <w:u w:val="single"/>
        </w:rPr>
      </w:pPr>
    </w:p>
    <w:p w:rsidR="009B4233" w:rsidRDefault="009B4233">
      <w:pPr>
        <w:ind w:right="67"/>
        <w:jc w:val="both"/>
        <w:rPr>
          <w:rFonts w:ascii="Arial" w:hAnsi="Arial" w:cs="Arial"/>
          <w:b/>
          <w:bCs/>
          <w:iCs/>
          <w:sz w:val="22"/>
          <w:szCs w:val="22"/>
          <w:u w:val="single"/>
        </w:rPr>
      </w:pPr>
    </w:p>
    <w:p w:rsidR="009B4233" w:rsidRDefault="009B4233">
      <w:pPr>
        <w:ind w:right="67"/>
        <w:jc w:val="both"/>
        <w:rPr>
          <w:rFonts w:ascii="Arial" w:hAnsi="Arial" w:cs="Arial"/>
          <w:b/>
          <w:bCs/>
          <w:iCs/>
          <w:sz w:val="22"/>
          <w:szCs w:val="22"/>
          <w:u w:val="single"/>
        </w:rPr>
      </w:pPr>
    </w:p>
    <w:p w:rsidR="009B4233" w:rsidRDefault="009B4233">
      <w:pPr>
        <w:ind w:right="67"/>
        <w:jc w:val="both"/>
        <w:rPr>
          <w:rFonts w:ascii="Arial" w:hAnsi="Arial" w:cs="Arial"/>
          <w:b/>
          <w:bCs/>
          <w:iCs/>
          <w:sz w:val="22"/>
          <w:szCs w:val="22"/>
          <w:u w:val="single"/>
        </w:rPr>
      </w:pPr>
    </w:p>
    <w:p w:rsidR="009B4233" w:rsidRDefault="009B4233">
      <w:pPr>
        <w:ind w:right="67"/>
        <w:jc w:val="both"/>
        <w:rPr>
          <w:rFonts w:ascii="Arial" w:hAnsi="Arial" w:cs="Arial"/>
          <w:b/>
          <w:bCs/>
          <w:iCs/>
          <w:sz w:val="22"/>
          <w:szCs w:val="22"/>
          <w:u w:val="single"/>
        </w:rPr>
      </w:pPr>
    </w:p>
    <w:p w:rsidR="009B4233" w:rsidRDefault="009B4233">
      <w:pPr>
        <w:ind w:right="67"/>
        <w:jc w:val="both"/>
        <w:rPr>
          <w:rFonts w:ascii="Arial" w:hAnsi="Arial" w:cs="Arial"/>
          <w:b/>
          <w:bCs/>
          <w:iCs/>
          <w:sz w:val="22"/>
          <w:szCs w:val="22"/>
          <w:u w:val="single"/>
        </w:rPr>
      </w:pPr>
    </w:p>
    <w:p w:rsidR="009B4233" w:rsidRDefault="009B4233">
      <w:pPr>
        <w:ind w:right="67"/>
        <w:jc w:val="both"/>
        <w:rPr>
          <w:rFonts w:ascii="Arial" w:hAnsi="Arial" w:cs="Arial"/>
          <w:b/>
          <w:bCs/>
          <w:iCs/>
          <w:sz w:val="22"/>
          <w:szCs w:val="22"/>
          <w:u w:val="single"/>
        </w:rPr>
      </w:pPr>
    </w:p>
    <w:p w:rsidR="009B4233" w:rsidRDefault="009B4233">
      <w:pPr>
        <w:ind w:right="67"/>
        <w:jc w:val="both"/>
        <w:rPr>
          <w:rFonts w:ascii="Arial" w:hAnsi="Arial" w:cs="Arial"/>
          <w:b/>
          <w:bCs/>
          <w:iCs/>
          <w:sz w:val="22"/>
          <w:szCs w:val="22"/>
          <w:u w:val="single"/>
        </w:rPr>
      </w:pPr>
    </w:p>
    <w:p w:rsidR="009B4233" w:rsidRDefault="009B4233">
      <w:pPr>
        <w:ind w:right="67"/>
        <w:jc w:val="both"/>
        <w:rPr>
          <w:rFonts w:ascii="Arial" w:hAnsi="Arial" w:cs="Arial"/>
          <w:b/>
          <w:bCs/>
          <w:iCs/>
          <w:sz w:val="22"/>
          <w:szCs w:val="22"/>
          <w:u w:val="single"/>
        </w:rPr>
      </w:pPr>
    </w:p>
    <w:p w:rsidR="009B4233" w:rsidRDefault="009B4233">
      <w:pPr>
        <w:ind w:right="67"/>
        <w:jc w:val="both"/>
        <w:rPr>
          <w:rFonts w:ascii="Arial" w:hAnsi="Arial" w:cs="Arial"/>
          <w:b/>
          <w:bCs/>
          <w:iCs/>
          <w:sz w:val="22"/>
          <w:szCs w:val="22"/>
          <w:u w:val="single"/>
        </w:rPr>
      </w:pPr>
    </w:p>
    <w:p w:rsidR="009B4233" w:rsidRDefault="009B4233">
      <w:pPr>
        <w:ind w:right="67"/>
        <w:jc w:val="both"/>
        <w:rPr>
          <w:rFonts w:ascii="Arial" w:hAnsi="Arial" w:cs="Arial"/>
          <w:b/>
          <w:bCs/>
          <w:iCs/>
          <w:sz w:val="22"/>
          <w:szCs w:val="22"/>
          <w:u w:val="single"/>
        </w:rPr>
      </w:pPr>
    </w:p>
    <w:p w:rsidR="009B4233" w:rsidRDefault="009B4233">
      <w:pPr>
        <w:ind w:right="67"/>
        <w:jc w:val="both"/>
        <w:rPr>
          <w:rFonts w:ascii="Arial" w:hAnsi="Arial" w:cs="Arial"/>
          <w:b/>
          <w:bCs/>
          <w:iCs/>
          <w:sz w:val="22"/>
          <w:szCs w:val="22"/>
          <w:u w:val="single"/>
        </w:rPr>
      </w:pPr>
    </w:p>
    <w:p w:rsidR="009B4233" w:rsidRDefault="009B4233">
      <w:pPr>
        <w:ind w:right="67"/>
        <w:jc w:val="both"/>
        <w:rPr>
          <w:rFonts w:ascii="Arial" w:hAnsi="Arial" w:cs="Arial"/>
          <w:b/>
          <w:bCs/>
          <w:iCs/>
          <w:sz w:val="22"/>
          <w:szCs w:val="22"/>
          <w:u w:val="single"/>
        </w:rPr>
      </w:pPr>
    </w:p>
    <w:p w:rsidR="009B4233" w:rsidRDefault="009B4233">
      <w:pPr>
        <w:ind w:right="67"/>
        <w:jc w:val="both"/>
        <w:rPr>
          <w:rFonts w:ascii="Arial" w:hAnsi="Arial" w:cs="Arial"/>
          <w:b/>
          <w:bCs/>
          <w:iCs/>
          <w:sz w:val="22"/>
          <w:szCs w:val="22"/>
          <w:u w:val="single"/>
        </w:rPr>
      </w:pPr>
    </w:p>
    <w:p w:rsidR="009B4233" w:rsidRDefault="009B4233">
      <w:pPr>
        <w:ind w:right="67"/>
        <w:jc w:val="both"/>
        <w:rPr>
          <w:rFonts w:ascii="Arial" w:hAnsi="Arial" w:cs="Arial"/>
          <w:b/>
          <w:bCs/>
          <w:iCs/>
          <w:sz w:val="22"/>
          <w:szCs w:val="22"/>
          <w:u w:val="single"/>
        </w:rPr>
      </w:pPr>
    </w:p>
    <w:p w:rsidR="009B4233" w:rsidRDefault="009B4233">
      <w:pPr>
        <w:ind w:right="67"/>
        <w:jc w:val="both"/>
        <w:rPr>
          <w:rFonts w:ascii="Arial" w:hAnsi="Arial" w:cs="Arial"/>
          <w:b/>
          <w:bCs/>
          <w:iCs/>
          <w:sz w:val="22"/>
          <w:szCs w:val="22"/>
          <w:u w:val="single"/>
        </w:rPr>
      </w:pPr>
    </w:p>
    <w:p w:rsidR="009B4233" w:rsidRDefault="009B4233">
      <w:pPr>
        <w:ind w:right="67"/>
        <w:jc w:val="both"/>
        <w:rPr>
          <w:rFonts w:ascii="Arial" w:hAnsi="Arial" w:cs="Arial"/>
          <w:b/>
          <w:bCs/>
          <w:iCs/>
          <w:sz w:val="22"/>
          <w:szCs w:val="22"/>
          <w:u w:val="single"/>
        </w:rPr>
      </w:pPr>
    </w:p>
    <w:p w:rsidR="009B4233" w:rsidRDefault="009B4233">
      <w:pPr>
        <w:ind w:right="67"/>
        <w:jc w:val="both"/>
        <w:rPr>
          <w:rFonts w:ascii="Arial" w:hAnsi="Arial" w:cs="Arial"/>
          <w:b/>
          <w:bCs/>
          <w:iCs/>
          <w:sz w:val="22"/>
          <w:szCs w:val="22"/>
          <w:u w:val="single"/>
        </w:rPr>
      </w:pPr>
    </w:p>
    <w:p w:rsidR="009B4233" w:rsidRDefault="009B4233">
      <w:pPr>
        <w:ind w:right="67"/>
        <w:jc w:val="both"/>
        <w:rPr>
          <w:rFonts w:ascii="Arial" w:hAnsi="Arial" w:cs="Arial"/>
          <w:b/>
          <w:bCs/>
          <w:iCs/>
          <w:sz w:val="22"/>
          <w:szCs w:val="22"/>
          <w:u w:val="single"/>
        </w:rPr>
      </w:pPr>
    </w:p>
    <w:p w:rsidR="009B4233" w:rsidRDefault="009B4233">
      <w:pPr>
        <w:ind w:right="67"/>
        <w:jc w:val="both"/>
        <w:rPr>
          <w:rFonts w:ascii="Arial" w:hAnsi="Arial" w:cs="Arial"/>
          <w:b/>
          <w:bCs/>
          <w:iCs/>
          <w:sz w:val="22"/>
          <w:szCs w:val="22"/>
          <w:u w:val="single"/>
        </w:rPr>
      </w:pPr>
    </w:p>
    <w:p w:rsidR="009B4233" w:rsidRDefault="009B4233">
      <w:pPr>
        <w:ind w:right="67"/>
        <w:jc w:val="both"/>
        <w:rPr>
          <w:rFonts w:ascii="Arial" w:hAnsi="Arial" w:cs="Arial"/>
          <w:b/>
          <w:bCs/>
          <w:iCs/>
          <w:sz w:val="22"/>
          <w:szCs w:val="22"/>
          <w:u w:val="single"/>
        </w:rPr>
      </w:pPr>
    </w:p>
    <w:p w:rsidR="009B4233" w:rsidRDefault="009B4233">
      <w:pPr>
        <w:ind w:right="67"/>
        <w:jc w:val="both"/>
        <w:rPr>
          <w:rFonts w:ascii="Arial" w:hAnsi="Arial" w:cs="Arial"/>
          <w:b/>
          <w:bCs/>
          <w:iCs/>
          <w:sz w:val="22"/>
          <w:szCs w:val="22"/>
          <w:u w:val="single"/>
        </w:rPr>
      </w:pPr>
    </w:p>
    <w:p w:rsidR="009B4233" w:rsidRDefault="009B4233">
      <w:pPr>
        <w:ind w:right="67"/>
        <w:jc w:val="both"/>
        <w:rPr>
          <w:rFonts w:ascii="Arial" w:hAnsi="Arial" w:cs="Arial"/>
          <w:b/>
          <w:bCs/>
          <w:iCs/>
          <w:sz w:val="22"/>
          <w:szCs w:val="22"/>
          <w:u w:val="single"/>
        </w:rPr>
      </w:pPr>
    </w:p>
    <w:p w:rsidR="009B4233" w:rsidRDefault="009B4233">
      <w:pPr>
        <w:ind w:right="67"/>
        <w:jc w:val="both"/>
        <w:rPr>
          <w:rFonts w:ascii="Arial" w:hAnsi="Arial" w:cs="Arial"/>
          <w:b/>
          <w:bCs/>
          <w:iCs/>
          <w:sz w:val="22"/>
          <w:szCs w:val="22"/>
          <w:u w:val="single"/>
        </w:rPr>
      </w:pPr>
    </w:p>
    <w:p w:rsidR="009B4233" w:rsidRDefault="009B4233">
      <w:pPr>
        <w:ind w:right="67"/>
        <w:jc w:val="both"/>
        <w:rPr>
          <w:rFonts w:ascii="Arial" w:hAnsi="Arial" w:cs="Arial"/>
          <w:b/>
          <w:bCs/>
          <w:iCs/>
          <w:sz w:val="22"/>
          <w:szCs w:val="22"/>
          <w:u w:val="single"/>
        </w:rPr>
      </w:pPr>
    </w:p>
    <w:p w:rsidR="009B4233" w:rsidRDefault="009B4233">
      <w:pPr>
        <w:ind w:right="67"/>
        <w:jc w:val="both"/>
        <w:rPr>
          <w:rFonts w:ascii="Arial" w:hAnsi="Arial" w:cs="Arial"/>
          <w:b/>
          <w:bCs/>
          <w:iCs/>
          <w:sz w:val="22"/>
          <w:szCs w:val="22"/>
          <w:u w:val="single"/>
        </w:rPr>
      </w:pPr>
    </w:p>
    <w:p w:rsidR="009B4233" w:rsidRDefault="009B4233">
      <w:pPr>
        <w:ind w:right="67"/>
        <w:jc w:val="both"/>
        <w:rPr>
          <w:rFonts w:ascii="Arial" w:hAnsi="Arial" w:cs="Arial"/>
          <w:b/>
          <w:bCs/>
          <w:iCs/>
          <w:sz w:val="22"/>
          <w:szCs w:val="22"/>
          <w:u w:val="single"/>
        </w:rPr>
      </w:pPr>
    </w:p>
    <w:p w:rsidR="009B4233" w:rsidRDefault="009B4233">
      <w:pPr>
        <w:ind w:right="67"/>
        <w:jc w:val="both"/>
        <w:rPr>
          <w:rFonts w:ascii="Arial" w:hAnsi="Arial" w:cs="Arial"/>
          <w:b/>
          <w:bCs/>
          <w:iCs/>
          <w:sz w:val="22"/>
          <w:szCs w:val="22"/>
          <w:u w:val="single"/>
        </w:rPr>
      </w:pPr>
    </w:p>
    <w:p w:rsidR="009B4233" w:rsidRDefault="009B4233">
      <w:pPr>
        <w:ind w:right="67"/>
        <w:jc w:val="both"/>
        <w:rPr>
          <w:rFonts w:ascii="Arial" w:hAnsi="Arial" w:cs="Arial"/>
          <w:b/>
          <w:bCs/>
          <w:iCs/>
          <w:sz w:val="22"/>
          <w:szCs w:val="22"/>
          <w:u w:val="single"/>
        </w:rPr>
      </w:pPr>
    </w:p>
    <w:p w:rsidR="009B4233" w:rsidRDefault="009B4233">
      <w:pPr>
        <w:ind w:right="67"/>
        <w:jc w:val="both"/>
        <w:rPr>
          <w:rFonts w:ascii="Arial" w:hAnsi="Arial" w:cs="Arial"/>
          <w:b/>
          <w:bCs/>
          <w:iCs/>
          <w:sz w:val="22"/>
          <w:szCs w:val="22"/>
          <w:u w:val="single"/>
        </w:rPr>
      </w:pPr>
    </w:p>
    <w:p w:rsidR="009B4233" w:rsidRDefault="009B4233">
      <w:pPr>
        <w:ind w:right="67"/>
        <w:jc w:val="both"/>
        <w:rPr>
          <w:rFonts w:ascii="Arial" w:hAnsi="Arial" w:cs="Arial"/>
          <w:b/>
          <w:bCs/>
          <w:iCs/>
          <w:sz w:val="22"/>
          <w:szCs w:val="22"/>
          <w:u w:val="single"/>
        </w:rPr>
      </w:pPr>
    </w:p>
    <w:p w:rsidR="009B4233" w:rsidRDefault="009B4233">
      <w:pPr>
        <w:ind w:right="67"/>
        <w:jc w:val="both"/>
        <w:rPr>
          <w:rFonts w:ascii="Arial" w:hAnsi="Arial" w:cs="Arial"/>
          <w:b/>
          <w:bCs/>
          <w:iCs/>
          <w:sz w:val="22"/>
          <w:szCs w:val="22"/>
          <w:u w:val="single"/>
        </w:rPr>
      </w:pPr>
    </w:p>
    <w:p w:rsidR="009B4233" w:rsidRDefault="009B4233">
      <w:pPr>
        <w:ind w:right="67"/>
        <w:jc w:val="both"/>
        <w:rPr>
          <w:rFonts w:ascii="Arial" w:hAnsi="Arial" w:cs="Arial"/>
          <w:b/>
          <w:bCs/>
          <w:iCs/>
          <w:sz w:val="22"/>
          <w:szCs w:val="22"/>
          <w:u w:val="single"/>
        </w:rPr>
      </w:pPr>
    </w:p>
    <w:p w:rsidR="009B4233" w:rsidRDefault="009B4233">
      <w:pPr>
        <w:ind w:right="67"/>
        <w:jc w:val="both"/>
        <w:rPr>
          <w:rFonts w:ascii="Arial" w:hAnsi="Arial" w:cs="Arial"/>
          <w:b/>
          <w:bCs/>
          <w:iCs/>
          <w:sz w:val="22"/>
          <w:szCs w:val="22"/>
          <w:u w:val="single"/>
        </w:rPr>
      </w:pPr>
    </w:p>
    <w:p w:rsidR="009B4233" w:rsidRDefault="009B4233">
      <w:pPr>
        <w:ind w:right="67"/>
        <w:jc w:val="both"/>
        <w:rPr>
          <w:rFonts w:ascii="Arial" w:hAnsi="Arial" w:cs="Arial"/>
          <w:b/>
          <w:bCs/>
          <w:iCs/>
          <w:sz w:val="22"/>
          <w:szCs w:val="22"/>
          <w:u w:val="single"/>
        </w:rPr>
      </w:pPr>
    </w:p>
    <w:p w:rsidR="009B4233" w:rsidRDefault="006B08B9">
      <w:pPr>
        <w:ind w:right="67"/>
        <w:jc w:val="both"/>
      </w:pPr>
      <w:r>
        <w:rPr>
          <w:rFonts w:ascii="Arial" w:hAnsi="Arial" w:cs="Arial"/>
          <w:b/>
          <w:bCs/>
          <w:iCs/>
          <w:sz w:val="22"/>
          <w:szCs w:val="22"/>
          <w:u w:val="single"/>
        </w:rPr>
        <w:t>B) Control y Fiscalización de los Órganos de Gobierno</w:t>
      </w:r>
      <w:r>
        <w:rPr>
          <w:rFonts w:ascii="Arial" w:hAnsi="Arial" w:cs="Arial"/>
          <w:bCs/>
          <w:iCs/>
          <w:sz w:val="22"/>
          <w:szCs w:val="22"/>
        </w:rPr>
        <w:t>.</w:t>
      </w:r>
    </w:p>
    <w:p w:rsidR="009B4233" w:rsidRDefault="009B4233">
      <w:pPr>
        <w:ind w:right="67"/>
        <w:jc w:val="both"/>
        <w:rPr>
          <w:rFonts w:ascii="Arial" w:hAnsi="Arial" w:cs="Arial"/>
          <w:bCs/>
          <w:iCs/>
          <w:sz w:val="22"/>
          <w:szCs w:val="22"/>
        </w:rPr>
      </w:pPr>
    </w:p>
    <w:p w:rsidR="009B4233" w:rsidRDefault="009B4233">
      <w:pPr>
        <w:ind w:right="67"/>
        <w:jc w:val="both"/>
        <w:rPr>
          <w:rFonts w:ascii="Arial" w:hAnsi="Arial" w:cs="Arial"/>
          <w:bCs/>
          <w:iCs/>
          <w:sz w:val="22"/>
          <w:szCs w:val="22"/>
        </w:rPr>
      </w:pPr>
    </w:p>
    <w:p w:rsidR="009B4233" w:rsidRDefault="009B4233">
      <w:pPr>
        <w:ind w:right="67"/>
        <w:jc w:val="both"/>
        <w:rPr>
          <w:rFonts w:ascii="Arial" w:hAnsi="Arial" w:cs="Arial"/>
          <w:bCs/>
          <w:iCs/>
          <w:sz w:val="22"/>
          <w:szCs w:val="22"/>
        </w:rPr>
      </w:pPr>
    </w:p>
    <w:p w:rsidR="009B4233" w:rsidRDefault="006B08B9">
      <w:pPr>
        <w:ind w:right="67"/>
        <w:jc w:val="both"/>
        <w:rPr>
          <w:rFonts w:ascii="Arial" w:hAnsi="Arial" w:cs="Arial"/>
          <w:b/>
          <w:bCs/>
          <w:iCs/>
          <w:sz w:val="22"/>
          <w:szCs w:val="22"/>
        </w:rPr>
      </w:pPr>
      <w:r>
        <w:rPr>
          <w:rFonts w:ascii="Arial" w:hAnsi="Arial" w:cs="Arial"/>
          <w:b/>
          <w:bCs/>
          <w:iCs/>
          <w:sz w:val="22"/>
          <w:szCs w:val="22"/>
        </w:rPr>
        <w:t>15.- Dación de Cuenta de los Decretos de la Alcaldía-Presidencia y de los Concejales delegados.</w:t>
      </w:r>
    </w:p>
    <w:p w:rsidR="009B4233" w:rsidRDefault="009B4233">
      <w:pPr>
        <w:ind w:right="67"/>
        <w:jc w:val="both"/>
        <w:rPr>
          <w:rFonts w:ascii="Arial" w:hAnsi="Arial" w:cs="Arial"/>
          <w:b/>
          <w:sz w:val="22"/>
          <w:szCs w:val="22"/>
        </w:rPr>
      </w:pPr>
    </w:p>
    <w:p w:rsidR="009B4233" w:rsidRDefault="006B08B9">
      <w:pPr>
        <w:ind w:right="67"/>
        <w:jc w:val="both"/>
      </w:pPr>
      <w:r>
        <w:rPr>
          <w:rFonts w:ascii="Arial" w:hAnsi="Arial" w:cs="Arial"/>
          <w:sz w:val="22"/>
          <w:szCs w:val="22"/>
        </w:rPr>
        <w:t xml:space="preserve">El Secretario da traslado del CD con los Decretos desde la última sesión ordinaria a </w:t>
      </w:r>
      <w:r>
        <w:rPr>
          <w:rFonts w:ascii="Arial" w:hAnsi="Arial" w:cs="Arial"/>
          <w:sz w:val="22"/>
          <w:szCs w:val="22"/>
        </w:rPr>
        <w:t>cada uno de los portavoces de los Grupos Municipales y a la Alcaldía-Presidencia durante el transcurso de la sesión plenaria.</w:t>
      </w:r>
    </w:p>
    <w:p w:rsidR="009B4233" w:rsidRDefault="009B4233">
      <w:pPr>
        <w:ind w:right="67"/>
        <w:jc w:val="both"/>
        <w:rPr>
          <w:rFonts w:ascii="Arial" w:hAnsi="Arial" w:cs="Arial"/>
          <w:b/>
          <w:bCs/>
          <w:iCs/>
          <w:sz w:val="22"/>
          <w:szCs w:val="22"/>
        </w:rPr>
      </w:pPr>
    </w:p>
    <w:p w:rsidR="009B4233" w:rsidRDefault="009B4233">
      <w:pPr>
        <w:ind w:right="67"/>
        <w:jc w:val="both"/>
        <w:rPr>
          <w:rFonts w:ascii="Arial" w:hAnsi="Arial" w:cs="Arial"/>
          <w:b/>
          <w:bCs/>
          <w:iCs/>
          <w:sz w:val="22"/>
          <w:szCs w:val="22"/>
        </w:rPr>
      </w:pPr>
    </w:p>
    <w:p w:rsidR="009B4233" w:rsidRDefault="006B08B9">
      <w:pPr>
        <w:ind w:right="67"/>
        <w:jc w:val="both"/>
      </w:pPr>
      <w:r>
        <w:rPr>
          <w:rFonts w:ascii="Arial" w:hAnsi="Arial" w:cs="Arial"/>
          <w:b/>
          <w:bCs/>
          <w:iCs/>
          <w:sz w:val="22"/>
          <w:szCs w:val="22"/>
        </w:rPr>
        <w:t xml:space="preserve">16.- </w:t>
      </w:r>
      <w:r>
        <w:rPr>
          <w:rFonts w:ascii="Arial" w:hAnsi="Arial" w:cs="Arial"/>
          <w:b/>
          <w:color w:val="000000"/>
          <w:sz w:val="22"/>
          <w:szCs w:val="22"/>
          <w:shd w:val="clear" w:color="auto" w:fill="FFFFFF"/>
        </w:rPr>
        <w:t>Informe del Interventor en su caso de las resoluciones adoptadas por la Presidenta de la Corporación Local contrarias a los</w:t>
      </w:r>
      <w:r>
        <w:rPr>
          <w:rFonts w:ascii="Arial" w:hAnsi="Arial" w:cs="Arial"/>
          <w:b/>
          <w:color w:val="000000"/>
          <w:sz w:val="22"/>
          <w:szCs w:val="22"/>
          <w:shd w:val="clear" w:color="auto" w:fill="FFFFFF"/>
        </w:rPr>
        <w:t xml:space="preserve"> reparos efectuados en cumplimiento de la Ley 27/2013, de 27 de diciembre de racionalización y sostenibilidad de la Administración Local</w:t>
      </w:r>
    </w:p>
    <w:p w:rsidR="009B4233" w:rsidRDefault="009B4233">
      <w:pPr>
        <w:ind w:right="67"/>
        <w:jc w:val="both"/>
        <w:rPr>
          <w:rFonts w:ascii="Arial" w:hAnsi="Arial" w:cs="Arial"/>
          <w:b/>
          <w:color w:val="000000"/>
          <w:sz w:val="22"/>
          <w:szCs w:val="22"/>
          <w:shd w:val="clear" w:color="auto" w:fill="FFFFFF"/>
        </w:rPr>
      </w:pPr>
    </w:p>
    <w:p w:rsidR="009B4233" w:rsidRDefault="006B08B9">
      <w:pPr>
        <w:ind w:right="67"/>
        <w:jc w:val="both"/>
        <w:rPr>
          <w:rFonts w:ascii="Arial" w:hAnsi="Arial" w:cs="Arial"/>
          <w:color w:val="000000"/>
          <w:sz w:val="22"/>
          <w:szCs w:val="22"/>
          <w:shd w:val="clear" w:color="auto" w:fill="FFFFFF"/>
        </w:rPr>
      </w:pPr>
      <w:r>
        <w:rPr>
          <w:rFonts w:ascii="Arial" w:hAnsi="Arial" w:cs="Arial"/>
          <w:color w:val="000000"/>
          <w:sz w:val="22"/>
          <w:szCs w:val="22"/>
          <w:shd w:val="clear" w:color="auto" w:fill="FFFFFF"/>
        </w:rPr>
        <w:t>No hay.</w:t>
      </w:r>
    </w:p>
    <w:p w:rsidR="009B4233" w:rsidRDefault="009B4233">
      <w:pPr>
        <w:ind w:right="67"/>
        <w:jc w:val="both"/>
        <w:rPr>
          <w:rFonts w:ascii="Arial" w:hAnsi="Arial" w:cs="Arial"/>
          <w:sz w:val="22"/>
          <w:szCs w:val="22"/>
        </w:rPr>
      </w:pPr>
    </w:p>
    <w:p w:rsidR="009B4233" w:rsidRDefault="006B08B9">
      <w:pPr>
        <w:pStyle w:val="Prrafodelista"/>
        <w:numPr>
          <w:ilvl w:val="0"/>
          <w:numId w:val="120"/>
        </w:numPr>
        <w:ind w:right="67"/>
        <w:jc w:val="both"/>
      </w:pPr>
      <w:r>
        <w:rPr>
          <w:rFonts w:ascii="Arial" w:hAnsi="Arial" w:cs="Arial"/>
          <w:b/>
          <w:bCs/>
          <w:iCs/>
          <w:sz w:val="22"/>
          <w:szCs w:val="22"/>
          <w:u w:val="single"/>
        </w:rPr>
        <w:t>Ruegos y preguntas</w:t>
      </w:r>
      <w:r>
        <w:rPr>
          <w:rFonts w:ascii="Arial" w:hAnsi="Arial" w:cs="Arial"/>
          <w:b/>
          <w:bCs/>
          <w:iCs/>
          <w:sz w:val="22"/>
          <w:szCs w:val="22"/>
        </w:rPr>
        <w:t>.</w:t>
      </w:r>
    </w:p>
    <w:p w:rsidR="009B4233" w:rsidRDefault="009B4233">
      <w:pPr>
        <w:ind w:right="67"/>
        <w:jc w:val="both"/>
        <w:rPr>
          <w:rFonts w:ascii="Arial" w:hAnsi="Arial" w:cs="Arial"/>
          <w:bCs/>
          <w:iCs/>
          <w:sz w:val="22"/>
          <w:szCs w:val="22"/>
        </w:rPr>
      </w:pPr>
    </w:p>
    <w:p w:rsidR="009B4233" w:rsidRDefault="009B4233">
      <w:pPr>
        <w:ind w:right="67"/>
        <w:jc w:val="both"/>
        <w:rPr>
          <w:rFonts w:ascii="Arial" w:hAnsi="Arial" w:cs="Arial"/>
          <w:bCs/>
          <w:iCs/>
          <w:sz w:val="22"/>
          <w:szCs w:val="22"/>
        </w:rPr>
      </w:pPr>
    </w:p>
    <w:p w:rsidR="009B4233" w:rsidRDefault="006B08B9">
      <w:pPr>
        <w:ind w:right="67"/>
        <w:jc w:val="both"/>
      </w:pPr>
      <w:r>
        <w:rPr>
          <w:rFonts w:ascii="Arial" w:hAnsi="Arial" w:cs="Arial"/>
          <w:b/>
          <w:bCs/>
          <w:iCs/>
          <w:sz w:val="22"/>
          <w:szCs w:val="22"/>
        </w:rPr>
        <w:t xml:space="preserve">17.- </w:t>
      </w:r>
      <w:r>
        <w:rPr>
          <w:rFonts w:ascii="Arial" w:hAnsi="Arial" w:cs="Arial"/>
          <w:b/>
          <w:sz w:val="22"/>
          <w:szCs w:val="22"/>
        </w:rPr>
        <w:t xml:space="preserve">Están en el videoacta: </w:t>
      </w:r>
    </w:p>
    <w:p w:rsidR="009B4233" w:rsidRDefault="009B4233">
      <w:pPr>
        <w:ind w:right="67"/>
        <w:jc w:val="both"/>
        <w:rPr>
          <w:rFonts w:ascii="Arial" w:hAnsi="Arial" w:cs="Arial"/>
          <w:b/>
          <w:sz w:val="22"/>
          <w:szCs w:val="22"/>
        </w:rPr>
      </w:pPr>
    </w:p>
    <w:p w:rsidR="009B4233" w:rsidRDefault="006B08B9">
      <w:pPr>
        <w:ind w:right="67"/>
        <w:jc w:val="both"/>
      </w:pPr>
      <w:hyperlink r:id="rId52" w:history="1">
        <w:r>
          <w:rPr>
            <w:rStyle w:val="Hipervnculo"/>
            <w:rFonts w:ascii="Arial" w:hAnsi="Arial" w:cs="Arial"/>
            <w:bCs/>
            <w:iCs/>
            <w:sz w:val="22"/>
            <w:szCs w:val="22"/>
          </w:rPr>
          <w:t>https://www.youtube.com/watch?v=Iggqf2fg45o</w:t>
        </w:r>
      </w:hyperlink>
    </w:p>
    <w:p w:rsidR="009B4233" w:rsidRDefault="009B4233">
      <w:pPr>
        <w:ind w:right="67"/>
        <w:jc w:val="both"/>
        <w:rPr>
          <w:rFonts w:ascii="Arial" w:hAnsi="Arial" w:cs="Arial"/>
          <w:bCs/>
          <w:iCs/>
          <w:sz w:val="22"/>
          <w:szCs w:val="22"/>
        </w:rPr>
      </w:pPr>
    </w:p>
    <w:p w:rsidR="009B4233" w:rsidRDefault="009B4233">
      <w:pPr>
        <w:ind w:right="67"/>
        <w:jc w:val="both"/>
        <w:rPr>
          <w:rFonts w:ascii="Arial" w:hAnsi="Arial" w:cs="Arial"/>
          <w:bCs/>
          <w:iCs/>
          <w:sz w:val="22"/>
          <w:szCs w:val="22"/>
        </w:rPr>
      </w:pPr>
    </w:p>
    <w:p w:rsidR="009B4233" w:rsidRDefault="009B4233">
      <w:pPr>
        <w:ind w:right="67"/>
        <w:jc w:val="both"/>
        <w:rPr>
          <w:rFonts w:ascii="Arial" w:hAnsi="Arial" w:cs="Arial"/>
          <w:bCs/>
          <w:iCs/>
          <w:sz w:val="22"/>
          <w:szCs w:val="22"/>
        </w:rPr>
      </w:pPr>
    </w:p>
    <w:p w:rsidR="009B4233" w:rsidRDefault="009B4233">
      <w:pPr>
        <w:ind w:right="67"/>
        <w:jc w:val="both"/>
        <w:rPr>
          <w:rFonts w:ascii="Arial" w:hAnsi="Arial" w:cs="Arial"/>
          <w:bCs/>
          <w:iCs/>
          <w:sz w:val="22"/>
          <w:szCs w:val="22"/>
        </w:rPr>
      </w:pPr>
    </w:p>
    <w:p w:rsidR="009B4233" w:rsidRDefault="006B08B9">
      <w:pPr>
        <w:pStyle w:val="Standard"/>
        <w:jc w:val="both"/>
        <w:rPr>
          <w:rFonts w:ascii="Arial" w:hAnsi="Arial" w:cs="Arial"/>
          <w:sz w:val="22"/>
          <w:szCs w:val="22"/>
        </w:rPr>
      </w:pPr>
      <w:r>
        <w:rPr>
          <w:rFonts w:ascii="Arial" w:hAnsi="Arial" w:cs="Arial"/>
          <w:sz w:val="22"/>
          <w:szCs w:val="22"/>
        </w:rPr>
        <w:t xml:space="preserve">  Se levanta la sesión a las 13:15 horas del mismo día. De todo lo cual yo, como Secretario General, doy fe.</w:t>
      </w:r>
    </w:p>
    <w:p w:rsidR="009B4233" w:rsidRDefault="009B4233">
      <w:pPr>
        <w:pStyle w:val="Standard"/>
        <w:jc w:val="both"/>
        <w:rPr>
          <w:rFonts w:ascii="Arial" w:hAnsi="Arial" w:cs="Arial"/>
          <w:b/>
          <w:sz w:val="22"/>
          <w:szCs w:val="22"/>
        </w:rPr>
      </w:pPr>
    </w:p>
    <w:p w:rsidR="009B4233" w:rsidRDefault="006B08B9">
      <w:pPr>
        <w:pStyle w:val="Textbody"/>
        <w:spacing w:before="120"/>
      </w:pPr>
      <w:r>
        <w:rPr>
          <w:rFonts w:ascii="Arial" w:hAnsi="Arial" w:cs="Arial"/>
          <w:sz w:val="22"/>
          <w:szCs w:val="22"/>
        </w:rPr>
        <w:t xml:space="preserve">         </w:t>
      </w:r>
      <w:r>
        <w:rPr>
          <w:rFonts w:ascii="Arial" w:hAnsi="Arial" w:cs="Arial"/>
          <w:sz w:val="22"/>
          <w:szCs w:val="22"/>
        </w:rPr>
        <w:tab/>
        <w:t xml:space="preserve">                           </w:t>
      </w:r>
      <w:r>
        <w:rPr>
          <w:rFonts w:ascii="Arial" w:hAnsi="Arial" w:cs="Arial"/>
          <w:b/>
          <w:sz w:val="22"/>
          <w:szCs w:val="22"/>
        </w:rPr>
        <w:t>Vº</w:t>
      </w:r>
      <w:r>
        <w:rPr>
          <w:rFonts w:ascii="Arial" w:hAnsi="Arial" w:cs="Arial"/>
          <w:b/>
          <w:sz w:val="22"/>
          <w:szCs w:val="22"/>
        </w:rPr>
        <w:t>. Bº.</w:t>
      </w:r>
    </w:p>
    <w:p w:rsidR="009B4233" w:rsidRDefault="009B4233">
      <w:pPr>
        <w:pStyle w:val="Textbody"/>
        <w:spacing w:before="120"/>
        <w:rPr>
          <w:rFonts w:ascii="Arial" w:hAnsi="Arial" w:cs="Arial"/>
          <w:sz w:val="22"/>
          <w:szCs w:val="22"/>
        </w:rPr>
      </w:pPr>
    </w:p>
    <w:p w:rsidR="009B4233" w:rsidRDefault="006B08B9">
      <w:pPr>
        <w:pStyle w:val="Textbody"/>
        <w:spacing w:after="283"/>
      </w:pPr>
      <w:r>
        <w:rPr>
          <w:rFonts w:ascii="Arial" w:hAnsi="Arial" w:cs="Arial"/>
          <w:b/>
          <w:sz w:val="22"/>
          <w:szCs w:val="22"/>
        </w:rPr>
        <w:tab/>
        <w:t>LA ALCALDESA-PRESIDENTA,</w:t>
      </w:r>
      <w:r>
        <w:rPr>
          <w:rFonts w:ascii="Arial" w:hAnsi="Arial" w:cs="Arial"/>
          <w:b/>
          <w:sz w:val="22"/>
          <w:szCs w:val="22"/>
        </w:rPr>
        <w:tab/>
      </w:r>
      <w:r>
        <w:rPr>
          <w:rFonts w:ascii="Arial" w:hAnsi="Arial" w:cs="Arial"/>
          <w:b/>
          <w:sz w:val="22"/>
          <w:szCs w:val="22"/>
        </w:rPr>
        <w:tab/>
        <w:t xml:space="preserve">       EL SECRETARIO GENERAL,</w:t>
      </w:r>
    </w:p>
    <w:p w:rsidR="009B4233" w:rsidRDefault="006B08B9">
      <w:pPr>
        <w:pStyle w:val="Textbody"/>
        <w:spacing w:after="283"/>
        <w:jc w:val="left"/>
        <w:rPr>
          <w:rFonts w:ascii="Arial" w:hAnsi="Arial" w:cs="Arial"/>
          <w:sz w:val="22"/>
          <w:szCs w:val="22"/>
        </w:rPr>
      </w:pPr>
      <w:r>
        <w:rPr>
          <w:rFonts w:ascii="Arial" w:hAnsi="Arial" w:cs="Arial"/>
          <w:sz w:val="22"/>
          <w:szCs w:val="22"/>
        </w:rPr>
        <w:t xml:space="preserve">             María Concepción Brito Núñez                     Octavio Manuel Hernández Fernández </w:t>
      </w:r>
    </w:p>
    <w:p w:rsidR="009B4233" w:rsidRDefault="009B4233">
      <w:pPr>
        <w:pStyle w:val="Standard"/>
        <w:rPr>
          <w:rFonts w:ascii="Arial" w:hAnsi="Arial" w:cs="Arial"/>
          <w:sz w:val="22"/>
          <w:szCs w:val="22"/>
        </w:rPr>
      </w:pPr>
    </w:p>
    <w:p w:rsidR="009B4233" w:rsidRDefault="009B4233">
      <w:pPr>
        <w:pStyle w:val="Textoindependiente"/>
        <w:jc w:val="center"/>
        <w:rPr>
          <w:rFonts w:cs="Arial"/>
          <w:b/>
          <w:szCs w:val="22"/>
        </w:rPr>
      </w:pPr>
    </w:p>
    <w:p w:rsidR="009B4233" w:rsidRDefault="006B08B9">
      <w:pPr>
        <w:pStyle w:val="Textoindependiente"/>
        <w:jc w:val="center"/>
      </w:pPr>
      <w:r>
        <w:rPr>
          <w:rFonts w:cs="Arial"/>
          <w:b/>
          <w:szCs w:val="22"/>
        </w:rPr>
        <w:t>DOCUMENTO FIRMADO ELECTRÓNICAMENTE</w:t>
      </w:r>
      <w:r>
        <w:rPr>
          <w:rFonts w:cs="Arial"/>
          <w:szCs w:val="22"/>
        </w:rPr>
        <w:t xml:space="preserve"> </w:t>
      </w:r>
    </w:p>
    <w:p w:rsidR="009B4233" w:rsidRDefault="009B4233">
      <w:pPr>
        <w:pStyle w:val="Standard"/>
        <w:rPr>
          <w:rFonts w:ascii="Arial" w:hAnsi="Arial" w:cs="Arial"/>
          <w:sz w:val="22"/>
          <w:szCs w:val="22"/>
        </w:rPr>
      </w:pPr>
    </w:p>
    <w:p w:rsidR="009B4233" w:rsidRDefault="009B4233">
      <w:pPr>
        <w:pStyle w:val="Standard"/>
        <w:jc w:val="both"/>
        <w:rPr>
          <w:rFonts w:ascii="Arial" w:hAnsi="Arial" w:cs="Arial"/>
          <w:b/>
          <w:sz w:val="22"/>
          <w:szCs w:val="22"/>
          <w:u w:val="single"/>
        </w:rPr>
      </w:pPr>
    </w:p>
    <w:sectPr w:rsidR="009B4233">
      <w:type w:val="continuous"/>
      <w:pgSz w:w="11906" w:h="16838"/>
      <w:pgMar w:top="2005" w:right="924" w:bottom="1429" w:left="1418" w:header="709" w:footer="580" w:gutter="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00000" w:rsidRDefault="006B08B9">
      <w:r>
        <w:separator/>
      </w:r>
    </w:p>
  </w:endnote>
  <w:endnote w:type="continuationSeparator" w:id="0">
    <w:p w:rsidR="00000000" w:rsidRDefault="006B08B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TKaiti">
    <w:altName w:val="Times New Roman"/>
    <w:charset w:val="00"/>
    <w:family w:val="auto"/>
    <w:pitch w:val="variable"/>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DejaVu Sans">
    <w:charset w:val="00"/>
    <w:family w:val="auto"/>
    <w:pitch w:val="variable"/>
  </w:font>
  <w:font w:name="Verdana">
    <w:panose1 w:val="020B0604030504040204"/>
    <w:charset w:val="00"/>
    <w:family w:val="swiss"/>
    <w:pitch w:val="variable"/>
    <w:sig w:usb0="A00006FF" w:usb1="4000205B" w:usb2="0000001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Arimo">
    <w:altName w:val="Arial"/>
    <w:charset w:val="00"/>
    <w:family w:val="swiss"/>
    <w:pitch w:val="variable"/>
  </w:font>
  <w:font w:name="Calibri Light">
    <w:panose1 w:val="020F0302020204030204"/>
    <w:charset w:val="00"/>
    <w:family w:val="swiss"/>
    <w:pitch w:val="variable"/>
    <w:sig w:usb0="E4002EFF" w:usb1="C200247B" w:usb2="00000009" w:usb3="00000000" w:csb0="000001FF" w:csb1="00000000"/>
  </w:font>
  <w:font w:name="Mangal">
    <w:altName w:val="Courier New"/>
    <w:panose1 w:val="00000400000000000000"/>
    <w:charset w:val="00"/>
    <w:family w:val="roman"/>
    <w:pitch w:val="variable"/>
  </w:font>
  <w:font w:name="Microsoft YaHei">
    <w:panose1 w:val="020B0503020204020204"/>
    <w:charset w:val="86"/>
    <w:family w:val="swiss"/>
    <w:pitch w:val="variable"/>
    <w:sig w:usb0="80000287" w:usb1="2ACF3C50" w:usb2="00000016" w:usb3="00000000" w:csb0="0004001F" w:csb1="00000000"/>
  </w:font>
  <w:font w:name="Tahoma">
    <w:panose1 w:val="020B0604030504040204"/>
    <w:charset w:val="00"/>
    <w:family w:val="swiss"/>
    <w:pitch w:val="variable"/>
    <w:sig w:usb0="E1002EFF" w:usb1="C000605B" w:usb2="00000029" w:usb3="00000000" w:csb0="000101FF" w:csb1="00000000"/>
  </w:font>
  <w:font w:name="Lucida Sans Unicode">
    <w:panose1 w:val="020B0602030504020204"/>
    <w:charset w:val="00"/>
    <w:family w:val="swiss"/>
    <w:pitch w:val="variable"/>
    <w:sig w:usb0="80000AFF" w:usb1="0000396B" w:usb2="00000000" w:usb3="00000000" w:csb0="000000BF" w:csb1="00000000"/>
  </w:font>
  <w:font w:name="OpenSymbol">
    <w:charset w:val="00"/>
    <w:family w:val="auto"/>
    <w:pitch w:val="variable"/>
  </w:font>
  <w:font w:name="Univers">
    <w:altName w:val="Arial"/>
    <w:charset w:val="00"/>
    <w:family w:val="swiss"/>
    <w:pitch w:val="variable"/>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25982" w:rsidRDefault="006B08B9">
    <w:pPr>
      <w:pStyle w:val="Textbody"/>
      <w:jc w:val="center"/>
    </w:pPr>
    <w:r>
      <w:rPr>
        <w:noProof/>
        <w:lang w:eastAsia="es-ES"/>
      </w:rPr>
      <mc:AlternateContent>
        <mc:Choice Requires="wps">
          <w:drawing>
            <wp:anchor distT="0" distB="0" distL="114300" distR="114300" simplePos="0" relativeHeight="251662336" behindDoc="1" locked="0" layoutInCell="1" allowOverlap="1">
              <wp:simplePos x="0" y="0"/>
              <wp:positionH relativeFrom="column">
                <wp:posOffset>34920</wp:posOffset>
              </wp:positionH>
              <wp:positionV relativeFrom="paragraph">
                <wp:posOffset>25923</wp:posOffset>
              </wp:positionV>
              <wp:extent cx="5830571" cy="17145"/>
              <wp:effectExtent l="0" t="0" r="36829" b="20955"/>
              <wp:wrapNone/>
              <wp:docPr id="3" name="Conector recto 3"/>
              <wp:cNvGraphicFramePr/>
              <a:graphic xmlns:a="http://schemas.openxmlformats.org/drawingml/2006/main">
                <a:graphicData uri="http://schemas.microsoft.com/office/word/2010/wordprocessingShape">
                  <wps:wsp>
                    <wps:cNvCnPr/>
                    <wps:spPr>
                      <a:xfrm>
                        <a:off x="0" y="0"/>
                        <a:ext cx="5830571" cy="17145"/>
                      </a:xfrm>
                      <a:prstGeom prst="straightConnector1">
                        <a:avLst/>
                      </a:prstGeom>
                      <a:noFill/>
                      <a:ln w="19083" cap="rnd">
                        <a:solidFill>
                          <a:srgbClr val="660033"/>
                        </a:solidFill>
                        <a:custDash>
                          <a:ds d="100000" sp="100000"/>
                        </a:custDash>
                        <a:miter/>
                      </a:ln>
                    </wps:spPr>
                    <wps:bodyPr/>
                  </wps:wsp>
                </a:graphicData>
              </a:graphic>
            </wp:anchor>
          </w:drawing>
        </mc:Choice>
        <mc:Fallback>
          <w:pict>
            <v:shapetype w14:anchorId="6E29AA1A" id="_x0000_t32" coordsize="21600,21600" o:spt="32" o:oned="t" path="m,l21600,21600e" filled="f">
              <v:path arrowok="t" fillok="f" o:connecttype="none"/>
              <o:lock v:ext="edit" shapetype="t"/>
            </v:shapetype>
            <v:shape id="Conector recto 3" o:spid="_x0000_s1026" type="#_x0000_t32" style="position:absolute;margin-left:2.75pt;margin-top:2.05pt;width:459.1pt;height:1.35pt;z-index:-2516541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" strokecolor="#603" strokeweight=".53008mm">
              <v:stroke joinstyle="miter" endcap="round"/>
            </v:shape>
          </w:pict>
        </mc:Fallback>
      </mc:AlternateContent>
    </w:r>
  </w:p>
  <w:p w:rsidR="00825982" w:rsidRDefault="006B08B9">
    <w:pPr>
      <w:pStyle w:val="Textbody"/>
      <w:jc w:val="center"/>
    </w:pPr>
    <w:r>
      <w:t xml:space="preserve">Avenida Constitución Nº 7. Código postal: 38530, </w:t>
    </w:r>
    <w:r>
      <w:t>Candelaria. Teléfono: 922.500.800.</w:t>
    </w:r>
  </w:p>
  <w:p w:rsidR="00825982" w:rsidRDefault="006B08B9">
    <w:pPr>
      <w:pStyle w:val="Standard"/>
      <w:jc w:val="center"/>
      <w:rPr>
        <w:rFonts w:ascii="Arimo" w:hAnsi="Arimo" w:cs="Arimo"/>
        <w:b/>
        <w:bCs/>
        <w:sz w:val="14"/>
      </w:rPr>
    </w:pPr>
    <w:r>
      <w:rPr>
        <w:rFonts w:ascii="Arimo" w:hAnsi="Arimo" w:cs="Arimo"/>
        <w:b/>
        <w:bCs/>
        <w:sz w:val="14"/>
      </w:rPr>
      <w:t>www. candelaria. es</w:t>
    </w:r>
  </w:p>
  <w:p w:rsidR="00825982" w:rsidRDefault="006B08B9">
    <w:pPr>
      <w:pStyle w:val="Piedepgina"/>
      <w:jc w:val="right"/>
    </w:pPr>
    <w:r>
      <w:rPr>
        <w:rFonts w:ascii="Arimo" w:hAnsi="Arimo" w:cs="Arimo"/>
        <w:sz w:val="14"/>
        <w:szCs w:val="14"/>
      </w:rPr>
      <w:fldChar w:fldCharType="begin"/>
    </w:r>
    <w:r>
      <w:rPr>
        <w:rFonts w:ascii="Arimo" w:hAnsi="Arimo" w:cs="Arimo"/>
        <w:sz w:val="14"/>
        <w:szCs w:val="14"/>
      </w:rPr>
      <w:instrText xml:space="preserve"> PAGE </w:instrText>
    </w:r>
    <w:r>
      <w:rPr>
        <w:rFonts w:ascii="Arimo" w:hAnsi="Arimo" w:cs="Arimo"/>
        <w:sz w:val="14"/>
        <w:szCs w:val="14"/>
      </w:rPr>
      <w:fldChar w:fldCharType="separate"/>
    </w:r>
    <w:r>
      <w:rPr>
        <w:rFonts w:ascii="Arimo" w:hAnsi="Arimo" w:cs="Arimo"/>
        <w:noProof/>
        <w:sz w:val="14"/>
        <w:szCs w:val="14"/>
      </w:rPr>
      <w:t>2</w:t>
    </w:r>
    <w:r>
      <w:rPr>
        <w:rFonts w:ascii="Arimo" w:hAnsi="Arimo" w:cs="Arimo"/>
        <w:sz w:val="14"/>
        <w:szCs w:val="14"/>
      </w:rPr>
      <w:fldChar w:fldCharType="end"/>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25982" w:rsidRDefault="006B08B9">
    <w:pPr>
      <w:pStyle w:val="Textbody"/>
      <w:jc w:val="center"/>
    </w:pPr>
    <w:r>
      <w:rPr>
        <w:noProof/>
        <w:lang w:eastAsia="es-ES"/>
      </w:rPr>
      <mc:AlternateContent>
        <mc:Choice Requires="wps">
          <w:drawing>
            <wp:anchor distT="0" distB="0" distL="114300" distR="114300" simplePos="0" relativeHeight="251667456" behindDoc="1" locked="0" layoutInCell="1" allowOverlap="1">
              <wp:simplePos x="0" y="0"/>
              <wp:positionH relativeFrom="column">
                <wp:posOffset>34920</wp:posOffset>
              </wp:positionH>
              <wp:positionV relativeFrom="paragraph">
                <wp:posOffset>25923</wp:posOffset>
              </wp:positionV>
              <wp:extent cx="5830571" cy="17145"/>
              <wp:effectExtent l="0" t="0" r="36829" b="20955"/>
              <wp:wrapNone/>
              <wp:docPr id="6" name="Conector recto 6"/>
              <wp:cNvGraphicFramePr/>
              <a:graphic xmlns:a="http://schemas.openxmlformats.org/drawingml/2006/main">
                <a:graphicData uri="http://schemas.microsoft.com/office/word/2010/wordprocessingShape">
                  <wps:wsp>
                    <wps:cNvCnPr/>
                    <wps:spPr>
                      <a:xfrm>
                        <a:off x="0" y="0"/>
                        <a:ext cx="5830571" cy="17145"/>
                      </a:xfrm>
                      <a:prstGeom prst="straightConnector1">
                        <a:avLst/>
                      </a:prstGeom>
                      <a:noFill/>
                      <a:ln w="19083" cap="rnd">
                        <a:solidFill>
                          <a:srgbClr val="660033"/>
                        </a:solidFill>
                        <a:custDash>
                          <a:ds d="100000" sp="100000"/>
                        </a:custDash>
                        <a:miter/>
                      </a:ln>
                    </wps:spPr>
                    <wps:bodyPr/>
                  </wps:wsp>
                </a:graphicData>
              </a:graphic>
            </wp:anchor>
          </w:drawing>
        </mc:Choice>
        <mc:Fallback>
          <w:pict>
            <v:shapetype w14:anchorId="7111ADA9" id="_x0000_t32" coordsize="21600,21600" o:spt="32" o:oned="t" path="m,l21600,21600e" filled="f">
              <v:path arrowok="t" fillok="f" o:connecttype="none"/>
              <o:lock v:ext="edit" shapetype="t"/>
            </v:shapetype>
            <v:shape id="Conector recto 6" o:spid="_x0000_s1026" type="#_x0000_t32" style="position:absolute;margin-left:2.75pt;margin-top:2.05pt;width:459.1pt;height:1.35pt;z-index:-2516490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" strokecolor="#603" strokeweight=".53008mm">
              <v:stroke joinstyle="miter" endcap="round"/>
            </v:shape>
          </w:pict>
        </mc:Fallback>
      </mc:AlternateContent>
    </w:r>
  </w:p>
  <w:p w:rsidR="00825982" w:rsidRDefault="006B08B9">
    <w:pPr>
      <w:pStyle w:val="Textbody"/>
      <w:jc w:val="center"/>
    </w:pPr>
    <w:r>
      <w:t>Avenida Constitución Nº 7. Código postal: 38530, Candelaria. Teléfono: 922.500.800.</w:t>
    </w:r>
  </w:p>
  <w:p w:rsidR="00825982" w:rsidRDefault="006B08B9">
    <w:pPr>
      <w:pStyle w:val="Standard"/>
      <w:jc w:val="center"/>
      <w:rPr>
        <w:rFonts w:ascii="Arimo" w:hAnsi="Arimo" w:cs="Arimo"/>
        <w:b/>
        <w:bCs/>
        <w:sz w:val="14"/>
      </w:rPr>
    </w:pPr>
    <w:r>
      <w:rPr>
        <w:rFonts w:ascii="Arimo" w:hAnsi="Arimo" w:cs="Arimo"/>
        <w:b/>
        <w:bCs/>
        <w:sz w:val="14"/>
      </w:rPr>
      <w:t>www. candelaria. es</w:t>
    </w:r>
  </w:p>
  <w:p w:rsidR="00825982" w:rsidRDefault="006B08B9">
    <w:pPr>
      <w:pStyle w:val="Piedepgina"/>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25982" w:rsidRDefault="006B08B9">
    <w:pPr>
      <w:spacing w:line="249" w:lineRule="auto"/>
      <w:ind w:left="-1704" w:right="10205"/>
    </w:pPr>
    <w:r>
      <w:rPr>
        <w:noProof/>
        <w:lang w:eastAsia="es-ES" w:bidi="ar-SA"/>
      </w:rPr>
      <mc:AlternateContent>
        <mc:Choice Requires="wpg">
          <w:drawing>
            <wp:anchor distT="0" distB="0" distL="114300" distR="114300" simplePos="0" relativeHeight="251671552" behindDoc="0" locked="0" layoutInCell="1" allowOverlap="1">
              <wp:simplePos x="0" y="0"/>
              <wp:positionH relativeFrom="page">
                <wp:posOffset>1080765</wp:posOffset>
              </wp:positionH>
              <wp:positionV relativeFrom="page">
                <wp:posOffset>9879310</wp:posOffset>
              </wp:positionV>
              <wp:extent cx="6132210" cy="444493"/>
              <wp:effectExtent l="0" t="0" r="1890" b="12707"/>
              <wp:wrapSquare wrapText="bothSides"/>
              <wp:docPr id="8" name="Grupo 6714"/>
              <wp:cNvGraphicFramePr/>
              <a:graphic xmlns:a="http://schemas.openxmlformats.org/drawingml/2006/main">
                <a:graphicData uri="http://schemas.microsoft.com/office/word/2010/wordprocessingGroup">
                  <wpg:wgp>
                    <wpg:cNvGrpSpPr/>
                    <wpg:grpSpPr>
                      <a:xfrm>
                        <a:off x="0" y="-4"/>
                        <a:ext cx="6132205" cy="444498"/>
                        <a:chOff x="0" y="-4"/>
                        <a:chExt cx="6132205" cy="444498"/>
                      </a:xfrm>
                    </wpg:grpSpPr>
                    <pic:pic xmlns:pic="http://schemas.openxmlformats.org/drawingml/2006/picture">
                      <pic:nvPicPr>
                        <pic:cNvPr id="9" name="Picture 6716">
                          <a:extLst>
                            <a:ext uri="{FF2B5EF4-FFF2-40B4-BE49-F238E27FC236}">
                              <a16:creationId xmlns:a16="http://schemas.microsoft.com/office/drawing/2014/main" id="{00000000-0000-0000-0000-000000000000}"/>
                            </a:ext>
                          </a:extLst>
                        </pic:cNvPr>
                        <pic:cNvPicPr>
                          <a:picLocks noChangeAspect="1"/>
                        </pic:cNvPicPr>
                      </pic:nvPicPr>
                      <pic:blipFill>
                        <a:blip r:embed="rId1"/>
                        <a:stretch>
                          <a:fillRect/>
                        </a:stretch>
                      </pic:blipFill>
                      <pic:spPr>
                        <a:xfrm>
                          <a:off x="0" y="94142"/>
                          <a:ext cx="5393579" cy="267333"/>
                        </a:xfrm>
                        <a:prstGeom prst="rect">
                          <a:avLst/>
                        </a:prstGeom>
                        <a:noFill/>
                        <a:ln>
                          <a:noFill/>
                          <a:prstDash/>
                        </a:ln>
                      </pic:spPr>
                    </pic:pic>
                    <wps:wsp>
                      <wps:cNvPr id="10" name="Rectangle 6717"/>
                      <wps:cNvSpPr/>
                      <wps:spPr>
                        <a:xfrm>
                          <a:off x="5396122" y="236916"/>
                          <a:ext cx="51462" cy="207577"/>
                        </a:xfrm>
                        <a:prstGeom prst="rect">
                          <a:avLst/>
                        </a:prstGeom>
                        <a:noFill/>
                        <a:ln cap="flat">
                          <a:noFill/>
                          <a:prstDash val="solid"/>
                        </a:ln>
                      </wps:spPr>
                      <wps:txbx>
                        <w:txbxContent>
                          <w:p w:rsidR="00825982" w:rsidRDefault="006B08B9">
                            <w:pPr>
                              <w:spacing w:after="160" w:line="249" w:lineRule="auto"/>
                            </w:pPr>
                            <w:r>
                              <w:t xml:space="preserve"> </w:t>
                            </w:r>
                          </w:p>
                        </w:txbxContent>
                      </wps:txbx>
                      <wps:bodyPr vert="horz" wrap="square" lIns="0" tIns="0" rIns="0" bIns="0" anchor="t" anchorCtr="0" compatLnSpc="0">
                        <a:noAutofit/>
                      </wps:bodyPr>
                    </wps:wsp>
                    <pic:pic xmlns:pic="http://schemas.openxmlformats.org/drawingml/2006/picture">
                      <pic:nvPicPr>
                        <pic:cNvPr id="11" name="Picture 6715">
                          <a:extLst>
                            <a:ext uri="{FF2B5EF4-FFF2-40B4-BE49-F238E27FC236}">
                              <a16:creationId xmlns:a16="http://schemas.microsoft.com/office/drawing/2014/main" id="{00000000-0000-0000-0000-000000000000}"/>
                            </a:ext>
                          </a:extLst>
                        </pic:cNvPr>
                        <pic:cNvPicPr>
                          <a:picLocks noChangeAspect="1"/>
                        </pic:cNvPicPr>
                      </pic:nvPicPr>
                      <pic:blipFill>
                        <a:blip r:embed="rId2"/>
                        <a:stretch>
                          <a:fillRect/>
                        </a:stretch>
                      </pic:blipFill>
                      <pic:spPr>
                        <a:xfrm rot="16200004">
                          <a:off x="5687712" y="0"/>
                          <a:ext cx="444498" cy="444489"/>
                        </a:xfrm>
                        <a:prstGeom prst="rect">
                          <a:avLst/>
                        </a:prstGeom>
                        <a:noFill/>
                        <a:ln>
                          <a:noFill/>
                          <a:prstDash/>
                        </a:ln>
                      </pic:spPr>
                    </pic:pic>
                  </wpg:wgp>
                </a:graphicData>
              </a:graphic>
            </wp:anchor>
          </w:drawing>
        </mc:Choice>
        <mc:Fallback>
          <w:pict>
            <v:group id="Grupo 6714" o:spid="_x0000_s1100" style="position:absolute;left:0;text-align:left;margin-left:85.1pt;margin-top:777.9pt;width:482.85pt;height:35pt;z-index:251671552;mso-position-horizontal-relative:page;mso-position-vertical-relative:page" coordorigin="" coordsize="61322,444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716" o:spid="_x0000_s1101" type="#_x0000_t75" style="position:absolute;top:941;width:53935;height:26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">
                <v:imagedata r:id="rId3" o:title=""/>
                <v:path arrowok="t"/>
              </v:shape>
              <v:rect id="Rectangle 6717" o:spid="_x0000_s1102" style="position:absolute;left:53961;top:2369;width:514;height:20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" filled="f" stroked="f">
                <v:textbox inset="0,0,0,0">
                  <w:txbxContent>
                    <w:p w:rsidR="00825982" w:rsidRDefault="006B08B9">
                      <w:pPr>
                        <w:spacing w:after="160" w:line="249" w:lineRule="auto"/>
                      </w:pPr>
                      <w:r>
                        <w:t xml:space="preserve"> </w:t>
                      </w:r>
                    </w:p>
                  </w:txbxContent>
                </v:textbox>
              </v:rect>
              <v:shape id="Picture 6715" o:spid="_x0000_s1103" type="#_x0000_t75" style="position:absolute;left:56878;top:-1;width:4444;height:4445;rotation:-5898236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">
                <v:imagedata r:id="rId4" o:title=""/>
                <v:path arrowok="t"/>
              </v:shape>
              <w10:wrap type="square" anchorx="page" anchory="page"/>
            </v:group>
          </w:pict>
        </mc:Fallback>
      </mc:AlternateConten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00000" w:rsidRDefault="006B08B9">
      <w:r>
        <w:rPr>
          <w:color w:val="000000"/>
        </w:rPr>
        <w:separator/>
      </w:r>
    </w:p>
  </w:footnote>
  <w:footnote w:type="continuationSeparator" w:id="0">
    <w:p w:rsidR="00000000" w:rsidRDefault="006B08B9">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25982" w:rsidRDefault="006B08B9">
    <w:pPr>
      <w:pStyle w:val="Encabezado"/>
      <w:ind w:left="1843"/>
    </w:pPr>
    <w:r>
      <w:rPr>
        <w:noProof/>
        <w:lang w:eastAsia="es-ES"/>
      </w:rPr>
      <w:drawing>
        <wp:anchor distT="0" distB="0" distL="114300" distR="114300" simplePos="0" relativeHeight="251660288" behindDoc="0" locked="0" layoutInCell="1" allowOverlap="1">
          <wp:simplePos x="0" y="0"/>
          <wp:positionH relativeFrom="column">
            <wp:posOffset>34920</wp:posOffset>
          </wp:positionH>
          <wp:positionV relativeFrom="paragraph">
            <wp:posOffset>57963</wp:posOffset>
          </wp:positionV>
          <wp:extent cx="399236" cy="570960"/>
          <wp:effectExtent l="0" t="0" r="814" b="540"/>
          <wp:wrapTight wrapText="bothSides">
            <wp:wrapPolygon edited="0">
              <wp:start x="6184" y="0"/>
              <wp:lineTo x="0" y="721"/>
              <wp:lineTo x="0" y="18738"/>
              <wp:lineTo x="3092" y="20900"/>
              <wp:lineTo x="17521" y="20900"/>
              <wp:lineTo x="20613" y="18738"/>
              <wp:lineTo x="20613" y="721"/>
              <wp:lineTo x="14429" y="0"/>
              <wp:lineTo x="6184" y="0"/>
            </wp:wrapPolygon>
          </wp:wrapTight>
          <wp:docPr id="1" name="gráficos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lum/>
                    <a:alphaModFix/>
                  </a:blip>
                  <a:srcRect/>
                  <a:stretch>
                    <a:fillRect/>
                  </a:stretch>
                </pic:blipFill>
                <pic:spPr>
                  <a:xfrm>
                    <a:off x="0" y="0"/>
                    <a:ext cx="399236" cy="570960"/>
                  </a:xfrm>
                  <a:prstGeom prst="rect">
                    <a:avLst/>
                  </a:prstGeom>
                  <a:noFill/>
                  <a:ln>
                    <a:noFill/>
                    <a:prstDash/>
                  </a:ln>
                </pic:spPr>
              </pic:pic>
            </a:graphicData>
          </a:graphic>
        </wp:anchor>
      </w:drawing>
    </w:r>
  </w:p>
  <w:p w:rsidR="00825982" w:rsidRDefault="006B08B9">
    <w:pPr>
      <w:pStyle w:val="Encabezado"/>
    </w:pPr>
  </w:p>
  <w:p w:rsidR="00825982" w:rsidRDefault="006B08B9">
    <w:pPr>
      <w:pStyle w:val="Encabezado"/>
    </w:pPr>
  </w:p>
  <w:p w:rsidR="00825982" w:rsidRDefault="006B08B9">
    <w:pPr>
      <w:pStyle w:val="Encabezado"/>
    </w:pPr>
  </w:p>
  <w:p w:rsidR="00825982" w:rsidRDefault="006B08B9">
    <w:pPr>
      <w:pStyle w:val="Encabezado"/>
    </w:pPr>
    <w:r>
      <w:rPr>
        <w:noProof/>
        <w:lang w:eastAsia="es-ES"/>
      </w:rPr>
      <mc:AlternateContent>
        <mc:Choice Requires="wps">
          <w:drawing>
            <wp:anchor distT="0" distB="0" distL="114300" distR="114300" simplePos="0" relativeHeight="251659264" behindDoc="1" locked="0" layoutInCell="1" allowOverlap="1">
              <wp:simplePos x="0" y="0"/>
              <wp:positionH relativeFrom="column">
                <wp:posOffset>34920</wp:posOffset>
              </wp:positionH>
              <wp:positionV relativeFrom="paragraph">
                <wp:posOffset>116997</wp:posOffset>
              </wp:positionV>
              <wp:extent cx="5998848" cy="0"/>
              <wp:effectExtent l="19050" t="19050" r="40002" b="38100"/>
              <wp:wrapNone/>
              <wp:docPr id="2" name="Conector recto 2"/>
              <wp:cNvGraphicFramePr/>
              <a:graphic xmlns:a="http://schemas.openxmlformats.org/drawingml/2006/main">
                <a:graphicData uri="http://schemas.microsoft.com/office/word/2010/wordprocessingShape">
                  <wps:wsp>
                    <wps:cNvCnPr/>
                    <wps:spPr>
                      <a:xfrm>
                        <a:off x="0" y="0"/>
                        <a:ext cx="5998848" cy="0"/>
                      </a:xfrm>
                      <a:prstGeom prst="straightConnector1">
                        <a:avLst/>
                      </a:prstGeom>
                      <a:noFill/>
                      <a:ln w="25557" cap="sq">
                        <a:solidFill>
                          <a:srgbClr val="993366"/>
                        </a:solidFill>
                        <a:prstDash val="solid"/>
                        <a:miter/>
                      </a:ln>
                    </wps:spPr>
                    <wps:bodyPr/>
                  </wps:wsp>
                </a:graphicData>
              </a:graphic>
            </wp:anchor>
          </w:drawing>
        </mc:Choice>
        <mc:Fallback>
          <w:pict>
            <v:shapetype w14:anchorId="470271F2" id="_x0000_t32" coordsize="21600,21600" o:spt="32" o:oned="t" path="m,l21600,21600e" filled="f">
              <v:path arrowok="t" fillok="f" o:connecttype="none"/>
              <o:lock v:ext="edit" shapetype="t"/>
            </v:shapetype>
            <v:shape id="Conector recto 2" o:spid="_x0000_s1026" type="#_x0000_t32" style="position:absolute;margin-left:2.75pt;margin-top:9.2pt;width:472.35pt;height:0;z-index:-2516572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" strokecolor="#936" strokeweight=".70992mm">
              <v:stroke joinstyle="miter" endcap="square"/>
            </v:shape>
          </w:pict>
        </mc:Fallback>
      </mc:AlternateConten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25982" w:rsidRDefault="006B08B9">
    <w:pPr>
      <w:pStyle w:val="Encabezado"/>
    </w:pPr>
    <w:r>
      <w:rPr>
        <w:noProof/>
        <w:lang w:eastAsia="es-ES"/>
      </w:rPr>
      <mc:AlternateContent>
        <mc:Choice Requires="wps">
          <w:drawing>
            <wp:anchor distT="0" distB="0" distL="114300" distR="114300" simplePos="0" relativeHeight="251664384" behindDoc="1" locked="0" layoutInCell="1" allowOverlap="1">
              <wp:simplePos x="0" y="0"/>
              <wp:positionH relativeFrom="column">
                <wp:posOffset>880923</wp:posOffset>
              </wp:positionH>
              <wp:positionV relativeFrom="paragraph">
                <wp:posOffset>115561</wp:posOffset>
              </wp:positionV>
              <wp:extent cx="0" cy="800100"/>
              <wp:effectExtent l="19050" t="19050" r="38100" b="38100"/>
              <wp:wrapNone/>
              <wp:docPr id="4" name="Conector recto 4"/>
              <wp:cNvGraphicFramePr/>
              <a:graphic xmlns:a="http://schemas.openxmlformats.org/drawingml/2006/main">
                <a:graphicData uri="http://schemas.microsoft.com/office/word/2010/wordprocessingShape">
                  <wps:wsp>
                    <wps:cNvCnPr/>
                    <wps:spPr>
                      <a:xfrm>
                        <a:off x="0" y="0"/>
                        <a:ext cx="0" cy="800100"/>
                      </a:xfrm>
                      <a:prstGeom prst="straightConnector1">
                        <a:avLst/>
                      </a:prstGeom>
                      <a:noFill/>
                      <a:ln w="28437" cap="sq">
                        <a:solidFill>
                          <a:srgbClr val="993366"/>
                        </a:solidFill>
                        <a:prstDash val="solid"/>
                        <a:miter/>
                      </a:ln>
                    </wps:spPr>
                    <wps:bodyPr/>
                  </wps:wsp>
                </a:graphicData>
              </a:graphic>
            </wp:anchor>
          </w:drawing>
        </mc:Choice>
        <mc:Fallback>
          <w:pict>
            <v:shapetype w14:anchorId="11167E29" id="_x0000_t32" coordsize="21600,21600" o:spt="32" o:oned="t" path="m,l21600,21600e" filled="f">
              <v:path arrowok="t" fillok="f" o:connecttype="none"/>
              <o:lock v:ext="edit" shapetype="t"/>
            </v:shapetype>
            <v:shape id="Conector recto 4" o:spid="_x0000_s1026" type="#_x0000_t32" style="position:absolute;margin-left:69.35pt;margin-top:9.1pt;width:0;height:63pt;z-index:-2516520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" strokecolor="#936" strokeweight=".78992mm">
              <v:stroke joinstyle="miter" endcap="square"/>
            </v:shape>
          </w:pict>
        </mc:Fallback>
      </mc:AlternateContent>
    </w:r>
    <w:r>
      <w:rPr>
        <w:noProof/>
        <w:lang w:eastAsia="es-ES"/>
      </w:rPr>
      <w:drawing>
        <wp:anchor distT="0" distB="0" distL="114300" distR="114300" simplePos="0" relativeHeight="251665408" behindDoc="1" locked="0" layoutInCell="1" allowOverlap="1">
          <wp:simplePos x="0" y="0"/>
          <wp:positionH relativeFrom="column">
            <wp:posOffset>-22320</wp:posOffset>
          </wp:positionH>
          <wp:positionV relativeFrom="paragraph">
            <wp:posOffset>1801</wp:posOffset>
          </wp:positionV>
          <wp:extent cx="754562" cy="913677"/>
          <wp:effectExtent l="0" t="0" r="7438" b="723"/>
          <wp:wrapNone/>
          <wp:docPr id="5" name="gráficos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lum/>
                    <a:alphaModFix/>
                  </a:blip>
                  <a:srcRect/>
                  <a:stretch>
                    <a:fillRect/>
                  </a:stretch>
                </pic:blipFill>
                <pic:spPr>
                  <a:xfrm>
                    <a:off x="0" y="0"/>
                    <a:ext cx="754562" cy="913677"/>
                  </a:xfrm>
                  <a:prstGeom prst="rect">
                    <a:avLst/>
                  </a:prstGeom>
                  <a:noFill/>
                  <a:ln>
                    <a:noFill/>
                    <a:prstDash/>
                  </a:ln>
                </pic:spPr>
              </pic:pic>
            </a:graphicData>
          </a:graphic>
        </wp:anchor>
      </w:drawing>
    </w:r>
  </w:p>
  <w:p w:rsidR="00825982" w:rsidRDefault="006B08B9">
    <w:pPr>
      <w:pStyle w:val="Encabezado"/>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25982" w:rsidRDefault="006B08B9">
    <w:pPr>
      <w:spacing w:line="249" w:lineRule="auto"/>
      <w:ind w:left="-2"/>
    </w:pPr>
    <w:r>
      <w:rPr>
        <w:noProof/>
        <w:lang w:eastAsia="es-ES" w:bidi="ar-SA"/>
      </w:rPr>
      <w:drawing>
        <wp:anchor distT="0" distB="0" distL="114300" distR="114300" simplePos="0" relativeHeight="251669504" behindDoc="0" locked="0" layoutInCell="1" allowOverlap="1">
          <wp:simplePos x="0" y="0"/>
          <wp:positionH relativeFrom="page">
            <wp:posOffset>1080765</wp:posOffset>
          </wp:positionH>
          <wp:positionV relativeFrom="page">
            <wp:posOffset>450213</wp:posOffset>
          </wp:positionV>
          <wp:extent cx="610874" cy="697230"/>
          <wp:effectExtent l="0" t="0" r="0" b="7620"/>
          <wp:wrapSquare wrapText="bothSides"/>
          <wp:docPr id="7" name="Imagen 468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rcRect/>
                  <a:stretch>
                    <a:fillRect/>
                  </a:stretch>
                </pic:blipFill>
                <pic:spPr>
                  <a:xfrm>
                    <a:off x="0" y="0"/>
                    <a:ext cx="610874" cy="697230"/>
                  </a:xfrm>
                  <a:prstGeom prst="rect">
                    <a:avLst/>
                  </a:prstGeom>
                  <a:noFill/>
                  <a:ln>
                    <a:noFill/>
                    <a:prstDash/>
                  </a:ln>
                </pic:spPr>
              </pic:pic>
            </a:graphicData>
          </a:graphic>
        </wp:anchor>
      </w:drawing>
    </w:r>
    <w:r>
      <w:t xml:space="preserve"> </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A43277"/>
    <w:multiLevelType w:val="multilevel"/>
    <w:tmpl w:val="94DAE69A"/>
    <w:lvl w:ilvl="0">
      <w:numFmt w:val="bullet"/>
      <w:lvlText w:val="-"/>
      <w:lvlJc w:val="left"/>
      <w:pPr>
        <w:ind w:left="360" w:hanging="360"/>
      </w:pPr>
      <w:rPr>
        <w:rFonts w:ascii="STKaiti" w:eastAsia="STKaiti" w:hAnsi="STKaiti"/>
      </w:rPr>
    </w:lvl>
    <w:lvl w:ilvl="1">
      <w:numFmt w:val="bullet"/>
      <w:lvlText w:val="o"/>
      <w:lvlJc w:val="left"/>
      <w:pPr>
        <w:ind w:left="1080" w:hanging="360"/>
      </w:pPr>
      <w:rPr>
        <w:rFonts w:ascii="Courier New" w:hAnsi="Courier New" w:cs="Courier New"/>
      </w:rPr>
    </w:lvl>
    <w:lvl w:ilvl="2">
      <w:numFmt w:val="bullet"/>
      <w:lvlText w:val=""/>
      <w:lvlJc w:val="left"/>
      <w:pPr>
        <w:ind w:left="1800" w:hanging="360"/>
      </w:pPr>
      <w:rPr>
        <w:rFonts w:ascii="Wingdings" w:hAnsi="Wingdings"/>
      </w:rPr>
    </w:lvl>
    <w:lvl w:ilvl="3">
      <w:numFmt w:val="bullet"/>
      <w:lvlText w:val=""/>
      <w:lvlJc w:val="left"/>
      <w:pPr>
        <w:ind w:left="2520" w:hanging="360"/>
      </w:pPr>
      <w:rPr>
        <w:rFonts w:ascii="Symbol" w:hAnsi="Symbol"/>
      </w:rPr>
    </w:lvl>
    <w:lvl w:ilvl="4">
      <w:numFmt w:val="bullet"/>
      <w:lvlText w:val="o"/>
      <w:lvlJc w:val="left"/>
      <w:pPr>
        <w:ind w:left="3240" w:hanging="360"/>
      </w:pPr>
      <w:rPr>
        <w:rFonts w:ascii="Courier New" w:hAnsi="Courier New" w:cs="Courier New"/>
      </w:rPr>
    </w:lvl>
    <w:lvl w:ilvl="5">
      <w:numFmt w:val="bullet"/>
      <w:lvlText w:val=""/>
      <w:lvlJc w:val="left"/>
      <w:pPr>
        <w:ind w:left="3960" w:hanging="360"/>
      </w:pPr>
      <w:rPr>
        <w:rFonts w:ascii="Wingdings" w:hAnsi="Wingdings"/>
      </w:rPr>
    </w:lvl>
    <w:lvl w:ilvl="6">
      <w:numFmt w:val="bullet"/>
      <w:lvlText w:val=""/>
      <w:lvlJc w:val="left"/>
      <w:pPr>
        <w:ind w:left="4680" w:hanging="360"/>
      </w:pPr>
      <w:rPr>
        <w:rFonts w:ascii="Symbol" w:hAnsi="Symbol"/>
      </w:rPr>
    </w:lvl>
    <w:lvl w:ilvl="7">
      <w:numFmt w:val="bullet"/>
      <w:lvlText w:val="o"/>
      <w:lvlJc w:val="left"/>
      <w:pPr>
        <w:ind w:left="5400" w:hanging="360"/>
      </w:pPr>
      <w:rPr>
        <w:rFonts w:ascii="Courier New" w:hAnsi="Courier New" w:cs="Courier New"/>
      </w:rPr>
    </w:lvl>
    <w:lvl w:ilvl="8">
      <w:numFmt w:val="bullet"/>
      <w:lvlText w:val=""/>
      <w:lvlJc w:val="left"/>
      <w:pPr>
        <w:ind w:left="6120" w:hanging="360"/>
      </w:pPr>
      <w:rPr>
        <w:rFonts w:ascii="Wingdings" w:hAnsi="Wingdings"/>
      </w:rPr>
    </w:lvl>
  </w:abstractNum>
  <w:abstractNum w:abstractNumId="1" w15:restartNumberingAfterBreak="0">
    <w:nsid w:val="0496113A"/>
    <w:multiLevelType w:val="multilevel"/>
    <w:tmpl w:val="FD069BD4"/>
    <w:lvl w:ilvl="0">
      <w:start w:val="1"/>
      <w:numFmt w:val="decimal"/>
      <w:lvlText w:val="%1."/>
      <w:lvlJc w:val="left"/>
      <w:pPr>
        <w:ind w:left="1004" w:hanging="360"/>
      </w:pPr>
    </w:lvl>
    <w:lvl w:ilvl="1">
      <w:start w:val="1"/>
      <w:numFmt w:val="lowerLetter"/>
      <w:lvlText w:val="%2."/>
      <w:lvlJc w:val="left"/>
      <w:pPr>
        <w:ind w:left="1724" w:hanging="360"/>
      </w:pPr>
    </w:lvl>
    <w:lvl w:ilvl="2">
      <w:start w:val="1"/>
      <w:numFmt w:val="lowerRoman"/>
      <w:lvlText w:val="%3."/>
      <w:lvlJc w:val="right"/>
      <w:pPr>
        <w:ind w:left="2444" w:hanging="180"/>
      </w:pPr>
    </w:lvl>
    <w:lvl w:ilvl="3">
      <w:start w:val="1"/>
      <w:numFmt w:val="decimal"/>
      <w:lvlText w:val="%4."/>
      <w:lvlJc w:val="left"/>
      <w:pPr>
        <w:ind w:left="3164" w:hanging="360"/>
      </w:pPr>
    </w:lvl>
    <w:lvl w:ilvl="4">
      <w:start w:val="1"/>
      <w:numFmt w:val="lowerLetter"/>
      <w:lvlText w:val="%5."/>
      <w:lvlJc w:val="left"/>
      <w:pPr>
        <w:ind w:left="3884" w:hanging="360"/>
      </w:pPr>
    </w:lvl>
    <w:lvl w:ilvl="5">
      <w:start w:val="1"/>
      <w:numFmt w:val="lowerRoman"/>
      <w:lvlText w:val="%6."/>
      <w:lvlJc w:val="right"/>
      <w:pPr>
        <w:ind w:left="4604" w:hanging="180"/>
      </w:pPr>
    </w:lvl>
    <w:lvl w:ilvl="6">
      <w:start w:val="1"/>
      <w:numFmt w:val="decimal"/>
      <w:lvlText w:val="%7."/>
      <w:lvlJc w:val="left"/>
      <w:pPr>
        <w:ind w:left="5324" w:hanging="360"/>
      </w:pPr>
    </w:lvl>
    <w:lvl w:ilvl="7">
      <w:start w:val="1"/>
      <w:numFmt w:val="lowerLetter"/>
      <w:lvlText w:val="%8."/>
      <w:lvlJc w:val="left"/>
      <w:pPr>
        <w:ind w:left="6044" w:hanging="360"/>
      </w:pPr>
    </w:lvl>
    <w:lvl w:ilvl="8">
      <w:start w:val="1"/>
      <w:numFmt w:val="lowerRoman"/>
      <w:lvlText w:val="%9."/>
      <w:lvlJc w:val="right"/>
      <w:pPr>
        <w:ind w:left="6764" w:hanging="180"/>
      </w:pPr>
    </w:lvl>
  </w:abstractNum>
  <w:abstractNum w:abstractNumId="2" w15:restartNumberingAfterBreak="0">
    <w:nsid w:val="05885B76"/>
    <w:multiLevelType w:val="multilevel"/>
    <w:tmpl w:val="0A42C056"/>
    <w:lvl w:ilvl="0">
      <w:start w:val="1"/>
      <w:numFmt w:val="upperLetter"/>
      <w:lvlText w:val="%1)"/>
      <w:lvlJc w:val="left"/>
      <w:pPr>
        <w:ind w:left="1020"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1">
      <w:start w:val="1"/>
      <w:numFmt w:val="lowerLetter"/>
      <w:lvlText w:val="%2"/>
      <w:lvlJc w:val="left"/>
      <w:pPr>
        <w:ind w:left="1788"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2">
      <w:start w:val="1"/>
      <w:numFmt w:val="lowerRoman"/>
      <w:lvlText w:val="%3"/>
      <w:lvlJc w:val="left"/>
      <w:pPr>
        <w:ind w:left="2508"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3">
      <w:start w:val="1"/>
      <w:numFmt w:val="decimal"/>
      <w:lvlText w:val="%4"/>
      <w:lvlJc w:val="left"/>
      <w:pPr>
        <w:ind w:left="3228"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4">
      <w:start w:val="1"/>
      <w:numFmt w:val="lowerLetter"/>
      <w:lvlText w:val="%5"/>
      <w:lvlJc w:val="left"/>
      <w:pPr>
        <w:ind w:left="3948"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5">
      <w:start w:val="1"/>
      <w:numFmt w:val="lowerRoman"/>
      <w:lvlText w:val="%6"/>
      <w:lvlJc w:val="left"/>
      <w:pPr>
        <w:ind w:left="4668"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6">
      <w:start w:val="1"/>
      <w:numFmt w:val="decimal"/>
      <w:lvlText w:val="%7"/>
      <w:lvlJc w:val="left"/>
      <w:pPr>
        <w:ind w:left="5388"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7">
      <w:start w:val="1"/>
      <w:numFmt w:val="lowerLetter"/>
      <w:lvlText w:val="%8"/>
      <w:lvlJc w:val="left"/>
      <w:pPr>
        <w:ind w:left="6108"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8">
      <w:start w:val="1"/>
      <w:numFmt w:val="lowerRoman"/>
      <w:lvlText w:val="%9"/>
      <w:lvlJc w:val="left"/>
      <w:pPr>
        <w:ind w:left="6828"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abstractNum>
  <w:abstractNum w:abstractNumId="3" w15:restartNumberingAfterBreak="0">
    <w:nsid w:val="06175638"/>
    <w:multiLevelType w:val="multilevel"/>
    <w:tmpl w:val="F4D41302"/>
    <w:lvl w:ilvl="0">
      <w:start w:val="1"/>
      <w:numFmt w:val="decimal"/>
      <w:lvlText w:val="%1."/>
      <w:lvlJc w:val="left"/>
      <w:pPr>
        <w:ind w:left="10" w:firstLine="0"/>
      </w:pPr>
      <w:rPr>
        <w:rFonts w:ascii="Arial" w:eastAsia="Arial" w:hAnsi="Arial" w:cs="Arial"/>
        <w:b w:val="0"/>
        <w:i w:val="0"/>
        <w:strike w:val="0"/>
        <w:dstrike w:val="0"/>
        <w:color w:val="000000"/>
        <w:position w:val="0"/>
        <w:sz w:val="24"/>
        <w:szCs w:val="24"/>
        <w:u w:val="none" w:color="000000"/>
        <w:shd w:val="clear" w:color="auto" w:fill="auto"/>
        <w:vertAlign w:val="baseline"/>
      </w:rPr>
    </w:lvl>
    <w:lvl w:ilvl="1">
      <w:start w:val="1"/>
      <w:numFmt w:val="lowerLetter"/>
      <w:lvlText w:val="%2"/>
      <w:lvlJc w:val="left"/>
      <w:pPr>
        <w:ind w:left="1080" w:firstLine="0"/>
      </w:pPr>
      <w:rPr>
        <w:rFonts w:ascii="Arial" w:eastAsia="Arial" w:hAnsi="Arial" w:cs="Arial"/>
        <w:b w:val="0"/>
        <w:i w:val="0"/>
        <w:strike w:val="0"/>
        <w:dstrike w:val="0"/>
        <w:color w:val="000000"/>
        <w:position w:val="0"/>
        <w:sz w:val="24"/>
        <w:szCs w:val="24"/>
        <w:u w:val="none" w:color="000000"/>
        <w:shd w:val="clear" w:color="auto" w:fill="auto"/>
        <w:vertAlign w:val="baseline"/>
      </w:rPr>
    </w:lvl>
    <w:lvl w:ilvl="2">
      <w:start w:val="1"/>
      <w:numFmt w:val="lowerRoman"/>
      <w:lvlText w:val="%3"/>
      <w:lvlJc w:val="left"/>
      <w:pPr>
        <w:ind w:left="1800" w:firstLine="0"/>
      </w:pPr>
      <w:rPr>
        <w:rFonts w:ascii="Arial" w:eastAsia="Arial" w:hAnsi="Arial" w:cs="Arial"/>
        <w:b w:val="0"/>
        <w:i w:val="0"/>
        <w:strike w:val="0"/>
        <w:dstrike w:val="0"/>
        <w:color w:val="000000"/>
        <w:position w:val="0"/>
        <w:sz w:val="24"/>
        <w:szCs w:val="24"/>
        <w:u w:val="none" w:color="000000"/>
        <w:shd w:val="clear" w:color="auto" w:fill="auto"/>
        <w:vertAlign w:val="baseline"/>
      </w:rPr>
    </w:lvl>
    <w:lvl w:ilvl="3">
      <w:start w:val="1"/>
      <w:numFmt w:val="decimal"/>
      <w:lvlText w:val="%4"/>
      <w:lvlJc w:val="left"/>
      <w:pPr>
        <w:ind w:left="2520" w:firstLine="0"/>
      </w:pPr>
      <w:rPr>
        <w:rFonts w:ascii="Arial" w:eastAsia="Arial" w:hAnsi="Arial" w:cs="Arial"/>
        <w:b w:val="0"/>
        <w:i w:val="0"/>
        <w:strike w:val="0"/>
        <w:dstrike w:val="0"/>
        <w:color w:val="000000"/>
        <w:position w:val="0"/>
        <w:sz w:val="24"/>
        <w:szCs w:val="24"/>
        <w:u w:val="none" w:color="000000"/>
        <w:shd w:val="clear" w:color="auto" w:fill="auto"/>
        <w:vertAlign w:val="baseline"/>
      </w:rPr>
    </w:lvl>
    <w:lvl w:ilvl="4">
      <w:start w:val="1"/>
      <w:numFmt w:val="lowerLetter"/>
      <w:lvlText w:val="%5"/>
      <w:lvlJc w:val="left"/>
      <w:pPr>
        <w:ind w:left="3240" w:firstLine="0"/>
      </w:pPr>
      <w:rPr>
        <w:rFonts w:ascii="Arial" w:eastAsia="Arial" w:hAnsi="Arial" w:cs="Arial"/>
        <w:b w:val="0"/>
        <w:i w:val="0"/>
        <w:strike w:val="0"/>
        <w:dstrike w:val="0"/>
        <w:color w:val="000000"/>
        <w:position w:val="0"/>
        <w:sz w:val="24"/>
        <w:szCs w:val="24"/>
        <w:u w:val="none" w:color="000000"/>
        <w:shd w:val="clear" w:color="auto" w:fill="auto"/>
        <w:vertAlign w:val="baseline"/>
      </w:rPr>
    </w:lvl>
    <w:lvl w:ilvl="5">
      <w:start w:val="1"/>
      <w:numFmt w:val="lowerRoman"/>
      <w:lvlText w:val="%6"/>
      <w:lvlJc w:val="left"/>
      <w:pPr>
        <w:ind w:left="3960" w:firstLine="0"/>
      </w:pPr>
      <w:rPr>
        <w:rFonts w:ascii="Arial" w:eastAsia="Arial" w:hAnsi="Arial" w:cs="Arial"/>
        <w:b w:val="0"/>
        <w:i w:val="0"/>
        <w:strike w:val="0"/>
        <w:dstrike w:val="0"/>
        <w:color w:val="000000"/>
        <w:position w:val="0"/>
        <w:sz w:val="24"/>
        <w:szCs w:val="24"/>
        <w:u w:val="none" w:color="000000"/>
        <w:shd w:val="clear" w:color="auto" w:fill="auto"/>
        <w:vertAlign w:val="baseline"/>
      </w:rPr>
    </w:lvl>
    <w:lvl w:ilvl="6">
      <w:start w:val="1"/>
      <w:numFmt w:val="decimal"/>
      <w:lvlText w:val="%7"/>
      <w:lvlJc w:val="left"/>
      <w:pPr>
        <w:ind w:left="4680" w:firstLine="0"/>
      </w:pPr>
      <w:rPr>
        <w:rFonts w:ascii="Arial" w:eastAsia="Arial" w:hAnsi="Arial" w:cs="Arial"/>
        <w:b w:val="0"/>
        <w:i w:val="0"/>
        <w:strike w:val="0"/>
        <w:dstrike w:val="0"/>
        <w:color w:val="000000"/>
        <w:position w:val="0"/>
        <w:sz w:val="24"/>
        <w:szCs w:val="24"/>
        <w:u w:val="none" w:color="000000"/>
        <w:shd w:val="clear" w:color="auto" w:fill="auto"/>
        <w:vertAlign w:val="baseline"/>
      </w:rPr>
    </w:lvl>
    <w:lvl w:ilvl="7">
      <w:start w:val="1"/>
      <w:numFmt w:val="lowerLetter"/>
      <w:lvlText w:val="%8"/>
      <w:lvlJc w:val="left"/>
      <w:pPr>
        <w:ind w:left="5400" w:firstLine="0"/>
      </w:pPr>
      <w:rPr>
        <w:rFonts w:ascii="Arial" w:eastAsia="Arial" w:hAnsi="Arial" w:cs="Arial"/>
        <w:b w:val="0"/>
        <w:i w:val="0"/>
        <w:strike w:val="0"/>
        <w:dstrike w:val="0"/>
        <w:color w:val="000000"/>
        <w:position w:val="0"/>
        <w:sz w:val="24"/>
        <w:szCs w:val="24"/>
        <w:u w:val="none" w:color="000000"/>
        <w:shd w:val="clear" w:color="auto" w:fill="auto"/>
        <w:vertAlign w:val="baseline"/>
      </w:rPr>
    </w:lvl>
    <w:lvl w:ilvl="8">
      <w:start w:val="1"/>
      <w:numFmt w:val="lowerRoman"/>
      <w:lvlText w:val="%9"/>
      <w:lvlJc w:val="left"/>
      <w:pPr>
        <w:ind w:left="6120" w:firstLine="0"/>
      </w:pPr>
      <w:rPr>
        <w:rFonts w:ascii="Arial" w:eastAsia="Arial" w:hAnsi="Arial" w:cs="Arial"/>
        <w:b w:val="0"/>
        <w:i w:val="0"/>
        <w:strike w:val="0"/>
        <w:dstrike w:val="0"/>
        <w:color w:val="000000"/>
        <w:position w:val="0"/>
        <w:sz w:val="24"/>
        <w:szCs w:val="24"/>
        <w:u w:val="none" w:color="000000"/>
        <w:shd w:val="clear" w:color="auto" w:fill="auto"/>
        <w:vertAlign w:val="baseline"/>
      </w:rPr>
    </w:lvl>
  </w:abstractNum>
  <w:abstractNum w:abstractNumId="4" w15:restartNumberingAfterBreak="0">
    <w:nsid w:val="078B1988"/>
    <w:multiLevelType w:val="multilevel"/>
    <w:tmpl w:val="48345D18"/>
    <w:lvl w:ilvl="0">
      <w:start w:val="1"/>
      <w:numFmt w:val="lowerLetter"/>
      <w:lvlText w:val="%1)"/>
      <w:lvlJc w:val="left"/>
      <w:rPr>
        <w:rFonts w:ascii="Calibri" w:eastAsia="Calibri" w:hAnsi="Calibri" w:cs="Calibri"/>
        <w:b w:val="0"/>
        <w:i/>
        <w:iCs/>
        <w:strike w:val="0"/>
        <w:dstrike w:val="0"/>
        <w:color w:val="000000"/>
        <w:position w:val="0"/>
        <w:sz w:val="22"/>
        <w:szCs w:val="22"/>
        <w:u w:val="none" w:color="000000"/>
        <w:shd w:val="clear" w:color="auto" w:fill="auto"/>
        <w:vertAlign w:val="baseline"/>
      </w:rPr>
    </w:lvl>
    <w:lvl w:ilvl="1">
      <w:start w:val="1"/>
      <w:numFmt w:val="lowerLetter"/>
      <w:lvlText w:val="%2"/>
      <w:lvlJc w:val="left"/>
      <w:pPr>
        <w:ind w:left="144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2">
      <w:start w:val="1"/>
      <w:numFmt w:val="lowerRoman"/>
      <w:lvlText w:val="%3"/>
      <w:lvlJc w:val="left"/>
      <w:pPr>
        <w:ind w:left="216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3">
      <w:start w:val="1"/>
      <w:numFmt w:val="decimal"/>
      <w:lvlText w:val="%4"/>
      <w:lvlJc w:val="left"/>
      <w:pPr>
        <w:ind w:left="288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4">
      <w:start w:val="1"/>
      <w:numFmt w:val="lowerLetter"/>
      <w:lvlText w:val="%5"/>
      <w:lvlJc w:val="left"/>
      <w:pPr>
        <w:ind w:left="360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5">
      <w:start w:val="1"/>
      <w:numFmt w:val="lowerRoman"/>
      <w:lvlText w:val="%6"/>
      <w:lvlJc w:val="left"/>
      <w:pPr>
        <w:ind w:left="432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6">
      <w:start w:val="1"/>
      <w:numFmt w:val="decimal"/>
      <w:lvlText w:val="%7"/>
      <w:lvlJc w:val="left"/>
      <w:pPr>
        <w:ind w:left="504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7">
      <w:start w:val="1"/>
      <w:numFmt w:val="lowerLetter"/>
      <w:lvlText w:val="%8"/>
      <w:lvlJc w:val="left"/>
      <w:pPr>
        <w:ind w:left="576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8">
      <w:start w:val="1"/>
      <w:numFmt w:val="lowerRoman"/>
      <w:lvlText w:val="%9"/>
      <w:lvlJc w:val="left"/>
      <w:pPr>
        <w:ind w:left="648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abstractNum>
  <w:abstractNum w:abstractNumId="5" w15:restartNumberingAfterBreak="0">
    <w:nsid w:val="0937365F"/>
    <w:multiLevelType w:val="multilevel"/>
    <w:tmpl w:val="3A8C7E5E"/>
    <w:lvl w:ilvl="0">
      <w:numFmt w:val="bullet"/>
      <w:lvlText w:val="•"/>
      <w:lvlJc w:val="left"/>
      <w:pPr>
        <w:ind w:left="269"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1">
      <w:numFmt w:val="bullet"/>
      <w:lvlText w:val="o"/>
      <w:lvlJc w:val="left"/>
      <w:pPr>
        <w:ind w:left="1504"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2">
      <w:numFmt w:val="bullet"/>
      <w:lvlText w:val="▪"/>
      <w:lvlJc w:val="left"/>
      <w:pPr>
        <w:ind w:left="2224"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3">
      <w:numFmt w:val="bullet"/>
      <w:lvlText w:val="•"/>
      <w:lvlJc w:val="left"/>
      <w:pPr>
        <w:ind w:left="2944"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4">
      <w:numFmt w:val="bullet"/>
      <w:lvlText w:val="o"/>
      <w:lvlJc w:val="left"/>
      <w:pPr>
        <w:ind w:left="3664"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5">
      <w:numFmt w:val="bullet"/>
      <w:lvlText w:val="▪"/>
      <w:lvlJc w:val="left"/>
      <w:pPr>
        <w:ind w:left="4384"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6">
      <w:numFmt w:val="bullet"/>
      <w:lvlText w:val="•"/>
      <w:lvlJc w:val="left"/>
      <w:pPr>
        <w:ind w:left="5104"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7">
      <w:numFmt w:val="bullet"/>
      <w:lvlText w:val="o"/>
      <w:lvlJc w:val="left"/>
      <w:pPr>
        <w:ind w:left="5824"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8">
      <w:numFmt w:val="bullet"/>
      <w:lvlText w:val="▪"/>
      <w:lvlJc w:val="left"/>
      <w:pPr>
        <w:ind w:left="6544"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abstractNum>
  <w:abstractNum w:abstractNumId="6" w15:restartNumberingAfterBreak="0">
    <w:nsid w:val="0A1C00DB"/>
    <w:multiLevelType w:val="multilevel"/>
    <w:tmpl w:val="000ABD26"/>
    <w:lvl w:ilvl="0">
      <w:start w:val="1"/>
      <w:numFmt w:val="decimal"/>
      <w:lvlText w:val="%1."/>
      <w:lvlJc w:val="left"/>
      <w:pPr>
        <w:ind w:left="720" w:hanging="360"/>
      </w:pPr>
    </w:lvl>
    <w:lvl w:ilvl="1">
      <w:start w:val="1"/>
      <w:numFmt w:val="decimal"/>
      <w:lvlText w:val="%1.%2."/>
      <w:lvlJc w:val="left"/>
      <w:pPr>
        <w:ind w:left="1098" w:hanging="390"/>
      </w:pPr>
    </w:lvl>
    <w:lvl w:ilvl="2">
      <w:start w:val="1"/>
      <w:numFmt w:val="decimal"/>
      <w:lvlText w:val="%1.%2.%3."/>
      <w:lvlJc w:val="left"/>
      <w:pPr>
        <w:ind w:left="1776" w:hanging="720"/>
      </w:pPr>
    </w:lvl>
    <w:lvl w:ilvl="3">
      <w:start w:val="1"/>
      <w:numFmt w:val="decimal"/>
      <w:lvlText w:val="%1.%2.%3.%4."/>
      <w:lvlJc w:val="left"/>
      <w:pPr>
        <w:ind w:left="2124" w:hanging="720"/>
      </w:pPr>
    </w:lvl>
    <w:lvl w:ilvl="4">
      <w:start w:val="1"/>
      <w:numFmt w:val="decimal"/>
      <w:lvlText w:val="%1.%2.%3.%4.%5."/>
      <w:lvlJc w:val="left"/>
      <w:pPr>
        <w:ind w:left="2832" w:hanging="1080"/>
      </w:pPr>
    </w:lvl>
    <w:lvl w:ilvl="5">
      <w:start w:val="1"/>
      <w:numFmt w:val="decimal"/>
      <w:lvlText w:val="%1.%2.%3.%4.%5.%6."/>
      <w:lvlJc w:val="left"/>
      <w:pPr>
        <w:ind w:left="3180" w:hanging="1080"/>
      </w:pPr>
    </w:lvl>
    <w:lvl w:ilvl="6">
      <w:start w:val="1"/>
      <w:numFmt w:val="decimal"/>
      <w:lvlText w:val="%1.%2.%3.%4.%5.%6.%7."/>
      <w:lvlJc w:val="left"/>
      <w:pPr>
        <w:ind w:left="3888" w:hanging="1440"/>
      </w:pPr>
    </w:lvl>
    <w:lvl w:ilvl="7">
      <w:start w:val="1"/>
      <w:numFmt w:val="decimal"/>
      <w:lvlText w:val="%1.%2.%3.%4.%5.%6.%7.%8."/>
      <w:lvlJc w:val="left"/>
      <w:pPr>
        <w:ind w:left="4236" w:hanging="1440"/>
      </w:pPr>
    </w:lvl>
    <w:lvl w:ilvl="8">
      <w:start w:val="1"/>
      <w:numFmt w:val="decimal"/>
      <w:lvlText w:val="%1.%2.%3.%4.%5.%6.%7.%8.%9."/>
      <w:lvlJc w:val="left"/>
      <w:pPr>
        <w:ind w:left="4944" w:hanging="1800"/>
      </w:pPr>
    </w:lvl>
  </w:abstractNum>
  <w:abstractNum w:abstractNumId="7" w15:restartNumberingAfterBreak="0">
    <w:nsid w:val="0F2A6535"/>
    <w:multiLevelType w:val="multilevel"/>
    <w:tmpl w:val="D5E2FF80"/>
    <w:lvl w:ilvl="0">
      <w:start w:val="1"/>
      <w:numFmt w:val="lowerLetter"/>
      <w:lvlText w:val="%1)"/>
      <w:lvlJc w:val="left"/>
      <w:rPr>
        <w:rFonts w:ascii="Calibri" w:eastAsia="Calibri" w:hAnsi="Calibri" w:cs="Calibri"/>
        <w:b w:val="0"/>
        <w:i/>
        <w:iCs/>
        <w:strike w:val="0"/>
        <w:dstrike w:val="0"/>
        <w:color w:val="000000"/>
        <w:position w:val="0"/>
        <w:sz w:val="22"/>
        <w:szCs w:val="22"/>
        <w:u w:val="none" w:color="000000"/>
        <w:shd w:val="clear" w:color="auto" w:fill="auto"/>
        <w:vertAlign w:val="baseline"/>
      </w:rPr>
    </w:lvl>
    <w:lvl w:ilvl="1">
      <w:start w:val="1"/>
      <w:numFmt w:val="lowerLetter"/>
      <w:lvlText w:val="%2"/>
      <w:lvlJc w:val="left"/>
      <w:pPr>
        <w:ind w:left="144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2">
      <w:start w:val="1"/>
      <w:numFmt w:val="lowerRoman"/>
      <w:lvlText w:val="%3"/>
      <w:lvlJc w:val="left"/>
      <w:pPr>
        <w:ind w:left="216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3">
      <w:start w:val="1"/>
      <w:numFmt w:val="decimal"/>
      <w:lvlText w:val="%4"/>
      <w:lvlJc w:val="left"/>
      <w:pPr>
        <w:ind w:left="288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4">
      <w:start w:val="1"/>
      <w:numFmt w:val="lowerLetter"/>
      <w:lvlText w:val="%5"/>
      <w:lvlJc w:val="left"/>
      <w:pPr>
        <w:ind w:left="360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5">
      <w:start w:val="1"/>
      <w:numFmt w:val="lowerRoman"/>
      <w:lvlText w:val="%6"/>
      <w:lvlJc w:val="left"/>
      <w:pPr>
        <w:ind w:left="432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6">
      <w:start w:val="1"/>
      <w:numFmt w:val="decimal"/>
      <w:lvlText w:val="%7"/>
      <w:lvlJc w:val="left"/>
      <w:pPr>
        <w:ind w:left="504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7">
      <w:start w:val="1"/>
      <w:numFmt w:val="lowerLetter"/>
      <w:lvlText w:val="%8"/>
      <w:lvlJc w:val="left"/>
      <w:pPr>
        <w:ind w:left="576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8">
      <w:start w:val="1"/>
      <w:numFmt w:val="lowerRoman"/>
      <w:lvlText w:val="%9"/>
      <w:lvlJc w:val="left"/>
      <w:pPr>
        <w:ind w:left="648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abstractNum>
  <w:abstractNum w:abstractNumId="8" w15:restartNumberingAfterBreak="0">
    <w:nsid w:val="0F597A67"/>
    <w:multiLevelType w:val="multilevel"/>
    <w:tmpl w:val="08D8C00C"/>
    <w:lvl w:ilvl="0">
      <w:start w:val="1"/>
      <w:numFmt w:val="lowerLetter"/>
      <w:lvlText w:val="%1)"/>
      <w:lvlJc w:val="left"/>
      <w:pPr>
        <w:ind w:left="1150" w:firstLine="0"/>
      </w:pPr>
      <w:rPr>
        <w:rFonts w:ascii="Calibri" w:eastAsia="Calibri" w:hAnsi="Calibri" w:cs="Calibri"/>
        <w:b w:val="0"/>
        <w:i w:val="0"/>
        <w:strike w:val="0"/>
        <w:dstrike w:val="0"/>
        <w:color w:val="000000"/>
        <w:position w:val="0"/>
        <w:sz w:val="20"/>
        <w:szCs w:val="20"/>
        <w:u w:val="none" w:color="000000"/>
        <w:shd w:val="clear" w:color="auto" w:fill="auto"/>
        <w:vertAlign w:val="baseline"/>
      </w:rPr>
    </w:lvl>
    <w:lvl w:ilvl="1">
      <w:start w:val="1"/>
      <w:numFmt w:val="lowerLetter"/>
      <w:lvlText w:val="%2"/>
      <w:lvlJc w:val="left"/>
      <w:pPr>
        <w:ind w:left="1920" w:firstLine="0"/>
      </w:pPr>
      <w:rPr>
        <w:rFonts w:ascii="Calibri" w:eastAsia="Calibri" w:hAnsi="Calibri" w:cs="Calibri"/>
        <w:b w:val="0"/>
        <w:i w:val="0"/>
        <w:strike w:val="0"/>
        <w:dstrike w:val="0"/>
        <w:color w:val="000000"/>
        <w:position w:val="0"/>
        <w:sz w:val="20"/>
        <w:szCs w:val="20"/>
        <w:u w:val="none" w:color="000000"/>
        <w:shd w:val="clear" w:color="auto" w:fill="auto"/>
        <w:vertAlign w:val="baseline"/>
      </w:rPr>
    </w:lvl>
    <w:lvl w:ilvl="2">
      <w:start w:val="1"/>
      <w:numFmt w:val="lowerRoman"/>
      <w:lvlText w:val="%3"/>
      <w:lvlJc w:val="left"/>
      <w:pPr>
        <w:ind w:left="2640" w:firstLine="0"/>
      </w:pPr>
      <w:rPr>
        <w:rFonts w:ascii="Calibri" w:eastAsia="Calibri" w:hAnsi="Calibri" w:cs="Calibri"/>
        <w:b w:val="0"/>
        <w:i w:val="0"/>
        <w:strike w:val="0"/>
        <w:dstrike w:val="0"/>
        <w:color w:val="000000"/>
        <w:position w:val="0"/>
        <w:sz w:val="20"/>
        <w:szCs w:val="20"/>
        <w:u w:val="none" w:color="000000"/>
        <w:shd w:val="clear" w:color="auto" w:fill="auto"/>
        <w:vertAlign w:val="baseline"/>
      </w:rPr>
    </w:lvl>
    <w:lvl w:ilvl="3">
      <w:start w:val="1"/>
      <w:numFmt w:val="decimal"/>
      <w:lvlText w:val="%4"/>
      <w:lvlJc w:val="left"/>
      <w:pPr>
        <w:ind w:left="3360" w:firstLine="0"/>
      </w:pPr>
      <w:rPr>
        <w:rFonts w:ascii="Calibri" w:eastAsia="Calibri" w:hAnsi="Calibri" w:cs="Calibri"/>
        <w:b w:val="0"/>
        <w:i w:val="0"/>
        <w:strike w:val="0"/>
        <w:dstrike w:val="0"/>
        <w:color w:val="000000"/>
        <w:position w:val="0"/>
        <w:sz w:val="20"/>
        <w:szCs w:val="20"/>
        <w:u w:val="none" w:color="000000"/>
        <w:shd w:val="clear" w:color="auto" w:fill="auto"/>
        <w:vertAlign w:val="baseline"/>
      </w:rPr>
    </w:lvl>
    <w:lvl w:ilvl="4">
      <w:start w:val="1"/>
      <w:numFmt w:val="lowerLetter"/>
      <w:lvlText w:val="%5"/>
      <w:lvlJc w:val="left"/>
      <w:pPr>
        <w:ind w:left="4080" w:firstLine="0"/>
      </w:pPr>
      <w:rPr>
        <w:rFonts w:ascii="Calibri" w:eastAsia="Calibri" w:hAnsi="Calibri" w:cs="Calibri"/>
        <w:b w:val="0"/>
        <w:i w:val="0"/>
        <w:strike w:val="0"/>
        <w:dstrike w:val="0"/>
        <w:color w:val="000000"/>
        <w:position w:val="0"/>
        <w:sz w:val="20"/>
        <w:szCs w:val="20"/>
        <w:u w:val="none" w:color="000000"/>
        <w:shd w:val="clear" w:color="auto" w:fill="auto"/>
        <w:vertAlign w:val="baseline"/>
      </w:rPr>
    </w:lvl>
    <w:lvl w:ilvl="5">
      <w:start w:val="1"/>
      <w:numFmt w:val="lowerRoman"/>
      <w:lvlText w:val="%6"/>
      <w:lvlJc w:val="left"/>
      <w:pPr>
        <w:ind w:left="4800" w:firstLine="0"/>
      </w:pPr>
      <w:rPr>
        <w:rFonts w:ascii="Calibri" w:eastAsia="Calibri" w:hAnsi="Calibri" w:cs="Calibri"/>
        <w:b w:val="0"/>
        <w:i w:val="0"/>
        <w:strike w:val="0"/>
        <w:dstrike w:val="0"/>
        <w:color w:val="000000"/>
        <w:position w:val="0"/>
        <w:sz w:val="20"/>
        <w:szCs w:val="20"/>
        <w:u w:val="none" w:color="000000"/>
        <w:shd w:val="clear" w:color="auto" w:fill="auto"/>
        <w:vertAlign w:val="baseline"/>
      </w:rPr>
    </w:lvl>
    <w:lvl w:ilvl="6">
      <w:start w:val="1"/>
      <w:numFmt w:val="decimal"/>
      <w:lvlText w:val="%7"/>
      <w:lvlJc w:val="left"/>
      <w:pPr>
        <w:ind w:left="5520" w:firstLine="0"/>
      </w:pPr>
      <w:rPr>
        <w:rFonts w:ascii="Calibri" w:eastAsia="Calibri" w:hAnsi="Calibri" w:cs="Calibri"/>
        <w:b w:val="0"/>
        <w:i w:val="0"/>
        <w:strike w:val="0"/>
        <w:dstrike w:val="0"/>
        <w:color w:val="000000"/>
        <w:position w:val="0"/>
        <w:sz w:val="20"/>
        <w:szCs w:val="20"/>
        <w:u w:val="none" w:color="000000"/>
        <w:shd w:val="clear" w:color="auto" w:fill="auto"/>
        <w:vertAlign w:val="baseline"/>
      </w:rPr>
    </w:lvl>
    <w:lvl w:ilvl="7">
      <w:start w:val="1"/>
      <w:numFmt w:val="lowerLetter"/>
      <w:lvlText w:val="%8"/>
      <w:lvlJc w:val="left"/>
      <w:pPr>
        <w:ind w:left="6240" w:firstLine="0"/>
      </w:pPr>
      <w:rPr>
        <w:rFonts w:ascii="Calibri" w:eastAsia="Calibri" w:hAnsi="Calibri" w:cs="Calibri"/>
        <w:b w:val="0"/>
        <w:i w:val="0"/>
        <w:strike w:val="0"/>
        <w:dstrike w:val="0"/>
        <w:color w:val="000000"/>
        <w:position w:val="0"/>
        <w:sz w:val="20"/>
        <w:szCs w:val="20"/>
        <w:u w:val="none" w:color="000000"/>
        <w:shd w:val="clear" w:color="auto" w:fill="auto"/>
        <w:vertAlign w:val="baseline"/>
      </w:rPr>
    </w:lvl>
    <w:lvl w:ilvl="8">
      <w:start w:val="1"/>
      <w:numFmt w:val="lowerRoman"/>
      <w:lvlText w:val="%9"/>
      <w:lvlJc w:val="left"/>
      <w:pPr>
        <w:ind w:left="6960" w:firstLine="0"/>
      </w:pPr>
      <w:rPr>
        <w:rFonts w:ascii="Calibri" w:eastAsia="Calibri" w:hAnsi="Calibri" w:cs="Calibri"/>
        <w:b w:val="0"/>
        <w:i w:val="0"/>
        <w:strike w:val="0"/>
        <w:dstrike w:val="0"/>
        <w:color w:val="000000"/>
        <w:position w:val="0"/>
        <w:sz w:val="20"/>
        <w:szCs w:val="20"/>
        <w:u w:val="none" w:color="000000"/>
        <w:shd w:val="clear" w:color="auto" w:fill="auto"/>
        <w:vertAlign w:val="baseline"/>
      </w:rPr>
    </w:lvl>
  </w:abstractNum>
  <w:abstractNum w:abstractNumId="9" w15:restartNumberingAfterBreak="0">
    <w:nsid w:val="0F7773EB"/>
    <w:multiLevelType w:val="multilevel"/>
    <w:tmpl w:val="BAE685B4"/>
    <w:lvl w:ilvl="0">
      <w:numFmt w:val="bullet"/>
      <w:lvlText w:val="-"/>
      <w:lvlJc w:val="left"/>
      <w:pPr>
        <w:ind w:left="720" w:hanging="360"/>
      </w:pPr>
      <w:rPr>
        <w:rFonts w:ascii="Arial" w:eastAsia="DejaVu Sans" w:hAnsi="Arial" w:cs="Arial"/>
        <w:b w:val="0"/>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0" w15:restartNumberingAfterBreak="0">
    <w:nsid w:val="110234C4"/>
    <w:multiLevelType w:val="multilevel"/>
    <w:tmpl w:val="27D6915C"/>
    <w:lvl w:ilvl="0">
      <w:start w:val="1"/>
      <w:numFmt w:val="decimal"/>
      <w:lvlText w:val="%1."/>
      <w:lvlJc w:val="left"/>
      <w:pPr>
        <w:ind w:left="705"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1">
      <w:start w:val="1"/>
      <w:numFmt w:val="lowerLetter"/>
      <w:lvlText w:val="%2"/>
      <w:lvlJc w:val="left"/>
      <w:pPr>
        <w:ind w:left="1440"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2">
      <w:start w:val="1"/>
      <w:numFmt w:val="lowerRoman"/>
      <w:lvlText w:val="%3"/>
      <w:lvlJc w:val="left"/>
      <w:pPr>
        <w:ind w:left="2160"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3">
      <w:start w:val="1"/>
      <w:numFmt w:val="decimal"/>
      <w:lvlText w:val="%4"/>
      <w:lvlJc w:val="left"/>
      <w:pPr>
        <w:ind w:left="2880"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4">
      <w:start w:val="1"/>
      <w:numFmt w:val="lowerLetter"/>
      <w:lvlText w:val="%5"/>
      <w:lvlJc w:val="left"/>
      <w:pPr>
        <w:ind w:left="3600"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5">
      <w:start w:val="1"/>
      <w:numFmt w:val="lowerRoman"/>
      <w:lvlText w:val="%6"/>
      <w:lvlJc w:val="left"/>
      <w:pPr>
        <w:ind w:left="4320"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6">
      <w:start w:val="1"/>
      <w:numFmt w:val="decimal"/>
      <w:lvlText w:val="%7"/>
      <w:lvlJc w:val="left"/>
      <w:pPr>
        <w:ind w:left="5040"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7">
      <w:start w:val="1"/>
      <w:numFmt w:val="lowerLetter"/>
      <w:lvlText w:val="%8"/>
      <w:lvlJc w:val="left"/>
      <w:pPr>
        <w:ind w:left="5760"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8">
      <w:start w:val="1"/>
      <w:numFmt w:val="lowerRoman"/>
      <w:lvlText w:val="%9"/>
      <w:lvlJc w:val="left"/>
      <w:pPr>
        <w:ind w:left="6480"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abstractNum>
  <w:abstractNum w:abstractNumId="11" w15:restartNumberingAfterBreak="0">
    <w:nsid w:val="113126A7"/>
    <w:multiLevelType w:val="multilevel"/>
    <w:tmpl w:val="2A5C6F22"/>
    <w:lvl w:ilvl="0">
      <w:start w:val="1"/>
      <w:numFmt w:val="decimal"/>
      <w:lvlText w:val="%1."/>
      <w:lvlJc w:val="left"/>
      <w:pPr>
        <w:ind w:left="720"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1">
      <w:start w:val="1"/>
      <w:numFmt w:val="lowerLetter"/>
      <w:lvlText w:val="%2"/>
      <w:lvlJc w:val="left"/>
      <w:pPr>
        <w:ind w:left="1440"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2">
      <w:start w:val="1"/>
      <w:numFmt w:val="lowerRoman"/>
      <w:lvlText w:val="%3"/>
      <w:lvlJc w:val="left"/>
      <w:pPr>
        <w:ind w:left="2160"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3">
      <w:start w:val="1"/>
      <w:numFmt w:val="decimal"/>
      <w:lvlText w:val="%4"/>
      <w:lvlJc w:val="left"/>
      <w:pPr>
        <w:ind w:left="2880"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4">
      <w:start w:val="1"/>
      <w:numFmt w:val="lowerLetter"/>
      <w:lvlText w:val="%5"/>
      <w:lvlJc w:val="left"/>
      <w:pPr>
        <w:ind w:left="3600"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5">
      <w:start w:val="1"/>
      <w:numFmt w:val="lowerRoman"/>
      <w:lvlText w:val="%6"/>
      <w:lvlJc w:val="left"/>
      <w:pPr>
        <w:ind w:left="4320"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6">
      <w:start w:val="1"/>
      <w:numFmt w:val="decimal"/>
      <w:lvlText w:val="%7"/>
      <w:lvlJc w:val="left"/>
      <w:pPr>
        <w:ind w:left="5040"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7">
      <w:start w:val="1"/>
      <w:numFmt w:val="lowerLetter"/>
      <w:lvlText w:val="%8"/>
      <w:lvlJc w:val="left"/>
      <w:pPr>
        <w:ind w:left="5760"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8">
      <w:start w:val="1"/>
      <w:numFmt w:val="lowerRoman"/>
      <w:lvlText w:val="%9"/>
      <w:lvlJc w:val="left"/>
      <w:pPr>
        <w:ind w:left="6480"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abstractNum>
  <w:abstractNum w:abstractNumId="12" w15:restartNumberingAfterBreak="0">
    <w:nsid w:val="136D6149"/>
    <w:multiLevelType w:val="multilevel"/>
    <w:tmpl w:val="D050429C"/>
    <w:lvl w:ilvl="0">
      <w:start w:val="1"/>
      <w:numFmt w:val="decimal"/>
      <w:lvlText w:val="%1."/>
      <w:lvlJc w:val="left"/>
      <w:pPr>
        <w:ind w:left="454"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1">
      <w:start w:val="1"/>
      <w:numFmt w:val="lowerLetter"/>
      <w:lvlText w:val="%2"/>
      <w:lvlJc w:val="left"/>
      <w:pPr>
        <w:ind w:left="1511"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2">
      <w:start w:val="1"/>
      <w:numFmt w:val="lowerRoman"/>
      <w:lvlText w:val="%3"/>
      <w:lvlJc w:val="left"/>
      <w:pPr>
        <w:ind w:left="2231"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3">
      <w:start w:val="1"/>
      <w:numFmt w:val="decimal"/>
      <w:lvlText w:val="%4"/>
      <w:lvlJc w:val="left"/>
      <w:pPr>
        <w:ind w:left="2951"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4">
      <w:start w:val="1"/>
      <w:numFmt w:val="lowerLetter"/>
      <w:lvlText w:val="%5"/>
      <w:lvlJc w:val="left"/>
      <w:pPr>
        <w:ind w:left="3671"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5">
      <w:start w:val="1"/>
      <w:numFmt w:val="lowerRoman"/>
      <w:lvlText w:val="%6"/>
      <w:lvlJc w:val="left"/>
      <w:pPr>
        <w:ind w:left="4391"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6">
      <w:start w:val="1"/>
      <w:numFmt w:val="decimal"/>
      <w:lvlText w:val="%7"/>
      <w:lvlJc w:val="left"/>
      <w:pPr>
        <w:ind w:left="5111"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7">
      <w:start w:val="1"/>
      <w:numFmt w:val="lowerLetter"/>
      <w:lvlText w:val="%8"/>
      <w:lvlJc w:val="left"/>
      <w:pPr>
        <w:ind w:left="5831"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8">
      <w:start w:val="1"/>
      <w:numFmt w:val="lowerRoman"/>
      <w:lvlText w:val="%9"/>
      <w:lvlJc w:val="left"/>
      <w:pPr>
        <w:ind w:left="6551"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abstractNum>
  <w:abstractNum w:abstractNumId="13" w15:restartNumberingAfterBreak="0">
    <w:nsid w:val="155B7207"/>
    <w:multiLevelType w:val="multilevel"/>
    <w:tmpl w:val="9F4EE8C2"/>
    <w:lvl w:ilvl="0">
      <w:numFmt w:val="bullet"/>
      <w:lvlText w:val="•"/>
      <w:lvlJc w:val="left"/>
      <w:pPr>
        <w:ind w:left="126" w:firstLine="0"/>
      </w:pPr>
      <w:rPr>
        <w:rFonts w:ascii="Calibri" w:eastAsia="Calibri" w:hAnsi="Calibri" w:cs="Calibri"/>
        <w:b w:val="0"/>
        <w:i/>
        <w:iCs/>
        <w:strike w:val="0"/>
        <w:dstrike w:val="0"/>
        <w:color w:val="000000"/>
        <w:position w:val="0"/>
        <w:sz w:val="20"/>
        <w:szCs w:val="20"/>
        <w:u w:val="none" w:color="000000"/>
        <w:shd w:val="clear" w:color="auto" w:fill="auto"/>
        <w:vertAlign w:val="baseline"/>
      </w:rPr>
    </w:lvl>
    <w:lvl w:ilvl="1">
      <w:numFmt w:val="bullet"/>
      <w:lvlText w:val="o"/>
      <w:lvlJc w:val="left"/>
      <w:pPr>
        <w:ind w:left="1080" w:firstLine="0"/>
      </w:pPr>
      <w:rPr>
        <w:rFonts w:ascii="Calibri" w:eastAsia="Calibri" w:hAnsi="Calibri" w:cs="Calibri"/>
        <w:b w:val="0"/>
        <w:i/>
        <w:iCs/>
        <w:strike w:val="0"/>
        <w:dstrike w:val="0"/>
        <w:color w:val="000000"/>
        <w:position w:val="0"/>
        <w:sz w:val="20"/>
        <w:szCs w:val="20"/>
        <w:u w:val="none" w:color="000000"/>
        <w:shd w:val="clear" w:color="auto" w:fill="auto"/>
        <w:vertAlign w:val="baseline"/>
      </w:rPr>
    </w:lvl>
    <w:lvl w:ilvl="2">
      <w:numFmt w:val="bullet"/>
      <w:lvlText w:val="▪"/>
      <w:lvlJc w:val="left"/>
      <w:pPr>
        <w:ind w:left="1800" w:firstLine="0"/>
      </w:pPr>
      <w:rPr>
        <w:rFonts w:ascii="Calibri" w:eastAsia="Calibri" w:hAnsi="Calibri" w:cs="Calibri"/>
        <w:b w:val="0"/>
        <w:i/>
        <w:iCs/>
        <w:strike w:val="0"/>
        <w:dstrike w:val="0"/>
        <w:color w:val="000000"/>
        <w:position w:val="0"/>
        <w:sz w:val="20"/>
        <w:szCs w:val="20"/>
        <w:u w:val="none" w:color="000000"/>
        <w:shd w:val="clear" w:color="auto" w:fill="auto"/>
        <w:vertAlign w:val="baseline"/>
      </w:rPr>
    </w:lvl>
    <w:lvl w:ilvl="3">
      <w:numFmt w:val="bullet"/>
      <w:lvlText w:val="•"/>
      <w:lvlJc w:val="left"/>
      <w:pPr>
        <w:ind w:left="2520" w:firstLine="0"/>
      </w:pPr>
      <w:rPr>
        <w:rFonts w:ascii="Calibri" w:eastAsia="Calibri" w:hAnsi="Calibri" w:cs="Calibri"/>
        <w:b w:val="0"/>
        <w:i/>
        <w:iCs/>
        <w:strike w:val="0"/>
        <w:dstrike w:val="0"/>
        <w:color w:val="000000"/>
        <w:position w:val="0"/>
        <w:sz w:val="20"/>
        <w:szCs w:val="20"/>
        <w:u w:val="none" w:color="000000"/>
        <w:shd w:val="clear" w:color="auto" w:fill="auto"/>
        <w:vertAlign w:val="baseline"/>
      </w:rPr>
    </w:lvl>
    <w:lvl w:ilvl="4">
      <w:numFmt w:val="bullet"/>
      <w:lvlText w:val="o"/>
      <w:lvlJc w:val="left"/>
      <w:pPr>
        <w:ind w:left="3240" w:firstLine="0"/>
      </w:pPr>
      <w:rPr>
        <w:rFonts w:ascii="Calibri" w:eastAsia="Calibri" w:hAnsi="Calibri" w:cs="Calibri"/>
        <w:b w:val="0"/>
        <w:i/>
        <w:iCs/>
        <w:strike w:val="0"/>
        <w:dstrike w:val="0"/>
        <w:color w:val="000000"/>
        <w:position w:val="0"/>
        <w:sz w:val="20"/>
        <w:szCs w:val="20"/>
        <w:u w:val="none" w:color="000000"/>
        <w:shd w:val="clear" w:color="auto" w:fill="auto"/>
        <w:vertAlign w:val="baseline"/>
      </w:rPr>
    </w:lvl>
    <w:lvl w:ilvl="5">
      <w:numFmt w:val="bullet"/>
      <w:lvlText w:val="▪"/>
      <w:lvlJc w:val="left"/>
      <w:pPr>
        <w:ind w:left="3960" w:firstLine="0"/>
      </w:pPr>
      <w:rPr>
        <w:rFonts w:ascii="Calibri" w:eastAsia="Calibri" w:hAnsi="Calibri" w:cs="Calibri"/>
        <w:b w:val="0"/>
        <w:i/>
        <w:iCs/>
        <w:strike w:val="0"/>
        <w:dstrike w:val="0"/>
        <w:color w:val="000000"/>
        <w:position w:val="0"/>
        <w:sz w:val="20"/>
        <w:szCs w:val="20"/>
        <w:u w:val="none" w:color="000000"/>
        <w:shd w:val="clear" w:color="auto" w:fill="auto"/>
        <w:vertAlign w:val="baseline"/>
      </w:rPr>
    </w:lvl>
    <w:lvl w:ilvl="6">
      <w:numFmt w:val="bullet"/>
      <w:lvlText w:val="•"/>
      <w:lvlJc w:val="left"/>
      <w:pPr>
        <w:ind w:left="4680" w:firstLine="0"/>
      </w:pPr>
      <w:rPr>
        <w:rFonts w:ascii="Calibri" w:eastAsia="Calibri" w:hAnsi="Calibri" w:cs="Calibri"/>
        <w:b w:val="0"/>
        <w:i/>
        <w:iCs/>
        <w:strike w:val="0"/>
        <w:dstrike w:val="0"/>
        <w:color w:val="000000"/>
        <w:position w:val="0"/>
        <w:sz w:val="20"/>
        <w:szCs w:val="20"/>
        <w:u w:val="none" w:color="000000"/>
        <w:shd w:val="clear" w:color="auto" w:fill="auto"/>
        <w:vertAlign w:val="baseline"/>
      </w:rPr>
    </w:lvl>
    <w:lvl w:ilvl="7">
      <w:numFmt w:val="bullet"/>
      <w:lvlText w:val="o"/>
      <w:lvlJc w:val="left"/>
      <w:pPr>
        <w:ind w:left="5400" w:firstLine="0"/>
      </w:pPr>
      <w:rPr>
        <w:rFonts w:ascii="Calibri" w:eastAsia="Calibri" w:hAnsi="Calibri" w:cs="Calibri"/>
        <w:b w:val="0"/>
        <w:i/>
        <w:iCs/>
        <w:strike w:val="0"/>
        <w:dstrike w:val="0"/>
        <w:color w:val="000000"/>
        <w:position w:val="0"/>
        <w:sz w:val="20"/>
        <w:szCs w:val="20"/>
        <w:u w:val="none" w:color="000000"/>
        <w:shd w:val="clear" w:color="auto" w:fill="auto"/>
        <w:vertAlign w:val="baseline"/>
      </w:rPr>
    </w:lvl>
    <w:lvl w:ilvl="8">
      <w:numFmt w:val="bullet"/>
      <w:lvlText w:val="▪"/>
      <w:lvlJc w:val="left"/>
      <w:pPr>
        <w:ind w:left="6120" w:firstLine="0"/>
      </w:pPr>
      <w:rPr>
        <w:rFonts w:ascii="Calibri" w:eastAsia="Calibri" w:hAnsi="Calibri" w:cs="Calibri"/>
        <w:b w:val="0"/>
        <w:i/>
        <w:iCs/>
        <w:strike w:val="0"/>
        <w:dstrike w:val="0"/>
        <w:color w:val="000000"/>
        <w:position w:val="0"/>
        <w:sz w:val="20"/>
        <w:szCs w:val="20"/>
        <w:u w:val="none" w:color="000000"/>
        <w:shd w:val="clear" w:color="auto" w:fill="auto"/>
        <w:vertAlign w:val="baseline"/>
      </w:rPr>
    </w:lvl>
  </w:abstractNum>
  <w:abstractNum w:abstractNumId="14" w15:restartNumberingAfterBreak="0">
    <w:nsid w:val="15687B49"/>
    <w:multiLevelType w:val="multilevel"/>
    <w:tmpl w:val="C15210D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16463EEF"/>
    <w:multiLevelType w:val="multilevel"/>
    <w:tmpl w:val="42923374"/>
    <w:lvl w:ilvl="0">
      <w:start w:val="1"/>
      <w:numFmt w:val="decimal"/>
      <w:lvlText w:val="%1."/>
      <w:lvlJc w:val="left"/>
      <w:pPr>
        <w:ind w:left="706"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1">
      <w:start w:val="1"/>
      <w:numFmt w:val="lowerLetter"/>
      <w:lvlText w:val="%2"/>
      <w:lvlJc w:val="left"/>
      <w:pPr>
        <w:ind w:left="1441"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2">
      <w:start w:val="1"/>
      <w:numFmt w:val="lowerRoman"/>
      <w:lvlText w:val="%3"/>
      <w:lvlJc w:val="left"/>
      <w:pPr>
        <w:ind w:left="2161"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3">
      <w:start w:val="1"/>
      <w:numFmt w:val="decimal"/>
      <w:lvlText w:val="%4"/>
      <w:lvlJc w:val="left"/>
      <w:pPr>
        <w:ind w:left="2881"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4">
      <w:start w:val="1"/>
      <w:numFmt w:val="lowerLetter"/>
      <w:lvlText w:val="%5"/>
      <w:lvlJc w:val="left"/>
      <w:pPr>
        <w:ind w:left="3601"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5">
      <w:start w:val="1"/>
      <w:numFmt w:val="lowerRoman"/>
      <w:lvlText w:val="%6"/>
      <w:lvlJc w:val="left"/>
      <w:pPr>
        <w:ind w:left="4321"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6">
      <w:start w:val="1"/>
      <w:numFmt w:val="decimal"/>
      <w:lvlText w:val="%7"/>
      <w:lvlJc w:val="left"/>
      <w:pPr>
        <w:ind w:left="5041"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7">
      <w:start w:val="1"/>
      <w:numFmt w:val="lowerLetter"/>
      <w:lvlText w:val="%8"/>
      <w:lvlJc w:val="left"/>
      <w:pPr>
        <w:ind w:left="5761"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8">
      <w:start w:val="1"/>
      <w:numFmt w:val="lowerRoman"/>
      <w:lvlText w:val="%9"/>
      <w:lvlJc w:val="left"/>
      <w:pPr>
        <w:ind w:left="6481"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abstractNum>
  <w:abstractNum w:abstractNumId="16" w15:restartNumberingAfterBreak="0">
    <w:nsid w:val="169F78D7"/>
    <w:multiLevelType w:val="multilevel"/>
    <w:tmpl w:val="535A104C"/>
    <w:lvl w:ilvl="0">
      <w:start w:val="1"/>
      <w:numFmt w:val="decimal"/>
      <w:lvlText w:val="%1."/>
      <w:lvlJc w:val="left"/>
      <w:pPr>
        <w:ind w:left="13"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1">
      <w:start w:val="1"/>
      <w:numFmt w:val="lowerLetter"/>
      <w:lvlText w:val="%2"/>
      <w:lvlJc w:val="left"/>
      <w:pPr>
        <w:ind w:left="108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2">
      <w:start w:val="1"/>
      <w:numFmt w:val="lowerRoman"/>
      <w:lvlText w:val="%3"/>
      <w:lvlJc w:val="left"/>
      <w:pPr>
        <w:ind w:left="180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3">
      <w:start w:val="1"/>
      <w:numFmt w:val="decimal"/>
      <w:lvlText w:val="%4"/>
      <w:lvlJc w:val="left"/>
      <w:pPr>
        <w:ind w:left="252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4">
      <w:start w:val="1"/>
      <w:numFmt w:val="lowerLetter"/>
      <w:lvlText w:val="%5"/>
      <w:lvlJc w:val="left"/>
      <w:pPr>
        <w:ind w:left="324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5">
      <w:start w:val="1"/>
      <w:numFmt w:val="lowerRoman"/>
      <w:lvlText w:val="%6"/>
      <w:lvlJc w:val="left"/>
      <w:pPr>
        <w:ind w:left="396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6">
      <w:start w:val="1"/>
      <w:numFmt w:val="decimal"/>
      <w:lvlText w:val="%7"/>
      <w:lvlJc w:val="left"/>
      <w:pPr>
        <w:ind w:left="468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7">
      <w:start w:val="1"/>
      <w:numFmt w:val="lowerLetter"/>
      <w:lvlText w:val="%8"/>
      <w:lvlJc w:val="left"/>
      <w:pPr>
        <w:ind w:left="540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8">
      <w:start w:val="1"/>
      <w:numFmt w:val="lowerRoman"/>
      <w:lvlText w:val="%9"/>
      <w:lvlJc w:val="left"/>
      <w:pPr>
        <w:ind w:left="612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abstractNum>
  <w:abstractNum w:abstractNumId="17" w15:restartNumberingAfterBreak="0">
    <w:nsid w:val="18181405"/>
    <w:multiLevelType w:val="multilevel"/>
    <w:tmpl w:val="731A1C96"/>
    <w:lvl w:ilvl="0">
      <w:start w:val="1"/>
      <w:numFmt w:val="lowerLetter"/>
      <w:lvlText w:val="%1)"/>
      <w:lvlJc w:val="left"/>
      <w:rPr>
        <w:rFonts w:ascii="Calibri" w:eastAsia="Calibri" w:hAnsi="Calibri" w:cs="Calibri"/>
        <w:b w:val="0"/>
        <w:i/>
        <w:iCs/>
        <w:strike w:val="0"/>
        <w:dstrike w:val="0"/>
        <w:color w:val="000000"/>
        <w:position w:val="0"/>
        <w:sz w:val="22"/>
        <w:szCs w:val="22"/>
        <w:u w:val="none" w:color="000000"/>
        <w:shd w:val="clear" w:color="auto" w:fill="auto"/>
        <w:vertAlign w:val="baseline"/>
      </w:rPr>
    </w:lvl>
    <w:lvl w:ilvl="1">
      <w:start w:val="1"/>
      <w:numFmt w:val="lowerLetter"/>
      <w:lvlText w:val="%2"/>
      <w:lvlJc w:val="left"/>
      <w:pPr>
        <w:ind w:left="144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2">
      <w:start w:val="1"/>
      <w:numFmt w:val="lowerRoman"/>
      <w:lvlText w:val="%3"/>
      <w:lvlJc w:val="left"/>
      <w:pPr>
        <w:ind w:left="216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3">
      <w:start w:val="1"/>
      <w:numFmt w:val="decimal"/>
      <w:lvlText w:val="%4"/>
      <w:lvlJc w:val="left"/>
      <w:pPr>
        <w:ind w:left="288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4">
      <w:start w:val="1"/>
      <w:numFmt w:val="lowerLetter"/>
      <w:lvlText w:val="%5"/>
      <w:lvlJc w:val="left"/>
      <w:pPr>
        <w:ind w:left="360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5">
      <w:start w:val="1"/>
      <w:numFmt w:val="lowerRoman"/>
      <w:lvlText w:val="%6"/>
      <w:lvlJc w:val="left"/>
      <w:pPr>
        <w:ind w:left="432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6">
      <w:start w:val="1"/>
      <w:numFmt w:val="decimal"/>
      <w:lvlText w:val="%7"/>
      <w:lvlJc w:val="left"/>
      <w:pPr>
        <w:ind w:left="504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7">
      <w:start w:val="1"/>
      <w:numFmt w:val="lowerLetter"/>
      <w:lvlText w:val="%8"/>
      <w:lvlJc w:val="left"/>
      <w:pPr>
        <w:ind w:left="576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8">
      <w:start w:val="1"/>
      <w:numFmt w:val="lowerRoman"/>
      <w:lvlText w:val="%9"/>
      <w:lvlJc w:val="left"/>
      <w:pPr>
        <w:ind w:left="648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abstractNum>
  <w:abstractNum w:abstractNumId="18" w15:restartNumberingAfterBreak="0">
    <w:nsid w:val="18813FB7"/>
    <w:multiLevelType w:val="multilevel"/>
    <w:tmpl w:val="143E1742"/>
    <w:lvl w:ilvl="0">
      <w:numFmt w:val="bullet"/>
      <w:lvlText w:val="●"/>
      <w:lvlJc w:val="left"/>
      <w:pPr>
        <w:ind w:left="720" w:firstLine="0"/>
      </w:pPr>
      <w:rPr>
        <w:rFonts w:ascii="Arial" w:eastAsia="Arial" w:hAnsi="Arial" w:cs="Arial"/>
        <w:b w:val="0"/>
        <w:i w:val="0"/>
        <w:strike w:val="0"/>
        <w:dstrike w:val="0"/>
        <w:color w:val="000000"/>
        <w:position w:val="0"/>
        <w:sz w:val="24"/>
        <w:szCs w:val="24"/>
        <w:u w:val="none" w:color="000000"/>
        <w:shd w:val="clear" w:color="auto" w:fill="auto"/>
        <w:vertAlign w:val="baseline"/>
      </w:rPr>
    </w:lvl>
    <w:lvl w:ilvl="1">
      <w:numFmt w:val="bullet"/>
      <w:lvlText w:val="o"/>
      <w:lvlJc w:val="left"/>
      <w:pPr>
        <w:ind w:left="1440" w:firstLine="0"/>
      </w:pPr>
      <w:rPr>
        <w:rFonts w:ascii="Arial" w:eastAsia="Arial" w:hAnsi="Arial" w:cs="Arial"/>
        <w:b w:val="0"/>
        <w:i w:val="0"/>
        <w:strike w:val="0"/>
        <w:dstrike w:val="0"/>
        <w:color w:val="000000"/>
        <w:position w:val="0"/>
        <w:sz w:val="24"/>
        <w:szCs w:val="24"/>
        <w:u w:val="none" w:color="000000"/>
        <w:shd w:val="clear" w:color="auto" w:fill="auto"/>
        <w:vertAlign w:val="baseline"/>
      </w:rPr>
    </w:lvl>
    <w:lvl w:ilvl="2">
      <w:numFmt w:val="bullet"/>
      <w:lvlText w:val="▪"/>
      <w:lvlJc w:val="left"/>
      <w:pPr>
        <w:ind w:left="2160" w:firstLine="0"/>
      </w:pPr>
      <w:rPr>
        <w:rFonts w:ascii="Arial" w:eastAsia="Arial" w:hAnsi="Arial" w:cs="Arial"/>
        <w:b w:val="0"/>
        <w:i w:val="0"/>
        <w:strike w:val="0"/>
        <w:dstrike w:val="0"/>
        <w:color w:val="000000"/>
        <w:position w:val="0"/>
        <w:sz w:val="24"/>
        <w:szCs w:val="24"/>
        <w:u w:val="none" w:color="000000"/>
        <w:shd w:val="clear" w:color="auto" w:fill="auto"/>
        <w:vertAlign w:val="baseline"/>
      </w:rPr>
    </w:lvl>
    <w:lvl w:ilvl="3">
      <w:numFmt w:val="bullet"/>
      <w:lvlText w:val="•"/>
      <w:lvlJc w:val="left"/>
      <w:pPr>
        <w:ind w:left="2880" w:firstLine="0"/>
      </w:pPr>
      <w:rPr>
        <w:rFonts w:ascii="Arial" w:eastAsia="Arial" w:hAnsi="Arial" w:cs="Arial"/>
        <w:b w:val="0"/>
        <w:i w:val="0"/>
        <w:strike w:val="0"/>
        <w:dstrike w:val="0"/>
        <w:color w:val="000000"/>
        <w:position w:val="0"/>
        <w:sz w:val="24"/>
        <w:szCs w:val="24"/>
        <w:u w:val="none" w:color="000000"/>
        <w:shd w:val="clear" w:color="auto" w:fill="auto"/>
        <w:vertAlign w:val="baseline"/>
      </w:rPr>
    </w:lvl>
    <w:lvl w:ilvl="4">
      <w:numFmt w:val="bullet"/>
      <w:lvlText w:val="o"/>
      <w:lvlJc w:val="left"/>
      <w:pPr>
        <w:ind w:left="3600" w:firstLine="0"/>
      </w:pPr>
      <w:rPr>
        <w:rFonts w:ascii="Arial" w:eastAsia="Arial" w:hAnsi="Arial" w:cs="Arial"/>
        <w:b w:val="0"/>
        <w:i w:val="0"/>
        <w:strike w:val="0"/>
        <w:dstrike w:val="0"/>
        <w:color w:val="000000"/>
        <w:position w:val="0"/>
        <w:sz w:val="24"/>
        <w:szCs w:val="24"/>
        <w:u w:val="none" w:color="000000"/>
        <w:shd w:val="clear" w:color="auto" w:fill="auto"/>
        <w:vertAlign w:val="baseline"/>
      </w:rPr>
    </w:lvl>
    <w:lvl w:ilvl="5">
      <w:numFmt w:val="bullet"/>
      <w:lvlText w:val="▪"/>
      <w:lvlJc w:val="left"/>
      <w:pPr>
        <w:ind w:left="4320" w:firstLine="0"/>
      </w:pPr>
      <w:rPr>
        <w:rFonts w:ascii="Arial" w:eastAsia="Arial" w:hAnsi="Arial" w:cs="Arial"/>
        <w:b w:val="0"/>
        <w:i w:val="0"/>
        <w:strike w:val="0"/>
        <w:dstrike w:val="0"/>
        <w:color w:val="000000"/>
        <w:position w:val="0"/>
        <w:sz w:val="24"/>
        <w:szCs w:val="24"/>
        <w:u w:val="none" w:color="000000"/>
        <w:shd w:val="clear" w:color="auto" w:fill="auto"/>
        <w:vertAlign w:val="baseline"/>
      </w:rPr>
    </w:lvl>
    <w:lvl w:ilvl="6">
      <w:numFmt w:val="bullet"/>
      <w:lvlText w:val="•"/>
      <w:lvlJc w:val="left"/>
      <w:pPr>
        <w:ind w:left="5040" w:firstLine="0"/>
      </w:pPr>
      <w:rPr>
        <w:rFonts w:ascii="Arial" w:eastAsia="Arial" w:hAnsi="Arial" w:cs="Arial"/>
        <w:b w:val="0"/>
        <w:i w:val="0"/>
        <w:strike w:val="0"/>
        <w:dstrike w:val="0"/>
        <w:color w:val="000000"/>
        <w:position w:val="0"/>
        <w:sz w:val="24"/>
        <w:szCs w:val="24"/>
        <w:u w:val="none" w:color="000000"/>
        <w:shd w:val="clear" w:color="auto" w:fill="auto"/>
        <w:vertAlign w:val="baseline"/>
      </w:rPr>
    </w:lvl>
    <w:lvl w:ilvl="7">
      <w:numFmt w:val="bullet"/>
      <w:lvlText w:val="o"/>
      <w:lvlJc w:val="left"/>
      <w:pPr>
        <w:ind w:left="5760" w:firstLine="0"/>
      </w:pPr>
      <w:rPr>
        <w:rFonts w:ascii="Arial" w:eastAsia="Arial" w:hAnsi="Arial" w:cs="Arial"/>
        <w:b w:val="0"/>
        <w:i w:val="0"/>
        <w:strike w:val="0"/>
        <w:dstrike w:val="0"/>
        <w:color w:val="000000"/>
        <w:position w:val="0"/>
        <w:sz w:val="24"/>
        <w:szCs w:val="24"/>
        <w:u w:val="none" w:color="000000"/>
        <w:shd w:val="clear" w:color="auto" w:fill="auto"/>
        <w:vertAlign w:val="baseline"/>
      </w:rPr>
    </w:lvl>
    <w:lvl w:ilvl="8">
      <w:numFmt w:val="bullet"/>
      <w:lvlText w:val="▪"/>
      <w:lvlJc w:val="left"/>
      <w:pPr>
        <w:ind w:left="6480" w:firstLine="0"/>
      </w:pPr>
      <w:rPr>
        <w:rFonts w:ascii="Arial" w:eastAsia="Arial" w:hAnsi="Arial" w:cs="Arial"/>
        <w:b w:val="0"/>
        <w:i w:val="0"/>
        <w:strike w:val="0"/>
        <w:dstrike w:val="0"/>
        <w:color w:val="000000"/>
        <w:position w:val="0"/>
        <w:sz w:val="24"/>
        <w:szCs w:val="24"/>
        <w:u w:val="none" w:color="000000"/>
        <w:shd w:val="clear" w:color="auto" w:fill="auto"/>
        <w:vertAlign w:val="baseline"/>
      </w:rPr>
    </w:lvl>
  </w:abstractNum>
  <w:abstractNum w:abstractNumId="19" w15:restartNumberingAfterBreak="0">
    <w:nsid w:val="18F515E8"/>
    <w:multiLevelType w:val="multilevel"/>
    <w:tmpl w:val="539876FA"/>
    <w:lvl w:ilvl="0">
      <w:start w:val="1"/>
      <w:numFmt w:val="decimal"/>
      <w:suff w:val="space"/>
      <w:lvlText w:val="%1."/>
      <w:lvlJc w:val="left"/>
      <w:pPr>
        <w:ind w:left="720" w:hanging="360"/>
      </w:pPr>
    </w:lvl>
    <w:lvl w:ilvl="1">
      <w:start w:val="1"/>
      <w:numFmt w:val="decimal"/>
      <w:suff w:val="space"/>
      <w:lvlText w:val="%2."/>
      <w:lvlJc w:val="left"/>
      <w:pPr>
        <w:ind w:left="1080" w:hanging="360"/>
      </w:pPr>
    </w:lvl>
    <w:lvl w:ilvl="2">
      <w:start w:val="1"/>
      <w:numFmt w:val="decimal"/>
      <w:suff w:val="space"/>
      <w:lvlText w:val="%3."/>
      <w:lvlJc w:val="left"/>
      <w:pPr>
        <w:ind w:left="1440" w:hanging="360"/>
      </w:pPr>
    </w:lvl>
    <w:lvl w:ilvl="3">
      <w:start w:val="1"/>
      <w:numFmt w:val="decimal"/>
      <w:suff w:val="space"/>
      <w:lvlText w:val="%4."/>
      <w:lvlJc w:val="left"/>
      <w:pPr>
        <w:ind w:left="1800" w:hanging="360"/>
      </w:pPr>
    </w:lvl>
    <w:lvl w:ilvl="4">
      <w:start w:val="1"/>
      <w:numFmt w:val="decimal"/>
      <w:suff w:val="space"/>
      <w:lvlText w:val="%5."/>
      <w:lvlJc w:val="left"/>
      <w:pPr>
        <w:ind w:left="2160" w:hanging="360"/>
      </w:pPr>
    </w:lvl>
    <w:lvl w:ilvl="5">
      <w:start w:val="1"/>
      <w:numFmt w:val="decimal"/>
      <w:suff w:val="space"/>
      <w:lvlText w:val="%6."/>
      <w:lvlJc w:val="left"/>
      <w:pPr>
        <w:ind w:left="2520" w:hanging="360"/>
      </w:pPr>
    </w:lvl>
    <w:lvl w:ilvl="6">
      <w:start w:val="1"/>
      <w:numFmt w:val="decimal"/>
      <w:suff w:val="space"/>
      <w:lvlText w:val="%7."/>
      <w:lvlJc w:val="left"/>
      <w:pPr>
        <w:ind w:left="2880" w:hanging="360"/>
      </w:pPr>
    </w:lvl>
    <w:lvl w:ilvl="7">
      <w:start w:val="1"/>
      <w:numFmt w:val="decimal"/>
      <w:suff w:val="space"/>
      <w:lvlText w:val="%8."/>
      <w:lvlJc w:val="left"/>
      <w:pPr>
        <w:ind w:left="3240" w:hanging="360"/>
      </w:pPr>
    </w:lvl>
    <w:lvl w:ilvl="8">
      <w:start w:val="1"/>
      <w:numFmt w:val="decimal"/>
      <w:suff w:val="space"/>
      <w:lvlText w:val="%9."/>
      <w:lvlJc w:val="left"/>
      <w:pPr>
        <w:ind w:left="3600" w:hanging="360"/>
      </w:pPr>
    </w:lvl>
  </w:abstractNum>
  <w:abstractNum w:abstractNumId="20" w15:restartNumberingAfterBreak="0">
    <w:nsid w:val="1C620E58"/>
    <w:multiLevelType w:val="multilevel"/>
    <w:tmpl w:val="1278C694"/>
    <w:lvl w:ilvl="0">
      <w:start w:val="1"/>
      <w:numFmt w:val="decimal"/>
      <w:lvlText w:val="%1."/>
      <w:lvlJc w:val="left"/>
      <w:pPr>
        <w:ind w:left="796" w:firstLine="0"/>
      </w:pPr>
      <w:rPr>
        <w:rFonts w:ascii="Arial" w:eastAsia="Calibri" w:hAnsi="Arial" w:cs="Arial"/>
        <w:b/>
        <w:i w:val="0"/>
        <w:strike w:val="0"/>
        <w:dstrike w:val="0"/>
        <w:color w:val="000000"/>
        <w:position w:val="0"/>
        <w:sz w:val="22"/>
        <w:szCs w:val="22"/>
        <w:u w:val="none" w:color="000000"/>
        <w:shd w:val="clear" w:color="auto" w:fill="auto"/>
        <w:vertAlign w:val="baseline"/>
      </w:rPr>
    </w:lvl>
    <w:lvl w:ilvl="1">
      <w:start w:val="1"/>
      <w:numFmt w:val="lowerLetter"/>
      <w:lvlText w:val="%2"/>
      <w:lvlJc w:val="left"/>
      <w:pPr>
        <w:ind w:left="1459"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2">
      <w:start w:val="1"/>
      <w:numFmt w:val="lowerRoman"/>
      <w:lvlText w:val="%3"/>
      <w:lvlJc w:val="left"/>
      <w:pPr>
        <w:ind w:left="2179"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3">
      <w:start w:val="1"/>
      <w:numFmt w:val="decimal"/>
      <w:lvlText w:val="%4"/>
      <w:lvlJc w:val="left"/>
      <w:pPr>
        <w:ind w:left="2899"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4">
      <w:start w:val="1"/>
      <w:numFmt w:val="lowerLetter"/>
      <w:lvlText w:val="%5"/>
      <w:lvlJc w:val="left"/>
      <w:pPr>
        <w:ind w:left="3619"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5">
      <w:start w:val="1"/>
      <w:numFmt w:val="lowerRoman"/>
      <w:lvlText w:val="%6"/>
      <w:lvlJc w:val="left"/>
      <w:pPr>
        <w:ind w:left="4339"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6">
      <w:start w:val="1"/>
      <w:numFmt w:val="decimal"/>
      <w:lvlText w:val="%7"/>
      <w:lvlJc w:val="left"/>
      <w:pPr>
        <w:ind w:left="5059"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7">
      <w:start w:val="1"/>
      <w:numFmt w:val="lowerLetter"/>
      <w:lvlText w:val="%8"/>
      <w:lvlJc w:val="left"/>
      <w:pPr>
        <w:ind w:left="5779"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8">
      <w:start w:val="1"/>
      <w:numFmt w:val="lowerRoman"/>
      <w:lvlText w:val="%9"/>
      <w:lvlJc w:val="left"/>
      <w:pPr>
        <w:ind w:left="6499"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abstractNum>
  <w:abstractNum w:abstractNumId="21" w15:restartNumberingAfterBreak="0">
    <w:nsid w:val="1C99452F"/>
    <w:multiLevelType w:val="multilevel"/>
    <w:tmpl w:val="AB3CA544"/>
    <w:lvl w:ilvl="0">
      <w:numFmt w:val="bullet"/>
      <w:lvlText w:val="-"/>
      <w:lvlJc w:val="left"/>
      <w:pPr>
        <w:ind w:left="720" w:hanging="360"/>
      </w:pPr>
      <w:rPr>
        <w:rFonts w:ascii="Verdana" w:eastAsia="Times New Roman" w:hAnsi="Verdana" w:cs="Calibri"/>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2" w15:restartNumberingAfterBreak="0">
    <w:nsid w:val="1DE1028D"/>
    <w:multiLevelType w:val="multilevel"/>
    <w:tmpl w:val="189C9746"/>
    <w:lvl w:ilvl="0">
      <w:start w:val="1"/>
      <w:numFmt w:val="lowerLetter"/>
      <w:lvlText w:val="%1)"/>
      <w:lvlJc w:val="left"/>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1">
      <w:start w:val="1"/>
      <w:numFmt w:val="lowerLetter"/>
      <w:lvlText w:val="%2"/>
      <w:lvlJc w:val="left"/>
      <w:pPr>
        <w:ind w:left="1440"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2">
      <w:start w:val="1"/>
      <w:numFmt w:val="lowerRoman"/>
      <w:lvlText w:val="%3"/>
      <w:lvlJc w:val="left"/>
      <w:pPr>
        <w:ind w:left="2160"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3">
      <w:start w:val="1"/>
      <w:numFmt w:val="decimal"/>
      <w:lvlText w:val="%4"/>
      <w:lvlJc w:val="left"/>
      <w:pPr>
        <w:ind w:left="2880"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4">
      <w:start w:val="1"/>
      <w:numFmt w:val="lowerLetter"/>
      <w:lvlText w:val="%5"/>
      <w:lvlJc w:val="left"/>
      <w:pPr>
        <w:ind w:left="3600"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5">
      <w:start w:val="1"/>
      <w:numFmt w:val="lowerRoman"/>
      <w:lvlText w:val="%6"/>
      <w:lvlJc w:val="left"/>
      <w:pPr>
        <w:ind w:left="4320"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6">
      <w:start w:val="1"/>
      <w:numFmt w:val="decimal"/>
      <w:lvlText w:val="%7"/>
      <w:lvlJc w:val="left"/>
      <w:pPr>
        <w:ind w:left="5040"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7">
      <w:start w:val="1"/>
      <w:numFmt w:val="lowerLetter"/>
      <w:lvlText w:val="%8"/>
      <w:lvlJc w:val="left"/>
      <w:pPr>
        <w:ind w:left="5760"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8">
      <w:start w:val="1"/>
      <w:numFmt w:val="lowerRoman"/>
      <w:lvlText w:val="%9"/>
      <w:lvlJc w:val="left"/>
      <w:pPr>
        <w:ind w:left="6480"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abstractNum>
  <w:abstractNum w:abstractNumId="23" w15:restartNumberingAfterBreak="0">
    <w:nsid w:val="1E8877CB"/>
    <w:multiLevelType w:val="multilevel"/>
    <w:tmpl w:val="05E69EE2"/>
    <w:lvl w:ilvl="0">
      <w:start w:val="1"/>
      <w:numFmt w:val="decimal"/>
      <w:lvlText w:val="%1."/>
      <w:lvlJc w:val="left"/>
      <w:pPr>
        <w:ind w:left="269" w:firstLine="0"/>
      </w:pPr>
      <w:rPr>
        <w:rFonts w:ascii="Calibri" w:eastAsia="Calibri" w:hAnsi="Calibri" w:cs="Calibri"/>
        <w:b/>
        <w:bCs/>
        <w:i w:val="0"/>
        <w:strike w:val="0"/>
        <w:dstrike w:val="0"/>
        <w:color w:val="000000"/>
        <w:position w:val="0"/>
        <w:sz w:val="22"/>
        <w:szCs w:val="22"/>
        <w:u w:val="none" w:color="000000"/>
        <w:shd w:val="clear" w:color="auto" w:fill="auto"/>
        <w:vertAlign w:val="baseline"/>
      </w:rPr>
    </w:lvl>
    <w:lvl w:ilvl="1">
      <w:start w:val="1"/>
      <w:numFmt w:val="lowerLetter"/>
      <w:lvlText w:val="%2"/>
      <w:lvlJc w:val="left"/>
      <w:pPr>
        <w:ind w:left="1646" w:firstLine="0"/>
      </w:pPr>
      <w:rPr>
        <w:rFonts w:ascii="Calibri" w:eastAsia="Calibri" w:hAnsi="Calibri" w:cs="Calibri"/>
        <w:b/>
        <w:bCs/>
        <w:i w:val="0"/>
        <w:strike w:val="0"/>
        <w:dstrike w:val="0"/>
        <w:color w:val="000000"/>
        <w:position w:val="0"/>
        <w:sz w:val="22"/>
        <w:szCs w:val="22"/>
        <w:u w:val="none" w:color="000000"/>
        <w:shd w:val="clear" w:color="auto" w:fill="auto"/>
        <w:vertAlign w:val="baseline"/>
      </w:rPr>
    </w:lvl>
    <w:lvl w:ilvl="2">
      <w:start w:val="1"/>
      <w:numFmt w:val="lowerRoman"/>
      <w:lvlText w:val="%3"/>
      <w:lvlJc w:val="left"/>
      <w:pPr>
        <w:ind w:left="2366" w:firstLine="0"/>
      </w:pPr>
      <w:rPr>
        <w:rFonts w:ascii="Calibri" w:eastAsia="Calibri" w:hAnsi="Calibri" w:cs="Calibri"/>
        <w:b/>
        <w:bCs/>
        <w:i w:val="0"/>
        <w:strike w:val="0"/>
        <w:dstrike w:val="0"/>
        <w:color w:val="000000"/>
        <w:position w:val="0"/>
        <w:sz w:val="22"/>
        <w:szCs w:val="22"/>
        <w:u w:val="none" w:color="000000"/>
        <w:shd w:val="clear" w:color="auto" w:fill="auto"/>
        <w:vertAlign w:val="baseline"/>
      </w:rPr>
    </w:lvl>
    <w:lvl w:ilvl="3">
      <w:start w:val="1"/>
      <w:numFmt w:val="decimal"/>
      <w:lvlText w:val="%4"/>
      <w:lvlJc w:val="left"/>
      <w:pPr>
        <w:ind w:left="3086" w:firstLine="0"/>
      </w:pPr>
      <w:rPr>
        <w:rFonts w:ascii="Calibri" w:eastAsia="Calibri" w:hAnsi="Calibri" w:cs="Calibri"/>
        <w:b/>
        <w:bCs/>
        <w:i w:val="0"/>
        <w:strike w:val="0"/>
        <w:dstrike w:val="0"/>
        <w:color w:val="000000"/>
        <w:position w:val="0"/>
        <w:sz w:val="22"/>
        <w:szCs w:val="22"/>
        <w:u w:val="none" w:color="000000"/>
        <w:shd w:val="clear" w:color="auto" w:fill="auto"/>
        <w:vertAlign w:val="baseline"/>
      </w:rPr>
    </w:lvl>
    <w:lvl w:ilvl="4">
      <w:start w:val="1"/>
      <w:numFmt w:val="lowerLetter"/>
      <w:lvlText w:val="%5"/>
      <w:lvlJc w:val="left"/>
      <w:pPr>
        <w:ind w:left="3806" w:firstLine="0"/>
      </w:pPr>
      <w:rPr>
        <w:rFonts w:ascii="Calibri" w:eastAsia="Calibri" w:hAnsi="Calibri" w:cs="Calibri"/>
        <w:b/>
        <w:bCs/>
        <w:i w:val="0"/>
        <w:strike w:val="0"/>
        <w:dstrike w:val="0"/>
        <w:color w:val="000000"/>
        <w:position w:val="0"/>
        <w:sz w:val="22"/>
        <w:szCs w:val="22"/>
        <w:u w:val="none" w:color="000000"/>
        <w:shd w:val="clear" w:color="auto" w:fill="auto"/>
        <w:vertAlign w:val="baseline"/>
      </w:rPr>
    </w:lvl>
    <w:lvl w:ilvl="5">
      <w:start w:val="1"/>
      <w:numFmt w:val="lowerRoman"/>
      <w:lvlText w:val="%6"/>
      <w:lvlJc w:val="left"/>
      <w:pPr>
        <w:ind w:left="4526" w:firstLine="0"/>
      </w:pPr>
      <w:rPr>
        <w:rFonts w:ascii="Calibri" w:eastAsia="Calibri" w:hAnsi="Calibri" w:cs="Calibri"/>
        <w:b/>
        <w:bCs/>
        <w:i w:val="0"/>
        <w:strike w:val="0"/>
        <w:dstrike w:val="0"/>
        <w:color w:val="000000"/>
        <w:position w:val="0"/>
        <w:sz w:val="22"/>
        <w:szCs w:val="22"/>
        <w:u w:val="none" w:color="000000"/>
        <w:shd w:val="clear" w:color="auto" w:fill="auto"/>
        <w:vertAlign w:val="baseline"/>
      </w:rPr>
    </w:lvl>
    <w:lvl w:ilvl="6">
      <w:start w:val="1"/>
      <w:numFmt w:val="decimal"/>
      <w:lvlText w:val="%7"/>
      <w:lvlJc w:val="left"/>
      <w:pPr>
        <w:ind w:left="5246" w:firstLine="0"/>
      </w:pPr>
      <w:rPr>
        <w:rFonts w:ascii="Calibri" w:eastAsia="Calibri" w:hAnsi="Calibri" w:cs="Calibri"/>
        <w:b/>
        <w:bCs/>
        <w:i w:val="0"/>
        <w:strike w:val="0"/>
        <w:dstrike w:val="0"/>
        <w:color w:val="000000"/>
        <w:position w:val="0"/>
        <w:sz w:val="22"/>
        <w:szCs w:val="22"/>
        <w:u w:val="none" w:color="000000"/>
        <w:shd w:val="clear" w:color="auto" w:fill="auto"/>
        <w:vertAlign w:val="baseline"/>
      </w:rPr>
    </w:lvl>
    <w:lvl w:ilvl="7">
      <w:start w:val="1"/>
      <w:numFmt w:val="lowerLetter"/>
      <w:lvlText w:val="%8"/>
      <w:lvlJc w:val="left"/>
      <w:pPr>
        <w:ind w:left="5966" w:firstLine="0"/>
      </w:pPr>
      <w:rPr>
        <w:rFonts w:ascii="Calibri" w:eastAsia="Calibri" w:hAnsi="Calibri" w:cs="Calibri"/>
        <w:b/>
        <w:bCs/>
        <w:i w:val="0"/>
        <w:strike w:val="0"/>
        <w:dstrike w:val="0"/>
        <w:color w:val="000000"/>
        <w:position w:val="0"/>
        <w:sz w:val="22"/>
        <w:szCs w:val="22"/>
        <w:u w:val="none" w:color="000000"/>
        <w:shd w:val="clear" w:color="auto" w:fill="auto"/>
        <w:vertAlign w:val="baseline"/>
      </w:rPr>
    </w:lvl>
    <w:lvl w:ilvl="8">
      <w:start w:val="1"/>
      <w:numFmt w:val="lowerRoman"/>
      <w:lvlText w:val="%9"/>
      <w:lvlJc w:val="left"/>
      <w:pPr>
        <w:ind w:left="6686" w:firstLine="0"/>
      </w:pPr>
      <w:rPr>
        <w:rFonts w:ascii="Calibri" w:eastAsia="Calibri" w:hAnsi="Calibri" w:cs="Calibri"/>
        <w:b/>
        <w:bCs/>
        <w:i w:val="0"/>
        <w:strike w:val="0"/>
        <w:dstrike w:val="0"/>
        <w:color w:val="000000"/>
        <w:position w:val="0"/>
        <w:sz w:val="22"/>
        <w:szCs w:val="22"/>
        <w:u w:val="none" w:color="000000"/>
        <w:shd w:val="clear" w:color="auto" w:fill="auto"/>
        <w:vertAlign w:val="baseline"/>
      </w:rPr>
    </w:lvl>
  </w:abstractNum>
  <w:abstractNum w:abstractNumId="24" w15:restartNumberingAfterBreak="0">
    <w:nsid w:val="20AA59C8"/>
    <w:multiLevelType w:val="multilevel"/>
    <w:tmpl w:val="1E5AEC22"/>
    <w:lvl w:ilvl="0">
      <w:start w:val="1"/>
      <w:numFmt w:val="decimal"/>
      <w:lvlText w:val="%1."/>
      <w:lvlJc w:val="left"/>
      <w:rPr>
        <w:rFonts w:ascii="Arial" w:eastAsia="Arial" w:hAnsi="Arial" w:cs="Arial"/>
        <w:b w:val="0"/>
        <w:i/>
        <w:iCs/>
        <w:strike w:val="0"/>
        <w:dstrike w:val="0"/>
        <w:color w:val="000000"/>
        <w:position w:val="0"/>
        <w:sz w:val="22"/>
        <w:szCs w:val="22"/>
        <w:u w:val="none" w:color="000000"/>
        <w:shd w:val="clear" w:color="auto" w:fill="auto"/>
        <w:vertAlign w:val="baseline"/>
      </w:rPr>
    </w:lvl>
    <w:lvl w:ilvl="1">
      <w:start w:val="1"/>
      <w:numFmt w:val="lowerLetter"/>
      <w:lvlText w:val="%2"/>
      <w:lvlJc w:val="left"/>
      <w:pPr>
        <w:ind w:left="1440" w:firstLine="0"/>
      </w:pPr>
      <w:rPr>
        <w:rFonts w:ascii="Arial" w:eastAsia="Arial" w:hAnsi="Arial" w:cs="Arial"/>
        <w:b w:val="0"/>
        <w:i/>
        <w:iCs/>
        <w:strike w:val="0"/>
        <w:dstrike w:val="0"/>
        <w:color w:val="000000"/>
        <w:position w:val="0"/>
        <w:sz w:val="22"/>
        <w:szCs w:val="22"/>
        <w:u w:val="none" w:color="000000"/>
        <w:shd w:val="clear" w:color="auto" w:fill="auto"/>
        <w:vertAlign w:val="baseline"/>
      </w:rPr>
    </w:lvl>
    <w:lvl w:ilvl="2">
      <w:start w:val="1"/>
      <w:numFmt w:val="lowerRoman"/>
      <w:lvlText w:val="%3"/>
      <w:lvlJc w:val="left"/>
      <w:pPr>
        <w:ind w:left="2160" w:firstLine="0"/>
      </w:pPr>
      <w:rPr>
        <w:rFonts w:ascii="Arial" w:eastAsia="Arial" w:hAnsi="Arial" w:cs="Arial"/>
        <w:b w:val="0"/>
        <w:i/>
        <w:iCs/>
        <w:strike w:val="0"/>
        <w:dstrike w:val="0"/>
        <w:color w:val="000000"/>
        <w:position w:val="0"/>
        <w:sz w:val="22"/>
        <w:szCs w:val="22"/>
        <w:u w:val="none" w:color="000000"/>
        <w:shd w:val="clear" w:color="auto" w:fill="auto"/>
        <w:vertAlign w:val="baseline"/>
      </w:rPr>
    </w:lvl>
    <w:lvl w:ilvl="3">
      <w:start w:val="1"/>
      <w:numFmt w:val="decimal"/>
      <w:lvlText w:val="%4"/>
      <w:lvlJc w:val="left"/>
      <w:pPr>
        <w:ind w:left="2880" w:firstLine="0"/>
      </w:pPr>
      <w:rPr>
        <w:rFonts w:ascii="Arial" w:eastAsia="Arial" w:hAnsi="Arial" w:cs="Arial"/>
        <w:b w:val="0"/>
        <w:i/>
        <w:iCs/>
        <w:strike w:val="0"/>
        <w:dstrike w:val="0"/>
        <w:color w:val="000000"/>
        <w:position w:val="0"/>
        <w:sz w:val="22"/>
        <w:szCs w:val="22"/>
        <w:u w:val="none" w:color="000000"/>
        <w:shd w:val="clear" w:color="auto" w:fill="auto"/>
        <w:vertAlign w:val="baseline"/>
      </w:rPr>
    </w:lvl>
    <w:lvl w:ilvl="4">
      <w:start w:val="1"/>
      <w:numFmt w:val="lowerLetter"/>
      <w:lvlText w:val="%5"/>
      <w:lvlJc w:val="left"/>
      <w:pPr>
        <w:ind w:left="3600" w:firstLine="0"/>
      </w:pPr>
      <w:rPr>
        <w:rFonts w:ascii="Arial" w:eastAsia="Arial" w:hAnsi="Arial" w:cs="Arial"/>
        <w:b w:val="0"/>
        <w:i/>
        <w:iCs/>
        <w:strike w:val="0"/>
        <w:dstrike w:val="0"/>
        <w:color w:val="000000"/>
        <w:position w:val="0"/>
        <w:sz w:val="22"/>
        <w:szCs w:val="22"/>
        <w:u w:val="none" w:color="000000"/>
        <w:shd w:val="clear" w:color="auto" w:fill="auto"/>
        <w:vertAlign w:val="baseline"/>
      </w:rPr>
    </w:lvl>
    <w:lvl w:ilvl="5">
      <w:start w:val="1"/>
      <w:numFmt w:val="lowerRoman"/>
      <w:lvlText w:val="%6"/>
      <w:lvlJc w:val="left"/>
      <w:pPr>
        <w:ind w:left="4320" w:firstLine="0"/>
      </w:pPr>
      <w:rPr>
        <w:rFonts w:ascii="Arial" w:eastAsia="Arial" w:hAnsi="Arial" w:cs="Arial"/>
        <w:b w:val="0"/>
        <w:i/>
        <w:iCs/>
        <w:strike w:val="0"/>
        <w:dstrike w:val="0"/>
        <w:color w:val="000000"/>
        <w:position w:val="0"/>
        <w:sz w:val="22"/>
        <w:szCs w:val="22"/>
        <w:u w:val="none" w:color="000000"/>
        <w:shd w:val="clear" w:color="auto" w:fill="auto"/>
        <w:vertAlign w:val="baseline"/>
      </w:rPr>
    </w:lvl>
    <w:lvl w:ilvl="6">
      <w:start w:val="1"/>
      <w:numFmt w:val="decimal"/>
      <w:lvlText w:val="%7"/>
      <w:lvlJc w:val="left"/>
      <w:pPr>
        <w:ind w:left="5040" w:firstLine="0"/>
      </w:pPr>
      <w:rPr>
        <w:rFonts w:ascii="Arial" w:eastAsia="Arial" w:hAnsi="Arial" w:cs="Arial"/>
        <w:b w:val="0"/>
        <w:i/>
        <w:iCs/>
        <w:strike w:val="0"/>
        <w:dstrike w:val="0"/>
        <w:color w:val="000000"/>
        <w:position w:val="0"/>
        <w:sz w:val="22"/>
        <w:szCs w:val="22"/>
        <w:u w:val="none" w:color="000000"/>
        <w:shd w:val="clear" w:color="auto" w:fill="auto"/>
        <w:vertAlign w:val="baseline"/>
      </w:rPr>
    </w:lvl>
    <w:lvl w:ilvl="7">
      <w:start w:val="1"/>
      <w:numFmt w:val="lowerLetter"/>
      <w:lvlText w:val="%8"/>
      <w:lvlJc w:val="left"/>
      <w:pPr>
        <w:ind w:left="5760" w:firstLine="0"/>
      </w:pPr>
      <w:rPr>
        <w:rFonts w:ascii="Arial" w:eastAsia="Arial" w:hAnsi="Arial" w:cs="Arial"/>
        <w:b w:val="0"/>
        <w:i/>
        <w:iCs/>
        <w:strike w:val="0"/>
        <w:dstrike w:val="0"/>
        <w:color w:val="000000"/>
        <w:position w:val="0"/>
        <w:sz w:val="22"/>
        <w:szCs w:val="22"/>
        <w:u w:val="none" w:color="000000"/>
        <w:shd w:val="clear" w:color="auto" w:fill="auto"/>
        <w:vertAlign w:val="baseline"/>
      </w:rPr>
    </w:lvl>
    <w:lvl w:ilvl="8">
      <w:start w:val="1"/>
      <w:numFmt w:val="lowerRoman"/>
      <w:lvlText w:val="%9"/>
      <w:lvlJc w:val="left"/>
      <w:pPr>
        <w:ind w:left="6480" w:firstLine="0"/>
      </w:pPr>
      <w:rPr>
        <w:rFonts w:ascii="Arial" w:eastAsia="Arial" w:hAnsi="Arial" w:cs="Arial"/>
        <w:b w:val="0"/>
        <w:i/>
        <w:iCs/>
        <w:strike w:val="0"/>
        <w:dstrike w:val="0"/>
        <w:color w:val="000000"/>
        <w:position w:val="0"/>
        <w:sz w:val="22"/>
        <w:szCs w:val="22"/>
        <w:u w:val="none" w:color="000000"/>
        <w:shd w:val="clear" w:color="auto" w:fill="auto"/>
        <w:vertAlign w:val="baseline"/>
      </w:rPr>
    </w:lvl>
  </w:abstractNum>
  <w:abstractNum w:abstractNumId="25" w15:restartNumberingAfterBreak="0">
    <w:nsid w:val="21F566C2"/>
    <w:multiLevelType w:val="multilevel"/>
    <w:tmpl w:val="C24090BE"/>
    <w:lvl w:ilvl="0">
      <w:numFmt w:val="bullet"/>
      <w:lvlText w:val="o"/>
      <w:lvlJc w:val="left"/>
      <w:pPr>
        <w:ind w:left="1429" w:hanging="360"/>
      </w:pPr>
      <w:rPr>
        <w:rFonts w:ascii="Courier New" w:hAnsi="Courier New" w:cs="Courier New"/>
      </w:rPr>
    </w:lvl>
    <w:lvl w:ilvl="1">
      <w:numFmt w:val="bullet"/>
      <w:lvlText w:val="o"/>
      <w:lvlJc w:val="left"/>
      <w:pPr>
        <w:ind w:left="2149" w:hanging="360"/>
      </w:pPr>
      <w:rPr>
        <w:rFonts w:ascii="Courier New" w:hAnsi="Courier New" w:cs="Courier New"/>
      </w:rPr>
    </w:lvl>
    <w:lvl w:ilvl="2">
      <w:numFmt w:val="bullet"/>
      <w:lvlText w:val=""/>
      <w:lvlJc w:val="left"/>
      <w:pPr>
        <w:ind w:left="2869" w:hanging="360"/>
      </w:pPr>
      <w:rPr>
        <w:rFonts w:ascii="Wingdings" w:hAnsi="Wingdings"/>
      </w:rPr>
    </w:lvl>
    <w:lvl w:ilvl="3">
      <w:numFmt w:val="bullet"/>
      <w:lvlText w:val=""/>
      <w:lvlJc w:val="left"/>
      <w:pPr>
        <w:ind w:left="3589" w:hanging="360"/>
      </w:pPr>
      <w:rPr>
        <w:rFonts w:ascii="Symbol" w:hAnsi="Symbol"/>
      </w:rPr>
    </w:lvl>
    <w:lvl w:ilvl="4">
      <w:numFmt w:val="bullet"/>
      <w:lvlText w:val="o"/>
      <w:lvlJc w:val="left"/>
      <w:pPr>
        <w:ind w:left="4309" w:hanging="360"/>
      </w:pPr>
      <w:rPr>
        <w:rFonts w:ascii="Courier New" w:hAnsi="Courier New" w:cs="Courier New"/>
      </w:rPr>
    </w:lvl>
    <w:lvl w:ilvl="5">
      <w:numFmt w:val="bullet"/>
      <w:lvlText w:val=""/>
      <w:lvlJc w:val="left"/>
      <w:pPr>
        <w:ind w:left="5029" w:hanging="360"/>
      </w:pPr>
      <w:rPr>
        <w:rFonts w:ascii="Wingdings" w:hAnsi="Wingdings"/>
      </w:rPr>
    </w:lvl>
    <w:lvl w:ilvl="6">
      <w:numFmt w:val="bullet"/>
      <w:lvlText w:val=""/>
      <w:lvlJc w:val="left"/>
      <w:pPr>
        <w:ind w:left="5749" w:hanging="360"/>
      </w:pPr>
      <w:rPr>
        <w:rFonts w:ascii="Symbol" w:hAnsi="Symbol"/>
      </w:rPr>
    </w:lvl>
    <w:lvl w:ilvl="7">
      <w:numFmt w:val="bullet"/>
      <w:lvlText w:val="o"/>
      <w:lvlJc w:val="left"/>
      <w:pPr>
        <w:ind w:left="6469" w:hanging="360"/>
      </w:pPr>
      <w:rPr>
        <w:rFonts w:ascii="Courier New" w:hAnsi="Courier New" w:cs="Courier New"/>
      </w:rPr>
    </w:lvl>
    <w:lvl w:ilvl="8">
      <w:numFmt w:val="bullet"/>
      <w:lvlText w:val=""/>
      <w:lvlJc w:val="left"/>
      <w:pPr>
        <w:ind w:left="7189" w:hanging="360"/>
      </w:pPr>
      <w:rPr>
        <w:rFonts w:ascii="Wingdings" w:hAnsi="Wingdings"/>
      </w:rPr>
    </w:lvl>
  </w:abstractNum>
  <w:abstractNum w:abstractNumId="26" w15:restartNumberingAfterBreak="0">
    <w:nsid w:val="239A73B3"/>
    <w:multiLevelType w:val="multilevel"/>
    <w:tmpl w:val="F0241C48"/>
    <w:lvl w:ilvl="0">
      <w:start w:val="1"/>
      <w:numFmt w:val="decimal"/>
      <w:lvlText w:val="%1."/>
      <w:lvlJc w:val="left"/>
      <w:pPr>
        <w:ind w:left="1068" w:hanging="360"/>
      </w:pPr>
    </w:lvl>
    <w:lvl w:ilvl="1">
      <w:start w:val="1"/>
      <w:numFmt w:val="lowerLetter"/>
      <w:lvlText w:val="%2."/>
      <w:lvlJc w:val="left"/>
      <w:pPr>
        <w:ind w:left="1788" w:hanging="360"/>
      </w:pPr>
    </w:lvl>
    <w:lvl w:ilvl="2">
      <w:start w:val="1"/>
      <w:numFmt w:val="lowerRoman"/>
      <w:lvlText w:val="%3."/>
      <w:lvlJc w:val="right"/>
      <w:pPr>
        <w:ind w:left="2508" w:hanging="180"/>
      </w:pPr>
    </w:lvl>
    <w:lvl w:ilvl="3">
      <w:start w:val="1"/>
      <w:numFmt w:val="decimal"/>
      <w:lvlText w:val="%4."/>
      <w:lvlJc w:val="left"/>
      <w:pPr>
        <w:ind w:left="3228" w:hanging="360"/>
      </w:pPr>
    </w:lvl>
    <w:lvl w:ilvl="4">
      <w:start w:val="1"/>
      <w:numFmt w:val="lowerLetter"/>
      <w:lvlText w:val="%5."/>
      <w:lvlJc w:val="left"/>
      <w:pPr>
        <w:ind w:left="3948" w:hanging="360"/>
      </w:pPr>
    </w:lvl>
    <w:lvl w:ilvl="5">
      <w:start w:val="1"/>
      <w:numFmt w:val="lowerRoman"/>
      <w:lvlText w:val="%6."/>
      <w:lvlJc w:val="right"/>
      <w:pPr>
        <w:ind w:left="4668" w:hanging="180"/>
      </w:pPr>
    </w:lvl>
    <w:lvl w:ilvl="6">
      <w:start w:val="1"/>
      <w:numFmt w:val="decimal"/>
      <w:lvlText w:val="%7."/>
      <w:lvlJc w:val="left"/>
      <w:pPr>
        <w:ind w:left="5388" w:hanging="360"/>
      </w:pPr>
    </w:lvl>
    <w:lvl w:ilvl="7">
      <w:start w:val="1"/>
      <w:numFmt w:val="lowerLetter"/>
      <w:lvlText w:val="%8."/>
      <w:lvlJc w:val="left"/>
      <w:pPr>
        <w:ind w:left="6108" w:hanging="360"/>
      </w:pPr>
    </w:lvl>
    <w:lvl w:ilvl="8">
      <w:start w:val="1"/>
      <w:numFmt w:val="lowerRoman"/>
      <w:lvlText w:val="%9."/>
      <w:lvlJc w:val="right"/>
      <w:pPr>
        <w:ind w:left="6828" w:hanging="180"/>
      </w:pPr>
    </w:lvl>
  </w:abstractNum>
  <w:abstractNum w:abstractNumId="27" w15:restartNumberingAfterBreak="0">
    <w:nsid w:val="23C27B4E"/>
    <w:multiLevelType w:val="multilevel"/>
    <w:tmpl w:val="63481B90"/>
    <w:lvl w:ilvl="0">
      <w:numFmt w:val="bullet"/>
      <w:lvlText w:val="•"/>
      <w:lvlJc w:val="left"/>
      <w:pPr>
        <w:ind w:left="269"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1">
      <w:numFmt w:val="bullet"/>
      <w:lvlText w:val="o"/>
      <w:lvlJc w:val="left"/>
      <w:pPr>
        <w:ind w:left="1565"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2">
      <w:numFmt w:val="bullet"/>
      <w:lvlText w:val="▪"/>
      <w:lvlJc w:val="left"/>
      <w:pPr>
        <w:ind w:left="2285"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3">
      <w:numFmt w:val="bullet"/>
      <w:lvlText w:val="•"/>
      <w:lvlJc w:val="left"/>
      <w:pPr>
        <w:ind w:left="3005"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4">
      <w:numFmt w:val="bullet"/>
      <w:lvlText w:val="o"/>
      <w:lvlJc w:val="left"/>
      <w:pPr>
        <w:ind w:left="3725"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5">
      <w:numFmt w:val="bullet"/>
      <w:lvlText w:val="▪"/>
      <w:lvlJc w:val="left"/>
      <w:pPr>
        <w:ind w:left="4445"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6">
      <w:numFmt w:val="bullet"/>
      <w:lvlText w:val="•"/>
      <w:lvlJc w:val="left"/>
      <w:pPr>
        <w:ind w:left="5165"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7">
      <w:numFmt w:val="bullet"/>
      <w:lvlText w:val="o"/>
      <w:lvlJc w:val="left"/>
      <w:pPr>
        <w:ind w:left="5885"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8">
      <w:numFmt w:val="bullet"/>
      <w:lvlText w:val="▪"/>
      <w:lvlJc w:val="left"/>
      <w:pPr>
        <w:ind w:left="6605"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abstractNum>
  <w:abstractNum w:abstractNumId="28" w15:restartNumberingAfterBreak="0">
    <w:nsid w:val="23FC432A"/>
    <w:multiLevelType w:val="multilevel"/>
    <w:tmpl w:val="ACC48452"/>
    <w:lvl w:ilvl="0">
      <w:start w:val="7"/>
      <w:numFmt w:val="lowerLetter"/>
      <w:lvlText w:val="%1)"/>
      <w:lvlJc w:val="left"/>
      <w:pPr>
        <w:ind w:left="2269" w:firstLine="0"/>
      </w:pPr>
      <w:rPr>
        <w:rFonts w:ascii="Calibri" w:eastAsia="Calibri" w:hAnsi="Calibri" w:cs="Calibri"/>
        <w:b w:val="0"/>
        <w:i w:val="0"/>
        <w:strike w:val="0"/>
        <w:dstrike w:val="0"/>
        <w:color w:val="000000"/>
        <w:position w:val="0"/>
        <w:sz w:val="20"/>
        <w:szCs w:val="20"/>
        <w:u w:val="none" w:color="000000"/>
        <w:shd w:val="clear" w:color="auto" w:fill="auto"/>
        <w:vertAlign w:val="baseline"/>
      </w:rPr>
    </w:lvl>
    <w:lvl w:ilvl="1">
      <w:start w:val="1"/>
      <w:numFmt w:val="lowerLetter"/>
      <w:lvlText w:val="%2"/>
      <w:lvlJc w:val="left"/>
      <w:pPr>
        <w:ind w:left="2228" w:firstLine="0"/>
      </w:pPr>
      <w:rPr>
        <w:rFonts w:ascii="Calibri" w:eastAsia="Calibri" w:hAnsi="Calibri" w:cs="Calibri"/>
        <w:b w:val="0"/>
        <w:i w:val="0"/>
        <w:strike w:val="0"/>
        <w:dstrike w:val="0"/>
        <w:color w:val="000000"/>
        <w:position w:val="0"/>
        <w:sz w:val="20"/>
        <w:szCs w:val="20"/>
        <w:u w:val="none" w:color="000000"/>
        <w:shd w:val="clear" w:color="auto" w:fill="auto"/>
        <w:vertAlign w:val="baseline"/>
      </w:rPr>
    </w:lvl>
    <w:lvl w:ilvl="2">
      <w:start w:val="1"/>
      <w:numFmt w:val="lowerRoman"/>
      <w:lvlText w:val="%3"/>
      <w:lvlJc w:val="left"/>
      <w:pPr>
        <w:ind w:left="2948" w:firstLine="0"/>
      </w:pPr>
      <w:rPr>
        <w:rFonts w:ascii="Calibri" w:eastAsia="Calibri" w:hAnsi="Calibri" w:cs="Calibri"/>
        <w:b w:val="0"/>
        <w:i w:val="0"/>
        <w:strike w:val="0"/>
        <w:dstrike w:val="0"/>
        <w:color w:val="000000"/>
        <w:position w:val="0"/>
        <w:sz w:val="20"/>
        <w:szCs w:val="20"/>
        <w:u w:val="none" w:color="000000"/>
        <w:shd w:val="clear" w:color="auto" w:fill="auto"/>
        <w:vertAlign w:val="baseline"/>
      </w:rPr>
    </w:lvl>
    <w:lvl w:ilvl="3">
      <w:start w:val="1"/>
      <w:numFmt w:val="decimal"/>
      <w:lvlText w:val="%4"/>
      <w:lvlJc w:val="left"/>
      <w:pPr>
        <w:ind w:left="3668" w:firstLine="0"/>
      </w:pPr>
      <w:rPr>
        <w:rFonts w:ascii="Calibri" w:eastAsia="Calibri" w:hAnsi="Calibri" w:cs="Calibri"/>
        <w:b w:val="0"/>
        <w:i w:val="0"/>
        <w:strike w:val="0"/>
        <w:dstrike w:val="0"/>
        <w:color w:val="000000"/>
        <w:position w:val="0"/>
        <w:sz w:val="20"/>
        <w:szCs w:val="20"/>
        <w:u w:val="none" w:color="000000"/>
        <w:shd w:val="clear" w:color="auto" w:fill="auto"/>
        <w:vertAlign w:val="baseline"/>
      </w:rPr>
    </w:lvl>
    <w:lvl w:ilvl="4">
      <w:start w:val="1"/>
      <w:numFmt w:val="lowerLetter"/>
      <w:lvlText w:val="%5"/>
      <w:lvlJc w:val="left"/>
      <w:pPr>
        <w:ind w:left="4388" w:firstLine="0"/>
      </w:pPr>
      <w:rPr>
        <w:rFonts w:ascii="Calibri" w:eastAsia="Calibri" w:hAnsi="Calibri" w:cs="Calibri"/>
        <w:b w:val="0"/>
        <w:i w:val="0"/>
        <w:strike w:val="0"/>
        <w:dstrike w:val="0"/>
        <w:color w:val="000000"/>
        <w:position w:val="0"/>
        <w:sz w:val="20"/>
        <w:szCs w:val="20"/>
        <w:u w:val="none" w:color="000000"/>
        <w:shd w:val="clear" w:color="auto" w:fill="auto"/>
        <w:vertAlign w:val="baseline"/>
      </w:rPr>
    </w:lvl>
    <w:lvl w:ilvl="5">
      <w:start w:val="1"/>
      <w:numFmt w:val="lowerRoman"/>
      <w:lvlText w:val="%6"/>
      <w:lvlJc w:val="left"/>
      <w:pPr>
        <w:ind w:left="5108" w:firstLine="0"/>
      </w:pPr>
      <w:rPr>
        <w:rFonts w:ascii="Calibri" w:eastAsia="Calibri" w:hAnsi="Calibri" w:cs="Calibri"/>
        <w:b w:val="0"/>
        <w:i w:val="0"/>
        <w:strike w:val="0"/>
        <w:dstrike w:val="0"/>
        <w:color w:val="000000"/>
        <w:position w:val="0"/>
        <w:sz w:val="20"/>
        <w:szCs w:val="20"/>
        <w:u w:val="none" w:color="000000"/>
        <w:shd w:val="clear" w:color="auto" w:fill="auto"/>
        <w:vertAlign w:val="baseline"/>
      </w:rPr>
    </w:lvl>
    <w:lvl w:ilvl="6">
      <w:start w:val="1"/>
      <w:numFmt w:val="decimal"/>
      <w:lvlText w:val="%7"/>
      <w:lvlJc w:val="left"/>
      <w:pPr>
        <w:ind w:left="5828" w:firstLine="0"/>
      </w:pPr>
      <w:rPr>
        <w:rFonts w:ascii="Calibri" w:eastAsia="Calibri" w:hAnsi="Calibri" w:cs="Calibri"/>
        <w:b w:val="0"/>
        <w:i w:val="0"/>
        <w:strike w:val="0"/>
        <w:dstrike w:val="0"/>
        <w:color w:val="000000"/>
        <w:position w:val="0"/>
        <w:sz w:val="20"/>
        <w:szCs w:val="20"/>
        <w:u w:val="none" w:color="000000"/>
        <w:shd w:val="clear" w:color="auto" w:fill="auto"/>
        <w:vertAlign w:val="baseline"/>
      </w:rPr>
    </w:lvl>
    <w:lvl w:ilvl="7">
      <w:start w:val="1"/>
      <w:numFmt w:val="lowerLetter"/>
      <w:lvlText w:val="%8"/>
      <w:lvlJc w:val="left"/>
      <w:pPr>
        <w:ind w:left="6548" w:firstLine="0"/>
      </w:pPr>
      <w:rPr>
        <w:rFonts w:ascii="Calibri" w:eastAsia="Calibri" w:hAnsi="Calibri" w:cs="Calibri"/>
        <w:b w:val="0"/>
        <w:i w:val="0"/>
        <w:strike w:val="0"/>
        <w:dstrike w:val="0"/>
        <w:color w:val="000000"/>
        <w:position w:val="0"/>
        <w:sz w:val="20"/>
        <w:szCs w:val="20"/>
        <w:u w:val="none" w:color="000000"/>
        <w:shd w:val="clear" w:color="auto" w:fill="auto"/>
        <w:vertAlign w:val="baseline"/>
      </w:rPr>
    </w:lvl>
    <w:lvl w:ilvl="8">
      <w:start w:val="1"/>
      <w:numFmt w:val="lowerRoman"/>
      <w:lvlText w:val="%9"/>
      <w:lvlJc w:val="left"/>
      <w:pPr>
        <w:ind w:left="7268" w:firstLine="0"/>
      </w:pPr>
      <w:rPr>
        <w:rFonts w:ascii="Calibri" w:eastAsia="Calibri" w:hAnsi="Calibri" w:cs="Calibri"/>
        <w:b w:val="0"/>
        <w:i w:val="0"/>
        <w:strike w:val="0"/>
        <w:dstrike w:val="0"/>
        <w:color w:val="000000"/>
        <w:position w:val="0"/>
        <w:sz w:val="20"/>
        <w:szCs w:val="20"/>
        <w:u w:val="none" w:color="000000"/>
        <w:shd w:val="clear" w:color="auto" w:fill="auto"/>
        <w:vertAlign w:val="baseline"/>
      </w:rPr>
    </w:lvl>
  </w:abstractNum>
  <w:abstractNum w:abstractNumId="29" w15:restartNumberingAfterBreak="0">
    <w:nsid w:val="247E4138"/>
    <w:multiLevelType w:val="multilevel"/>
    <w:tmpl w:val="69EACE0C"/>
    <w:lvl w:ilvl="0">
      <w:start w:val="7"/>
      <w:numFmt w:val="lowerLetter"/>
      <w:lvlText w:val="%1)"/>
      <w:lvlJc w:val="left"/>
      <w:pPr>
        <w:ind w:left="2284" w:firstLine="0"/>
      </w:pPr>
      <w:rPr>
        <w:rFonts w:ascii="Calibri" w:eastAsia="Calibri" w:hAnsi="Calibri" w:cs="Calibri"/>
        <w:b w:val="0"/>
        <w:i w:val="0"/>
        <w:strike w:val="0"/>
        <w:dstrike w:val="0"/>
        <w:color w:val="000000"/>
        <w:position w:val="0"/>
        <w:sz w:val="20"/>
        <w:szCs w:val="20"/>
        <w:u w:val="none" w:color="000000"/>
        <w:shd w:val="clear" w:color="auto" w:fill="auto"/>
        <w:vertAlign w:val="baseline"/>
      </w:rPr>
    </w:lvl>
    <w:lvl w:ilvl="1">
      <w:start w:val="1"/>
      <w:numFmt w:val="lowerLetter"/>
      <w:lvlText w:val="%2"/>
      <w:lvlJc w:val="left"/>
      <w:pPr>
        <w:ind w:left="2228" w:firstLine="0"/>
      </w:pPr>
      <w:rPr>
        <w:rFonts w:ascii="Calibri" w:eastAsia="Calibri" w:hAnsi="Calibri" w:cs="Calibri"/>
        <w:b w:val="0"/>
        <w:i w:val="0"/>
        <w:strike w:val="0"/>
        <w:dstrike w:val="0"/>
        <w:color w:val="000000"/>
        <w:position w:val="0"/>
        <w:sz w:val="20"/>
        <w:szCs w:val="20"/>
        <w:u w:val="none" w:color="000000"/>
        <w:shd w:val="clear" w:color="auto" w:fill="auto"/>
        <w:vertAlign w:val="baseline"/>
      </w:rPr>
    </w:lvl>
    <w:lvl w:ilvl="2">
      <w:start w:val="1"/>
      <w:numFmt w:val="lowerRoman"/>
      <w:lvlText w:val="%3"/>
      <w:lvlJc w:val="left"/>
      <w:pPr>
        <w:ind w:left="2948" w:firstLine="0"/>
      </w:pPr>
      <w:rPr>
        <w:rFonts w:ascii="Calibri" w:eastAsia="Calibri" w:hAnsi="Calibri" w:cs="Calibri"/>
        <w:b w:val="0"/>
        <w:i w:val="0"/>
        <w:strike w:val="0"/>
        <w:dstrike w:val="0"/>
        <w:color w:val="000000"/>
        <w:position w:val="0"/>
        <w:sz w:val="20"/>
        <w:szCs w:val="20"/>
        <w:u w:val="none" w:color="000000"/>
        <w:shd w:val="clear" w:color="auto" w:fill="auto"/>
        <w:vertAlign w:val="baseline"/>
      </w:rPr>
    </w:lvl>
    <w:lvl w:ilvl="3">
      <w:start w:val="1"/>
      <w:numFmt w:val="decimal"/>
      <w:lvlText w:val="%4"/>
      <w:lvlJc w:val="left"/>
      <w:pPr>
        <w:ind w:left="3668" w:firstLine="0"/>
      </w:pPr>
      <w:rPr>
        <w:rFonts w:ascii="Calibri" w:eastAsia="Calibri" w:hAnsi="Calibri" w:cs="Calibri"/>
        <w:b w:val="0"/>
        <w:i w:val="0"/>
        <w:strike w:val="0"/>
        <w:dstrike w:val="0"/>
        <w:color w:val="000000"/>
        <w:position w:val="0"/>
        <w:sz w:val="20"/>
        <w:szCs w:val="20"/>
        <w:u w:val="none" w:color="000000"/>
        <w:shd w:val="clear" w:color="auto" w:fill="auto"/>
        <w:vertAlign w:val="baseline"/>
      </w:rPr>
    </w:lvl>
    <w:lvl w:ilvl="4">
      <w:start w:val="1"/>
      <w:numFmt w:val="lowerLetter"/>
      <w:lvlText w:val="%5"/>
      <w:lvlJc w:val="left"/>
      <w:pPr>
        <w:ind w:left="4388" w:firstLine="0"/>
      </w:pPr>
      <w:rPr>
        <w:rFonts w:ascii="Calibri" w:eastAsia="Calibri" w:hAnsi="Calibri" w:cs="Calibri"/>
        <w:b w:val="0"/>
        <w:i w:val="0"/>
        <w:strike w:val="0"/>
        <w:dstrike w:val="0"/>
        <w:color w:val="000000"/>
        <w:position w:val="0"/>
        <w:sz w:val="20"/>
        <w:szCs w:val="20"/>
        <w:u w:val="none" w:color="000000"/>
        <w:shd w:val="clear" w:color="auto" w:fill="auto"/>
        <w:vertAlign w:val="baseline"/>
      </w:rPr>
    </w:lvl>
    <w:lvl w:ilvl="5">
      <w:start w:val="1"/>
      <w:numFmt w:val="lowerRoman"/>
      <w:lvlText w:val="%6"/>
      <w:lvlJc w:val="left"/>
      <w:pPr>
        <w:ind w:left="5108" w:firstLine="0"/>
      </w:pPr>
      <w:rPr>
        <w:rFonts w:ascii="Calibri" w:eastAsia="Calibri" w:hAnsi="Calibri" w:cs="Calibri"/>
        <w:b w:val="0"/>
        <w:i w:val="0"/>
        <w:strike w:val="0"/>
        <w:dstrike w:val="0"/>
        <w:color w:val="000000"/>
        <w:position w:val="0"/>
        <w:sz w:val="20"/>
        <w:szCs w:val="20"/>
        <w:u w:val="none" w:color="000000"/>
        <w:shd w:val="clear" w:color="auto" w:fill="auto"/>
        <w:vertAlign w:val="baseline"/>
      </w:rPr>
    </w:lvl>
    <w:lvl w:ilvl="6">
      <w:start w:val="1"/>
      <w:numFmt w:val="decimal"/>
      <w:lvlText w:val="%7"/>
      <w:lvlJc w:val="left"/>
      <w:pPr>
        <w:ind w:left="5828" w:firstLine="0"/>
      </w:pPr>
      <w:rPr>
        <w:rFonts w:ascii="Calibri" w:eastAsia="Calibri" w:hAnsi="Calibri" w:cs="Calibri"/>
        <w:b w:val="0"/>
        <w:i w:val="0"/>
        <w:strike w:val="0"/>
        <w:dstrike w:val="0"/>
        <w:color w:val="000000"/>
        <w:position w:val="0"/>
        <w:sz w:val="20"/>
        <w:szCs w:val="20"/>
        <w:u w:val="none" w:color="000000"/>
        <w:shd w:val="clear" w:color="auto" w:fill="auto"/>
        <w:vertAlign w:val="baseline"/>
      </w:rPr>
    </w:lvl>
    <w:lvl w:ilvl="7">
      <w:start w:val="1"/>
      <w:numFmt w:val="lowerLetter"/>
      <w:lvlText w:val="%8"/>
      <w:lvlJc w:val="left"/>
      <w:pPr>
        <w:ind w:left="6548" w:firstLine="0"/>
      </w:pPr>
      <w:rPr>
        <w:rFonts w:ascii="Calibri" w:eastAsia="Calibri" w:hAnsi="Calibri" w:cs="Calibri"/>
        <w:b w:val="0"/>
        <w:i w:val="0"/>
        <w:strike w:val="0"/>
        <w:dstrike w:val="0"/>
        <w:color w:val="000000"/>
        <w:position w:val="0"/>
        <w:sz w:val="20"/>
        <w:szCs w:val="20"/>
        <w:u w:val="none" w:color="000000"/>
        <w:shd w:val="clear" w:color="auto" w:fill="auto"/>
        <w:vertAlign w:val="baseline"/>
      </w:rPr>
    </w:lvl>
    <w:lvl w:ilvl="8">
      <w:start w:val="1"/>
      <w:numFmt w:val="lowerRoman"/>
      <w:lvlText w:val="%9"/>
      <w:lvlJc w:val="left"/>
      <w:pPr>
        <w:ind w:left="7268" w:firstLine="0"/>
      </w:pPr>
      <w:rPr>
        <w:rFonts w:ascii="Calibri" w:eastAsia="Calibri" w:hAnsi="Calibri" w:cs="Calibri"/>
        <w:b w:val="0"/>
        <w:i w:val="0"/>
        <w:strike w:val="0"/>
        <w:dstrike w:val="0"/>
        <w:color w:val="000000"/>
        <w:position w:val="0"/>
        <w:sz w:val="20"/>
        <w:szCs w:val="20"/>
        <w:u w:val="none" w:color="000000"/>
        <w:shd w:val="clear" w:color="auto" w:fill="auto"/>
        <w:vertAlign w:val="baseline"/>
      </w:rPr>
    </w:lvl>
  </w:abstractNum>
  <w:abstractNum w:abstractNumId="30" w15:restartNumberingAfterBreak="0">
    <w:nsid w:val="258475C9"/>
    <w:multiLevelType w:val="multilevel"/>
    <w:tmpl w:val="057497C4"/>
    <w:lvl w:ilvl="0">
      <w:start w:val="1"/>
      <w:numFmt w:val="decimal"/>
      <w:lvlText w:val="%1."/>
      <w:lvlJc w:val="left"/>
      <w:pPr>
        <w:ind w:left="720"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1">
      <w:start w:val="1"/>
      <w:numFmt w:val="lowerLetter"/>
      <w:lvlText w:val="%2"/>
      <w:lvlJc w:val="left"/>
      <w:pPr>
        <w:ind w:left="1440"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2">
      <w:start w:val="1"/>
      <w:numFmt w:val="lowerRoman"/>
      <w:lvlText w:val="%3"/>
      <w:lvlJc w:val="left"/>
      <w:pPr>
        <w:ind w:left="2160"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3">
      <w:start w:val="1"/>
      <w:numFmt w:val="decimal"/>
      <w:lvlText w:val="%4"/>
      <w:lvlJc w:val="left"/>
      <w:pPr>
        <w:ind w:left="2880"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4">
      <w:start w:val="1"/>
      <w:numFmt w:val="lowerLetter"/>
      <w:lvlText w:val="%5"/>
      <w:lvlJc w:val="left"/>
      <w:pPr>
        <w:ind w:left="3600"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5">
      <w:start w:val="1"/>
      <w:numFmt w:val="lowerRoman"/>
      <w:lvlText w:val="%6"/>
      <w:lvlJc w:val="left"/>
      <w:pPr>
        <w:ind w:left="4320"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6">
      <w:start w:val="1"/>
      <w:numFmt w:val="decimal"/>
      <w:lvlText w:val="%7"/>
      <w:lvlJc w:val="left"/>
      <w:pPr>
        <w:ind w:left="5040"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7">
      <w:start w:val="1"/>
      <w:numFmt w:val="lowerLetter"/>
      <w:lvlText w:val="%8"/>
      <w:lvlJc w:val="left"/>
      <w:pPr>
        <w:ind w:left="5760"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8">
      <w:start w:val="1"/>
      <w:numFmt w:val="lowerRoman"/>
      <w:lvlText w:val="%9"/>
      <w:lvlJc w:val="left"/>
      <w:pPr>
        <w:ind w:left="6480"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abstractNum>
  <w:abstractNum w:abstractNumId="31" w15:restartNumberingAfterBreak="0">
    <w:nsid w:val="29030CDE"/>
    <w:multiLevelType w:val="multilevel"/>
    <w:tmpl w:val="C5B685BC"/>
    <w:lvl w:ilvl="0">
      <w:numFmt w:val="bullet"/>
      <w:lvlText w:val="-"/>
      <w:lvlJc w:val="left"/>
      <w:pPr>
        <w:ind w:left="708"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1">
      <w:numFmt w:val="bullet"/>
      <w:lvlText w:val="o"/>
      <w:lvlJc w:val="left"/>
      <w:pPr>
        <w:ind w:left="1788"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2">
      <w:numFmt w:val="bullet"/>
      <w:lvlText w:val="▪"/>
      <w:lvlJc w:val="left"/>
      <w:pPr>
        <w:ind w:left="2508"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3">
      <w:numFmt w:val="bullet"/>
      <w:lvlText w:val="•"/>
      <w:lvlJc w:val="left"/>
      <w:pPr>
        <w:ind w:left="3228"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4">
      <w:numFmt w:val="bullet"/>
      <w:lvlText w:val="o"/>
      <w:lvlJc w:val="left"/>
      <w:pPr>
        <w:ind w:left="3948"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5">
      <w:numFmt w:val="bullet"/>
      <w:lvlText w:val="▪"/>
      <w:lvlJc w:val="left"/>
      <w:pPr>
        <w:ind w:left="4668"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6">
      <w:numFmt w:val="bullet"/>
      <w:lvlText w:val="•"/>
      <w:lvlJc w:val="left"/>
      <w:pPr>
        <w:ind w:left="5388"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7">
      <w:numFmt w:val="bullet"/>
      <w:lvlText w:val="o"/>
      <w:lvlJc w:val="left"/>
      <w:pPr>
        <w:ind w:left="6108"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8">
      <w:numFmt w:val="bullet"/>
      <w:lvlText w:val="▪"/>
      <w:lvlJc w:val="left"/>
      <w:pPr>
        <w:ind w:left="6828"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abstractNum>
  <w:abstractNum w:abstractNumId="32" w15:restartNumberingAfterBreak="0">
    <w:nsid w:val="2983314F"/>
    <w:multiLevelType w:val="multilevel"/>
    <w:tmpl w:val="9F4EF6EC"/>
    <w:lvl w:ilvl="0">
      <w:start w:val="1"/>
      <w:numFmt w:val="lowerLetter"/>
      <w:lvlText w:val="%1)"/>
      <w:lvlJc w:val="left"/>
      <w:pPr>
        <w:ind w:left="257"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1">
      <w:start w:val="1"/>
      <w:numFmt w:val="lowerLetter"/>
      <w:lvlText w:val="%2"/>
      <w:lvlJc w:val="left"/>
      <w:pPr>
        <w:ind w:left="1098"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2">
      <w:start w:val="1"/>
      <w:numFmt w:val="lowerRoman"/>
      <w:lvlText w:val="%3"/>
      <w:lvlJc w:val="left"/>
      <w:pPr>
        <w:ind w:left="1818"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3">
      <w:start w:val="1"/>
      <w:numFmt w:val="decimal"/>
      <w:lvlText w:val="%4"/>
      <w:lvlJc w:val="left"/>
      <w:pPr>
        <w:ind w:left="2538"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4">
      <w:start w:val="1"/>
      <w:numFmt w:val="lowerLetter"/>
      <w:lvlText w:val="%5"/>
      <w:lvlJc w:val="left"/>
      <w:pPr>
        <w:ind w:left="3258"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5">
      <w:start w:val="1"/>
      <w:numFmt w:val="lowerRoman"/>
      <w:lvlText w:val="%6"/>
      <w:lvlJc w:val="left"/>
      <w:pPr>
        <w:ind w:left="3978"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6">
      <w:start w:val="1"/>
      <w:numFmt w:val="decimal"/>
      <w:lvlText w:val="%7"/>
      <w:lvlJc w:val="left"/>
      <w:pPr>
        <w:ind w:left="4698"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7">
      <w:start w:val="1"/>
      <w:numFmt w:val="lowerLetter"/>
      <w:lvlText w:val="%8"/>
      <w:lvlJc w:val="left"/>
      <w:pPr>
        <w:ind w:left="5418"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8">
      <w:start w:val="1"/>
      <w:numFmt w:val="lowerRoman"/>
      <w:lvlText w:val="%9"/>
      <w:lvlJc w:val="left"/>
      <w:pPr>
        <w:ind w:left="6138"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abstractNum>
  <w:abstractNum w:abstractNumId="33" w15:restartNumberingAfterBreak="0">
    <w:nsid w:val="29A552D3"/>
    <w:multiLevelType w:val="multilevel"/>
    <w:tmpl w:val="72989B0C"/>
    <w:lvl w:ilvl="0">
      <w:numFmt w:val="bullet"/>
      <w:lvlText w:val="•"/>
      <w:lvlJc w:val="left"/>
      <w:pPr>
        <w:ind w:left="705"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1">
      <w:numFmt w:val="bullet"/>
      <w:lvlText w:val="o"/>
      <w:lvlJc w:val="left"/>
      <w:pPr>
        <w:ind w:left="1440"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2">
      <w:numFmt w:val="bullet"/>
      <w:lvlText w:val="▪"/>
      <w:lvlJc w:val="left"/>
      <w:pPr>
        <w:ind w:left="2160"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3">
      <w:numFmt w:val="bullet"/>
      <w:lvlText w:val="•"/>
      <w:lvlJc w:val="left"/>
      <w:pPr>
        <w:ind w:left="2880"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4">
      <w:numFmt w:val="bullet"/>
      <w:lvlText w:val="o"/>
      <w:lvlJc w:val="left"/>
      <w:pPr>
        <w:ind w:left="3600"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5">
      <w:numFmt w:val="bullet"/>
      <w:lvlText w:val="▪"/>
      <w:lvlJc w:val="left"/>
      <w:pPr>
        <w:ind w:left="4320"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6">
      <w:numFmt w:val="bullet"/>
      <w:lvlText w:val="•"/>
      <w:lvlJc w:val="left"/>
      <w:pPr>
        <w:ind w:left="5040"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7">
      <w:numFmt w:val="bullet"/>
      <w:lvlText w:val="o"/>
      <w:lvlJc w:val="left"/>
      <w:pPr>
        <w:ind w:left="5760"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8">
      <w:numFmt w:val="bullet"/>
      <w:lvlText w:val="▪"/>
      <w:lvlJc w:val="left"/>
      <w:pPr>
        <w:ind w:left="6480"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abstractNum>
  <w:abstractNum w:abstractNumId="34" w15:restartNumberingAfterBreak="0">
    <w:nsid w:val="2B993ABD"/>
    <w:multiLevelType w:val="multilevel"/>
    <w:tmpl w:val="4B66DF92"/>
    <w:lvl w:ilvl="0">
      <w:start w:val="1"/>
      <w:numFmt w:val="decimal"/>
      <w:lvlText w:val="%1."/>
      <w:lvlJc w:val="left"/>
      <w:pPr>
        <w:ind w:left="566"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1">
      <w:start w:val="1"/>
      <w:numFmt w:val="lowerLetter"/>
      <w:lvlText w:val="%2"/>
      <w:lvlJc w:val="left"/>
      <w:pPr>
        <w:ind w:left="1234"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2">
      <w:start w:val="1"/>
      <w:numFmt w:val="lowerRoman"/>
      <w:lvlText w:val="%3"/>
      <w:lvlJc w:val="left"/>
      <w:pPr>
        <w:ind w:left="1954"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3">
      <w:start w:val="1"/>
      <w:numFmt w:val="decimal"/>
      <w:lvlText w:val="%4"/>
      <w:lvlJc w:val="left"/>
      <w:pPr>
        <w:ind w:left="2674"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4">
      <w:start w:val="1"/>
      <w:numFmt w:val="lowerLetter"/>
      <w:lvlText w:val="%5"/>
      <w:lvlJc w:val="left"/>
      <w:pPr>
        <w:ind w:left="3394"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5">
      <w:start w:val="1"/>
      <w:numFmt w:val="lowerRoman"/>
      <w:lvlText w:val="%6"/>
      <w:lvlJc w:val="left"/>
      <w:pPr>
        <w:ind w:left="4114"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6">
      <w:start w:val="1"/>
      <w:numFmt w:val="decimal"/>
      <w:lvlText w:val="%7"/>
      <w:lvlJc w:val="left"/>
      <w:pPr>
        <w:ind w:left="4834"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7">
      <w:start w:val="1"/>
      <w:numFmt w:val="lowerLetter"/>
      <w:lvlText w:val="%8"/>
      <w:lvlJc w:val="left"/>
      <w:pPr>
        <w:ind w:left="5554"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8">
      <w:start w:val="1"/>
      <w:numFmt w:val="lowerRoman"/>
      <w:lvlText w:val="%9"/>
      <w:lvlJc w:val="left"/>
      <w:pPr>
        <w:ind w:left="6274"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abstractNum>
  <w:abstractNum w:abstractNumId="35" w15:restartNumberingAfterBreak="0">
    <w:nsid w:val="2D8E6547"/>
    <w:multiLevelType w:val="multilevel"/>
    <w:tmpl w:val="66C2A08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6" w15:restartNumberingAfterBreak="0">
    <w:nsid w:val="30E63049"/>
    <w:multiLevelType w:val="multilevel"/>
    <w:tmpl w:val="2C1ED7E0"/>
    <w:lvl w:ilvl="0">
      <w:start w:val="3"/>
      <w:numFmt w:val="decimal"/>
      <w:lvlText w:val="%1."/>
      <w:lvlJc w:val="left"/>
      <w:rPr>
        <w:rFonts w:ascii="Calibri" w:eastAsia="Calibri" w:hAnsi="Calibri" w:cs="Calibri"/>
        <w:b w:val="0"/>
        <w:i/>
        <w:iCs/>
        <w:strike w:val="0"/>
        <w:dstrike w:val="0"/>
        <w:color w:val="000000"/>
        <w:position w:val="0"/>
        <w:sz w:val="22"/>
        <w:szCs w:val="22"/>
        <w:u w:val="none" w:color="000000"/>
        <w:shd w:val="clear" w:color="auto" w:fill="auto"/>
        <w:vertAlign w:val="baseline"/>
      </w:rPr>
    </w:lvl>
    <w:lvl w:ilvl="1">
      <w:start w:val="1"/>
      <w:numFmt w:val="lowerLetter"/>
      <w:lvlText w:val="%2"/>
      <w:lvlJc w:val="left"/>
      <w:pPr>
        <w:ind w:left="144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2">
      <w:start w:val="1"/>
      <w:numFmt w:val="lowerRoman"/>
      <w:lvlText w:val="%3"/>
      <w:lvlJc w:val="left"/>
      <w:pPr>
        <w:ind w:left="216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3">
      <w:start w:val="1"/>
      <w:numFmt w:val="decimal"/>
      <w:lvlText w:val="%4"/>
      <w:lvlJc w:val="left"/>
      <w:pPr>
        <w:ind w:left="288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4">
      <w:start w:val="1"/>
      <w:numFmt w:val="lowerLetter"/>
      <w:lvlText w:val="%5"/>
      <w:lvlJc w:val="left"/>
      <w:pPr>
        <w:ind w:left="360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5">
      <w:start w:val="1"/>
      <w:numFmt w:val="lowerRoman"/>
      <w:lvlText w:val="%6"/>
      <w:lvlJc w:val="left"/>
      <w:pPr>
        <w:ind w:left="432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6">
      <w:start w:val="1"/>
      <w:numFmt w:val="decimal"/>
      <w:lvlText w:val="%7"/>
      <w:lvlJc w:val="left"/>
      <w:pPr>
        <w:ind w:left="504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7">
      <w:start w:val="1"/>
      <w:numFmt w:val="lowerLetter"/>
      <w:lvlText w:val="%8"/>
      <w:lvlJc w:val="left"/>
      <w:pPr>
        <w:ind w:left="576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8">
      <w:start w:val="1"/>
      <w:numFmt w:val="lowerRoman"/>
      <w:lvlText w:val="%9"/>
      <w:lvlJc w:val="left"/>
      <w:pPr>
        <w:ind w:left="648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abstractNum>
  <w:abstractNum w:abstractNumId="37" w15:restartNumberingAfterBreak="0">
    <w:nsid w:val="3111208D"/>
    <w:multiLevelType w:val="multilevel"/>
    <w:tmpl w:val="D1346F96"/>
    <w:lvl w:ilvl="0">
      <w:start w:val="5"/>
      <w:numFmt w:val="decimal"/>
      <w:lvlText w:val="%1."/>
      <w:lvlJc w:val="left"/>
      <w:pPr>
        <w:ind w:left="173"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1">
      <w:start w:val="1"/>
      <w:numFmt w:val="lowerLetter"/>
      <w:lvlText w:val="%2"/>
      <w:lvlJc w:val="left"/>
      <w:pPr>
        <w:ind w:left="144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2">
      <w:start w:val="1"/>
      <w:numFmt w:val="lowerRoman"/>
      <w:lvlText w:val="%3"/>
      <w:lvlJc w:val="left"/>
      <w:pPr>
        <w:ind w:left="216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3">
      <w:start w:val="1"/>
      <w:numFmt w:val="decimal"/>
      <w:lvlText w:val="%4"/>
      <w:lvlJc w:val="left"/>
      <w:pPr>
        <w:ind w:left="288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4">
      <w:start w:val="1"/>
      <w:numFmt w:val="lowerLetter"/>
      <w:lvlText w:val="%5"/>
      <w:lvlJc w:val="left"/>
      <w:pPr>
        <w:ind w:left="360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5">
      <w:start w:val="1"/>
      <w:numFmt w:val="lowerRoman"/>
      <w:lvlText w:val="%6"/>
      <w:lvlJc w:val="left"/>
      <w:pPr>
        <w:ind w:left="432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6">
      <w:start w:val="1"/>
      <w:numFmt w:val="decimal"/>
      <w:lvlText w:val="%7"/>
      <w:lvlJc w:val="left"/>
      <w:pPr>
        <w:ind w:left="504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7">
      <w:start w:val="1"/>
      <w:numFmt w:val="lowerLetter"/>
      <w:lvlText w:val="%8"/>
      <w:lvlJc w:val="left"/>
      <w:pPr>
        <w:ind w:left="576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8">
      <w:start w:val="1"/>
      <w:numFmt w:val="lowerRoman"/>
      <w:lvlText w:val="%9"/>
      <w:lvlJc w:val="left"/>
      <w:pPr>
        <w:ind w:left="648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abstractNum>
  <w:abstractNum w:abstractNumId="38" w15:restartNumberingAfterBreak="0">
    <w:nsid w:val="331265BE"/>
    <w:multiLevelType w:val="multilevel"/>
    <w:tmpl w:val="F3D4D31C"/>
    <w:lvl w:ilvl="0">
      <w:start w:val="1"/>
      <w:numFmt w:val="decimal"/>
      <w:lvlText w:val="%1."/>
      <w:lvlJc w:val="left"/>
      <w:pPr>
        <w:ind w:left="796"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1">
      <w:start w:val="1"/>
      <w:numFmt w:val="lowerLetter"/>
      <w:lvlText w:val="%2"/>
      <w:lvlJc w:val="left"/>
      <w:pPr>
        <w:ind w:left="1459"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2">
      <w:start w:val="1"/>
      <w:numFmt w:val="lowerRoman"/>
      <w:lvlText w:val="%3"/>
      <w:lvlJc w:val="left"/>
      <w:pPr>
        <w:ind w:left="2179"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3">
      <w:start w:val="1"/>
      <w:numFmt w:val="decimal"/>
      <w:lvlText w:val="%4"/>
      <w:lvlJc w:val="left"/>
      <w:pPr>
        <w:ind w:left="2899"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4">
      <w:start w:val="1"/>
      <w:numFmt w:val="lowerLetter"/>
      <w:lvlText w:val="%5"/>
      <w:lvlJc w:val="left"/>
      <w:pPr>
        <w:ind w:left="3619"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5">
      <w:start w:val="1"/>
      <w:numFmt w:val="lowerRoman"/>
      <w:lvlText w:val="%6"/>
      <w:lvlJc w:val="left"/>
      <w:pPr>
        <w:ind w:left="4339"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6">
      <w:start w:val="1"/>
      <w:numFmt w:val="decimal"/>
      <w:lvlText w:val="%7"/>
      <w:lvlJc w:val="left"/>
      <w:pPr>
        <w:ind w:left="5059"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7">
      <w:start w:val="1"/>
      <w:numFmt w:val="lowerLetter"/>
      <w:lvlText w:val="%8"/>
      <w:lvlJc w:val="left"/>
      <w:pPr>
        <w:ind w:left="5779"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8">
      <w:start w:val="1"/>
      <w:numFmt w:val="lowerRoman"/>
      <w:lvlText w:val="%9"/>
      <w:lvlJc w:val="left"/>
      <w:pPr>
        <w:ind w:left="6499"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abstractNum>
  <w:abstractNum w:abstractNumId="39" w15:restartNumberingAfterBreak="0">
    <w:nsid w:val="33847F27"/>
    <w:multiLevelType w:val="multilevel"/>
    <w:tmpl w:val="B1F20F9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0" w15:restartNumberingAfterBreak="0">
    <w:nsid w:val="34E7358D"/>
    <w:multiLevelType w:val="multilevel"/>
    <w:tmpl w:val="25FEC67C"/>
    <w:lvl w:ilvl="0">
      <w:start w:val="2"/>
      <w:numFmt w:val="lowerLetter"/>
      <w:lvlText w:val="%1)"/>
      <w:lvlJc w:val="left"/>
      <w:pPr>
        <w:ind w:left="173"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1">
      <w:start w:val="1"/>
      <w:numFmt w:val="lowerLetter"/>
      <w:lvlText w:val="%2"/>
      <w:lvlJc w:val="left"/>
      <w:pPr>
        <w:ind w:left="144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2">
      <w:start w:val="1"/>
      <w:numFmt w:val="lowerRoman"/>
      <w:lvlText w:val="%3"/>
      <w:lvlJc w:val="left"/>
      <w:pPr>
        <w:ind w:left="216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3">
      <w:start w:val="1"/>
      <w:numFmt w:val="decimal"/>
      <w:lvlText w:val="%4"/>
      <w:lvlJc w:val="left"/>
      <w:pPr>
        <w:ind w:left="288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4">
      <w:start w:val="1"/>
      <w:numFmt w:val="lowerLetter"/>
      <w:lvlText w:val="%5"/>
      <w:lvlJc w:val="left"/>
      <w:pPr>
        <w:ind w:left="360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5">
      <w:start w:val="1"/>
      <w:numFmt w:val="lowerRoman"/>
      <w:lvlText w:val="%6"/>
      <w:lvlJc w:val="left"/>
      <w:pPr>
        <w:ind w:left="432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6">
      <w:start w:val="1"/>
      <w:numFmt w:val="decimal"/>
      <w:lvlText w:val="%7"/>
      <w:lvlJc w:val="left"/>
      <w:pPr>
        <w:ind w:left="504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7">
      <w:start w:val="1"/>
      <w:numFmt w:val="lowerLetter"/>
      <w:lvlText w:val="%8"/>
      <w:lvlJc w:val="left"/>
      <w:pPr>
        <w:ind w:left="576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8">
      <w:start w:val="1"/>
      <w:numFmt w:val="lowerRoman"/>
      <w:lvlText w:val="%9"/>
      <w:lvlJc w:val="left"/>
      <w:pPr>
        <w:ind w:left="648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abstractNum>
  <w:abstractNum w:abstractNumId="41" w15:restartNumberingAfterBreak="0">
    <w:nsid w:val="359A0FEC"/>
    <w:multiLevelType w:val="multilevel"/>
    <w:tmpl w:val="FDDEF8B0"/>
    <w:lvl w:ilvl="0">
      <w:start w:val="13"/>
      <w:numFmt w:val="decimal"/>
      <w:lvlText w:val="%1."/>
      <w:lvlJc w:val="left"/>
      <w:pPr>
        <w:ind w:left="769"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1">
      <w:start w:val="1"/>
      <w:numFmt w:val="lowerLetter"/>
      <w:lvlText w:val="%2"/>
      <w:lvlJc w:val="left"/>
      <w:pPr>
        <w:ind w:left="1364"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2">
      <w:start w:val="1"/>
      <w:numFmt w:val="lowerRoman"/>
      <w:lvlText w:val="%3"/>
      <w:lvlJc w:val="left"/>
      <w:pPr>
        <w:ind w:left="2084"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3">
      <w:start w:val="1"/>
      <w:numFmt w:val="decimal"/>
      <w:lvlText w:val="%4"/>
      <w:lvlJc w:val="left"/>
      <w:pPr>
        <w:ind w:left="2804"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4">
      <w:start w:val="1"/>
      <w:numFmt w:val="lowerLetter"/>
      <w:lvlText w:val="%5"/>
      <w:lvlJc w:val="left"/>
      <w:pPr>
        <w:ind w:left="3524"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5">
      <w:start w:val="1"/>
      <w:numFmt w:val="lowerRoman"/>
      <w:lvlText w:val="%6"/>
      <w:lvlJc w:val="left"/>
      <w:pPr>
        <w:ind w:left="4244"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6">
      <w:start w:val="1"/>
      <w:numFmt w:val="decimal"/>
      <w:lvlText w:val="%7"/>
      <w:lvlJc w:val="left"/>
      <w:pPr>
        <w:ind w:left="4964"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7">
      <w:start w:val="1"/>
      <w:numFmt w:val="lowerLetter"/>
      <w:lvlText w:val="%8"/>
      <w:lvlJc w:val="left"/>
      <w:pPr>
        <w:ind w:left="5684"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8">
      <w:start w:val="1"/>
      <w:numFmt w:val="lowerRoman"/>
      <w:lvlText w:val="%9"/>
      <w:lvlJc w:val="left"/>
      <w:pPr>
        <w:ind w:left="6404"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abstractNum>
  <w:abstractNum w:abstractNumId="42" w15:restartNumberingAfterBreak="0">
    <w:nsid w:val="366B538F"/>
    <w:multiLevelType w:val="multilevel"/>
    <w:tmpl w:val="B9A45CD8"/>
    <w:lvl w:ilvl="0">
      <w:numFmt w:val="bullet"/>
      <w:lvlText w:val="•"/>
      <w:lvlJc w:val="left"/>
      <w:pPr>
        <w:ind w:left="720" w:firstLine="0"/>
      </w:pPr>
      <w:rPr>
        <w:rFonts w:ascii="Arial" w:eastAsia="Arial" w:hAnsi="Arial" w:cs="Arial"/>
        <w:b w:val="0"/>
        <w:i w:val="0"/>
        <w:strike w:val="0"/>
        <w:dstrike w:val="0"/>
        <w:color w:val="000000"/>
        <w:position w:val="0"/>
        <w:sz w:val="20"/>
        <w:szCs w:val="20"/>
        <w:u w:val="none" w:color="000000"/>
        <w:shd w:val="clear" w:color="auto" w:fill="auto"/>
        <w:vertAlign w:val="baseline"/>
      </w:rPr>
    </w:lvl>
    <w:lvl w:ilvl="1">
      <w:numFmt w:val="bullet"/>
      <w:lvlText w:val="o"/>
      <w:lvlJc w:val="left"/>
      <w:pPr>
        <w:ind w:left="1440" w:firstLine="0"/>
      </w:pPr>
      <w:rPr>
        <w:rFonts w:ascii="Calibri" w:eastAsia="Calibri" w:hAnsi="Calibri" w:cs="Calibri"/>
        <w:b w:val="0"/>
        <w:i w:val="0"/>
        <w:strike w:val="0"/>
        <w:dstrike w:val="0"/>
        <w:color w:val="000000"/>
        <w:position w:val="0"/>
        <w:sz w:val="20"/>
        <w:szCs w:val="20"/>
        <w:u w:val="none" w:color="000000"/>
        <w:shd w:val="clear" w:color="auto" w:fill="auto"/>
        <w:vertAlign w:val="baseline"/>
      </w:rPr>
    </w:lvl>
    <w:lvl w:ilvl="2">
      <w:numFmt w:val="bullet"/>
      <w:lvlText w:val="▪"/>
      <w:lvlJc w:val="left"/>
      <w:pPr>
        <w:ind w:left="2160" w:firstLine="0"/>
      </w:pPr>
      <w:rPr>
        <w:rFonts w:ascii="Calibri" w:eastAsia="Calibri" w:hAnsi="Calibri" w:cs="Calibri"/>
        <w:b w:val="0"/>
        <w:i w:val="0"/>
        <w:strike w:val="0"/>
        <w:dstrike w:val="0"/>
        <w:color w:val="000000"/>
        <w:position w:val="0"/>
        <w:sz w:val="20"/>
        <w:szCs w:val="20"/>
        <w:u w:val="none" w:color="000000"/>
        <w:shd w:val="clear" w:color="auto" w:fill="auto"/>
        <w:vertAlign w:val="baseline"/>
      </w:rPr>
    </w:lvl>
    <w:lvl w:ilvl="3">
      <w:numFmt w:val="bullet"/>
      <w:lvlText w:val="•"/>
      <w:lvlJc w:val="left"/>
      <w:pPr>
        <w:ind w:left="2880" w:firstLine="0"/>
      </w:pPr>
      <w:rPr>
        <w:rFonts w:ascii="Calibri" w:eastAsia="Calibri" w:hAnsi="Calibri" w:cs="Calibri"/>
        <w:b w:val="0"/>
        <w:i w:val="0"/>
        <w:strike w:val="0"/>
        <w:dstrike w:val="0"/>
        <w:color w:val="000000"/>
        <w:position w:val="0"/>
        <w:sz w:val="20"/>
        <w:szCs w:val="20"/>
        <w:u w:val="none" w:color="000000"/>
        <w:shd w:val="clear" w:color="auto" w:fill="auto"/>
        <w:vertAlign w:val="baseline"/>
      </w:rPr>
    </w:lvl>
    <w:lvl w:ilvl="4">
      <w:numFmt w:val="bullet"/>
      <w:lvlText w:val="o"/>
      <w:lvlJc w:val="left"/>
      <w:pPr>
        <w:ind w:left="3600" w:firstLine="0"/>
      </w:pPr>
      <w:rPr>
        <w:rFonts w:ascii="Calibri" w:eastAsia="Calibri" w:hAnsi="Calibri" w:cs="Calibri"/>
        <w:b w:val="0"/>
        <w:i w:val="0"/>
        <w:strike w:val="0"/>
        <w:dstrike w:val="0"/>
        <w:color w:val="000000"/>
        <w:position w:val="0"/>
        <w:sz w:val="20"/>
        <w:szCs w:val="20"/>
        <w:u w:val="none" w:color="000000"/>
        <w:shd w:val="clear" w:color="auto" w:fill="auto"/>
        <w:vertAlign w:val="baseline"/>
      </w:rPr>
    </w:lvl>
    <w:lvl w:ilvl="5">
      <w:numFmt w:val="bullet"/>
      <w:lvlText w:val="▪"/>
      <w:lvlJc w:val="left"/>
      <w:pPr>
        <w:ind w:left="4320" w:firstLine="0"/>
      </w:pPr>
      <w:rPr>
        <w:rFonts w:ascii="Calibri" w:eastAsia="Calibri" w:hAnsi="Calibri" w:cs="Calibri"/>
        <w:b w:val="0"/>
        <w:i w:val="0"/>
        <w:strike w:val="0"/>
        <w:dstrike w:val="0"/>
        <w:color w:val="000000"/>
        <w:position w:val="0"/>
        <w:sz w:val="20"/>
        <w:szCs w:val="20"/>
        <w:u w:val="none" w:color="000000"/>
        <w:shd w:val="clear" w:color="auto" w:fill="auto"/>
        <w:vertAlign w:val="baseline"/>
      </w:rPr>
    </w:lvl>
    <w:lvl w:ilvl="6">
      <w:numFmt w:val="bullet"/>
      <w:lvlText w:val="•"/>
      <w:lvlJc w:val="left"/>
      <w:pPr>
        <w:ind w:left="5040" w:firstLine="0"/>
      </w:pPr>
      <w:rPr>
        <w:rFonts w:ascii="Calibri" w:eastAsia="Calibri" w:hAnsi="Calibri" w:cs="Calibri"/>
        <w:b w:val="0"/>
        <w:i w:val="0"/>
        <w:strike w:val="0"/>
        <w:dstrike w:val="0"/>
        <w:color w:val="000000"/>
        <w:position w:val="0"/>
        <w:sz w:val="20"/>
        <w:szCs w:val="20"/>
        <w:u w:val="none" w:color="000000"/>
        <w:shd w:val="clear" w:color="auto" w:fill="auto"/>
        <w:vertAlign w:val="baseline"/>
      </w:rPr>
    </w:lvl>
    <w:lvl w:ilvl="7">
      <w:numFmt w:val="bullet"/>
      <w:lvlText w:val="o"/>
      <w:lvlJc w:val="left"/>
      <w:pPr>
        <w:ind w:left="5760" w:firstLine="0"/>
      </w:pPr>
      <w:rPr>
        <w:rFonts w:ascii="Calibri" w:eastAsia="Calibri" w:hAnsi="Calibri" w:cs="Calibri"/>
        <w:b w:val="0"/>
        <w:i w:val="0"/>
        <w:strike w:val="0"/>
        <w:dstrike w:val="0"/>
        <w:color w:val="000000"/>
        <w:position w:val="0"/>
        <w:sz w:val="20"/>
        <w:szCs w:val="20"/>
        <w:u w:val="none" w:color="000000"/>
        <w:shd w:val="clear" w:color="auto" w:fill="auto"/>
        <w:vertAlign w:val="baseline"/>
      </w:rPr>
    </w:lvl>
    <w:lvl w:ilvl="8">
      <w:numFmt w:val="bullet"/>
      <w:lvlText w:val="▪"/>
      <w:lvlJc w:val="left"/>
      <w:pPr>
        <w:ind w:left="6480" w:firstLine="0"/>
      </w:pPr>
      <w:rPr>
        <w:rFonts w:ascii="Calibri" w:eastAsia="Calibri" w:hAnsi="Calibri" w:cs="Calibri"/>
        <w:b w:val="0"/>
        <w:i w:val="0"/>
        <w:strike w:val="0"/>
        <w:dstrike w:val="0"/>
        <w:color w:val="000000"/>
        <w:position w:val="0"/>
        <w:sz w:val="20"/>
        <w:szCs w:val="20"/>
        <w:u w:val="none" w:color="000000"/>
        <w:shd w:val="clear" w:color="auto" w:fill="auto"/>
        <w:vertAlign w:val="baseline"/>
      </w:rPr>
    </w:lvl>
  </w:abstractNum>
  <w:abstractNum w:abstractNumId="43" w15:restartNumberingAfterBreak="0">
    <w:nsid w:val="367E31D3"/>
    <w:multiLevelType w:val="multilevel"/>
    <w:tmpl w:val="69FC6AF6"/>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4" w15:restartNumberingAfterBreak="0">
    <w:nsid w:val="369A6020"/>
    <w:multiLevelType w:val="multilevel"/>
    <w:tmpl w:val="E460F972"/>
    <w:lvl w:ilvl="0">
      <w:start w:val="1"/>
      <w:numFmt w:val="decimal"/>
      <w:lvlText w:val="%1."/>
      <w:lvlJc w:val="left"/>
      <w:pPr>
        <w:ind w:left="360" w:hanging="360"/>
      </w:pPr>
    </w:lvl>
    <w:lvl w:ilvl="1">
      <w:numFmt w:val="bullet"/>
      <w:lvlText w:val="-"/>
      <w:lvlJc w:val="left"/>
      <w:pPr>
        <w:ind w:left="720" w:hanging="360"/>
      </w:pPr>
      <w:rPr>
        <w:rFonts w:ascii="Calibri" w:hAnsi="Calibri"/>
      </w:rPr>
    </w:lvl>
    <w:lvl w:ilvl="2">
      <w:start w:val="1"/>
      <w:numFmt w:val="decimal"/>
      <w:lvlText w:val="%1.%2.%3."/>
      <w:lvlJc w:val="left"/>
      <w:pPr>
        <w:ind w:left="1224" w:hanging="504"/>
      </w:pPr>
    </w:lvl>
    <w:lvl w:ilvl="3">
      <w:numFmt w:val="bullet"/>
      <w:lvlText w:val="-"/>
      <w:lvlJc w:val="left"/>
      <w:pPr>
        <w:ind w:left="1440" w:hanging="360"/>
      </w:pPr>
      <w:rPr>
        <w:rFonts w:ascii="Calibri" w:hAnsi="Calibri"/>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5" w15:restartNumberingAfterBreak="0">
    <w:nsid w:val="36DB3A8F"/>
    <w:multiLevelType w:val="multilevel"/>
    <w:tmpl w:val="5C9C2198"/>
    <w:lvl w:ilvl="0">
      <w:numFmt w:val="bullet"/>
      <w:lvlText w:val="-"/>
      <w:lvlJc w:val="left"/>
      <w:pPr>
        <w:ind w:left="1500"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1">
      <w:numFmt w:val="bullet"/>
      <w:lvlText w:val="o"/>
      <w:lvlJc w:val="left"/>
      <w:pPr>
        <w:ind w:left="2220"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2">
      <w:numFmt w:val="bullet"/>
      <w:lvlText w:val="▪"/>
      <w:lvlJc w:val="left"/>
      <w:pPr>
        <w:ind w:left="2940"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3">
      <w:numFmt w:val="bullet"/>
      <w:lvlText w:val="•"/>
      <w:lvlJc w:val="left"/>
      <w:pPr>
        <w:ind w:left="3660"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4">
      <w:numFmt w:val="bullet"/>
      <w:lvlText w:val="o"/>
      <w:lvlJc w:val="left"/>
      <w:pPr>
        <w:ind w:left="4380"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5">
      <w:numFmt w:val="bullet"/>
      <w:lvlText w:val="▪"/>
      <w:lvlJc w:val="left"/>
      <w:pPr>
        <w:ind w:left="5100"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6">
      <w:numFmt w:val="bullet"/>
      <w:lvlText w:val="•"/>
      <w:lvlJc w:val="left"/>
      <w:pPr>
        <w:ind w:left="5820"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7">
      <w:numFmt w:val="bullet"/>
      <w:lvlText w:val="o"/>
      <w:lvlJc w:val="left"/>
      <w:pPr>
        <w:ind w:left="6540"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8">
      <w:numFmt w:val="bullet"/>
      <w:lvlText w:val="▪"/>
      <w:lvlJc w:val="left"/>
      <w:pPr>
        <w:ind w:left="7260"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abstractNum>
  <w:abstractNum w:abstractNumId="46" w15:restartNumberingAfterBreak="0">
    <w:nsid w:val="37D82399"/>
    <w:multiLevelType w:val="multilevel"/>
    <w:tmpl w:val="BC488938"/>
    <w:lvl w:ilvl="0">
      <w:start w:val="3"/>
      <w:numFmt w:val="lowerLetter"/>
      <w:lvlText w:val="%1)"/>
      <w:lvlJc w:val="left"/>
      <w:rPr>
        <w:rFonts w:ascii="Calibri" w:eastAsia="Calibri" w:hAnsi="Calibri" w:cs="Calibri"/>
        <w:b w:val="0"/>
        <w:i/>
        <w:iCs/>
        <w:strike w:val="0"/>
        <w:dstrike w:val="0"/>
        <w:color w:val="000000"/>
        <w:position w:val="0"/>
        <w:sz w:val="22"/>
        <w:szCs w:val="22"/>
        <w:u w:val="none" w:color="000000"/>
        <w:shd w:val="clear" w:color="auto" w:fill="auto"/>
        <w:vertAlign w:val="baseline"/>
      </w:rPr>
    </w:lvl>
    <w:lvl w:ilvl="1">
      <w:start w:val="1"/>
      <w:numFmt w:val="lowerLetter"/>
      <w:lvlText w:val="%2"/>
      <w:lvlJc w:val="left"/>
      <w:pPr>
        <w:ind w:left="144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2">
      <w:start w:val="1"/>
      <w:numFmt w:val="lowerRoman"/>
      <w:lvlText w:val="%3"/>
      <w:lvlJc w:val="left"/>
      <w:pPr>
        <w:ind w:left="216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3">
      <w:start w:val="1"/>
      <w:numFmt w:val="decimal"/>
      <w:lvlText w:val="%4"/>
      <w:lvlJc w:val="left"/>
      <w:pPr>
        <w:ind w:left="288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4">
      <w:start w:val="1"/>
      <w:numFmt w:val="lowerLetter"/>
      <w:lvlText w:val="%5"/>
      <w:lvlJc w:val="left"/>
      <w:pPr>
        <w:ind w:left="360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5">
      <w:start w:val="1"/>
      <w:numFmt w:val="lowerRoman"/>
      <w:lvlText w:val="%6"/>
      <w:lvlJc w:val="left"/>
      <w:pPr>
        <w:ind w:left="432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6">
      <w:start w:val="1"/>
      <w:numFmt w:val="decimal"/>
      <w:lvlText w:val="%7"/>
      <w:lvlJc w:val="left"/>
      <w:pPr>
        <w:ind w:left="504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7">
      <w:start w:val="1"/>
      <w:numFmt w:val="lowerLetter"/>
      <w:lvlText w:val="%8"/>
      <w:lvlJc w:val="left"/>
      <w:pPr>
        <w:ind w:left="576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8">
      <w:start w:val="1"/>
      <w:numFmt w:val="lowerRoman"/>
      <w:lvlText w:val="%9"/>
      <w:lvlJc w:val="left"/>
      <w:pPr>
        <w:ind w:left="648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abstractNum>
  <w:abstractNum w:abstractNumId="47" w15:restartNumberingAfterBreak="0">
    <w:nsid w:val="390706B5"/>
    <w:multiLevelType w:val="multilevel"/>
    <w:tmpl w:val="D61441B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8" w15:restartNumberingAfterBreak="0">
    <w:nsid w:val="39192F5A"/>
    <w:multiLevelType w:val="multilevel"/>
    <w:tmpl w:val="A8F43FF8"/>
    <w:lvl w:ilvl="0">
      <w:numFmt w:val="bullet"/>
      <w:lvlText w:val="-"/>
      <w:lvlJc w:val="left"/>
      <w:pPr>
        <w:ind w:left="1500"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1">
      <w:numFmt w:val="bullet"/>
      <w:lvlText w:val="o"/>
      <w:lvlJc w:val="left"/>
      <w:pPr>
        <w:ind w:left="2220"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2">
      <w:numFmt w:val="bullet"/>
      <w:lvlText w:val="▪"/>
      <w:lvlJc w:val="left"/>
      <w:pPr>
        <w:ind w:left="2940"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3">
      <w:numFmt w:val="bullet"/>
      <w:lvlText w:val="•"/>
      <w:lvlJc w:val="left"/>
      <w:pPr>
        <w:ind w:left="3660"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4">
      <w:numFmt w:val="bullet"/>
      <w:lvlText w:val="o"/>
      <w:lvlJc w:val="left"/>
      <w:pPr>
        <w:ind w:left="4380"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5">
      <w:numFmt w:val="bullet"/>
      <w:lvlText w:val="▪"/>
      <w:lvlJc w:val="left"/>
      <w:pPr>
        <w:ind w:left="5100"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6">
      <w:numFmt w:val="bullet"/>
      <w:lvlText w:val="•"/>
      <w:lvlJc w:val="left"/>
      <w:pPr>
        <w:ind w:left="5820"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7">
      <w:numFmt w:val="bullet"/>
      <w:lvlText w:val="o"/>
      <w:lvlJc w:val="left"/>
      <w:pPr>
        <w:ind w:left="6540"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8">
      <w:numFmt w:val="bullet"/>
      <w:lvlText w:val="▪"/>
      <w:lvlJc w:val="left"/>
      <w:pPr>
        <w:ind w:left="7260"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abstractNum>
  <w:abstractNum w:abstractNumId="49" w15:restartNumberingAfterBreak="0">
    <w:nsid w:val="39DE419B"/>
    <w:multiLevelType w:val="multilevel"/>
    <w:tmpl w:val="39C24336"/>
    <w:lvl w:ilvl="0">
      <w:start w:val="1"/>
      <w:numFmt w:val="decimal"/>
      <w:lvlText w:val="%1."/>
      <w:lvlJc w:val="left"/>
      <w:rPr>
        <w:rFonts w:ascii="Calibri" w:eastAsia="Calibri" w:hAnsi="Calibri" w:cs="Calibri"/>
        <w:b w:val="0"/>
        <w:i/>
        <w:iCs/>
        <w:strike w:val="0"/>
        <w:dstrike w:val="0"/>
        <w:color w:val="000000"/>
        <w:position w:val="0"/>
        <w:sz w:val="22"/>
        <w:szCs w:val="22"/>
        <w:u w:val="none" w:color="000000"/>
        <w:shd w:val="clear" w:color="auto" w:fill="auto"/>
        <w:vertAlign w:val="baseline"/>
      </w:rPr>
    </w:lvl>
    <w:lvl w:ilvl="1">
      <w:start w:val="1"/>
      <w:numFmt w:val="lowerLetter"/>
      <w:lvlText w:val="%2"/>
      <w:lvlJc w:val="left"/>
      <w:pPr>
        <w:ind w:left="144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2">
      <w:start w:val="1"/>
      <w:numFmt w:val="lowerRoman"/>
      <w:lvlText w:val="%3"/>
      <w:lvlJc w:val="left"/>
      <w:pPr>
        <w:ind w:left="216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3">
      <w:start w:val="1"/>
      <w:numFmt w:val="decimal"/>
      <w:lvlText w:val="%4"/>
      <w:lvlJc w:val="left"/>
      <w:pPr>
        <w:ind w:left="288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4">
      <w:start w:val="1"/>
      <w:numFmt w:val="lowerLetter"/>
      <w:lvlText w:val="%5"/>
      <w:lvlJc w:val="left"/>
      <w:pPr>
        <w:ind w:left="360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5">
      <w:start w:val="1"/>
      <w:numFmt w:val="lowerRoman"/>
      <w:lvlText w:val="%6"/>
      <w:lvlJc w:val="left"/>
      <w:pPr>
        <w:ind w:left="432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6">
      <w:start w:val="1"/>
      <w:numFmt w:val="decimal"/>
      <w:lvlText w:val="%7"/>
      <w:lvlJc w:val="left"/>
      <w:pPr>
        <w:ind w:left="504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7">
      <w:start w:val="1"/>
      <w:numFmt w:val="lowerLetter"/>
      <w:lvlText w:val="%8"/>
      <w:lvlJc w:val="left"/>
      <w:pPr>
        <w:ind w:left="576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8">
      <w:start w:val="1"/>
      <w:numFmt w:val="lowerRoman"/>
      <w:lvlText w:val="%9"/>
      <w:lvlJc w:val="left"/>
      <w:pPr>
        <w:ind w:left="648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abstractNum>
  <w:abstractNum w:abstractNumId="50" w15:restartNumberingAfterBreak="0">
    <w:nsid w:val="3B5C76B9"/>
    <w:multiLevelType w:val="multilevel"/>
    <w:tmpl w:val="E69A3C24"/>
    <w:lvl w:ilvl="0">
      <w:start w:val="1"/>
      <w:numFmt w:val="lowerLetter"/>
      <w:lvlText w:val="%1)"/>
      <w:lvlJc w:val="left"/>
      <w:rPr>
        <w:rFonts w:ascii="Calibri" w:eastAsia="Calibri" w:hAnsi="Calibri" w:cs="Calibri"/>
        <w:b w:val="0"/>
        <w:i/>
        <w:iCs/>
        <w:strike w:val="0"/>
        <w:dstrike w:val="0"/>
        <w:color w:val="000000"/>
        <w:position w:val="0"/>
        <w:sz w:val="22"/>
        <w:szCs w:val="22"/>
        <w:u w:val="none" w:color="000000"/>
        <w:shd w:val="clear" w:color="auto" w:fill="auto"/>
        <w:vertAlign w:val="baseline"/>
      </w:rPr>
    </w:lvl>
    <w:lvl w:ilvl="1">
      <w:start w:val="1"/>
      <w:numFmt w:val="lowerLetter"/>
      <w:lvlText w:val="%2"/>
      <w:lvlJc w:val="left"/>
      <w:pPr>
        <w:ind w:left="144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2">
      <w:start w:val="1"/>
      <w:numFmt w:val="lowerRoman"/>
      <w:lvlText w:val="%3"/>
      <w:lvlJc w:val="left"/>
      <w:pPr>
        <w:ind w:left="216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3">
      <w:start w:val="1"/>
      <w:numFmt w:val="decimal"/>
      <w:lvlText w:val="%4"/>
      <w:lvlJc w:val="left"/>
      <w:pPr>
        <w:ind w:left="288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4">
      <w:start w:val="1"/>
      <w:numFmt w:val="lowerLetter"/>
      <w:lvlText w:val="%5"/>
      <w:lvlJc w:val="left"/>
      <w:pPr>
        <w:ind w:left="360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5">
      <w:start w:val="1"/>
      <w:numFmt w:val="lowerRoman"/>
      <w:lvlText w:val="%6"/>
      <w:lvlJc w:val="left"/>
      <w:pPr>
        <w:ind w:left="432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6">
      <w:start w:val="1"/>
      <w:numFmt w:val="decimal"/>
      <w:lvlText w:val="%7"/>
      <w:lvlJc w:val="left"/>
      <w:pPr>
        <w:ind w:left="504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7">
      <w:start w:val="1"/>
      <w:numFmt w:val="lowerLetter"/>
      <w:lvlText w:val="%8"/>
      <w:lvlJc w:val="left"/>
      <w:pPr>
        <w:ind w:left="576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8">
      <w:start w:val="1"/>
      <w:numFmt w:val="lowerRoman"/>
      <w:lvlText w:val="%9"/>
      <w:lvlJc w:val="left"/>
      <w:pPr>
        <w:ind w:left="648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abstractNum>
  <w:abstractNum w:abstractNumId="51" w15:restartNumberingAfterBreak="0">
    <w:nsid w:val="3B95071B"/>
    <w:multiLevelType w:val="multilevel"/>
    <w:tmpl w:val="AB80E31E"/>
    <w:lvl w:ilvl="0">
      <w:start w:val="2"/>
      <w:numFmt w:val="decimal"/>
      <w:lvlText w:val="%1."/>
      <w:lvlJc w:val="left"/>
      <w:pPr>
        <w:ind w:left="13"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1">
      <w:start w:val="1"/>
      <w:numFmt w:val="lowerLetter"/>
      <w:lvlText w:val="%2"/>
      <w:lvlJc w:val="left"/>
      <w:pPr>
        <w:ind w:left="1098"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2">
      <w:start w:val="1"/>
      <w:numFmt w:val="lowerRoman"/>
      <w:lvlText w:val="%3"/>
      <w:lvlJc w:val="left"/>
      <w:pPr>
        <w:ind w:left="1818"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3">
      <w:start w:val="1"/>
      <w:numFmt w:val="decimal"/>
      <w:lvlText w:val="%4"/>
      <w:lvlJc w:val="left"/>
      <w:pPr>
        <w:ind w:left="2538"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4">
      <w:start w:val="1"/>
      <w:numFmt w:val="lowerLetter"/>
      <w:lvlText w:val="%5"/>
      <w:lvlJc w:val="left"/>
      <w:pPr>
        <w:ind w:left="3258"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5">
      <w:start w:val="1"/>
      <w:numFmt w:val="lowerRoman"/>
      <w:lvlText w:val="%6"/>
      <w:lvlJc w:val="left"/>
      <w:pPr>
        <w:ind w:left="3978"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6">
      <w:start w:val="1"/>
      <w:numFmt w:val="decimal"/>
      <w:lvlText w:val="%7"/>
      <w:lvlJc w:val="left"/>
      <w:pPr>
        <w:ind w:left="4698"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7">
      <w:start w:val="1"/>
      <w:numFmt w:val="lowerLetter"/>
      <w:lvlText w:val="%8"/>
      <w:lvlJc w:val="left"/>
      <w:pPr>
        <w:ind w:left="5418"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8">
      <w:start w:val="1"/>
      <w:numFmt w:val="lowerRoman"/>
      <w:lvlText w:val="%9"/>
      <w:lvlJc w:val="left"/>
      <w:pPr>
        <w:ind w:left="6138"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abstractNum>
  <w:abstractNum w:abstractNumId="52" w15:restartNumberingAfterBreak="0">
    <w:nsid w:val="3BAC78CC"/>
    <w:multiLevelType w:val="multilevel"/>
    <w:tmpl w:val="04FA2C0A"/>
    <w:styleLink w:val="LFO10"/>
    <w:lvl w:ilvl="0">
      <w:numFmt w:val="bullet"/>
      <w:pStyle w:val="NormalJustificado"/>
      <w:lvlText w:val=""/>
      <w:lvlJc w:val="left"/>
      <w:pPr>
        <w:ind w:left="720" w:hanging="360"/>
      </w:pPr>
      <w:rPr>
        <w:rFonts w:ascii="Symbol" w:hAnsi="Symbol" w:cs="Symbol"/>
        <w:sz w:val="20"/>
      </w:r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53" w15:restartNumberingAfterBreak="0">
    <w:nsid w:val="3C1F3CB3"/>
    <w:multiLevelType w:val="multilevel"/>
    <w:tmpl w:val="B502908A"/>
    <w:lvl w:ilvl="0">
      <w:start w:val="1"/>
      <w:numFmt w:val="lowerLetter"/>
      <w:lvlText w:val="%1)"/>
      <w:lvlJc w:val="left"/>
      <w:rPr>
        <w:rFonts w:ascii="Calibri" w:eastAsia="Calibri" w:hAnsi="Calibri" w:cs="Calibri"/>
        <w:b w:val="0"/>
        <w:i/>
        <w:iCs/>
        <w:strike w:val="0"/>
        <w:dstrike w:val="0"/>
        <w:color w:val="000000"/>
        <w:position w:val="0"/>
        <w:sz w:val="22"/>
        <w:szCs w:val="22"/>
        <w:u w:val="none" w:color="000000"/>
        <w:shd w:val="clear" w:color="auto" w:fill="auto"/>
        <w:vertAlign w:val="baseline"/>
      </w:rPr>
    </w:lvl>
    <w:lvl w:ilvl="1">
      <w:start w:val="1"/>
      <w:numFmt w:val="lowerLetter"/>
      <w:lvlText w:val="%2"/>
      <w:lvlJc w:val="left"/>
      <w:pPr>
        <w:ind w:left="144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2">
      <w:start w:val="1"/>
      <w:numFmt w:val="lowerRoman"/>
      <w:lvlText w:val="%3"/>
      <w:lvlJc w:val="left"/>
      <w:pPr>
        <w:ind w:left="216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3">
      <w:start w:val="1"/>
      <w:numFmt w:val="decimal"/>
      <w:lvlText w:val="%4"/>
      <w:lvlJc w:val="left"/>
      <w:pPr>
        <w:ind w:left="288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4">
      <w:start w:val="1"/>
      <w:numFmt w:val="lowerLetter"/>
      <w:lvlText w:val="%5"/>
      <w:lvlJc w:val="left"/>
      <w:pPr>
        <w:ind w:left="360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5">
      <w:start w:val="1"/>
      <w:numFmt w:val="lowerRoman"/>
      <w:lvlText w:val="%6"/>
      <w:lvlJc w:val="left"/>
      <w:pPr>
        <w:ind w:left="432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6">
      <w:start w:val="1"/>
      <w:numFmt w:val="decimal"/>
      <w:lvlText w:val="%7"/>
      <w:lvlJc w:val="left"/>
      <w:pPr>
        <w:ind w:left="504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7">
      <w:start w:val="1"/>
      <w:numFmt w:val="lowerLetter"/>
      <w:lvlText w:val="%8"/>
      <w:lvlJc w:val="left"/>
      <w:pPr>
        <w:ind w:left="576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8">
      <w:start w:val="1"/>
      <w:numFmt w:val="lowerRoman"/>
      <w:lvlText w:val="%9"/>
      <w:lvlJc w:val="left"/>
      <w:pPr>
        <w:ind w:left="648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abstractNum>
  <w:abstractNum w:abstractNumId="54" w15:restartNumberingAfterBreak="0">
    <w:nsid w:val="3DD97F6C"/>
    <w:multiLevelType w:val="multilevel"/>
    <w:tmpl w:val="3EE43DF6"/>
    <w:lvl w:ilvl="0">
      <w:numFmt w:val="bullet"/>
      <w:lvlText w:val="-"/>
      <w:lvlJc w:val="left"/>
      <w:pPr>
        <w:ind w:left="360"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1">
      <w:numFmt w:val="bullet"/>
      <w:lvlText w:val="o"/>
      <w:lvlJc w:val="left"/>
      <w:pPr>
        <w:ind w:left="1099"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2">
      <w:numFmt w:val="bullet"/>
      <w:lvlText w:val="▪"/>
      <w:lvlJc w:val="left"/>
      <w:pPr>
        <w:ind w:left="1819"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3">
      <w:numFmt w:val="bullet"/>
      <w:lvlText w:val="•"/>
      <w:lvlJc w:val="left"/>
      <w:pPr>
        <w:ind w:left="2539"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4">
      <w:numFmt w:val="bullet"/>
      <w:lvlText w:val="o"/>
      <w:lvlJc w:val="left"/>
      <w:pPr>
        <w:ind w:left="3259"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5">
      <w:numFmt w:val="bullet"/>
      <w:lvlText w:val="▪"/>
      <w:lvlJc w:val="left"/>
      <w:pPr>
        <w:ind w:left="3979"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6">
      <w:numFmt w:val="bullet"/>
      <w:lvlText w:val="•"/>
      <w:lvlJc w:val="left"/>
      <w:pPr>
        <w:ind w:left="4699"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7">
      <w:numFmt w:val="bullet"/>
      <w:lvlText w:val="o"/>
      <w:lvlJc w:val="left"/>
      <w:pPr>
        <w:ind w:left="5419"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8">
      <w:numFmt w:val="bullet"/>
      <w:lvlText w:val="▪"/>
      <w:lvlJc w:val="left"/>
      <w:pPr>
        <w:ind w:left="6139"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abstractNum>
  <w:abstractNum w:abstractNumId="55" w15:restartNumberingAfterBreak="0">
    <w:nsid w:val="3E5E65CE"/>
    <w:multiLevelType w:val="multilevel"/>
    <w:tmpl w:val="D460F652"/>
    <w:lvl w:ilvl="0">
      <w:start w:val="2"/>
      <w:numFmt w:val="lowerLetter"/>
      <w:lvlText w:val="%1)"/>
      <w:lvlJc w:val="left"/>
      <w:pPr>
        <w:ind w:left="173"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1">
      <w:start w:val="1"/>
      <w:numFmt w:val="lowerLetter"/>
      <w:lvlText w:val="%2"/>
      <w:lvlJc w:val="left"/>
      <w:pPr>
        <w:ind w:left="144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2">
      <w:start w:val="1"/>
      <w:numFmt w:val="lowerRoman"/>
      <w:lvlText w:val="%3"/>
      <w:lvlJc w:val="left"/>
      <w:pPr>
        <w:ind w:left="216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3">
      <w:start w:val="1"/>
      <w:numFmt w:val="decimal"/>
      <w:lvlText w:val="%4"/>
      <w:lvlJc w:val="left"/>
      <w:pPr>
        <w:ind w:left="288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4">
      <w:start w:val="1"/>
      <w:numFmt w:val="lowerLetter"/>
      <w:lvlText w:val="%5"/>
      <w:lvlJc w:val="left"/>
      <w:pPr>
        <w:ind w:left="360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5">
      <w:start w:val="1"/>
      <w:numFmt w:val="lowerRoman"/>
      <w:lvlText w:val="%6"/>
      <w:lvlJc w:val="left"/>
      <w:pPr>
        <w:ind w:left="432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6">
      <w:start w:val="1"/>
      <w:numFmt w:val="decimal"/>
      <w:lvlText w:val="%7"/>
      <w:lvlJc w:val="left"/>
      <w:pPr>
        <w:ind w:left="504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7">
      <w:start w:val="1"/>
      <w:numFmt w:val="lowerLetter"/>
      <w:lvlText w:val="%8"/>
      <w:lvlJc w:val="left"/>
      <w:pPr>
        <w:ind w:left="576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8">
      <w:start w:val="1"/>
      <w:numFmt w:val="lowerRoman"/>
      <w:lvlText w:val="%9"/>
      <w:lvlJc w:val="left"/>
      <w:pPr>
        <w:ind w:left="648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abstractNum>
  <w:abstractNum w:abstractNumId="56" w15:restartNumberingAfterBreak="0">
    <w:nsid w:val="3F310836"/>
    <w:multiLevelType w:val="multilevel"/>
    <w:tmpl w:val="5630BFCA"/>
    <w:lvl w:ilvl="0">
      <w:start w:val="1"/>
      <w:numFmt w:val="lowerLetter"/>
      <w:lvlText w:val="%1)"/>
      <w:lvlJc w:val="left"/>
      <w:pPr>
        <w:ind w:left="644" w:firstLine="0"/>
      </w:pPr>
      <w:rPr>
        <w:rFonts w:ascii="Arial" w:eastAsia="Arial" w:hAnsi="Arial" w:cs="Arial"/>
        <w:b w:val="0"/>
        <w:i/>
        <w:iCs/>
        <w:strike w:val="0"/>
        <w:dstrike w:val="0"/>
        <w:color w:val="000000"/>
        <w:position w:val="0"/>
        <w:sz w:val="22"/>
        <w:szCs w:val="22"/>
        <w:u w:val="none" w:color="000000"/>
        <w:shd w:val="clear" w:color="auto" w:fill="auto"/>
        <w:vertAlign w:val="baseline"/>
      </w:rPr>
    </w:lvl>
    <w:lvl w:ilvl="1">
      <w:start w:val="1"/>
      <w:numFmt w:val="lowerLetter"/>
      <w:lvlText w:val="%2"/>
      <w:lvlJc w:val="left"/>
      <w:pPr>
        <w:ind w:left="1436" w:firstLine="0"/>
      </w:pPr>
      <w:rPr>
        <w:rFonts w:ascii="Arial" w:eastAsia="Arial" w:hAnsi="Arial" w:cs="Arial"/>
        <w:b w:val="0"/>
        <w:i/>
        <w:iCs/>
        <w:strike w:val="0"/>
        <w:dstrike w:val="0"/>
        <w:color w:val="000000"/>
        <w:position w:val="0"/>
        <w:sz w:val="22"/>
        <w:szCs w:val="22"/>
        <w:u w:val="none" w:color="000000"/>
        <w:shd w:val="clear" w:color="auto" w:fill="auto"/>
        <w:vertAlign w:val="baseline"/>
      </w:rPr>
    </w:lvl>
    <w:lvl w:ilvl="2">
      <w:start w:val="1"/>
      <w:numFmt w:val="lowerRoman"/>
      <w:lvlText w:val="%3"/>
      <w:lvlJc w:val="left"/>
      <w:pPr>
        <w:ind w:left="2156" w:firstLine="0"/>
      </w:pPr>
      <w:rPr>
        <w:rFonts w:ascii="Arial" w:eastAsia="Arial" w:hAnsi="Arial" w:cs="Arial"/>
        <w:b w:val="0"/>
        <w:i/>
        <w:iCs/>
        <w:strike w:val="0"/>
        <w:dstrike w:val="0"/>
        <w:color w:val="000000"/>
        <w:position w:val="0"/>
        <w:sz w:val="22"/>
        <w:szCs w:val="22"/>
        <w:u w:val="none" w:color="000000"/>
        <w:shd w:val="clear" w:color="auto" w:fill="auto"/>
        <w:vertAlign w:val="baseline"/>
      </w:rPr>
    </w:lvl>
    <w:lvl w:ilvl="3">
      <w:start w:val="1"/>
      <w:numFmt w:val="decimal"/>
      <w:lvlText w:val="%4"/>
      <w:lvlJc w:val="left"/>
      <w:pPr>
        <w:ind w:left="2876" w:firstLine="0"/>
      </w:pPr>
      <w:rPr>
        <w:rFonts w:ascii="Arial" w:eastAsia="Arial" w:hAnsi="Arial" w:cs="Arial"/>
        <w:b w:val="0"/>
        <w:i/>
        <w:iCs/>
        <w:strike w:val="0"/>
        <w:dstrike w:val="0"/>
        <w:color w:val="000000"/>
        <w:position w:val="0"/>
        <w:sz w:val="22"/>
        <w:szCs w:val="22"/>
        <w:u w:val="none" w:color="000000"/>
        <w:shd w:val="clear" w:color="auto" w:fill="auto"/>
        <w:vertAlign w:val="baseline"/>
      </w:rPr>
    </w:lvl>
    <w:lvl w:ilvl="4">
      <w:start w:val="1"/>
      <w:numFmt w:val="lowerLetter"/>
      <w:lvlText w:val="%5"/>
      <w:lvlJc w:val="left"/>
      <w:pPr>
        <w:ind w:left="3596" w:firstLine="0"/>
      </w:pPr>
      <w:rPr>
        <w:rFonts w:ascii="Arial" w:eastAsia="Arial" w:hAnsi="Arial" w:cs="Arial"/>
        <w:b w:val="0"/>
        <w:i/>
        <w:iCs/>
        <w:strike w:val="0"/>
        <w:dstrike w:val="0"/>
        <w:color w:val="000000"/>
        <w:position w:val="0"/>
        <w:sz w:val="22"/>
        <w:szCs w:val="22"/>
        <w:u w:val="none" w:color="000000"/>
        <w:shd w:val="clear" w:color="auto" w:fill="auto"/>
        <w:vertAlign w:val="baseline"/>
      </w:rPr>
    </w:lvl>
    <w:lvl w:ilvl="5">
      <w:start w:val="1"/>
      <w:numFmt w:val="lowerRoman"/>
      <w:lvlText w:val="%6"/>
      <w:lvlJc w:val="left"/>
      <w:pPr>
        <w:ind w:left="4316" w:firstLine="0"/>
      </w:pPr>
      <w:rPr>
        <w:rFonts w:ascii="Arial" w:eastAsia="Arial" w:hAnsi="Arial" w:cs="Arial"/>
        <w:b w:val="0"/>
        <w:i/>
        <w:iCs/>
        <w:strike w:val="0"/>
        <w:dstrike w:val="0"/>
        <w:color w:val="000000"/>
        <w:position w:val="0"/>
        <w:sz w:val="22"/>
        <w:szCs w:val="22"/>
        <w:u w:val="none" w:color="000000"/>
        <w:shd w:val="clear" w:color="auto" w:fill="auto"/>
        <w:vertAlign w:val="baseline"/>
      </w:rPr>
    </w:lvl>
    <w:lvl w:ilvl="6">
      <w:start w:val="1"/>
      <w:numFmt w:val="decimal"/>
      <w:lvlText w:val="%7"/>
      <w:lvlJc w:val="left"/>
      <w:pPr>
        <w:ind w:left="5036" w:firstLine="0"/>
      </w:pPr>
      <w:rPr>
        <w:rFonts w:ascii="Arial" w:eastAsia="Arial" w:hAnsi="Arial" w:cs="Arial"/>
        <w:b w:val="0"/>
        <w:i/>
        <w:iCs/>
        <w:strike w:val="0"/>
        <w:dstrike w:val="0"/>
        <w:color w:val="000000"/>
        <w:position w:val="0"/>
        <w:sz w:val="22"/>
        <w:szCs w:val="22"/>
        <w:u w:val="none" w:color="000000"/>
        <w:shd w:val="clear" w:color="auto" w:fill="auto"/>
        <w:vertAlign w:val="baseline"/>
      </w:rPr>
    </w:lvl>
    <w:lvl w:ilvl="7">
      <w:start w:val="1"/>
      <w:numFmt w:val="lowerLetter"/>
      <w:lvlText w:val="%8"/>
      <w:lvlJc w:val="left"/>
      <w:pPr>
        <w:ind w:left="5756" w:firstLine="0"/>
      </w:pPr>
      <w:rPr>
        <w:rFonts w:ascii="Arial" w:eastAsia="Arial" w:hAnsi="Arial" w:cs="Arial"/>
        <w:b w:val="0"/>
        <w:i/>
        <w:iCs/>
        <w:strike w:val="0"/>
        <w:dstrike w:val="0"/>
        <w:color w:val="000000"/>
        <w:position w:val="0"/>
        <w:sz w:val="22"/>
        <w:szCs w:val="22"/>
        <w:u w:val="none" w:color="000000"/>
        <w:shd w:val="clear" w:color="auto" w:fill="auto"/>
        <w:vertAlign w:val="baseline"/>
      </w:rPr>
    </w:lvl>
    <w:lvl w:ilvl="8">
      <w:start w:val="1"/>
      <w:numFmt w:val="lowerRoman"/>
      <w:lvlText w:val="%9"/>
      <w:lvlJc w:val="left"/>
      <w:pPr>
        <w:ind w:left="6476" w:firstLine="0"/>
      </w:pPr>
      <w:rPr>
        <w:rFonts w:ascii="Arial" w:eastAsia="Arial" w:hAnsi="Arial" w:cs="Arial"/>
        <w:b w:val="0"/>
        <w:i/>
        <w:iCs/>
        <w:strike w:val="0"/>
        <w:dstrike w:val="0"/>
        <w:color w:val="000000"/>
        <w:position w:val="0"/>
        <w:sz w:val="22"/>
        <w:szCs w:val="22"/>
        <w:u w:val="none" w:color="000000"/>
        <w:shd w:val="clear" w:color="auto" w:fill="auto"/>
        <w:vertAlign w:val="baseline"/>
      </w:rPr>
    </w:lvl>
  </w:abstractNum>
  <w:abstractNum w:abstractNumId="57" w15:restartNumberingAfterBreak="0">
    <w:nsid w:val="3F8505BC"/>
    <w:multiLevelType w:val="multilevel"/>
    <w:tmpl w:val="36A4A07C"/>
    <w:lvl w:ilvl="0">
      <w:start w:val="1"/>
      <w:numFmt w:val="decimal"/>
      <w:lvlText w:val="%1."/>
      <w:lvlJc w:val="left"/>
      <w:rPr>
        <w:rFonts w:ascii="Arial" w:eastAsia="Arial" w:hAnsi="Arial" w:cs="Arial"/>
        <w:b/>
        <w:bCs/>
        <w:i w:val="0"/>
        <w:strike w:val="0"/>
        <w:dstrike w:val="0"/>
        <w:color w:val="000000"/>
        <w:position w:val="0"/>
        <w:sz w:val="24"/>
        <w:szCs w:val="24"/>
        <w:u w:val="none" w:color="000000"/>
        <w:shd w:val="clear" w:color="auto" w:fill="auto"/>
        <w:vertAlign w:val="baseline"/>
      </w:rPr>
    </w:lvl>
    <w:lvl w:ilvl="1">
      <w:start w:val="1"/>
      <w:numFmt w:val="lowerLetter"/>
      <w:lvlText w:val="%2"/>
      <w:lvlJc w:val="left"/>
      <w:pPr>
        <w:ind w:left="1785" w:firstLine="0"/>
      </w:pPr>
      <w:rPr>
        <w:rFonts w:ascii="Arial" w:eastAsia="Arial" w:hAnsi="Arial" w:cs="Arial"/>
        <w:b/>
        <w:bCs/>
        <w:i w:val="0"/>
        <w:strike w:val="0"/>
        <w:dstrike w:val="0"/>
        <w:color w:val="000000"/>
        <w:position w:val="0"/>
        <w:sz w:val="24"/>
        <w:szCs w:val="24"/>
        <w:u w:val="none" w:color="000000"/>
        <w:shd w:val="clear" w:color="auto" w:fill="auto"/>
        <w:vertAlign w:val="baseline"/>
      </w:rPr>
    </w:lvl>
    <w:lvl w:ilvl="2">
      <w:start w:val="1"/>
      <w:numFmt w:val="lowerRoman"/>
      <w:lvlText w:val="%3"/>
      <w:lvlJc w:val="left"/>
      <w:pPr>
        <w:ind w:left="2505" w:firstLine="0"/>
      </w:pPr>
      <w:rPr>
        <w:rFonts w:ascii="Arial" w:eastAsia="Arial" w:hAnsi="Arial" w:cs="Arial"/>
        <w:b/>
        <w:bCs/>
        <w:i w:val="0"/>
        <w:strike w:val="0"/>
        <w:dstrike w:val="0"/>
        <w:color w:val="000000"/>
        <w:position w:val="0"/>
        <w:sz w:val="24"/>
        <w:szCs w:val="24"/>
        <w:u w:val="none" w:color="000000"/>
        <w:shd w:val="clear" w:color="auto" w:fill="auto"/>
        <w:vertAlign w:val="baseline"/>
      </w:rPr>
    </w:lvl>
    <w:lvl w:ilvl="3">
      <w:start w:val="1"/>
      <w:numFmt w:val="decimal"/>
      <w:lvlText w:val="%4"/>
      <w:lvlJc w:val="left"/>
      <w:pPr>
        <w:ind w:left="3225" w:firstLine="0"/>
      </w:pPr>
      <w:rPr>
        <w:rFonts w:ascii="Arial" w:eastAsia="Arial" w:hAnsi="Arial" w:cs="Arial"/>
        <w:b/>
        <w:bCs/>
        <w:i w:val="0"/>
        <w:strike w:val="0"/>
        <w:dstrike w:val="0"/>
        <w:color w:val="000000"/>
        <w:position w:val="0"/>
        <w:sz w:val="24"/>
        <w:szCs w:val="24"/>
        <w:u w:val="none" w:color="000000"/>
        <w:shd w:val="clear" w:color="auto" w:fill="auto"/>
        <w:vertAlign w:val="baseline"/>
      </w:rPr>
    </w:lvl>
    <w:lvl w:ilvl="4">
      <w:start w:val="1"/>
      <w:numFmt w:val="lowerLetter"/>
      <w:lvlText w:val="%5"/>
      <w:lvlJc w:val="left"/>
      <w:pPr>
        <w:ind w:left="3945" w:firstLine="0"/>
      </w:pPr>
      <w:rPr>
        <w:rFonts w:ascii="Arial" w:eastAsia="Arial" w:hAnsi="Arial" w:cs="Arial"/>
        <w:b/>
        <w:bCs/>
        <w:i w:val="0"/>
        <w:strike w:val="0"/>
        <w:dstrike w:val="0"/>
        <w:color w:val="000000"/>
        <w:position w:val="0"/>
        <w:sz w:val="24"/>
        <w:szCs w:val="24"/>
        <w:u w:val="none" w:color="000000"/>
        <w:shd w:val="clear" w:color="auto" w:fill="auto"/>
        <w:vertAlign w:val="baseline"/>
      </w:rPr>
    </w:lvl>
    <w:lvl w:ilvl="5">
      <w:start w:val="1"/>
      <w:numFmt w:val="lowerRoman"/>
      <w:lvlText w:val="%6"/>
      <w:lvlJc w:val="left"/>
      <w:pPr>
        <w:ind w:left="4665" w:firstLine="0"/>
      </w:pPr>
      <w:rPr>
        <w:rFonts w:ascii="Arial" w:eastAsia="Arial" w:hAnsi="Arial" w:cs="Arial"/>
        <w:b/>
        <w:bCs/>
        <w:i w:val="0"/>
        <w:strike w:val="0"/>
        <w:dstrike w:val="0"/>
        <w:color w:val="000000"/>
        <w:position w:val="0"/>
        <w:sz w:val="24"/>
        <w:szCs w:val="24"/>
        <w:u w:val="none" w:color="000000"/>
        <w:shd w:val="clear" w:color="auto" w:fill="auto"/>
        <w:vertAlign w:val="baseline"/>
      </w:rPr>
    </w:lvl>
    <w:lvl w:ilvl="6">
      <w:start w:val="1"/>
      <w:numFmt w:val="decimal"/>
      <w:lvlText w:val="%7"/>
      <w:lvlJc w:val="left"/>
      <w:pPr>
        <w:ind w:left="5385" w:firstLine="0"/>
      </w:pPr>
      <w:rPr>
        <w:rFonts w:ascii="Arial" w:eastAsia="Arial" w:hAnsi="Arial" w:cs="Arial"/>
        <w:b/>
        <w:bCs/>
        <w:i w:val="0"/>
        <w:strike w:val="0"/>
        <w:dstrike w:val="0"/>
        <w:color w:val="000000"/>
        <w:position w:val="0"/>
        <w:sz w:val="24"/>
        <w:szCs w:val="24"/>
        <w:u w:val="none" w:color="000000"/>
        <w:shd w:val="clear" w:color="auto" w:fill="auto"/>
        <w:vertAlign w:val="baseline"/>
      </w:rPr>
    </w:lvl>
    <w:lvl w:ilvl="7">
      <w:start w:val="1"/>
      <w:numFmt w:val="lowerLetter"/>
      <w:lvlText w:val="%8"/>
      <w:lvlJc w:val="left"/>
      <w:pPr>
        <w:ind w:left="6105" w:firstLine="0"/>
      </w:pPr>
      <w:rPr>
        <w:rFonts w:ascii="Arial" w:eastAsia="Arial" w:hAnsi="Arial" w:cs="Arial"/>
        <w:b/>
        <w:bCs/>
        <w:i w:val="0"/>
        <w:strike w:val="0"/>
        <w:dstrike w:val="0"/>
        <w:color w:val="000000"/>
        <w:position w:val="0"/>
        <w:sz w:val="24"/>
        <w:szCs w:val="24"/>
        <w:u w:val="none" w:color="000000"/>
        <w:shd w:val="clear" w:color="auto" w:fill="auto"/>
        <w:vertAlign w:val="baseline"/>
      </w:rPr>
    </w:lvl>
    <w:lvl w:ilvl="8">
      <w:start w:val="1"/>
      <w:numFmt w:val="lowerRoman"/>
      <w:lvlText w:val="%9"/>
      <w:lvlJc w:val="left"/>
      <w:pPr>
        <w:ind w:left="6825" w:firstLine="0"/>
      </w:pPr>
      <w:rPr>
        <w:rFonts w:ascii="Arial" w:eastAsia="Arial" w:hAnsi="Arial" w:cs="Arial"/>
        <w:b/>
        <w:bCs/>
        <w:i w:val="0"/>
        <w:strike w:val="0"/>
        <w:dstrike w:val="0"/>
        <w:color w:val="000000"/>
        <w:position w:val="0"/>
        <w:sz w:val="24"/>
        <w:szCs w:val="24"/>
        <w:u w:val="none" w:color="000000"/>
        <w:shd w:val="clear" w:color="auto" w:fill="auto"/>
        <w:vertAlign w:val="baseline"/>
      </w:rPr>
    </w:lvl>
  </w:abstractNum>
  <w:abstractNum w:abstractNumId="58" w15:restartNumberingAfterBreak="0">
    <w:nsid w:val="3FBB1D38"/>
    <w:multiLevelType w:val="multilevel"/>
    <w:tmpl w:val="40009290"/>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9" w15:restartNumberingAfterBreak="0">
    <w:nsid w:val="404140BE"/>
    <w:multiLevelType w:val="multilevel"/>
    <w:tmpl w:val="0B565EE4"/>
    <w:lvl w:ilvl="0">
      <w:start w:val="1"/>
      <w:numFmt w:val="upperLetter"/>
      <w:lvlText w:val="%1)"/>
      <w:lvlJc w:val="left"/>
      <w:pPr>
        <w:ind w:left="599" w:firstLine="0"/>
      </w:pPr>
      <w:rPr>
        <w:rFonts w:ascii="Calibri" w:eastAsia="Calibri" w:hAnsi="Calibri" w:cs="Calibri"/>
        <w:b/>
        <w:bCs/>
        <w:i/>
        <w:iCs/>
        <w:strike w:val="0"/>
        <w:dstrike w:val="0"/>
        <w:color w:val="000000"/>
        <w:position w:val="0"/>
        <w:sz w:val="22"/>
        <w:szCs w:val="22"/>
        <w:u w:val="none" w:color="000000"/>
        <w:shd w:val="clear" w:color="auto" w:fill="auto"/>
        <w:vertAlign w:val="baseline"/>
      </w:rPr>
    </w:lvl>
    <w:lvl w:ilvl="1">
      <w:start w:val="1"/>
      <w:numFmt w:val="lowerLetter"/>
      <w:lvlText w:val="%2"/>
      <w:lvlJc w:val="left"/>
      <w:pPr>
        <w:ind w:left="4953" w:firstLine="0"/>
      </w:pPr>
      <w:rPr>
        <w:rFonts w:ascii="Calibri" w:eastAsia="Calibri" w:hAnsi="Calibri" w:cs="Calibri"/>
        <w:b/>
        <w:bCs/>
        <w:i/>
        <w:iCs/>
        <w:strike w:val="0"/>
        <w:dstrike w:val="0"/>
        <w:color w:val="000000"/>
        <w:position w:val="0"/>
        <w:sz w:val="22"/>
        <w:szCs w:val="22"/>
        <w:u w:val="none" w:color="000000"/>
        <w:shd w:val="clear" w:color="auto" w:fill="auto"/>
        <w:vertAlign w:val="baseline"/>
      </w:rPr>
    </w:lvl>
    <w:lvl w:ilvl="2">
      <w:start w:val="1"/>
      <w:numFmt w:val="lowerRoman"/>
      <w:lvlText w:val="%3"/>
      <w:lvlJc w:val="left"/>
      <w:pPr>
        <w:ind w:left="5673" w:firstLine="0"/>
      </w:pPr>
      <w:rPr>
        <w:rFonts w:ascii="Calibri" w:eastAsia="Calibri" w:hAnsi="Calibri" w:cs="Calibri"/>
        <w:b/>
        <w:bCs/>
        <w:i/>
        <w:iCs/>
        <w:strike w:val="0"/>
        <w:dstrike w:val="0"/>
        <w:color w:val="000000"/>
        <w:position w:val="0"/>
        <w:sz w:val="22"/>
        <w:szCs w:val="22"/>
        <w:u w:val="none" w:color="000000"/>
        <w:shd w:val="clear" w:color="auto" w:fill="auto"/>
        <w:vertAlign w:val="baseline"/>
      </w:rPr>
    </w:lvl>
    <w:lvl w:ilvl="3">
      <w:start w:val="1"/>
      <w:numFmt w:val="decimal"/>
      <w:lvlText w:val="%4"/>
      <w:lvlJc w:val="left"/>
      <w:pPr>
        <w:ind w:left="6393" w:firstLine="0"/>
      </w:pPr>
      <w:rPr>
        <w:rFonts w:ascii="Calibri" w:eastAsia="Calibri" w:hAnsi="Calibri" w:cs="Calibri"/>
        <w:b/>
        <w:bCs/>
        <w:i/>
        <w:iCs/>
        <w:strike w:val="0"/>
        <w:dstrike w:val="0"/>
        <w:color w:val="000000"/>
        <w:position w:val="0"/>
        <w:sz w:val="22"/>
        <w:szCs w:val="22"/>
        <w:u w:val="none" w:color="000000"/>
        <w:shd w:val="clear" w:color="auto" w:fill="auto"/>
        <w:vertAlign w:val="baseline"/>
      </w:rPr>
    </w:lvl>
    <w:lvl w:ilvl="4">
      <w:start w:val="1"/>
      <w:numFmt w:val="lowerLetter"/>
      <w:lvlText w:val="%5"/>
      <w:lvlJc w:val="left"/>
      <w:pPr>
        <w:ind w:left="7113" w:firstLine="0"/>
      </w:pPr>
      <w:rPr>
        <w:rFonts w:ascii="Calibri" w:eastAsia="Calibri" w:hAnsi="Calibri" w:cs="Calibri"/>
        <w:b/>
        <w:bCs/>
        <w:i/>
        <w:iCs/>
        <w:strike w:val="0"/>
        <w:dstrike w:val="0"/>
        <w:color w:val="000000"/>
        <w:position w:val="0"/>
        <w:sz w:val="22"/>
        <w:szCs w:val="22"/>
        <w:u w:val="none" w:color="000000"/>
        <w:shd w:val="clear" w:color="auto" w:fill="auto"/>
        <w:vertAlign w:val="baseline"/>
      </w:rPr>
    </w:lvl>
    <w:lvl w:ilvl="5">
      <w:start w:val="1"/>
      <w:numFmt w:val="lowerRoman"/>
      <w:lvlText w:val="%6"/>
      <w:lvlJc w:val="left"/>
      <w:pPr>
        <w:ind w:left="7833" w:firstLine="0"/>
      </w:pPr>
      <w:rPr>
        <w:rFonts w:ascii="Calibri" w:eastAsia="Calibri" w:hAnsi="Calibri" w:cs="Calibri"/>
        <w:b/>
        <w:bCs/>
        <w:i/>
        <w:iCs/>
        <w:strike w:val="0"/>
        <w:dstrike w:val="0"/>
        <w:color w:val="000000"/>
        <w:position w:val="0"/>
        <w:sz w:val="22"/>
        <w:szCs w:val="22"/>
        <w:u w:val="none" w:color="000000"/>
        <w:shd w:val="clear" w:color="auto" w:fill="auto"/>
        <w:vertAlign w:val="baseline"/>
      </w:rPr>
    </w:lvl>
    <w:lvl w:ilvl="6">
      <w:start w:val="1"/>
      <w:numFmt w:val="decimal"/>
      <w:lvlText w:val="%7"/>
      <w:lvlJc w:val="left"/>
      <w:pPr>
        <w:ind w:left="8553" w:firstLine="0"/>
      </w:pPr>
      <w:rPr>
        <w:rFonts w:ascii="Calibri" w:eastAsia="Calibri" w:hAnsi="Calibri" w:cs="Calibri"/>
        <w:b/>
        <w:bCs/>
        <w:i/>
        <w:iCs/>
        <w:strike w:val="0"/>
        <w:dstrike w:val="0"/>
        <w:color w:val="000000"/>
        <w:position w:val="0"/>
        <w:sz w:val="22"/>
        <w:szCs w:val="22"/>
        <w:u w:val="none" w:color="000000"/>
        <w:shd w:val="clear" w:color="auto" w:fill="auto"/>
        <w:vertAlign w:val="baseline"/>
      </w:rPr>
    </w:lvl>
    <w:lvl w:ilvl="7">
      <w:start w:val="1"/>
      <w:numFmt w:val="lowerLetter"/>
      <w:lvlText w:val="%8"/>
      <w:lvlJc w:val="left"/>
      <w:pPr>
        <w:ind w:left="9273" w:firstLine="0"/>
      </w:pPr>
      <w:rPr>
        <w:rFonts w:ascii="Calibri" w:eastAsia="Calibri" w:hAnsi="Calibri" w:cs="Calibri"/>
        <w:b/>
        <w:bCs/>
        <w:i/>
        <w:iCs/>
        <w:strike w:val="0"/>
        <w:dstrike w:val="0"/>
        <w:color w:val="000000"/>
        <w:position w:val="0"/>
        <w:sz w:val="22"/>
        <w:szCs w:val="22"/>
        <w:u w:val="none" w:color="000000"/>
        <w:shd w:val="clear" w:color="auto" w:fill="auto"/>
        <w:vertAlign w:val="baseline"/>
      </w:rPr>
    </w:lvl>
    <w:lvl w:ilvl="8">
      <w:start w:val="1"/>
      <w:numFmt w:val="lowerRoman"/>
      <w:lvlText w:val="%9"/>
      <w:lvlJc w:val="left"/>
      <w:pPr>
        <w:ind w:left="9993" w:firstLine="0"/>
      </w:pPr>
      <w:rPr>
        <w:rFonts w:ascii="Calibri" w:eastAsia="Calibri" w:hAnsi="Calibri" w:cs="Calibri"/>
        <w:b/>
        <w:bCs/>
        <w:i/>
        <w:iCs/>
        <w:strike w:val="0"/>
        <w:dstrike w:val="0"/>
        <w:color w:val="000000"/>
        <w:position w:val="0"/>
        <w:sz w:val="22"/>
        <w:szCs w:val="22"/>
        <w:u w:val="none" w:color="000000"/>
        <w:shd w:val="clear" w:color="auto" w:fill="auto"/>
        <w:vertAlign w:val="baseline"/>
      </w:rPr>
    </w:lvl>
  </w:abstractNum>
  <w:abstractNum w:abstractNumId="60" w15:restartNumberingAfterBreak="0">
    <w:nsid w:val="411457DC"/>
    <w:multiLevelType w:val="multilevel"/>
    <w:tmpl w:val="9D845372"/>
    <w:lvl w:ilvl="0">
      <w:start w:val="1"/>
      <w:numFmt w:val="lowerLetter"/>
      <w:lvlText w:val="%1)"/>
      <w:lvlJc w:val="left"/>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1">
      <w:start w:val="1"/>
      <w:numFmt w:val="lowerLetter"/>
      <w:lvlText w:val="%2"/>
      <w:lvlJc w:val="left"/>
      <w:pPr>
        <w:ind w:left="1440"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2">
      <w:start w:val="1"/>
      <w:numFmt w:val="lowerRoman"/>
      <w:lvlText w:val="%3"/>
      <w:lvlJc w:val="left"/>
      <w:pPr>
        <w:ind w:left="2160"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3">
      <w:start w:val="1"/>
      <w:numFmt w:val="decimal"/>
      <w:lvlText w:val="%4"/>
      <w:lvlJc w:val="left"/>
      <w:pPr>
        <w:ind w:left="2880"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4">
      <w:start w:val="1"/>
      <w:numFmt w:val="lowerLetter"/>
      <w:lvlText w:val="%5"/>
      <w:lvlJc w:val="left"/>
      <w:pPr>
        <w:ind w:left="3600"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5">
      <w:start w:val="1"/>
      <w:numFmt w:val="lowerRoman"/>
      <w:lvlText w:val="%6"/>
      <w:lvlJc w:val="left"/>
      <w:pPr>
        <w:ind w:left="4320"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6">
      <w:start w:val="1"/>
      <w:numFmt w:val="decimal"/>
      <w:lvlText w:val="%7"/>
      <w:lvlJc w:val="left"/>
      <w:pPr>
        <w:ind w:left="5040"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7">
      <w:start w:val="1"/>
      <w:numFmt w:val="lowerLetter"/>
      <w:lvlText w:val="%8"/>
      <w:lvlJc w:val="left"/>
      <w:pPr>
        <w:ind w:left="5760"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8">
      <w:start w:val="1"/>
      <w:numFmt w:val="lowerRoman"/>
      <w:lvlText w:val="%9"/>
      <w:lvlJc w:val="left"/>
      <w:pPr>
        <w:ind w:left="6480"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abstractNum>
  <w:abstractNum w:abstractNumId="61" w15:restartNumberingAfterBreak="0">
    <w:nsid w:val="411E6EFB"/>
    <w:multiLevelType w:val="multilevel"/>
    <w:tmpl w:val="D714C77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2" w15:restartNumberingAfterBreak="0">
    <w:nsid w:val="41E35DDE"/>
    <w:multiLevelType w:val="multilevel"/>
    <w:tmpl w:val="BF165FA2"/>
    <w:lvl w:ilvl="0">
      <w:start w:val="2"/>
      <w:numFmt w:val="lowerLetter"/>
      <w:lvlText w:val="%1)"/>
      <w:lvlJc w:val="left"/>
      <w:pPr>
        <w:ind w:left="276"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1">
      <w:start w:val="1"/>
      <w:numFmt w:val="lowerLetter"/>
      <w:lvlText w:val="%2"/>
      <w:lvlJc w:val="left"/>
      <w:pPr>
        <w:ind w:left="108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2">
      <w:start w:val="1"/>
      <w:numFmt w:val="lowerRoman"/>
      <w:lvlText w:val="%3"/>
      <w:lvlJc w:val="left"/>
      <w:pPr>
        <w:ind w:left="180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3">
      <w:start w:val="1"/>
      <w:numFmt w:val="decimal"/>
      <w:lvlText w:val="%4"/>
      <w:lvlJc w:val="left"/>
      <w:pPr>
        <w:ind w:left="252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4">
      <w:start w:val="1"/>
      <w:numFmt w:val="lowerLetter"/>
      <w:lvlText w:val="%5"/>
      <w:lvlJc w:val="left"/>
      <w:pPr>
        <w:ind w:left="324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5">
      <w:start w:val="1"/>
      <w:numFmt w:val="lowerRoman"/>
      <w:lvlText w:val="%6"/>
      <w:lvlJc w:val="left"/>
      <w:pPr>
        <w:ind w:left="396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6">
      <w:start w:val="1"/>
      <w:numFmt w:val="decimal"/>
      <w:lvlText w:val="%7"/>
      <w:lvlJc w:val="left"/>
      <w:pPr>
        <w:ind w:left="468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7">
      <w:start w:val="1"/>
      <w:numFmt w:val="lowerLetter"/>
      <w:lvlText w:val="%8"/>
      <w:lvlJc w:val="left"/>
      <w:pPr>
        <w:ind w:left="540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8">
      <w:start w:val="1"/>
      <w:numFmt w:val="lowerRoman"/>
      <w:lvlText w:val="%9"/>
      <w:lvlJc w:val="left"/>
      <w:pPr>
        <w:ind w:left="612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abstractNum>
  <w:abstractNum w:abstractNumId="63" w15:restartNumberingAfterBreak="0">
    <w:nsid w:val="426857D7"/>
    <w:multiLevelType w:val="multilevel"/>
    <w:tmpl w:val="1A64C4E6"/>
    <w:lvl w:ilvl="0">
      <w:numFmt w:val="bullet"/>
      <w:lvlText w:val="-"/>
      <w:lvlJc w:val="left"/>
      <w:pPr>
        <w:ind w:left="720"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1">
      <w:numFmt w:val="bullet"/>
      <w:lvlText w:val="o"/>
      <w:lvlJc w:val="left"/>
      <w:pPr>
        <w:ind w:left="1440"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2">
      <w:numFmt w:val="bullet"/>
      <w:lvlText w:val="▪"/>
      <w:lvlJc w:val="left"/>
      <w:pPr>
        <w:ind w:left="2160"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3">
      <w:numFmt w:val="bullet"/>
      <w:lvlText w:val="•"/>
      <w:lvlJc w:val="left"/>
      <w:pPr>
        <w:ind w:left="2880"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4">
      <w:numFmt w:val="bullet"/>
      <w:lvlText w:val="o"/>
      <w:lvlJc w:val="left"/>
      <w:pPr>
        <w:ind w:left="3600"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5">
      <w:numFmt w:val="bullet"/>
      <w:lvlText w:val="▪"/>
      <w:lvlJc w:val="left"/>
      <w:pPr>
        <w:ind w:left="4320"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6">
      <w:numFmt w:val="bullet"/>
      <w:lvlText w:val="•"/>
      <w:lvlJc w:val="left"/>
      <w:pPr>
        <w:ind w:left="5040"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7">
      <w:numFmt w:val="bullet"/>
      <w:lvlText w:val="o"/>
      <w:lvlJc w:val="left"/>
      <w:pPr>
        <w:ind w:left="5760"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8">
      <w:numFmt w:val="bullet"/>
      <w:lvlText w:val="▪"/>
      <w:lvlJc w:val="left"/>
      <w:pPr>
        <w:ind w:left="6480"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abstractNum>
  <w:abstractNum w:abstractNumId="64" w15:restartNumberingAfterBreak="0">
    <w:nsid w:val="446B7A98"/>
    <w:multiLevelType w:val="multilevel"/>
    <w:tmpl w:val="D8EC9406"/>
    <w:lvl w:ilvl="0">
      <w:start w:val="1"/>
      <w:numFmt w:val="decimal"/>
      <w:lvlText w:val="%1."/>
      <w:lvlJc w:val="left"/>
      <w:pPr>
        <w:ind w:left="705"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1">
      <w:start w:val="1"/>
      <w:numFmt w:val="lowerLetter"/>
      <w:lvlText w:val="%2"/>
      <w:lvlJc w:val="left"/>
      <w:pPr>
        <w:ind w:left="1440"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2">
      <w:start w:val="1"/>
      <w:numFmt w:val="lowerRoman"/>
      <w:lvlText w:val="%3"/>
      <w:lvlJc w:val="left"/>
      <w:pPr>
        <w:ind w:left="2160"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3">
      <w:start w:val="1"/>
      <w:numFmt w:val="decimal"/>
      <w:lvlText w:val="%4"/>
      <w:lvlJc w:val="left"/>
      <w:pPr>
        <w:ind w:left="2880"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4">
      <w:start w:val="1"/>
      <w:numFmt w:val="lowerLetter"/>
      <w:lvlText w:val="%5"/>
      <w:lvlJc w:val="left"/>
      <w:pPr>
        <w:ind w:left="3600"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5">
      <w:start w:val="1"/>
      <w:numFmt w:val="lowerRoman"/>
      <w:lvlText w:val="%6"/>
      <w:lvlJc w:val="left"/>
      <w:pPr>
        <w:ind w:left="4320"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6">
      <w:start w:val="1"/>
      <w:numFmt w:val="decimal"/>
      <w:lvlText w:val="%7"/>
      <w:lvlJc w:val="left"/>
      <w:pPr>
        <w:ind w:left="5040"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7">
      <w:start w:val="1"/>
      <w:numFmt w:val="lowerLetter"/>
      <w:lvlText w:val="%8"/>
      <w:lvlJc w:val="left"/>
      <w:pPr>
        <w:ind w:left="5760"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8">
      <w:start w:val="1"/>
      <w:numFmt w:val="lowerRoman"/>
      <w:lvlText w:val="%9"/>
      <w:lvlJc w:val="left"/>
      <w:pPr>
        <w:ind w:left="6480"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abstractNum>
  <w:abstractNum w:abstractNumId="65" w15:restartNumberingAfterBreak="0">
    <w:nsid w:val="447D2BA9"/>
    <w:multiLevelType w:val="multilevel"/>
    <w:tmpl w:val="60B6909C"/>
    <w:lvl w:ilvl="0">
      <w:numFmt w:val="bullet"/>
      <w:lvlText w:val=""/>
      <w:lvlJc w:val="left"/>
      <w:pPr>
        <w:ind w:left="1429" w:hanging="360"/>
      </w:pPr>
      <w:rPr>
        <w:rFonts w:ascii="Symbol" w:hAnsi="Symbol"/>
      </w:rPr>
    </w:lvl>
    <w:lvl w:ilvl="1">
      <w:numFmt w:val="bullet"/>
      <w:lvlText w:val="o"/>
      <w:lvlJc w:val="left"/>
      <w:pPr>
        <w:ind w:left="2149" w:hanging="360"/>
      </w:pPr>
      <w:rPr>
        <w:rFonts w:ascii="Courier New" w:hAnsi="Courier New" w:cs="Courier New"/>
      </w:rPr>
    </w:lvl>
    <w:lvl w:ilvl="2">
      <w:numFmt w:val="bullet"/>
      <w:lvlText w:val=""/>
      <w:lvlJc w:val="left"/>
      <w:pPr>
        <w:ind w:left="2869" w:hanging="360"/>
      </w:pPr>
      <w:rPr>
        <w:rFonts w:ascii="Wingdings" w:hAnsi="Wingdings"/>
      </w:rPr>
    </w:lvl>
    <w:lvl w:ilvl="3">
      <w:numFmt w:val="bullet"/>
      <w:lvlText w:val=""/>
      <w:lvlJc w:val="left"/>
      <w:pPr>
        <w:ind w:left="3589" w:hanging="360"/>
      </w:pPr>
      <w:rPr>
        <w:rFonts w:ascii="Symbol" w:hAnsi="Symbol"/>
      </w:rPr>
    </w:lvl>
    <w:lvl w:ilvl="4">
      <w:numFmt w:val="bullet"/>
      <w:lvlText w:val="o"/>
      <w:lvlJc w:val="left"/>
      <w:pPr>
        <w:ind w:left="4309" w:hanging="360"/>
      </w:pPr>
      <w:rPr>
        <w:rFonts w:ascii="Courier New" w:hAnsi="Courier New" w:cs="Courier New"/>
      </w:rPr>
    </w:lvl>
    <w:lvl w:ilvl="5">
      <w:numFmt w:val="bullet"/>
      <w:lvlText w:val=""/>
      <w:lvlJc w:val="left"/>
      <w:pPr>
        <w:ind w:left="5029" w:hanging="360"/>
      </w:pPr>
      <w:rPr>
        <w:rFonts w:ascii="Wingdings" w:hAnsi="Wingdings"/>
      </w:rPr>
    </w:lvl>
    <w:lvl w:ilvl="6">
      <w:numFmt w:val="bullet"/>
      <w:lvlText w:val=""/>
      <w:lvlJc w:val="left"/>
      <w:pPr>
        <w:ind w:left="5749" w:hanging="360"/>
      </w:pPr>
      <w:rPr>
        <w:rFonts w:ascii="Symbol" w:hAnsi="Symbol"/>
      </w:rPr>
    </w:lvl>
    <w:lvl w:ilvl="7">
      <w:numFmt w:val="bullet"/>
      <w:lvlText w:val="o"/>
      <w:lvlJc w:val="left"/>
      <w:pPr>
        <w:ind w:left="6469" w:hanging="360"/>
      </w:pPr>
      <w:rPr>
        <w:rFonts w:ascii="Courier New" w:hAnsi="Courier New" w:cs="Courier New"/>
      </w:rPr>
    </w:lvl>
    <w:lvl w:ilvl="8">
      <w:numFmt w:val="bullet"/>
      <w:lvlText w:val=""/>
      <w:lvlJc w:val="left"/>
      <w:pPr>
        <w:ind w:left="7189" w:hanging="360"/>
      </w:pPr>
      <w:rPr>
        <w:rFonts w:ascii="Wingdings" w:hAnsi="Wingdings"/>
      </w:rPr>
    </w:lvl>
  </w:abstractNum>
  <w:abstractNum w:abstractNumId="66" w15:restartNumberingAfterBreak="0">
    <w:nsid w:val="44F95104"/>
    <w:multiLevelType w:val="multilevel"/>
    <w:tmpl w:val="8AAEB6F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7" w15:restartNumberingAfterBreak="0">
    <w:nsid w:val="48CA4014"/>
    <w:multiLevelType w:val="multilevel"/>
    <w:tmpl w:val="F9667B60"/>
    <w:lvl w:ilvl="0">
      <w:start w:val="1"/>
      <w:numFmt w:val="decimal"/>
      <w:lvlText w:val="%1."/>
      <w:lvlJc w:val="left"/>
      <w:pPr>
        <w:ind w:left="360" w:hanging="360"/>
      </w:pPr>
    </w:lvl>
    <w:lvl w:ilvl="1">
      <w:numFmt w:val="bullet"/>
      <w:lvlText w:val="-"/>
      <w:lvlJc w:val="left"/>
      <w:pPr>
        <w:ind w:left="720" w:hanging="360"/>
      </w:pPr>
      <w:rPr>
        <w:rFonts w:ascii="Calibri" w:hAnsi="Calibri"/>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8" w15:restartNumberingAfterBreak="0">
    <w:nsid w:val="497E3C67"/>
    <w:multiLevelType w:val="multilevel"/>
    <w:tmpl w:val="E2D80E6C"/>
    <w:lvl w:ilvl="0">
      <w:start w:val="1"/>
      <w:numFmt w:val="decimal"/>
      <w:lvlText w:val="%1."/>
      <w:lvlJc w:val="left"/>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1">
      <w:start w:val="1"/>
      <w:numFmt w:val="lowerLetter"/>
      <w:lvlText w:val="%2"/>
      <w:lvlJc w:val="left"/>
      <w:pPr>
        <w:ind w:left="1440"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2">
      <w:start w:val="1"/>
      <w:numFmt w:val="lowerRoman"/>
      <w:lvlText w:val="%3"/>
      <w:lvlJc w:val="left"/>
      <w:pPr>
        <w:ind w:left="2160"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3">
      <w:start w:val="1"/>
      <w:numFmt w:val="decimal"/>
      <w:lvlText w:val="%4"/>
      <w:lvlJc w:val="left"/>
      <w:pPr>
        <w:ind w:left="2880"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4">
      <w:start w:val="1"/>
      <w:numFmt w:val="lowerLetter"/>
      <w:lvlText w:val="%5"/>
      <w:lvlJc w:val="left"/>
      <w:pPr>
        <w:ind w:left="3600"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5">
      <w:start w:val="1"/>
      <w:numFmt w:val="lowerRoman"/>
      <w:lvlText w:val="%6"/>
      <w:lvlJc w:val="left"/>
      <w:pPr>
        <w:ind w:left="4320"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6">
      <w:start w:val="1"/>
      <w:numFmt w:val="decimal"/>
      <w:lvlText w:val="%7"/>
      <w:lvlJc w:val="left"/>
      <w:pPr>
        <w:ind w:left="5040"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7">
      <w:start w:val="1"/>
      <w:numFmt w:val="lowerLetter"/>
      <w:lvlText w:val="%8"/>
      <w:lvlJc w:val="left"/>
      <w:pPr>
        <w:ind w:left="5760"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8">
      <w:start w:val="1"/>
      <w:numFmt w:val="lowerRoman"/>
      <w:lvlText w:val="%9"/>
      <w:lvlJc w:val="left"/>
      <w:pPr>
        <w:ind w:left="6480"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abstractNum>
  <w:abstractNum w:abstractNumId="69" w15:restartNumberingAfterBreak="0">
    <w:nsid w:val="4ADC2E3B"/>
    <w:multiLevelType w:val="multilevel"/>
    <w:tmpl w:val="8B360932"/>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0" w15:restartNumberingAfterBreak="0">
    <w:nsid w:val="4CA9277B"/>
    <w:multiLevelType w:val="multilevel"/>
    <w:tmpl w:val="AEAECAB2"/>
    <w:lvl w:ilvl="0">
      <w:numFmt w:val="bullet"/>
      <w:lvlText w:val="•"/>
      <w:lvlJc w:val="left"/>
      <w:pPr>
        <w:ind w:left="720" w:firstLine="0"/>
      </w:pPr>
      <w:rPr>
        <w:rFonts w:ascii="Arial" w:eastAsia="Arial" w:hAnsi="Arial" w:cs="Arial"/>
        <w:b w:val="0"/>
        <w:i w:val="0"/>
        <w:strike w:val="0"/>
        <w:dstrike w:val="0"/>
        <w:color w:val="000000"/>
        <w:position w:val="0"/>
        <w:sz w:val="20"/>
        <w:szCs w:val="20"/>
        <w:u w:val="none" w:color="000000"/>
        <w:shd w:val="clear" w:color="auto" w:fill="auto"/>
        <w:vertAlign w:val="baseline"/>
      </w:rPr>
    </w:lvl>
    <w:lvl w:ilvl="1">
      <w:numFmt w:val="bullet"/>
      <w:lvlText w:val="o"/>
      <w:lvlJc w:val="left"/>
      <w:pPr>
        <w:ind w:left="1440" w:firstLine="0"/>
      </w:pPr>
      <w:rPr>
        <w:rFonts w:ascii="Calibri" w:eastAsia="Calibri" w:hAnsi="Calibri" w:cs="Calibri"/>
        <w:b w:val="0"/>
        <w:i w:val="0"/>
        <w:strike w:val="0"/>
        <w:dstrike w:val="0"/>
        <w:color w:val="000000"/>
        <w:position w:val="0"/>
        <w:sz w:val="20"/>
        <w:szCs w:val="20"/>
        <w:u w:val="none" w:color="000000"/>
        <w:shd w:val="clear" w:color="auto" w:fill="auto"/>
        <w:vertAlign w:val="baseline"/>
      </w:rPr>
    </w:lvl>
    <w:lvl w:ilvl="2">
      <w:numFmt w:val="bullet"/>
      <w:lvlText w:val="▪"/>
      <w:lvlJc w:val="left"/>
      <w:pPr>
        <w:ind w:left="2160" w:firstLine="0"/>
      </w:pPr>
      <w:rPr>
        <w:rFonts w:ascii="Calibri" w:eastAsia="Calibri" w:hAnsi="Calibri" w:cs="Calibri"/>
        <w:b w:val="0"/>
        <w:i w:val="0"/>
        <w:strike w:val="0"/>
        <w:dstrike w:val="0"/>
        <w:color w:val="000000"/>
        <w:position w:val="0"/>
        <w:sz w:val="20"/>
        <w:szCs w:val="20"/>
        <w:u w:val="none" w:color="000000"/>
        <w:shd w:val="clear" w:color="auto" w:fill="auto"/>
        <w:vertAlign w:val="baseline"/>
      </w:rPr>
    </w:lvl>
    <w:lvl w:ilvl="3">
      <w:numFmt w:val="bullet"/>
      <w:lvlText w:val="•"/>
      <w:lvlJc w:val="left"/>
      <w:pPr>
        <w:ind w:left="2880" w:firstLine="0"/>
      </w:pPr>
      <w:rPr>
        <w:rFonts w:ascii="Calibri" w:eastAsia="Calibri" w:hAnsi="Calibri" w:cs="Calibri"/>
        <w:b w:val="0"/>
        <w:i w:val="0"/>
        <w:strike w:val="0"/>
        <w:dstrike w:val="0"/>
        <w:color w:val="000000"/>
        <w:position w:val="0"/>
        <w:sz w:val="20"/>
        <w:szCs w:val="20"/>
        <w:u w:val="none" w:color="000000"/>
        <w:shd w:val="clear" w:color="auto" w:fill="auto"/>
        <w:vertAlign w:val="baseline"/>
      </w:rPr>
    </w:lvl>
    <w:lvl w:ilvl="4">
      <w:numFmt w:val="bullet"/>
      <w:lvlText w:val="o"/>
      <w:lvlJc w:val="left"/>
      <w:pPr>
        <w:ind w:left="3600" w:firstLine="0"/>
      </w:pPr>
      <w:rPr>
        <w:rFonts w:ascii="Calibri" w:eastAsia="Calibri" w:hAnsi="Calibri" w:cs="Calibri"/>
        <w:b w:val="0"/>
        <w:i w:val="0"/>
        <w:strike w:val="0"/>
        <w:dstrike w:val="0"/>
        <w:color w:val="000000"/>
        <w:position w:val="0"/>
        <w:sz w:val="20"/>
        <w:szCs w:val="20"/>
        <w:u w:val="none" w:color="000000"/>
        <w:shd w:val="clear" w:color="auto" w:fill="auto"/>
        <w:vertAlign w:val="baseline"/>
      </w:rPr>
    </w:lvl>
    <w:lvl w:ilvl="5">
      <w:numFmt w:val="bullet"/>
      <w:lvlText w:val="▪"/>
      <w:lvlJc w:val="left"/>
      <w:pPr>
        <w:ind w:left="4320" w:firstLine="0"/>
      </w:pPr>
      <w:rPr>
        <w:rFonts w:ascii="Calibri" w:eastAsia="Calibri" w:hAnsi="Calibri" w:cs="Calibri"/>
        <w:b w:val="0"/>
        <w:i w:val="0"/>
        <w:strike w:val="0"/>
        <w:dstrike w:val="0"/>
        <w:color w:val="000000"/>
        <w:position w:val="0"/>
        <w:sz w:val="20"/>
        <w:szCs w:val="20"/>
        <w:u w:val="none" w:color="000000"/>
        <w:shd w:val="clear" w:color="auto" w:fill="auto"/>
        <w:vertAlign w:val="baseline"/>
      </w:rPr>
    </w:lvl>
    <w:lvl w:ilvl="6">
      <w:numFmt w:val="bullet"/>
      <w:lvlText w:val="•"/>
      <w:lvlJc w:val="left"/>
      <w:pPr>
        <w:ind w:left="5040" w:firstLine="0"/>
      </w:pPr>
      <w:rPr>
        <w:rFonts w:ascii="Calibri" w:eastAsia="Calibri" w:hAnsi="Calibri" w:cs="Calibri"/>
        <w:b w:val="0"/>
        <w:i w:val="0"/>
        <w:strike w:val="0"/>
        <w:dstrike w:val="0"/>
        <w:color w:val="000000"/>
        <w:position w:val="0"/>
        <w:sz w:val="20"/>
        <w:szCs w:val="20"/>
        <w:u w:val="none" w:color="000000"/>
        <w:shd w:val="clear" w:color="auto" w:fill="auto"/>
        <w:vertAlign w:val="baseline"/>
      </w:rPr>
    </w:lvl>
    <w:lvl w:ilvl="7">
      <w:numFmt w:val="bullet"/>
      <w:lvlText w:val="o"/>
      <w:lvlJc w:val="left"/>
      <w:pPr>
        <w:ind w:left="5760" w:firstLine="0"/>
      </w:pPr>
      <w:rPr>
        <w:rFonts w:ascii="Calibri" w:eastAsia="Calibri" w:hAnsi="Calibri" w:cs="Calibri"/>
        <w:b w:val="0"/>
        <w:i w:val="0"/>
        <w:strike w:val="0"/>
        <w:dstrike w:val="0"/>
        <w:color w:val="000000"/>
        <w:position w:val="0"/>
        <w:sz w:val="20"/>
        <w:szCs w:val="20"/>
        <w:u w:val="none" w:color="000000"/>
        <w:shd w:val="clear" w:color="auto" w:fill="auto"/>
        <w:vertAlign w:val="baseline"/>
      </w:rPr>
    </w:lvl>
    <w:lvl w:ilvl="8">
      <w:numFmt w:val="bullet"/>
      <w:lvlText w:val="▪"/>
      <w:lvlJc w:val="left"/>
      <w:pPr>
        <w:ind w:left="6480" w:firstLine="0"/>
      </w:pPr>
      <w:rPr>
        <w:rFonts w:ascii="Calibri" w:eastAsia="Calibri" w:hAnsi="Calibri" w:cs="Calibri"/>
        <w:b w:val="0"/>
        <w:i w:val="0"/>
        <w:strike w:val="0"/>
        <w:dstrike w:val="0"/>
        <w:color w:val="000000"/>
        <w:position w:val="0"/>
        <w:sz w:val="20"/>
        <w:szCs w:val="20"/>
        <w:u w:val="none" w:color="000000"/>
        <w:shd w:val="clear" w:color="auto" w:fill="auto"/>
        <w:vertAlign w:val="baseline"/>
      </w:rPr>
    </w:lvl>
  </w:abstractNum>
  <w:abstractNum w:abstractNumId="71" w15:restartNumberingAfterBreak="0">
    <w:nsid w:val="4F5A770E"/>
    <w:multiLevelType w:val="multilevel"/>
    <w:tmpl w:val="65E8E2C0"/>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2" w15:restartNumberingAfterBreak="0">
    <w:nsid w:val="4FF77260"/>
    <w:multiLevelType w:val="multilevel"/>
    <w:tmpl w:val="387C3A7A"/>
    <w:lvl w:ilvl="0">
      <w:start w:val="1"/>
      <w:numFmt w:val="decimal"/>
      <w:lvlText w:val="%1."/>
      <w:lvlJc w:val="left"/>
      <w:pPr>
        <w:ind w:left="711"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1">
      <w:start w:val="1"/>
      <w:numFmt w:val="lowerLetter"/>
      <w:lvlText w:val="%2"/>
      <w:lvlJc w:val="left"/>
      <w:pPr>
        <w:ind w:left="108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2">
      <w:start w:val="1"/>
      <w:numFmt w:val="lowerRoman"/>
      <w:lvlText w:val="%3"/>
      <w:lvlJc w:val="left"/>
      <w:pPr>
        <w:ind w:left="180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3">
      <w:start w:val="1"/>
      <w:numFmt w:val="decimal"/>
      <w:lvlText w:val="%4"/>
      <w:lvlJc w:val="left"/>
      <w:pPr>
        <w:ind w:left="252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4">
      <w:start w:val="1"/>
      <w:numFmt w:val="lowerLetter"/>
      <w:lvlText w:val="%5"/>
      <w:lvlJc w:val="left"/>
      <w:pPr>
        <w:ind w:left="324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5">
      <w:start w:val="1"/>
      <w:numFmt w:val="lowerRoman"/>
      <w:lvlText w:val="%6"/>
      <w:lvlJc w:val="left"/>
      <w:pPr>
        <w:ind w:left="396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6">
      <w:start w:val="1"/>
      <w:numFmt w:val="decimal"/>
      <w:lvlText w:val="%7"/>
      <w:lvlJc w:val="left"/>
      <w:pPr>
        <w:ind w:left="468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7">
      <w:start w:val="1"/>
      <w:numFmt w:val="lowerLetter"/>
      <w:lvlText w:val="%8"/>
      <w:lvlJc w:val="left"/>
      <w:pPr>
        <w:ind w:left="540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8">
      <w:start w:val="1"/>
      <w:numFmt w:val="lowerRoman"/>
      <w:lvlText w:val="%9"/>
      <w:lvlJc w:val="left"/>
      <w:pPr>
        <w:ind w:left="612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abstractNum>
  <w:abstractNum w:abstractNumId="73" w15:restartNumberingAfterBreak="0">
    <w:nsid w:val="50645D9E"/>
    <w:multiLevelType w:val="multilevel"/>
    <w:tmpl w:val="71821682"/>
    <w:lvl w:ilvl="0">
      <w:numFmt w:val="bullet"/>
      <w:lvlText w:val="•"/>
      <w:lvlJc w:val="left"/>
      <w:pPr>
        <w:ind w:left="126" w:firstLine="0"/>
      </w:pPr>
      <w:rPr>
        <w:rFonts w:ascii="Calibri" w:eastAsia="Calibri" w:hAnsi="Calibri" w:cs="Calibri"/>
        <w:b w:val="0"/>
        <w:i/>
        <w:iCs/>
        <w:strike w:val="0"/>
        <w:dstrike w:val="0"/>
        <w:color w:val="000000"/>
        <w:position w:val="0"/>
        <w:sz w:val="20"/>
        <w:szCs w:val="20"/>
        <w:u w:val="none" w:color="000000"/>
        <w:shd w:val="clear" w:color="auto" w:fill="auto"/>
        <w:vertAlign w:val="baseline"/>
      </w:rPr>
    </w:lvl>
    <w:lvl w:ilvl="1">
      <w:numFmt w:val="bullet"/>
      <w:lvlText w:val="o"/>
      <w:lvlJc w:val="left"/>
      <w:pPr>
        <w:ind w:left="1080" w:firstLine="0"/>
      </w:pPr>
      <w:rPr>
        <w:rFonts w:ascii="Calibri" w:eastAsia="Calibri" w:hAnsi="Calibri" w:cs="Calibri"/>
        <w:b w:val="0"/>
        <w:i/>
        <w:iCs/>
        <w:strike w:val="0"/>
        <w:dstrike w:val="0"/>
        <w:color w:val="000000"/>
        <w:position w:val="0"/>
        <w:sz w:val="20"/>
        <w:szCs w:val="20"/>
        <w:u w:val="none" w:color="000000"/>
        <w:shd w:val="clear" w:color="auto" w:fill="auto"/>
        <w:vertAlign w:val="baseline"/>
      </w:rPr>
    </w:lvl>
    <w:lvl w:ilvl="2">
      <w:numFmt w:val="bullet"/>
      <w:lvlText w:val="▪"/>
      <w:lvlJc w:val="left"/>
      <w:pPr>
        <w:ind w:left="1800" w:firstLine="0"/>
      </w:pPr>
      <w:rPr>
        <w:rFonts w:ascii="Calibri" w:eastAsia="Calibri" w:hAnsi="Calibri" w:cs="Calibri"/>
        <w:b w:val="0"/>
        <w:i/>
        <w:iCs/>
        <w:strike w:val="0"/>
        <w:dstrike w:val="0"/>
        <w:color w:val="000000"/>
        <w:position w:val="0"/>
        <w:sz w:val="20"/>
        <w:szCs w:val="20"/>
        <w:u w:val="none" w:color="000000"/>
        <w:shd w:val="clear" w:color="auto" w:fill="auto"/>
        <w:vertAlign w:val="baseline"/>
      </w:rPr>
    </w:lvl>
    <w:lvl w:ilvl="3">
      <w:numFmt w:val="bullet"/>
      <w:lvlText w:val="•"/>
      <w:lvlJc w:val="left"/>
      <w:pPr>
        <w:ind w:left="2520" w:firstLine="0"/>
      </w:pPr>
      <w:rPr>
        <w:rFonts w:ascii="Calibri" w:eastAsia="Calibri" w:hAnsi="Calibri" w:cs="Calibri"/>
        <w:b w:val="0"/>
        <w:i/>
        <w:iCs/>
        <w:strike w:val="0"/>
        <w:dstrike w:val="0"/>
        <w:color w:val="000000"/>
        <w:position w:val="0"/>
        <w:sz w:val="20"/>
        <w:szCs w:val="20"/>
        <w:u w:val="none" w:color="000000"/>
        <w:shd w:val="clear" w:color="auto" w:fill="auto"/>
        <w:vertAlign w:val="baseline"/>
      </w:rPr>
    </w:lvl>
    <w:lvl w:ilvl="4">
      <w:numFmt w:val="bullet"/>
      <w:lvlText w:val="o"/>
      <w:lvlJc w:val="left"/>
      <w:pPr>
        <w:ind w:left="3240" w:firstLine="0"/>
      </w:pPr>
      <w:rPr>
        <w:rFonts w:ascii="Calibri" w:eastAsia="Calibri" w:hAnsi="Calibri" w:cs="Calibri"/>
        <w:b w:val="0"/>
        <w:i/>
        <w:iCs/>
        <w:strike w:val="0"/>
        <w:dstrike w:val="0"/>
        <w:color w:val="000000"/>
        <w:position w:val="0"/>
        <w:sz w:val="20"/>
        <w:szCs w:val="20"/>
        <w:u w:val="none" w:color="000000"/>
        <w:shd w:val="clear" w:color="auto" w:fill="auto"/>
        <w:vertAlign w:val="baseline"/>
      </w:rPr>
    </w:lvl>
    <w:lvl w:ilvl="5">
      <w:numFmt w:val="bullet"/>
      <w:lvlText w:val="▪"/>
      <w:lvlJc w:val="left"/>
      <w:pPr>
        <w:ind w:left="3960" w:firstLine="0"/>
      </w:pPr>
      <w:rPr>
        <w:rFonts w:ascii="Calibri" w:eastAsia="Calibri" w:hAnsi="Calibri" w:cs="Calibri"/>
        <w:b w:val="0"/>
        <w:i/>
        <w:iCs/>
        <w:strike w:val="0"/>
        <w:dstrike w:val="0"/>
        <w:color w:val="000000"/>
        <w:position w:val="0"/>
        <w:sz w:val="20"/>
        <w:szCs w:val="20"/>
        <w:u w:val="none" w:color="000000"/>
        <w:shd w:val="clear" w:color="auto" w:fill="auto"/>
        <w:vertAlign w:val="baseline"/>
      </w:rPr>
    </w:lvl>
    <w:lvl w:ilvl="6">
      <w:numFmt w:val="bullet"/>
      <w:lvlText w:val="•"/>
      <w:lvlJc w:val="left"/>
      <w:pPr>
        <w:ind w:left="4680" w:firstLine="0"/>
      </w:pPr>
      <w:rPr>
        <w:rFonts w:ascii="Calibri" w:eastAsia="Calibri" w:hAnsi="Calibri" w:cs="Calibri"/>
        <w:b w:val="0"/>
        <w:i/>
        <w:iCs/>
        <w:strike w:val="0"/>
        <w:dstrike w:val="0"/>
        <w:color w:val="000000"/>
        <w:position w:val="0"/>
        <w:sz w:val="20"/>
        <w:szCs w:val="20"/>
        <w:u w:val="none" w:color="000000"/>
        <w:shd w:val="clear" w:color="auto" w:fill="auto"/>
        <w:vertAlign w:val="baseline"/>
      </w:rPr>
    </w:lvl>
    <w:lvl w:ilvl="7">
      <w:numFmt w:val="bullet"/>
      <w:lvlText w:val="o"/>
      <w:lvlJc w:val="left"/>
      <w:pPr>
        <w:ind w:left="5400" w:firstLine="0"/>
      </w:pPr>
      <w:rPr>
        <w:rFonts w:ascii="Calibri" w:eastAsia="Calibri" w:hAnsi="Calibri" w:cs="Calibri"/>
        <w:b w:val="0"/>
        <w:i/>
        <w:iCs/>
        <w:strike w:val="0"/>
        <w:dstrike w:val="0"/>
        <w:color w:val="000000"/>
        <w:position w:val="0"/>
        <w:sz w:val="20"/>
        <w:szCs w:val="20"/>
        <w:u w:val="none" w:color="000000"/>
        <w:shd w:val="clear" w:color="auto" w:fill="auto"/>
        <w:vertAlign w:val="baseline"/>
      </w:rPr>
    </w:lvl>
    <w:lvl w:ilvl="8">
      <w:numFmt w:val="bullet"/>
      <w:lvlText w:val="▪"/>
      <w:lvlJc w:val="left"/>
      <w:pPr>
        <w:ind w:left="6120" w:firstLine="0"/>
      </w:pPr>
      <w:rPr>
        <w:rFonts w:ascii="Calibri" w:eastAsia="Calibri" w:hAnsi="Calibri" w:cs="Calibri"/>
        <w:b w:val="0"/>
        <w:i/>
        <w:iCs/>
        <w:strike w:val="0"/>
        <w:dstrike w:val="0"/>
        <w:color w:val="000000"/>
        <w:position w:val="0"/>
        <w:sz w:val="20"/>
        <w:szCs w:val="20"/>
        <w:u w:val="none" w:color="000000"/>
        <w:shd w:val="clear" w:color="auto" w:fill="auto"/>
        <w:vertAlign w:val="baseline"/>
      </w:rPr>
    </w:lvl>
  </w:abstractNum>
  <w:abstractNum w:abstractNumId="74" w15:restartNumberingAfterBreak="0">
    <w:nsid w:val="51031F73"/>
    <w:multiLevelType w:val="multilevel"/>
    <w:tmpl w:val="82B4D95A"/>
    <w:lvl w:ilvl="0">
      <w:start w:val="13"/>
      <w:numFmt w:val="decimal"/>
      <w:lvlText w:val="%1."/>
      <w:lvlJc w:val="left"/>
      <w:pPr>
        <w:ind w:left="769" w:firstLine="0"/>
      </w:pPr>
      <w:rPr>
        <w:rFonts w:ascii="Arial" w:eastAsia="Calibri" w:hAnsi="Arial" w:cs="Arial"/>
        <w:b/>
        <w:i w:val="0"/>
        <w:strike w:val="0"/>
        <w:dstrike w:val="0"/>
        <w:color w:val="000000"/>
        <w:position w:val="0"/>
        <w:sz w:val="22"/>
        <w:szCs w:val="22"/>
        <w:u w:val="none" w:color="000000"/>
        <w:shd w:val="clear" w:color="auto" w:fill="auto"/>
        <w:vertAlign w:val="baseline"/>
      </w:rPr>
    </w:lvl>
    <w:lvl w:ilvl="1">
      <w:start w:val="1"/>
      <w:numFmt w:val="lowerLetter"/>
      <w:lvlText w:val="%2"/>
      <w:lvlJc w:val="left"/>
      <w:pPr>
        <w:ind w:left="1364"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2">
      <w:start w:val="1"/>
      <w:numFmt w:val="lowerRoman"/>
      <w:lvlText w:val="%3"/>
      <w:lvlJc w:val="left"/>
      <w:pPr>
        <w:ind w:left="2084"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3">
      <w:start w:val="1"/>
      <w:numFmt w:val="decimal"/>
      <w:lvlText w:val="%4"/>
      <w:lvlJc w:val="left"/>
      <w:pPr>
        <w:ind w:left="2804"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4">
      <w:start w:val="1"/>
      <w:numFmt w:val="lowerLetter"/>
      <w:lvlText w:val="%5"/>
      <w:lvlJc w:val="left"/>
      <w:pPr>
        <w:ind w:left="3524"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5">
      <w:start w:val="1"/>
      <w:numFmt w:val="lowerRoman"/>
      <w:lvlText w:val="%6"/>
      <w:lvlJc w:val="left"/>
      <w:pPr>
        <w:ind w:left="4244"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6">
      <w:start w:val="1"/>
      <w:numFmt w:val="decimal"/>
      <w:lvlText w:val="%7"/>
      <w:lvlJc w:val="left"/>
      <w:pPr>
        <w:ind w:left="4964"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7">
      <w:start w:val="1"/>
      <w:numFmt w:val="lowerLetter"/>
      <w:lvlText w:val="%8"/>
      <w:lvlJc w:val="left"/>
      <w:pPr>
        <w:ind w:left="5684"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8">
      <w:start w:val="1"/>
      <w:numFmt w:val="lowerRoman"/>
      <w:lvlText w:val="%9"/>
      <w:lvlJc w:val="left"/>
      <w:pPr>
        <w:ind w:left="6404"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abstractNum>
  <w:abstractNum w:abstractNumId="75" w15:restartNumberingAfterBreak="0">
    <w:nsid w:val="51685478"/>
    <w:multiLevelType w:val="multilevel"/>
    <w:tmpl w:val="ACF24688"/>
    <w:lvl w:ilvl="0">
      <w:start w:val="1"/>
      <w:numFmt w:val="upperLetter"/>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6" w15:restartNumberingAfterBreak="0">
    <w:nsid w:val="534B2C60"/>
    <w:multiLevelType w:val="multilevel"/>
    <w:tmpl w:val="4F829942"/>
    <w:lvl w:ilvl="0">
      <w:numFmt w:val="bullet"/>
      <w:lvlText w:val="•"/>
      <w:lvlJc w:val="left"/>
      <w:pPr>
        <w:ind w:left="269"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1">
      <w:numFmt w:val="bullet"/>
      <w:lvlText w:val="o"/>
      <w:lvlJc w:val="left"/>
      <w:pPr>
        <w:ind w:left="1693"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2">
      <w:numFmt w:val="bullet"/>
      <w:lvlText w:val="▪"/>
      <w:lvlJc w:val="left"/>
      <w:pPr>
        <w:ind w:left="2413"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3">
      <w:numFmt w:val="bullet"/>
      <w:lvlText w:val="•"/>
      <w:lvlJc w:val="left"/>
      <w:pPr>
        <w:ind w:left="3133"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4">
      <w:numFmt w:val="bullet"/>
      <w:lvlText w:val="o"/>
      <w:lvlJc w:val="left"/>
      <w:pPr>
        <w:ind w:left="3853"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5">
      <w:numFmt w:val="bullet"/>
      <w:lvlText w:val="▪"/>
      <w:lvlJc w:val="left"/>
      <w:pPr>
        <w:ind w:left="4573"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6">
      <w:numFmt w:val="bullet"/>
      <w:lvlText w:val="•"/>
      <w:lvlJc w:val="left"/>
      <w:pPr>
        <w:ind w:left="5293"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7">
      <w:numFmt w:val="bullet"/>
      <w:lvlText w:val="o"/>
      <w:lvlJc w:val="left"/>
      <w:pPr>
        <w:ind w:left="6013"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8">
      <w:numFmt w:val="bullet"/>
      <w:lvlText w:val="▪"/>
      <w:lvlJc w:val="left"/>
      <w:pPr>
        <w:ind w:left="6733"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abstractNum>
  <w:abstractNum w:abstractNumId="77" w15:restartNumberingAfterBreak="0">
    <w:nsid w:val="59A66E77"/>
    <w:multiLevelType w:val="multilevel"/>
    <w:tmpl w:val="54C23264"/>
    <w:lvl w:ilvl="0">
      <w:start w:val="3"/>
      <w:numFmt w:val="decimal"/>
      <w:lvlText w:val="%1."/>
      <w:lvlJc w:val="left"/>
      <w:rPr>
        <w:rFonts w:ascii="Calibri" w:eastAsia="Calibri" w:hAnsi="Calibri" w:cs="Calibri"/>
        <w:b w:val="0"/>
        <w:i/>
        <w:iCs/>
        <w:strike w:val="0"/>
        <w:dstrike w:val="0"/>
        <w:color w:val="000000"/>
        <w:position w:val="0"/>
        <w:sz w:val="22"/>
        <w:szCs w:val="22"/>
        <w:u w:val="none" w:color="000000"/>
        <w:shd w:val="clear" w:color="auto" w:fill="auto"/>
        <w:vertAlign w:val="baseline"/>
      </w:rPr>
    </w:lvl>
    <w:lvl w:ilvl="1">
      <w:start w:val="1"/>
      <w:numFmt w:val="lowerLetter"/>
      <w:lvlText w:val="%2"/>
      <w:lvlJc w:val="left"/>
      <w:pPr>
        <w:ind w:left="144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2">
      <w:start w:val="1"/>
      <w:numFmt w:val="lowerRoman"/>
      <w:lvlText w:val="%3"/>
      <w:lvlJc w:val="left"/>
      <w:pPr>
        <w:ind w:left="216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3">
      <w:start w:val="1"/>
      <w:numFmt w:val="decimal"/>
      <w:lvlText w:val="%4"/>
      <w:lvlJc w:val="left"/>
      <w:pPr>
        <w:ind w:left="288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4">
      <w:start w:val="1"/>
      <w:numFmt w:val="lowerLetter"/>
      <w:lvlText w:val="%5"/>
      <w:lvlJc w:val="left"/>
      <w:pPr>
        <w:ind w:left="360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5">
      <w:start w:val="1"/>
      <w:numFmt w:val="lowerRoman"/>
      <w:lvlText w:val="%6"/>
      <w:lvlJc w:val="left"/>
      <w:pPr>
        <w:ind w:left="432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6">
      <w:start w:val="1"/>
      <w:numFmt w:val="decimal"/>
      <w:lvlText w:val="%7"/>
      <w:lvlJc w:val="left"/>
      <w:pPr>
        <w:ind w:left="504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7">
      <w:start w:val="1"/>
      <w:numFmt w:val="lowerLetter"/>
      <w:lvlText w:val="%8"/>
      <w:lvlJc w:val="left"/>
      <w:pPr>
        <w:ind w:left="576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8">
      <w:start w:val="1"/>
      <w:numFmt w:val="lowerRoman"/>
      <w:lvlText w:val="%9"/>
      <w:lvlJc w:val="left"/>
      <w:pPr>
        <w:ind w:left="648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abstractNum>
  <w:abstractNum w:abstractNumId="78" w15:restartNumberingAfterBreak="0">
    <w:nsid w:val="59D93128"/>
    <w:multiLevelType w:val="multilevel"/>
    <w:tmpl w:val="F5A691B6"/>
    <w:lvl w:ilvl="0">
      <w:start w:val="1"/>
      <w:numFmt w:val="decimal"/>
      <w:lvlText w:val="%1."/>
      <w:lvlJc w:val="left"/>
      <w:pPr>
        <w:ind w:left="269" w:firstLine="0"/>
      </w:pPr>
      <w:rPr>
        <w:rFonts w:ascii="Calibri" w:eastAsia="Calibri" w:hAnsi="Calibri" w:cs="Calibri"/>
        <w:b/>
        <w:bCs/>
        <w:i w:val="0"/>
        <w:strike w:val="0"/>
        <w:dstrike w:val="0"/>
        <w:color w:val="000000"/>
        <w:position w:val="0"/>
        <w:sz w:val="22"/>
        <w:szCs w:val="22"/>
        <w:u w:val="none" w:color="000000"/>
        <w:shd w:val="clear" w:color="auto" w:fill="auto"/>
        <w:vertAlign w:val="baseline"/>
      </w:rPr>
    </w:lvl>
    <w:lvl w:ilvl="1">
      <w:start w:val="1"/>
      <w:numFmt w:val="lowerLetter"/>
      <w:lvlText w:val="%2"/>
      <w:lvlJc w:val="left"/>
      <w:pPr>
        <w:ind w:left="1646" w:firstLine="0"/>
      </w:pPr>
      <w:rPr>
        <w:rFonts w:ascii="Calibri" w:eastAsia="Calibri" w:hAnsi="Calibri" w:cs="Calibri"/>
        <w:b/>
        <w:bCs/>
        <w:i w:val="0"/>
        <w:strike w:val="0"/>
        <w:dstrike w:val="0"/>
        <w:color w:val="000000"/>
        <w:position w:val="0"/>
        <w:sz w:val="22"/>
        <w:szCs w:val="22"/>
        <w:u w:val="none" w:color="000000"/>
        <w:shd w:val="clear" w:color="auto" w:fill="auto"/>
        <w:vertAlign w:val="baseline"/>
      </w:rPr>
    </w:lvl>
    <w:lvl w:ilvl="2">
      <w:start w:val="1"/>
      <w:numFmt w:val="lowerRoman"/>
      <w:lvlText w:val="%3"/>
      <w:lvlJc w:val="left"/>
      <w:pPr>
        <w:ind w:left="2366" w:firstLine="0"/>
      </w:pPr>
      <w:rPr>
        <w:rFonts w:ascii="Calibri" w:eastAsia="Calibri" w:hAnsi="Calibri" w:cs="Calibri"/>
        <w:b/>
        <w:bCs/>
        <w:i w:val="0"/>
        <w:strike w:val="0"/>
        <w:dstrike w:val="0"/>
        <w:color w:val="000000"/>
        <w:position w:val="0"/>
        <w:sz w:val="22"/>
        <w:szCs w:val="22"/>
        <w:u w:val="none" w:color="000000"/>
        <w:shd w:val="clear" w:color="auto" w:fill="auto"/>
        <w:vertAlign w:val="baseline"/>
      </w:rPr>
    </w:lvl>
    <w:lvl w:ilvl="3">
      <w:start w:val="1"/>
      <w:numFmt w:val="decimal"/>
      <w:lvlText w:val="%4"/>
      <w:lvlJc w:val="left"/>
      <w:pPr>
        <w:ind w:left="3086" w:firstLine="0"/>
      </w:pPr>
      <w:rPr>
        <w:rFonts w:ascii="Calibri" w:eastAsia="Calibri" w:hAnsi="Calibri" w:cs="Calibri"/>
        <w:b/>
        <w:bCs/>
        <w:i w:val="0"/>
        <w:strike w:val="0"/>
        <w:dstrike w:val="0"/>
        <w:color w:val="000000"/>
        <w:position w:val="0"/>
        <w:sz w:val="22"/>
        <w:szCs w:val="22"/>
        <w:u w:val="none" w:color="000000"/>
        <w:shd w:val="clear" w:color="auto" w:fill="auto"/>
        <w:vertAlign w:val="baseline"/>
      </w:rPr>
    </w:lvl>
    <w:lvl w:ilvl="4">
      <w:start w:val="1"/>
      <w:numFmt w:val="lowerLetter"/>
      <w:lvlText w:val="%5"/>
      <w:lvlJc w:val="left"/>
      <w:pPr>
        <w:ind w:left="3806" w:firstLine="0"/>
      </w:pPr>
      <w:rPr>
        <w:rFonts w:ascii="Calibri" w:eastAsia="Calibri" w:hAnsi="Calibri" w:cs="Calibri"/>
        <w:b/>
        <w:bCs/>
        <w:i w:val="0"/>
        <w:strike w:val="0"/>
        <w:dstrike w:val="0"/>
        <w:color w:val="000000"/>
        <w:position w:val="0"/>
        <w:sz w:val="22"/>
        <w:szCs w:val="22"/>
        <w:u w:val="none" w:color="000000"/>
        <w:shd w:val="clear" w:color="auto" w:fill="auto"/>
        <w:vertAlign w:val="baseline"/>
      </w:rPr>
    </w:lvl>
    <w:lvl w:ilvl="5">
      <w:start w:val="1"/>
      <w:numFmt w:val="lowerRoman"/>
      <w:lvlText w:val="%6"/>
      <w:lvlJc w:val="left"/>
      <w:pPr>
        <w:ind w:left="4526" w:firstLine="0"/>
      </w:pPr>
      <w:rPr>
        <w:rFonts w:ascii="Calibri" w:eastAsia="Calibri" w:hAnsi="Calibri" w:cs="Calibri"/>
        <w:b/>
        <w:bCs/>
        <w:i w:val="0"/>
        <w:strike w:val="0"/>
        <w:dstrike w:val="0"/>
        <w:color w:val="000000"/>
        <w:position w:val="0"/>
        <w:sz w:val="22"/>
        <w:szCs w:val="22"/>
        <w:u w:val="none" w:color="000000"/>
        <w:shd w:val="clear" w:color="auto" w:fill="auto"/>
        <w:vertAlign w:val="baseline"/>
      </w:rPr>
    </w:lvl>
    <w:lvl w:ilvl="6">
      <w:start w:val="1"/>
      <w:numFmt w:val="decimal"/>
      <w:lvlText w:val="%7"/>
      <w:lvlJc w:val="left"/>
      <w:pPr>
        <w:ind w:left="5246" w:firstLine="0"/>
      </w:pPr>
      <w:rPr>
        <w:rFonts w:ascii="Calibri" w:eastAsia="Calibri" w:hAnsi="Calibri" w:cs="Calibri"/>
        <w:b/>
        <w:bCs/>
        <w:i w:val="0"/>
        <w:strike w:val="0"/>
        <w:dstrike w:val="0"/>
        <w:color w:val="000000"/>
        <w:position w:val="0"/>
        <w:sz w:val="22"/>
        <w:szCs w:val="22"/>
        <w:u w:val="none" w:color="000000"/>
        <w:shd w:val="clear" w:color="auto" w:fill="auto"/>
        <w:vertAlign w:val="baseline"/>
      </w:rPr>
    </w:lvl>
    <w:lvl w:ilvl="7">
      <w:start w:val="1"/>
      <w:numFmt w:val="lowerLetter"/>
      <w:lvlText w:val="%8"/>
      <w:lvlJc w:val="left"/>
      <w:pPr>
        <w:ind w:left="5966" w:firstLine="0"/>
      </w:pPr>
      <w:rPr>
        <w:rFonts w:ascii="Calibri" w:eastAsia="Calibri" w:hAnsi="Calibri" w:cs="Calibri"/>
        <w:b/>
        <w:bCs/>
        <w:i w:val="0"/>
        <w:strike w:val="0"/>
        <w:dstrike w:val="0"/>
        <w:color w:val="000000"/>
        <w:position w:val="0"/>
        <w:sz w:val="22"/>
        <w:szCs w:val="22"/>
        <w:u w:val="none" w:color="000000"/>
        <w:shd w:val="clear" w:color="auto" w:fill="auto"/>
        <w:vertAlign w:val="baseline"/>
      </w:rPr>
    </w:lvl>
    <w:lvl w:ilvl="8">
      <w:start w:val="1"/>
      <w:numFmt w:val="lowerRoman"/>
      <w:lvlText w:val="%9"/>
      <w:lvlJc w:val="left"/>
      <w:pPr>
        <w:ind w:left="6686" w:firstLine="0"/>
      </w:pPr>
      <w:rPr>
        <w:rFonts w:ascii="Calibri" w:eastAsia="Calibri" w:hAnsi="Calibri" w:cs="Calibri"/>
        <w:b/>
        <w:bCs/>
        <w:i w:val="0"/>
        <w:strike w:val="0"/>
        <w:dstrike w:val="0"/>
        <w:color w:val="000000"/>
        <w:position w:val="0"/>
        <w:sz w:val="22"/>
        <w:szCs w:val="22"/>
        <w:u w:val="none" w:color="000000"/>
        <w:shd w:val="clear" w:color="auto" w:fill="auto"/>
        <w:vertAlign w:val="baseline"/>
      </w:rPr>
    </w:lvl>
  </w:abstractNum>
  <w:abstractNum w:abstractNumId="79" w15:restartNumberingAfterBreak="0">
    <w:nsid w:val="5A5D65BB"/>
    <w:multiLevelType w:val="multilevel"/>
    <w:tmpl w:val="E844059C"/>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0" w15:restartNumberingAfterBreak="0">
    <w:nsid w:val="5A762A66"/>
    <w:multiLevelType w:val="multilevel"/>
    <w:tmpl w:val="77486D2C"/>
    <w:lvl w:ilvl="0">
      <w:start w:val="1"/>
      <w:numFmt w:val="decimal"/>
      <w:lvlText w:val="%1."/>
      <w:lvlJc w:val="left"/>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1">
      <w:start w:val="1"/>
      <w:numFmt w:val="lowerLetter"/>
      <w:lvlText w:val="%2"/>
      <w:lvlJc w:val="left"/>
      <w:pPr>
        <w:ind w:left="1440"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2">
      <w:start w:val="1"/>
      <w:numFmt w:val="lowerRoman"/>
      <w:lvlText w:val="%3"/>
      <w:lvlJc w:val="left"/>
      <w:pPr>
        <w:ind w:left="2160"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3">
      <w:start w:val="1"/>
      <w:numFmt w:val="decimal"/>
      <w:lvlText w:val="%4"/>
      <w:lvlJc w:val="left"/>
      <w:pPr>
        <w:ind w:left="2880"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4">
      <w:start w:val="1"/>
      <w:numFmt w:val="lowerLetter"/>
      <w:lvlText w:val="%5"/>
      <w:lvlJc w:val="left"/>
      <w:pPr>
        <w:ind w:left="3600"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5">
      <w:start w:val="1"/>
      <w:numFmt w:val="lowerRoman"/>
      <w:lvlText w:val="%6"/>
      <w:lvlJc w:val="left"/>
      <w:pPr>
        <w:ind w:left="4320"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6">
      <w:start w:val="1"/>
      <w:numFmt w:val="decimal"/>
      <w:lvlText w:val="%7"/>
      <w:lvlJc w:val="left"/>
      <w:pPr>
        <w:ind w:left="5040"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7">
      <w:start w:val="1"/>
      <w:numFmt w:val="lowerLetter"/>
      <w:lvlText w:val="%8"/>
      <w:lvlJc w:val="left"/>
      <w:pPr>
        <w:ind w:left="5760"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8">
      <w:start w:val="1"/>
      <w:numFmt w:val="lowerRoman"/>
      <w:lvlText w:val="%9"/>
      <w:lvlJc w:val="left"/>
      <w:pPr>
        <w:ind w:left="6480"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abstractNum>
  <w:abstractNum w:abstractNumId="81" w15:restartNumberingAfterBreak="0">
    <w:nsid w:val="5A855D54"/>
    <w:multiLevelType w:val="multilevel"/>
    <w:tmpl w:val="3962AFBC"/>
    <w:lvl w:ilvl="0">
      <w:start w:val="1"/>
      <w:numFmt w:val="decimal"/>
      <w:lvlText w:val="%1."/>
      <w:lvlJc w:val="left"/>
      <w:pPr>
        <w:ind w:left="711"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1">
      <w:start w:val="1"/>
      <w:numFmt w:val="lowerLetter"/>
      <w:lvlText w:val="%2"/>
      <w:lvlJc w:val="left"/>
      <w:pPr>
        <w:ind w:left="1080"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2">
      <w:start w:val="1"/>
      <w:numFmt w:val="lowerRoman"/>
      <w:lvlText w:val="%3"/>
      <w:lvlJc w:val="left"/>
      <w:pPr>
        <w:ind w:left="1800"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3">
      <w:start w:val="1"/>
      <w:numFmt w:val="decimal"/>
      <w:lvlText w:val="%4"/>
      <w:lvlJc w:val="left"/>
      <w:pPr>
        <w:ind w:left="2520"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4">
      <w:start w:val="1"/>
      <w:numFmt w:val="lowerLetter"/>
      <w:lvlText w:val="%5"/>
      <w:lvlJc w:val="left"/>
      <w:pPr>
        <w:ind w:left="3240"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5">
      <w:start w:val="1"/>
      <w:numFmt w:val="lowerRoman"/>
      <w:lvlText w:val="%6"/>
      <w:lvlJc w:val="left"/>
      <w:pPr>
        <w:ind w:left="3960"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6">
      <w:start w:val="1"/>
      <w:numFmt w:val="decimal"/>
      <w:lvlText w:val="%7"/>
      <w:lvlJc w:val="left"/>
      <w:pPr>
        <w:ind w:left="4680"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7">
      <w:start w:val="1"/>
      <w:numFmt w:val="lowerLetter"/>
      <w:lvlText w:val="%8"/>
      <w:lvlJc w:val="left"/>
      <w:pPr>
        <w:ind w:left="5400"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8">
      <w:start w:val="1"/>
      <w:numFmt w:val="lowerRoman"/>
      <w:lvlText w:val="%9"/>
      <w:lvlJc w:val="left"/>
      <w:pPr>
        <w:ind w:left="6120"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abstractNum>
  <w:abstractNum w:abstractNumId="82" w15:restartNumberingAfterBreak="0">
    <w:nsid w:val="5ADF72A1"/>
    <w:multiLevelType w:val="multilevel"/>
    <w:tmpl w:val="AE187AC6"/>
    <w:lvl w:ilvl="0">
      <w:start w:val="1"/>
      <w:numFmt w:val="decimal"/>
      <w:lvlText w:val="%1."/>
      <w:lvlJc w:val="left"/>
      <w:pPr>
        <w:ind w:left="705"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1">
      <w:start w:val="1"/>
      <w:numFmt w:val="lowerLetter"/>
      <w:lvlText w:val="%2"/>
      <w:lvlJc w:val="left"/>
      <w:pPr>
        <w:ind w:left="1440"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2">
      <w:start w:val="1"/>
      <w:numFmt w:val="lowerRoman"/>
      <w:lvlText w:val="%3"/>
      <w:lvlJc w:val="left"/>
      <w:pPr>
        <w:ind w:left="2160"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3">
      <w:start w:val="1"/>
      <w:numFmt w:val="decimal"/>
      <w:lvlText w:val="%4"/>
      <w:lvlJc w:val="left"/>
      <w:pPr>
        <w:ind w:left="2880"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4">
      <w:start w:val="1"/>
      <w:numFmt w:val="lowerLetter"/>
      <w:lvlText w:val="%5"/>
      <w:lvlJc w:val="left"/>
      <w:pPr>
        <w:ind w:left="3600"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5">
      <w:start w:val="1"/>
      <w:numFmt w:val="lowerRoman"/>
      <w:lvlText w:val="%6"/>
      <w:lvlJc w:val="left"/>
      <w:pPr>
        <w:ind w:left="4320"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6">
      <w:start w:val="1"/>
      <w:numFmt w:val="decimal"/>
      <w:lvlText w:val="%7"/>
      <w:lvlJc w:val="left"/>
      <w:pPr>
        <w:ind w:left="5040"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7">
      <w:start w:val="1"/>
      <w:numFmt w:val="lowerLetter"/>
      <w:lvlText w:val="%8"/>
      <w:lvlJc w:val="left"/>
      <w:pPr>
        <w:ind w:left="5760"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8">
      <w:start w:val="1"/>
      <w:numFmt w:val="lowerRoman"/>
      <w:lvlText w:val="%9"/>
      <w:lvlJc w:val="left"/>
      <w:pPr>
        <w:ind w:left="6480"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abstractNum>
  <w:abstractNum w:abstractNumId="83" w15:restartNumberingAfterBreak="0">
    <w:nsid w:val="5AFC387E"/>
    <w:multiLevelType w:val="multilevel"/>
    <w:tmpl w:val="EB8299BA"/>
    <w:lvl w:ilvl="0">
      <w:numFmt w:val="bullet"/>
      <w:lvlText w:val=""/>
      <w:lvlJc w:val="left"/>
      <w:pPr>
        <w:ind w:left="720" w:hanging="360"/>
      </w:pPr>
      <w:rPr>
        <w:rFonts w:ascii="Symbol" w:hAnsi="Symbol" w:cs="Symbol"/>
      </w:rPr>
    </w:lvl>
    <w:lvl w:ilvl="1">
      <w:numFmt w:val="bullet"/>
      <w:lvlText w:val=""/>
      <w:lvlJc w:val="left"/>
      <w:pPr>
        <w:ind w:left="1080" w:hanging="360"/>
      </w:pPr>
      <w:rPr>
        <w:rFonts w:ascii="Symbol" w:hAnsi="Symbol" w:cs="Symbol"/>
      </w:rPr>
    </w:lvl>
    <w:lvl w:ilvl="2">
      <w:numFmt w:val="bullet"/>
      <w:lvlText w:val=""/>
      <w:lvlJc w:val="left"/>
      <w:pPr>
        <w:ind w:left="1440" w:hanging="360"/>
      </w:pPr>
      <w:rPr>
        <w:rFonts w:ascii="Symbol" w:hAnsi="Symbol" w:cs="Symbol"/>
      </w:rPr>
    </w:lvl>
    <w:lvl w:ilvl="3">
      <w:numFmt w:val="bullet"/>
      <w:lvlText w:val=""/>
      <w:lvlJc w:val="left"/>
      <w:pPr>
        <w:ind w:left="1800" w:hanging="360"/>
      </w:pPr>
      <w:rPr>
        <w:rFonts w:ascii="Symbol" w:hAnsi="Symbol" w:cs="Symbol"/>
      </w:rPr>
    </w:lvl>
    <w:lvl w:ilvl="4">
      <w:numFmt w:val="bullet"/>
      <w:lvlText w:val=""/>
      <w:lvlJc w:val="left"/>
      <w:pPr>
        <w:ind w:left="2160" w:hanging="360"/>
      </w:pPr>
      <w:rPr>
        <w:rFonts w:ascii="Symbol" w:hAnsi="Symbol" w:cs="Symbol"/>
      </w:rPr>
    </w:lvl>
    <w:lvl w:ilvl="5">
      <w:numFmt w:val="bullet"/>
      <w:lvlText w:val=""/>
      <w:lvlJc w:val="left"/>
      <w:pPr>
        <w:ind w:left="2520" w:hanging="360"/>
      </w:pPr>
      <w:rPr>
        <w:rFonts w:ascii="Symbol" w:hAnsi="Symbol" w:cs="Symbol"/>
      </w:rPr>
    </w:lvl>
    <w:lvl w:ilvl="6">
      <w:numFmt w:val="bullet"/>
      <w:lvlText w:val=""/>
      <w:lvlJc w:val="left"/>
      <w:pPr>
        <w:ind w:left="2880" w:hanging="360"/>
      </w:pPr>
      <w:rPr>
        <w:rFonts w:ascii="Symbol" w:hAnsi="Symbol" w:cs="Symbol"/>
      </w:rPr>
    </w:lvl>
    <w:lvl w:ilvl="7">
      <w:numFmt w:val="bullet"/>
      <w:lvlText w:val=""/>
      <w:lvlJc w:val="left"/>
      <w:pPr>
        <w:ind w:left="3240" w:hanging="360"/>
      </w:pPr>
      <w:rPr>
        <w:rFonts w:ascii="Symbol" w:hAnsi="Symbol" w:cs="Symbol"/>
      </w:rPr>
    </w:lvl>
    <w:lvl w:ilvl="8">
      <w:numFmt w:val="bullet"/>
      <w:lvlText w:val=""/>
      <w:lvlJc w:val="left"/>
      <w:pPr>
        <w:ind w:left="3600" w:hanging="360"/>
      </w:pPr>
      <w:rPr>
        <w:rFonts w:ascii="Symbol" w:hAnsi="Symbol" w:cs="Symbol"/>
      </w:rPr>
    </w:lvl>
  </w:abstractNum>
  <w:abstractNum w:abstractNumId="84" w15:restartNumberingAfterBreak="0">
    <w:nsid w:val="5BE9345A"/>
    <w:multiLevelType w:val="multilevel"/>
    <w:tmpl w:val="263A093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5" w15:restartNumberingAfterBreak="0">
    <w:nsid w:val="5C1B5169"/>
    <w:multiLevelType w:val="multilevel"/>
    <w:tmpl w:val="C33A0ED2"/>
    <w:lvl w:ilvl="0">
      <w:start w:val="1"/>
      <w:numFmt w:val="lowerLetter"/>
      <w:lvlText w:val="%1)"/>
      <w:lvlJc w:val="left"/>
      <w:rPr>
        <w:rFonts w:ascii="Calibri" w:eastAsia="Calibri" w:hAnsi="Calibri" w:cs="Calibri"/>
        <w:b w:val="0"/>
        <w:i/>
        <w:iCs/>
        <w:strike w:val="0"/>
        <w:dstrike w:val="0"/>
        <w:color w:val="000000"/>
        <w:position w:val="0"/>
        <w:sz w:val="22"/>
        <w:szCs w:val="22"/>
        <w:u w:val="none" w:color="000000"/>
        <w:shd w:val="clear" w:color="auto" w:fill="auto"/>
        <w:vertAlign w:val="baseline"/>
      </w:rPr>
    </w:lvl>
    <w:lvl w:ilvl="1">
      <w:start w:val="1"/>
      <w:numFmt w:val="lowerLetter"/>
      <w:lvlText w:val="%2"/>
      <w:lvlJc w:val="left"/>
      <w:pPr>
        <w:ind w:left="144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2">
      <w:start w:val="1"/>
      <w:numFmt w:val="lowerRoman"/>
      <w:lvlText w:val="%3"/>
      <w:lvlJc w:val="left"/>
      <w:pPr>
        <w:ind w:left="216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3">
      <w:start w:val="1"/>
      <w:numFmt w:val="decimal"/>
      <w:lvlText w:val="%4"/>
      <w:lvlJc w:val="left"/>
      <w:pPr>
        <w:ind w:left="288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4">
      <w:start w:val="1"/>
      <w:numFmt w:val="lowerLetter"/>
      <w:lvlText w:val="%5"/>
      <w:lvlJc w:val="left"/>
      <w:pPr>
        <w:ind w:left="360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5">
      <w:start w:val="1"/>
      <w:numFmt w:val="lowerRoman"/>
      <w:lvlText w:val="%6"/>
      <w:lvlJc w:val="left"/>
      <w:pPr>
        <w:ind w:left="432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6">
      <w:start w:val="1"/>
      <w:numFmt w:val="decimal"/>
      <w:lvlText w:val="%7"/>
      <w:lvlJc w:val="left"/>
      <w:pPr>
        <w:ind w:left="504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7">
      <w:start w:val="1"/>
      <w:numFmt w:val="lowerLetter"/>
      <w:lvlText w:val="%8"/>
      <w:lvlJc w:val="left"/>
      <w:pPr>
        <w:ind w:left="576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8">
      <w:start w:val="1"/>
      <w:numFmt w:val="lowerRoman"/>
      <w:lvlText w:val="%9"/>
      <w:lvlJc w:val="left"/>
      <w:pPr>
        <w:ind w:left="648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abstractNum>
  <w:abstractNum w:abstractNumId="86" w15:restartNumberingAfterBreak="0">
    <w:nsid w:val="5CF266EA"/>
    <w:multiLevelType w:val="multilevel"/>
    <w:tmpl w:val="D8D4EDEA"/>
    <w:lvl w:ilvl="0">
      <w:start w:val="1"/>
      <w:numFmt w:val="lowerLetter"/>
      <w:lvlText w:val="%1)"/>
      <w:lvlJc w:val="left"/>
      <w:pPr>
        <w:ind w:left="10" w:firstLine="0"/>
      </w:pPr>
      <w:rPr>
        <w:rFonts w:ascii="Calibri" w:eastAsia="Calibri" w:hAnsi="Calibri" w:cs="Calibri"/>
        <w:b/>
        <w:bCs/>
        <w:i w:val="0"/>
        <w:strike w:val="0"/>
        <w:dstrike w:val="0"/>
        <w:color w:val="000000"/>
        <w:position w:val="0"/>
        <w:sz w:val="24"/>
        <w:szCs w:val="24"/>
        <w:u w:val="none" w:color="000000"/>
        <w:shd w:val="clear" w:color="auto" w:fill="auto"/>
        <w:vertAlign w:val="baseline"/>
      </w:rPr>
    </w:lvl>
    <w:lvl w:ilvl="1">
      <w:start w:val="1"/>
      <w:numFmt w:val="lowerLetter"/>
      <w:lvlText w:val="%2"/>
      <w:lvlJc w:val="left"/>
      <w:pPr>
        <w:ind w:left="1080" w:firstLine="0"/>
      </w:pPr>
      <w:rPr>
        <w:rFonts w:ascii="Calibri" w:eastAsia="Calibri" w:hAnsi="Calibri" w:cs="Calibri"/>
        <w:b/>
        <w:bCs/>
        <w:i w:val="0"/>
        <w:strike w:val="0"/>
        <w:dstrike w:val="0"/>
        <w:color w:val="000000"/>
        <w:position w:val="0"/>
        <w:sz w:val="24"/>
        <w:szCs w:val="24"/>
        <w:u w:val="none" w:color="000000"/>
        <w:shd w:val="clear" w:color="auto" w:fill="auto"/>
        <w:vertAlign w:val="baseline"/>
      </w:rPr>
    </w:lvl>
    <w:lvl w:ilvl="2">
      <w:start w:val="1"/>
      <w:numFmt w:val="lowerRoman"/>
      <w:lvlText w:val="%3"/>
      <w:lvlJc w:val="left"/>
      <w:pPr>
        <w:ind w:left="1800" w:firstLine="0"/>
      </w:pPr>
      <w:rPr>
        <w:rFonts w:ascii="Calibri" w:eastAsia="Calibri" w:hAnsi="Calibri" w:cs="Calibri"/>
        <w:b/>
        <w:bCs/>
        <w:i w:val="0"/>
        <w:strike w:val="0"/>
        <w:dstrike w:val="0"/>
        <w:color w:val="000000"/>
        <w:position w:val="0"/>
        <w:sz w:val="24"/>
        <w:szCs w:val="24"/>
        <w:u w:val="none" w:color="000000"/>
        <w:shd w:val="clear" w:color="auto" w:fill="auto"/>
        <w:vertAlign w:val="baseline"/>
      </w:rPr>
    </w:lvl>
    <w:lvl w:ilvl="3">
      <w:start w:val="1"/>
      <w:numFmt w:val="decimal"/>
      <w:lvlText w:val="%4"/>
      <w:lvlJc w:val="left"/>
      <w:pPr>
        <w:ind w:left="2520" w:firstLine="0"/>
      </w:pPr>
      <w:rPr>
        <w:rFonts w:ascii="Calibri" w:eastAsia="Calibri" w:hAnsi="Calibri" w:cs="Calibri"/>
        <w:b/>
        <w:bCs/>
        <w:i w:val="0"/>
        <w:strike w:val="0"/>
        <w:dstrike w:val="0"/>
        <w:color w:val="000000"/>
        <w:position w:val="0"/>
        <w:sz w:val="24"/>
        <w:szCs w:val="24"/>
        <w:u w:val="none" w:color="000000"/>
        <w:shd w:val="clear" w:color="auto" w:fill="auto"/>
        <w:vertAlign w:val="baseline"/>
      </w:rPr>
    </w:lvl>
    <w:lvl w:ilvl="4">
      <w:start w:val="1"/>
      <w:numFmt w:val="lowerLetter"/>
      <w:lvlText w:val="%5"/>
      <w:lvlJc w:val="left"/>
      <w:pPr>
        <w:ind w:left="3240" w:firstLine="0"/>
      </w:pPr>
      <w:rPr>
        <w:rFonts w:ascii="Calibri" w:eastAsia="Calibri" w:hAnsi="Calibri" w:cs="Calibri"/>
        <w:b/>
        <w:bCs/>
        <w:i w:val="0"/>
        <w:strike w:val="0"/>
        <w:dstrike w:val="0"/>
        <w:color w:val="000000"/>
        <w:position w:val="0"/>
        <w:sz w:val="24"/>
        <w:szCs w:val="24"/>
        <w:u w:val="none" w:color="000000"/>
        <w:shd w:val="clear" w:color="auto" w:fill="auto"/>
        <w:vertAlign w:val="baseline"/>
      </w:rPr>
    </w:lvl>
    <w:lvl w:ilvl="5">
      <w:start w:val="1"/>
      <w:numFmt w:val="lowerRoman"/>
      <w:lvlText w:val="%6"/>
      <w:lvlJc w:val="left"/>
      <w:pPr>
        <w:ind w:left="3960" w:firstLine="0"/>
      </w:pPr>
      <w:rPr>
        <w:rFonts w:ascii="Calibri" w:eastAsia="Calibri" w:hAnsi="Calibri" w:cs="Calibri"/>
        <w:b/>
        <w:bCs/>
        <w:i w:val="0"/>
        <w:strike w:val="0"/>
        <w:dstrike w:val="0"/>
        <w:color w:val="000000"/>
        <w:position w:val="0"/>
        <w:sz w:val="24"/>
        <w:szCs w:val="24"/>
        <w:u w:val="none" w:color="000000"/>
        <w:shd w:val="clear" w:color="auto" w:fill="auto"/>
        <w:vertAlign w:val="baseline"/>
      </w:rPr>
    </w:lvl>
    <w:lvl w:ilvl="6">
      <w:start w:val="1"/>
      <w:numFmt w:val="decimal"/>
      <w:lvlText w:val="%7"/>
      <w:lvlJc w:val="left"/>
      <w:pPr>
        <w:ind w:left="4680" w:firstLine="0"/>
      </w:pPr>
      <w:rPr>
        <w:rFonts w:ascii="Calibri" w:eastAsia="Calibri" w:hAnsi="Calibri" w:cs="Calibri"/>
        <w:b/>
        <w:bCs/>
        <w:i w:val="0"/>
        <w:strike w:val="0"/>
        <w:dstrike w:val="0"/>
        <w:color w:val="000000"/>
        <w:position w:val="0"/>
        <w:sz w:val="24"/>
        <w:szCs w:val="24"/>
        <w:u w:val="none" w:color="000000"/>
        <w:shd w:val="clear" w:color="auto" w:fill="auto"/>
        <w:vertAlign w:val="baseline"/>
      </w:rPr>
    </w:lvl>
    <w:lvl w:ilvl="7">
      <w:start w:val="1"/>
      <w:numFmt w:val="lowerLetter"/>
      <w:lvlText w:val="%8"/>
      <w:lvlJc w:val="left"/>
      <w:pPr>
        <w:ind w:left="5400" w:firstLine="0"/>
      </w:pPr>
      <w:rPr>
        <w:rFonts w:ascii="Calibri" w:eastAsia="Calibri" w:hAnsi="Calibri" w:cs="Calibri"/>
        <w:b/>
        <w:bCs/>
        <w:i w:val="0"/>
        <w:strike w:val="0"/>
        <w:dstrike w:val="0"/>
        <w:color w:val="000000"/>
        <w:position w:val="0"/>
        <w:sz w:val="24"/>
        <w:szCs w:val="24"/>
        <w:u w:val="none" w:color="000000"/>
        <w:shd w:val="clear" w:color="auto" w:fill="auto"/>
        <w:vertAlign w:val="baseline"/>
      </w:rPr>
    </w:lvl>
    <w:lvl w:ilvl="8">
      <w:start w:val="1"/>
      <w:numFmt w:val="lowerRoman"/>
      <w:lvlText w:val="%9"/>
      <w:lvlJc w:val="left"/>
      <w:pPr>
        <w:ind w:left="6120" w:firstLine="0"/>
      </w:pPr>
      <w:rPr>
        <w:rFonts w:ascii="Calibri" w:eastAsia="Calibri" w:hAnsi="Calibri" w:cs="Calibri"/>
        <w:b/>
        <w:bCs/>
        <w:i w:val="0"/>
        <w:strike w:val="0"/>
        <w:dstrike w:val="0"/>
        <w:color w:val="000000"/>
        <w:position w:val="0"/>
        <w:sz w:val="24"/>
        <w:szCs w:val="24"/>
        <w:u w:val="none" w:color="000000"/>
        <w:shd w:val="clear" w:color="auto" w:fill="auto"/>
        <w:vertAlign w:val="baseline"/>
      </w:rPr>
    </w:lvl>
  </w:abstractNum>
  <w:abstractNum w:abstractNumId="87" w15:restartNumberingAfterBreak="0">
    <w:nsid w:val="5D874C8D"/>
    <w:multiLevelType w:val="multilevel"/>
    <w:tmpl w:val="E1C6F340"/>
    <w:lvl w:ilvl="0">
      <w:start w:val="1"/>
      <w:numFmt w:val="decimal"/>
      <w:lvlText w:val="%1."/>
      <w:lvlJc w:val="left"/>
      <w:pPr>
        <w:ind w:left="566" w:firstLine="0"/>
      </w:pPr>
      <w:rPr>
        <w:rFonts w:ascii="Arial" w:eastAsia="Calibri" w:hAnsi="Arial" w:cs="Arial"/>
        <w:b/>
        <w:i w:val="0"/>
        <w:strike w:val="0"/>
        <w:dstrike w:val="0"/>
        <w:color w:val="000000"/>
        <w:position w:val="0"/>
        <w:sz w:val="22"/>
        <w:szCs w:val="22"/>
        <w:u w:val="none" w:color="000000"/>
        <w:shd w:val="clear" w:color="auto" w:fill="auto"/>
        <w:vertAlign w:val="baseline"/>
      </w:rPr>
    </w:lvl>
    <w:lvl w:ilvl="1">
      <w:start w:val="1"/>
      <w:numFmt w:val="lowerLetter"/>
      <w:lvlText w:val="%2"/>
      <w:lvlJc w:val="left"/>
      <w:pPr>
        <w:ind w:left="1234"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2">
      <w:start w:val="1"/>
      <w:numFmt w:val="lowerRoman"/>
      <w:lvlText w:val="%3"/>
      <w:lvlJc w:val="left"/>
      <w:pPr>
        <w:ind w:left="1954"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3">
      <w:start w:val="1"/>
      <w:numFmt w:val="decimal"/>
      <w:lvlText w:val="%4"/>
      <w:lvlJc w:val="left"/>
      <w:pPr>
        <w:ind w:left="2674"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4">
      <w:start w:val="1"/>
      <w:numFmt w:val="lowerLetter"/>
      <w:lvlText w:val="%5"/>
      <w:lvlJc w:val="left"/>
      <w:pPr>
        <w:ind w:left="3394"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5">
      <w:start w:val="1"/>
      <w:numFmt w:val="lowerRoman"/>
      <w:lvlText w:val="%6"/>
      <w:lvlJc w:val="left"/>
      <w:pPr>
        <w:ind w:left="4114"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6">
      <w:start w:val="1"/>
      <w:numFmt w:val="decimal"/>
      <w:lvlText w:val="%7"/>
      <w:lvlJc w:val="left"/>
      <w:pPr>
        <w:ind w:left="4834"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7">
      <w:start w:val="1"/>
      <w:numFmt w:val="lowerLetter"/>
      <w:lvlText w:val="%8"/>
      <w:lvlJc w:val="left"/>
      <w:pPr>
        <w:ind w:left="5554"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8">
      <w:start w:val="1"/>
      <w:numFmt w:val="lowerRoman"/>
      <w:lvlText w:val="%9"/>
      <w:lvlJc w:val="left"/>
      <w:pPr>
        <w:ind w:left="6274"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abstractNum>
  <w:abstractNum w:abstractNumId="88" w15:restartNumberingAfterBreak="0">
    <w:nsid w:val="5DC519D5"/>
    <w:multiLevelType w:val="multilevel"/>
    <w:tmpl w:val="6C103E02"/>
    <w:lvl w:ilvl="0">
      <w:numFmt w:val="bullet"/>
      <w:lvlText w:val="-"/>
      <w:lvlJc w:val="left"/>
      <w:pPr>
        <w:ind w:left="720" w:hanging="360"/>
      </w:pPr>
      <w:rPr>
        <w:rFonts w:ascii="Arial" w:eastAsia="DejaVu Sans" w:hAnsi="Arial" w:cs="Aria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89" w15:restartNumberingAfterBreak="0">
    <w:nsid w:val="5E6D347B"/>
    <w:multiLevelType w:val="multilevel"/>
    <w:tmpl w:val="0A54958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0" w15:restartNumberingAfterBreak="0">
    <w:nsid w:val="5F644F50"/>
    <w:multiLevelType w:val="multilevel"/>
    <w:tmpl w:val="06CE8582"/>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1" w15:restartNumberingAfterBreak="0">
    <w:nsid w:val="638B174F"/>
    <w:multiLevelType w:val="multilevel"/>
    <w:tmpl w:val="F2BE1FD0"/>
    <w:lvl w:ilvl="0">
      <w:numFmt w:val="bullet"/>
      <w:lvlText w:val="-"/>
      <w:lvlJc w:val="left"/>
      <w:pPr>
        <w:ind w:left="360"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1">
      <w:start w:val="1"/>
      <w:numFmt w:val="decimal"/>
      <w:lvlText w:val="%2."/>
      <w:lvlJc w:val="left"/>
      <w:pPr>
        <w:ind w:left="640" w:firstLine="0"/>
      </w:pPr>
      <w:rPr>
        <w:rFonts w:ascii="Arial" w:eastAsia="Arial" w:hAnsi="Arial" w:cs="Arial"/>
        <w:b w:val="0"/>
        <w:i w:val="0"/>
        <w:strike w:val="0"/>
        <w:dstrike w:val="0"/>
        <w:color w:val="000000"/>
        <w:position w:val="0"/>
        <w:sz w:val="24"/>
        <w:szCs w:val="24"/>
        <w:u w:val="none" w:color="000000"/>
        <w:shd w:val="clear" w:color="auto" w:fill="auto"/>
        <w:vertAlign w:val="baseline"/>
      </w:rPr>
    </w:lvl>
    <w:lvl w:ilvl="2">
      <w:start w:val="1"/>
      <w:numFmt w:val="lowerRoman"/>
      <w:lvlText w:val="%3"/>
      <w:lvlJc w:val="left"/>
      <w:pPr>
        <w:ind w:left="1440" w:firstLine="0"/>
      </w:pPr>
      <w:rPr>
        <w:rFonts w:ascii="Arial" w:eastAsia="Arial" w:hAnsi="Arial" w:cs="Arial"/>
        <w:b w:val="0"/>
        <w:i w:val="0"/>
        <w:strike w:val="0"/>
        <w:dstrike w:val="0"/>
        <w:color w:val="000000"/>
        <w:position w:val="0"/>
        <w:sz w:val="24"/>
        <w:szCs w:val="24"/>
        <w:u w:val="none" w:color="000000"/>
        <w:shd w:val="clear" w:color="auto" w:fill="auto"/>
        <w:vertAlign w:val="baseline"/>
      </w:rPr>
    </w:lvl>
    <w:lvl w:ilvl="3">
      <w:start w:val="1"/>
      <w:numFmt w:val="decimal"/>
      <w:lvlText w:val="%4"/>
      <w:lvlJc w:val="left"/>
      <w:pPr>
        <w:ind w:left="2160" w:firstLine="0"/>
      </w:pPr>
      <w:rPr>
        <w:rFonts w:ascii="Arial" w:eastAsia="Arial" w:hAnsi="Arial" w:cs="Arial"/>
        <w:b w:val="0"/>
        <w:i w:val="0"/>
        <w:strike w:val="0"/>
        <w:dstrike w:val="0"/>
        <w:color w:val="000000"/>
        <w:position w:val="0"/>
        <w:sz w:val="24"/>
        <w:szCs w:val="24"/>
        <w:u w:val="none" w:color="000000"/>
        <w:shd w:val="clear" w:color="auto" w:fill="auto"/>
        <w:vertAlign w:val="baseline"/>
      </w:rPr>
    </w:lvl>
    <w:lvl w:ilvl="4">
      <w:start w:val="1"/>
      <w:numFmt w:val="lowerLetter"/>
      <w:lvlText w:val="%5"/>
      <w:lvlJc w:val="left"/>
      <w:pPr>
        <w:ind w:left="2880" w:firstLine="0"/>
      </w:pPr>
      <w:rPr>
        <w:rFonts w:ascii="Arial" w:eastAsia="Arial" w:hAnsi="Arial" w:cs="Arial"/>
        <w:b w:val="0"/>
        <w:i w:val="0"/>
        <w:strike w:val="0"/>
        <w:dstrike w:val="0"/>
        <w:color w:val="000000"/>
        <w:position w:val="0"/>
        <w:sz w:val="24"/>
        <w:szCs w:val="24"/>
        <w:u w:val="none" w:color="000000"/>
        <w:shd w:val="clear" w:color="auto" w:fill="auto"/>
        <w:vertAlign w:val="baseline"/>
      </w:rPr>
    </w:lvl>
    <w:lvl w:ilvl="5">
      <w:start w:val="1"/>
      <w:numFmt w:val="lowerRoman"/>
      <w:lvlText w:val="%6"/>
      <w:lvlJc w:val="left"/>
      <w:pPr>
        <w:ind w:left="3600" w:firstLine="0"/>
      </w:pPr>
      <w:rPr>
        <w:rFonts w:ascii="Arial" w:eastAsia="Arial" w:hAnsi="Arial" w:cs="Arial"/>
        <w:b w:val="0"/>
        <w:i w:val="0"/>
        <w:strike w:val="0"/>
        <w:dstrike w:val="0"/>
        <w:color w:val="000000"/>
        <w:position w:val="0"/>
        <w:sz w:val="24"/>
        <w:szCs w:val="24"/>
        <w:u w:val="none" w:color="000000"/>
        <w:shd w:val="clear" w:color="auto" w:fill="auto"/>
        <w:vertAlign w:val="baseline"/>
      </w:rPr>
    </w:lvl>
    <w:lvl w:ilvl="6">
      <w:start w:val="1"/>
      <w:numFmt w:val="decimal"/>
      <w:lvlText w:val="%7"/>
      <w:lvlJc w:val="left"/>
      <w:pPr>
        <w:ind w:left="4320" w:firstLine="0"/>
      </w:pPr>
      <w:rPr>
        <w:rFonts w:ascii="Arial" w:eastAsia="Arial" w:hAnsi="Arial" w:cs="Arial"/>
        <w:b w:val="0"/>
        <w:i w:val="0"/>
        <w:strike w:val="0"/>
        <w:dstrike w:val="0"/>
        <w:color w:val="000000"/>
        <w:position w:val="0"/>
        <w:sz w:val="24"/>
        <w:szCs w:val="24"/>
        <w:u w:val="none" w:color="000000"/>
        <w:shd w:val="clear" w:color="auto" w:fill="auto"/>
        <w:vertAlign w:val="baseline"/>
      </w:rPr>
    </w:lvl>
    <w:lvl w:ilvl="7">
      <w:start w:val="1"/>
      <w:numFmt w:val="lowerLetter"/>
      <w:lvlText w:val="%8"/>
      <w:lvlJc w:val="left"/>
      <w:pPr>
        <w:ind w:left="5040" w:firstLine="0"/>
      </w:pPr>
      <w:rPr>
        <w:rFonts w:ascii="Arial" w:eastAsia="Arial" w:hAnsi="Arial" w:cs="Arial"/>
        <w:b w:val="0"/>
        <w:i w:val="0"/>
        <w:strike w:val="0"/>
        <w:dstrike w:val="0"/>
        <w:color w:val="000000"/>
        <w:position w:val="0"/>
        <w:sz w:val="24"/>
        <w:szCs w:val="24"/>
        <w:u w:val="none" w:color="000000"/>
        <w:shd w:val="clear" w:color="auto" w:fill="auto"/>
        <w:vertAlign w:val="baseline"/>
      </w:rPr>
    </w:lvl>
    <w:lvl w:ilvl="8">
      <w:start w:val="1"/>
      <w:numFmt w:val="lowerRoman"/>
      <w:lvlText w:val="%9"/>
      <w:lvlJc w:val="left"/>
      <w:pPr>
        <w:ind w:left="5760" w:firstLine="0"/>
      </w:pPr>
      <w:rPr>
        <w:rFonts w:ascii="Arial" w:eastAsia="Arial" w:hAnsi="Arial" w:cs="Arial"/>
        <w:b w:val="0"/>
        <w:i w:val="0"/>
        <w:strike w:val="0"/>
        <w:dstrike w:val="0"/>
        <w:color w:val="000000"/>
        <w:position w:val="0"/>
        <w:sz w:val="24"/>
        <w:szCs w:val="24"/>
        <w:u w:val="none" w:color="000000"/>
        <w:shd w:val="clear" w:color="auto" w:fill="auto"/>
        <w:vertAlign w:val="baseline"/>
      </w:rPr>
    </w:lvl>
  </w:abstractNum>
  <w:abstractNum w:abstractNumId="92" w15:restartNumberingAfterBreak="0">
    <w:nsid w:val="63EE7668"/>
    <w:multiLevelType w:val="multilevel"/>
    <w:tmpl w:val="6E24DA1E"/>
    <w:lvl w:ilvl="0">
      <w:numFmt w:val="bullet"/>
      <w:lvlText w:val="•"/>
      <w:lvlJc w:val="left"/>
      <w:pPr>
        <w:ind w:left="138"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1">
      <w:numFmt w:val="bullet"/>
      <w:lvlText w:val="o"/>
      <w:lvlJc w:val="left"/>
      <w:pPr>
        <w:ind w:left="1080"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2">
      <w:numFmt w:val="bullet"/>
      <w:lvlText w:val="▪"/>
      <w:lvlJc w:val="left"/>
      <w:pPr>
        <w:ind w:left="1800"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3">
      <w:numFmt w:val="bullet"/>
      <w:lvlText w:val="•"/>
      <w:lvlJc w:val="left"/>
      <w:pPr>
        <w:ind w:left="2520"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4">
      <w:numFmt w:val="bullet"/>
      <w:lvlText w:val="o"/>
      <w:lvlJc w:val="left"/>
      <w:pPr>
        <w:ind w:left="3240"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5">
      <w:numFmt w:val="bullet"/>
      <w:lvlText w:val="▪"/>
      <w:lvlJc w:val="left"/>
      <w:pPr>
        <w:ind w:left="3960"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6">
      <w:numFmt w:val="bullet"/>
      <w:lvlText w:val="•"/>
      <w:lvlJc w:val="left"/>
      <w:pPr>
        <w:ind w:left="4680"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7">
      <w:numFmt w:val="bullet"/>
      <w:lvlText w:val="o"/>
      <w:lvlJc w:val="left"/>
      <w:pPr>
        <w:ind w:left="5400"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8">
      <w:numFmt w:val="bullet"/>
      <w:lvlText w:val="▪"/>
      <w:lvlJc w:val="left"/>
      <w:pPr>
        <w:ind w:left="6120"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abstractNum>
  <w:abstractNum w:abstractNumId="93" w15:restartNumberingAfterBreak="0">
    <w:nsid w:val="64182ED8"/>
    <w:multiLevelType w:val="multilevel"/>
    <w:tmpl w:val="8268740C"/>
    <w:lvl w:ilvl="0">
      <w:start w:val="1"/>
      <w:numFmt w:val="lowerLetter"/>
      <w:lvlText w:val="%1)"/>
      <w:lvlJc w:val="left"/>
      <w:pPr>
        <w:ind w:left="644"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1">
      <w:start w:val="1"/>
      <w:numFmt w:val="lowerLetter"/>
      <w:lvlText w:val="%2"/>
      <w:lvlJc w:val="left"/>
      <w:pPr>
        <w:ind w:left="1436"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2">
      <w:start w:val="1"/>
      <w:numFmt w:val="lowerRoman"/>
      <w:lvlText w:val="%3"/>
      <w:lvlJc w:val="left"/>
      <w:pPr>
        <w:ind w:left="2156"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3">
      <w:start w:val="1"/>
      <w:numFmt w:val="decimal"/>
      <w:lvlText w:val="%4"/>
      <w:lvlJc w:val="left"/>
      <w:pPr>
        <w:ind w:left="2876"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4">
      <w:start w:val="1"/>
      <w:numFmt w:val="lowerLetter"/>
      <w:lvlText w:val="%5"/>
      <w:lvlJc w:val="left"/>
      <w:pPr>
        <w:ind w:left="3596"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5">
      <w:start w:val="1"/>
      <w:numFmt w:val="lowerRoman"/>
      <w:lvlText w:val="%6"/>
      <w:lvlJc w:val="left"/>
      <w:pPr>
        <w:ind w:left="4316"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6">
      <w:start w:val="1"/>
      <w:numFmt w:val="decimal"/>
      <w:lvlText w:val="%7"/>
      <w:lvlJc w:val="left"/>
      <w:pPr>
        <w:ind w:left="5036"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7">
      <w:start w:val="1"/>
      <w:numFmt w:val="lowerLetter"/>
      <w:lvlText w:val="%8"/>
      <w:lvlJc w:val="left"/>
      <w:pPr>
        <w:ind w:left="5756"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8">
      <w:start w:val="1"/>
      <w:numFmt w:val="lowerRoman"/>
      <w:lvlText w:val="%9"/>
      <w:lvlJc w:val="left"/>
      <w:pPr>
        <w:ind w:left="6476"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abstractNum>
  <w:abstractNum w:abstractNumId="94" w15:restartNumberingAfterBreak="0">
    <w:nsid w:val="6489172D"/>
    <w:multiLevelType w:val="multilevel"/>
    <w:tmpl w:val="96328C32"/>
    <w:lvl w:ilvl="0">
      <w:start w:val="1"/>
      <w:numFmt w:val="lowerLetter"/>
      <w:lvlText w:val="%1)"/>
      <w:lvlJc w:val="left"/>
      <w:pPr>
        <w:ind w:left="10" w:firstLine="0"/>
      </w:pPr>
      <w:rPr>
        <w:rFonts w:ascii="Arial" w:eastAsia="Arial" w:hAnsi="Arial" w:cs="Arial"/>
        <w:b w:val="0"/>
        <w:i w:val="0"/>
        <w:strike w:val="0"/>
        <w:dstrike w:val="0"/>
        <w:color w:val="000000"/>
        <w:position w:val="0"/>
        <w:sz w:val="24"/>
        <w:szCs w:val="24"/>
        <w:u w:val="none" w:color="000000"/>
        <w:shd w:val="clear" w:color="auto" w:fill="auto"/>
        <w:vertAlign w:val="baseline"/>
      </w:rPr>
    </w:lvl>
    <w:lvl w:ilvl="1">
      <w:start w:val="1"/>
      <w:numFmt w:val="lowerLetter"/>
      <w:lvlText w:val="%2"/>
      <w:lvlJc w:val="left"/>
      <w:pPr>
        <w:ind w:left="1080" w:firstLine="0"/>
      </w:pPr>
      <w:rPr>
        <w:rFonts w:ascii="Arial" w:eastAsia="Arial" w:hAnsi="Arial" w:cs="Arial"/>
        <w:b w:val="0"/>
        <w:i w:val="0"/>
        <w:strike w:val="0"/>
        <w:dstrike w:val="0"/>
        <w:color w:val="000000"/>
        <w:position w:val="0"/>
        <w:sz w:val="24"/>
        <w:szCs w:val="24"/>
        <w:u w:val="none" w:color="000000"/>
        <w:shd w:val="clear" w:color="auto" w:fill="auto"/>
        <w:vertAlign w:val="baseline"/>
      </w:rPr>
    </w:lvl>
    <w:lvl w:ilvl="2">
      <w:start w:val="1"/>
      <w:numFmt w:val="lowerRoman"/>
      <w:lvlText w:val="%3"/>
      <w:lvlJc w:val="left"/>
      <w:pPr>
        <w:ind w:left="1800" w:firstLine="0"/>
      </w:pPr>
      <w:rPr>
        <w:rFonts w:ascii="Arial" w:eastAsia="Arial" w:hAnsi="Arial" w:cs="Arial"/>
        <w:b w:val="0"/>
        <w:i w:val="0"/>
        <w:strike w:val="0"/>
        <w:dstrike w:val="0"/>
        <w:color w:val="000000"/>
        <w:position w:val="0"/>
        <w:sz w:val="24"/>
        <w:szCs w:val="24"/>
        <w:u w:val="none" w:color="000000"/>
        <w:shd w:val="clear" w:color="auto" w:fill="auto"/>
        <w:vertAlign w:val="baseline"/>
      </w:rPr>
    </w:lvl>
    <w:lvl w:ilvl="3">
      <w:start w:val="1"/>
      <w:numFmt w:val="decimal"/>
      <w:lvlText w:val="%4"/>
      <w:lvlJc w:val="left"/>
      <w:pPr>
        <w:ind w:left="2520" w:firstLine="0"/>
      </w:pPr>
      <w:rPr>
        <w:rFonts w:ascii="Arial" w:eastAsia="Arial" w:hAnsi="Arial" w:cs="Arial"/>
        <w:b w:val="0"/>
        <w:i w:val="0"/>
        <w:strike w:val="0"/>
        <w:dstrike w:val="0"/>
        <w:color w:val="000000"/>
        <w:position w:val="0"/>
        <w:sz w:val="24"/>
        <w:szCs w:val="24"/>
        <w:u w:val="none" w:color="000000"/>
        <w:shd w:val="clear" w:color="auto" w:fill="auto"/>
        <w:vertAlign w:val="baseline"/>
      </w:rPr>
    </w:lvl>
    <w:lvl w:ilvl="4">
      <w:start w:val="1"/>
      <w:numFmt w:val="lowerLetter"/>
      <w:lvlText w:val="%5"/>
      <w:lvlJc w:val="left"/>
      <w:pPr>
        <w:ind w:left="3240" w:firstLine="0"/>
      </w:pPr>
      <w:rPr>
        <w:rFonts w:ascii="Arial" w:eastAsia="Arial" w:hAnsi="Arial" w:cs="Arial"/>
        <w:b w:val="0"/>
        <w:i w:val="0"/>
        <w:strike w:val="0"/>
        <w:dstrike w:val="0"/>
        <w:color w:val="000000"/>
        <w:position w:val="0"/>
        <w:sz w:val="24"/>
        <w:szCs w:val="24"/>
        <w:u w:val="none" w:color="000000"/>
        <w:shd w:val="clear" w:color="auto" w:fill="auto"/>
        <w:vertAlign w:val="baseline"/>
      </w:rPr>
    </w:lvl>
    <w:lvl w:ilvl="5">
      <w:start w:val="1"/>
      <w:numFmt w:val="lowerRoman"/>
      <w:lvlText w:val="%6"/>
      <w:lvlJc w:val="left"/>
      <w:pPr>
        <w:ind w:left="3960" w:firstLine="0"/>
      </w:pPr>
      <w:rPr>
        <w:rFonts w:ascii="Arial" w:eastAsia="Arial" w:hAnsi="Arial" w:cs="Arial"/>
        <w:b w:val="0"/>
        <w:i w:val="0"/>
        <w:strike w:val="0"/>
        <w:dstrike w:val="0"/>
        <w:color w:val="000000"/>
        <w:position w:val="0"/>
        <w:sz w:val="24"/>
        <w:szCs w:val="24"/>
        <w:u w:val="none" w:color="000000"/>
        <w:shd w:val="clear" w:color="auto" w:fill="auto"/>
        <w:vertAlign w:val="baseline"/>
      </w:rPr>
    </w:lvl>
    <w:lvl w:ilvl="6">
      <w:start w:val="1"/>
      <w:numFmt w:val="decimal"/>
      <w:lvlText w:val="%7"/>
      <w:lvlJc w:val="left"/>
      <w:pPr>
        <w:ind w:left="4680" w:firstLine="0"/>
      </w:pPr>
      <w:rPr>
        <w:rFonts w:ascii="Arial" w:eastAsia="Arial" w:hAnsi="Arial" w:cs="Arial"/>
        <w:b w:val="0"/>
        <w:i w:val="0"/>
        <w:strike w:val="0"/>
        <w:dstrike w:val="0"/>
        <w:color w:val="000000"/>
        <w:position w:val="0"/>
        <w:sz w:val="24"/>
        <w:szCs w:val="24"/>
        <w:u w:val="none" w:color="000000"/>
        <w:shd w:val="clear" w:color="auto" w:fill="auto"/>
        <w:vertAlign w:val="baseline"/>
      </w:rPr>
    </w:lvl>
    <w:lvl w:ilvl="7">
      <w:start w:val="1"/>
      <w:numFmt w:val="lowerLetter"/>
      <w:lvlText w:val="%8"/>
      <w:lvlJc w:val="left"/>
      <w:pPr>
        <w:ind w:left="5400" w:firstLine="0"/>
      </w:pPr>
      <w:rPr>
        <w:rFonts w:ascii="Arial" w:eastAsia="Arial" w:hAnsi="Arial" w:cs="Arial"/>
        <w:b w:val="0"/>
        <w:i w:val="0"/>
        <w:strike w:val="0"/>
        <w:dstrike w:val="0"/>
        <w:color w:val="000000"/>
        <w:position w:val="0"/>
        <w:sz w:val="24"/>
        <w:szCs w:val="24"/>
        <w:u w:val="none" w:color="000000"/>
        <w:shd w:val="clear" w:color="auto" w:fill="auto"/>
        <w:vertAlign w:val="baseline"/>
      </w:rPr>
    </w:lvl>
    <w:lvl w:ilvl="8">
      <w:start w:val="1"/>
      <w:numFmt w:val="lowerRoman"/>
      <w:lvlText w:val="%9"/>
      <w:lvlJc w:val="left"/>
      <w:pPr>
        <w:ind w:left="6120" w:firstLine="0"/>
      </w:pPr>
      <w:rPr>
        <w:rFonts w:ascii="Arial" w:eastAsia="Arial" w:hAnsi="Arial" w:cs="Arial"/>
        <w:b w:val="0"/>
        <w:i w:val="0"/>
        <w:strike w:val="0"/>
        <w:dstrike w:val="0"/>
        <w:color w:val="000000"/>
        <w:position w:val="0"/>
        <w:sz w:val="24"/>
        <w:szCs w:val="24"/>
        <w:u w:val="none" w:color="000000"/>
        <w:shd w:val="clear" w:color="auto" w:fill="auto"/>
        <w:vertAlign w:val="baseline"/>
      </w:rPr>
    </w:lvl>
  </w:abstractNum>
  <w:abstractNum w:abstractNumId="95" w15:restartNumberingAfterBreak="0">
    <w:nsid w:val="668302F9"/>
    <w:multiLevelType w:val="multilevel"/>
    <w:tmpl w:val="960A74B0"/>
    <w:lvl w:ilvl="0">
      <w:start w:val="1"/>
      <w:numFmt w:val="upperLetter"/>
      <w:lvlText w:val="%1)"/>
      <w:lvlJc w:val="left"/>
      <w:pPr>
        <w:ind w:left="360" w:firstLine="0"/>
      </w:pPr>
      <w:rPr>
        <w:rFonts w:ascii="Calibri" w:eastAsia="Calibri" w:hAnsi="Calibri" w:cs="Calibri"/>
        <w:b w:val="0"/>
        <w:i/>
        <w:iCs/>
        <w:strike w:val="0"/>
        <w:dstrike w:val="0"/>
        <w:color w:val="000000"/>
        <w:position w:val="0"/>
        <w:sz w:val="24"/>
        <w:szCs w:val="24"/>
        <w:u w:val="none" w:color="000000"/>
        <w:shd w:val="clear" w:color="auto" w:fill="auto"/>
        <w:vertAlign w:val="baseline"/>
      </w:rPr>
    </w:lvl>
    <w:lvl w:ilvl="1">
      <w:start w:val="1"/>
      <w:numFmt w:val="lowerLetter"/>
      <w:lvlText w:val="%2"/>
      <w:lvlJc w:val="left"/>
      <w:pPr>
        <w:ind w:left="4777" w:firstLine="0"/>
      </w:pPr>
      <w:rPr>
        <w:rFonts w:ascii="Calibri" w:eastAsia="Calibri" w:hAnsi="Calibri" w:cs="Calibri"/>
        <w:b w:val="0"/>
        <w:i/>
        <w:iCs/>
        <w:strike w:val="0"/>
        <w:dstrike w:val="0"/>
        <w:color w:val="000000"/>
        <w:position w:val="0"/>
        <w:sz w:val="24"/>
        <w:szCs w:val="24"/>
        <w:u w:val="none" w:color="000000"/>
        <w:shd w:val="clear" w:color="auto" w:fill="auto"/>
        <w:vertAlign w:val="baseline"/>
      </w:rPr>
    </w:lvl>
    <w:lvl w:ilvl="2">
      <w:start w:val="1"/>
      <w:numFmt w:val="lowerRoman"/>
      <w:lvlText w:val="%3"/>
      <w:lvlJc w:val="left"/>
      <w:pPr>
        <w:ind w:left="5497" w:firstLine="0"/>
      </w:pPr>
      <w:rPr>
        <w:rFonts w:ascii="Calibri" w:eastAsia="Calibri" w:hAnsi="Calibri" w:cs="Calibri"/>
        <w:b w:val="0"/>
        <w:i/>
        <w:iCs/>
        <w:strike w:val="0"/>
        <w:dstrike w:val="0"/>
        <w:color w:val="000000"/>
        <w:position w:val="0"/>
        <w:sz w:val="24"/>
        <w:szCs w:val="24"/>
        <w:u w:val="none" w:color="000000"/>
        <w:shd w:val="clear" w:color="auto" w:fill="auto"/>
        <w:vertAlign w:val="baseline"/>
      </w:rPr>
    </w:lvl>
    <w:lvl w:ilvl="3">
      <w:start w:val="1"/>
      <w:numFmt w:val="decimal"/>
      <w:lvlText w:val="%4"/>
      <w:lvlJc w:val="left"/>
      <w:pPr>
        <w:ind w:left="6217" w:firstLine="0"/>
      </w:pPr>
      <w:rPr>
        <w:rFonts w:ascii="Calibri" w:eastAsia="Calibri" w:hAnsi="Calibri" w:cs="Calibri"/>
        <w:b w:val="0"/>
        <w:i/>
        <w:iCs/>
        <w:strike w:val="0"/>
        <w:dstrike w:val="0"/>
        <w:color w:val="000000"/>
        <w:position w:val="0"/>
        <w:sz w:val="24"/>
        <w:szCs w:val="24"/>
        <w:u w:val="none" w:color="000000"/>
        <w:shd w:val="clear" w:color="auto" w:fill="auto"/>
        <w:vertAlign w:val="baseline"/>
      </w:rPr>
    </w:lvl>
    <w:lvl w:ilvl="4">
      <w:start w:val="1"/>
      <w:numFmt w:val="lowerLetter"/>
      <w:lvlText w:val="%5"/>
      <w:lvlJc w:val="left"/>
      <w:pPr>
        <w:ind w:left="6937" w:firstLine="0"/>
      </w:pPr>
      <w:rPr>
        <w:rFonts w:ascii="Calibri" w:eastAsia="Calibri" w:hAnsi="Calibri" w:cs="Calibri"/>
        <w:b w:val="0"/>
        <w:i/>
        <w:iCs/>
        <w:strike w:val="0"/>
        <w:dstrike w:val="0"/>
        <w:color w:val="000000"/>
        <w:position w:val="0"/>
        <w:sz w:val="24"/>
        <w:szCs w:val="24"/>
        <w:u w:val="none" w:color="000000"/>
        <w:shd w:val="clear" w:color="auto" w:fill="auto"/>
        <w:vertAlign w:val="baseline"/>
      </w:rPr>
    </w:lvl>
    <w:lvl w:ilvl="5">
      <w:start w:val="1"/>
      <w:numFmt w:val="lowerRoman"/>
      <w:lvlText w:val="%6"/>
      <w:lvlJc w:val="left"/>
      <w:pPr>
        <w:ind w:left="7657" w:firstLine="0"/>
      </w:pPr>
      <w:rPr>
        <w:rFonts w:ascii="Calibri" w:eastAsia="Calibri" w:hAnsi="Calibri" w:cs="Calibri"/>
        <w:b w:val="0"/>
        <w:i/>
        <w:iCs/>
        <w:strike w:val="0"/>
        <w:dstrike w:val="0"/>
        <w:color w:val="000000"/>
        <w:position w:val="0"/>
        <w:sz w:val="24"/>
        <w:szCs w:val="24"/>
        <w:u w:val="none" w:color="000000"/>
        <w:shd w:val="clear" w:color="auto" w:fill="auto"/>
        <w:vertAlign w:val="baseline"/>
      </w:rPr>
    </w:lvl>
    <w:lvl w:ilvl="6">
      <w:start w:val="1"/>
      <w:numFmt w:val="decimal"/>
      <w:lvlText w:val="%7"/>
      <w:lvlJc w:val="left"/>
      <w:pPr>
        <w:ind w:left="8377" w:firstLine="0"/>
      </w:pPr>
      <w:rPr>
        <w:rFonts w:ascii="Calibri" w:eastAsia="Calibri" w:hAnsi="Calibri" w:cs="Calibri"/>
        <w:b w:val="0"/>
        <w:i/>
        <w:iCs/>
        <w:strike w:val="0"/>
        <w:dstrike w:val="0"/>
        <w:color w:val="000000"/>
        <w:position w:val="0"/>
        <w:sz w:val="24"/>
        <w:szCs w:val="24"/>
        <w:u w:val="none" w:color="000000"/>
        <w:shd w:val="clear" w:color="auto" w:fill="auto"/>
        <w:vertAlign w:val="baseline"/>
      </w:rPr>
    </w:lvl>
    <w:lvl w:ilvl="7">
      <w:start w:val="1"/>
      <w:numFmt w:val="lowerLetter"/>
      <w:lvlText w:val="%8"/>
      <w:lvlJc w:val="left"/>
      <w:pPr>
        <w:ind w:left="9097" w:firstLine="0"/>
      </w:pPr>
      <w:rPr>
        <w:rFonts w:ascii="Calibri" w:eastAsia="Calibri" w:hAnsi="Calibri" w:cs="Calibri"/>
        <w:b w:val="0"/>
        <w:i/>
        <w:iCs/>
        <w:strike w:val="0"/>
        <w:dstrike w:val="0"/>
        <w:color w:val="000000"/>
        <w:position w:val="0"/>
        <w:sz w:val="24"/>
        <w:szCs w:val="24"/>
        <w:u w:val="none" w:color="000000"/>
        <w:shd w:val="clear" w:color="auto" w:fill="auto"/>
        <w:vertAlign w:val="baseline"/>
      </w:rPr>
    </w:lvl>
    <w:lvl w:ilvl="8">
      <w:start w:val="1"/>
      <w:numFmt w:val="lowerRoman"/>
      <w:lvlText w:val="%9"/>
      <w:lvlJc w:val="left"/>
      <w:pPr>
        <w:ind w:left="9817" w:firstLine="0"/>
      </w:pPr>
      <w:rPr>
        <w:rFonts w:ascii="Calibri" w:eastAsia="Calibri" w:hAnsi="Calibri" w:cs="Calibri"/>
        <w:b w:val="0"/>
        <w:i/>
        <w:iCs/>
        <w:strike w:val="0"/>
        <w:dstrike w:val="0"/>
        <w:color w:val="000000"/>
        <w:position w:val="0"/>
        <w:sz w:val="24"/>
        <w:szCs w:val="24"/>
        <w:u w:val="none" w:color="000000"/>
        <w:shd w:val="clear" w:color="auto" w:fill="auto"/>
        <w:vertAlign w:val="baseline"/>
      </w:rPr>
    </w:lvl>
  </w:abstractNum>
  <w:abstractNum w:abstractNumId="96" w15:restartNumberingAfterBreak="0">
    <w:nsid w:val="66A34946"/>
    <w:multiLevelType w:val="multilevel"/>
    <w:tmpl w:val="A790C1F8"/>
    <w:lvl w:ilvl="0">
      <w:start w:val="1"/>
      <w:numFmt w:val="decimal"/>
      <w:lvlText w:val="%1."/>
      <w:lvlJc w:val="left"/>
      <w:pPr>
        <w:ind w:left="1053"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1">
      <w:start w:val="1"/>
      <w:numFmt w:val="lowerLetter"/>
      <w:lvlText w:val="%2"/>
      <w:lvlJc w:val="left"/>
      <w:pPr>
        <w:ind w:left="1788"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2">
      <w:start w:val="1"/>
      <w:numFmt w:val="lowerRoman"/>
      <w:lvlText w:val="%3"/>
      <w:lvlJc w:val="left"/>
      <w:pPr>
        <w:ind w:left="2508"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3">
      <w:start w:val="1"/>
      <w:numFmt w:val="decimal"/>
      <w:lvlText w:val="%4"/>
      <w:lvlJc w:val="left"/>
      <w:pPr>
        <w:ind w:left="3228"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4">
      <w:start w:val="1"/>
      <w:numFmt w:val="lowerLetter"/>
      <w:lvlText w:val="%5"/>
      <w:lvlJc w:val="left"/>
      <w:pPr>
        <w:ind w:left="3948"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5">
      <w:start w:val="1"/>
      <w:numFmt w:val="lowerRoman"/>
      <w:lvlText w:val="%6"/>
      <w:lvlJc w:val="left"/>
      <w:pPr>
        <w:ind w:left="4668"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6">
      <w:start w:val="1"/>
      <w:numFmt w:val="decimal"/>
      <w:lvlText w:val="%7"/>
      <w:lvlJc w:val="left"/>
      <w:pPr>
        <w:ind w:left="5388"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7">
      <w:start w:val="1"/>
      <w:numFmt w:val="lowerLetter"/>
      <w:lvlText w:val="%8"/>
      <w:lvlJc w:val="left"/>
      <w:pPr>
        <w:ind w:left="6108"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8">
      <w:start w:val="1"/>
      <w:numFmt w:val="lowerRoman"/>
      <w:lvlText w:val="%9"/>
      <w:lvlJc w:val="left"/>
      <w:pPr>
        <w:ind w:left="6828"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abstractNum>
  <w:abstractNum w:abstractNumId="97" w15:restartNumberingAfterBreak="0">
    <w:nsid w:val="68926E00"/>
    <w:multiLevelType w:val="multilevel"/>
    <w:tmpl w:val="8E028A7E"/>
    <w:lvl w:ilvl="0">
      <w:start w:val="1"/>
      <w:numFmt w:val="decimal"/>
      <w:lvlText w:val="%1."/>
      <w:lvlJc w:val="left"/>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1">
      <w:start w:val="1"/>
      <w:numFmt w:val="lowerLetter"/>
      <w:lvlText w:val="%2"/>
      <w:lvlJc w:val="left"/>
      <w:pPr>
        <w:ind w:left="1440"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2">
      <w:start w:val="1"/>
      <w:numFmt w:val="lowerRoman"/>
      <w:lvlText w:val="%3"/>
      <w:lvlJc w:val="left"/>
      <w:pPr>
        <w:ind w:left="2160"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3">
      <w:start w:val="1"/>
      <w:numFmt w:val="decimal"/>
      <w:lvlText w:val="%4"/>
      <w:lvlJc w:val="left"/>
      <w:pPr>
        <w:ind w:left="2880"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4">
      <w:start w:val="1"/>
      <w:numFmt w:val="lowerLetter"/>
      <w:lvlText w:val="%5"/>
      <w:lvlJc w:val="left"/>
      <w:pPr>
        <w:ind w:left="3600"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5">
      <w:start w:val="1"/>
      <w:numFmt w:val="lowerRoman"/>
      <w:lvlText w:val="%6"/>
      <w:lvlJc w:val="left"/>
      <w:pPr>
        <w:ind w:left="4320"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6">
      <w:start w:val="1"/>
      <w:numFmt w:val="decimal"/>
      <w:lvlText w:val="%7"/>
      <w:lvlJc w:val="left"/>
      <w:pPr>
        <w:ind w:left="5040"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7">
      <w:start w:val="1"/>
      <w:numFmt w:val="lowerLetter"/>
      <w:lvlText w:val="%8"/>
      <w:lvlJc w:val="left"/>
      <w:pPr>
        <w:ind w:left="5760"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8">
      <w:start w:val="1"/>
      <w:numFmt w:val="lowerRoman"/>
      <w:lvlText w:val="%9"/>
      <w:lvlJc w:val="left"/>
      <w:pPr>
        <w:ind w:left="6480"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abstractNum>
  <w:abstractNum w:abstractNumId="98" w15:restartNumberingAfterBreak="0">
    <w:nsid w:val="69604485"/>
    <w:multiLevelType w:val="multilevel"/>
    <w:tmpl w:val="D61ED2B0"/>
    <w:lvl w:ilvl="0">
      <w:start w:val="1"/>
      <w:numFmt w:val="lowerLetter"/>
      <w:lvlText w:val="%1)"/>
      <w:lvlJc w:val="left"/>
      <w:pPr>
        <w:ind w:left="1135" w:firstLine="0"/>
      </w:pPr>
      <w:rPr>
        <w:rFonts w:ascii="Calibri" w:eastAsia="Calibri" w:hAnsi="Calibri" w:cs="Calibri"/>
        <w:b w:val="0"/>
        <w:i w:val="0"/>
        <w:strike w:val="0"/>
        <w:dstrike w:val="0"/>
        <w:color w:val="000000"/>
        <w:position w:val="0"/>
        <w:sz w:val="20"/>
        <w:szCs w:val="20"/>
        <w:u w:val="none" w:color="000000"/>
        <w:shd w:val="clear" w:color="auto" w:fill="auto"/>
        <w:vertAlign w:val="baseline"/>
      </w:rPr>
    </w:lvl>
    <w:lvl w:ilvl="1">
      <w:start w:val="1"/>
      <w:numFmt w:val="lowerLetter"/>
      <w:lvlText w:val="%2"/>
      <w:lvlJc w:val="left"/>
      <w:pPr>
        <w:ind w:left="1920" w:firstLine="0"/>
      </w:pPr>
      <w:rPr>
        <w:rFonts w:ascii="Calibri" w:eastAsia="Calibri" w:hAnsi="Calibri" w:cs="Calibri"/>
        <w:b w:val="0"/>
        <w:i w:val="0"/>
        <w:strike w:val="0"/>
        <w:dstrike w:val="0"/>
        <w:color w:val="000000"/>
        <w:position w:val="0"/>
        <w:sz w:val="20"/>
        <w:szCs w:val="20"/>
        <w:u w:val="none" w:color="000000"/>
        <w:shd w:val="clear" w:color="auto" w:fill="auto"/>
        <w:vertAlign w:val="baseline"/>
      </w:rPr>
    </w:lvl>
    <w:lvl w:ilvl="2">
      <w:start w:val="1"/>
      <w:numFmt w:val="lowerRoman"/>
      <w:lvlText w:val="%3"/>
      <w:lvlJc w:val="left"/>
      <w:pPr>
        <w:ind w:left="2640" w:firstLine="0"/>
      </w:pPr>
      <w:rPr>
        <w:rFonts w:ascii="Calibri" w:eastAsia="Calibri" w:hAnsi="Calibri" w:cs="Calibri"/>
        <w:b w:val="0"/>
        <w:i w:val="0"/>
        <w:strike w:val="0"/>
        <w:dstrike w:val="0"/>
        <w:color w:val="000000"/>
        <w:position w:val="0"/>
        <w:sz w:val="20"/>
        <w:szCs w:val="20"/>
        <w:u w:val="none" w:color="000000"/>
        <w:shd w:val="clear" w:color="auto" w:fill="auto"/>
        <w:vertAlign w:val="baseline"/>
      </w:rPr>
    </w:lvl>
    <w:lvl w:ilvl="3">
      <w:start w:val="1"/>
      <w:numFmt w:val="decimal"/>
      <w:lvlText w:val="%4"/>
      <w:lvlJc w:val="left"/>
      <w:pPr>
        <w:ind w:left="3360" w:firstLine="0"/>
      </w:pPr>
      <w:rPr>
        <w:rFonts w:ascii="Calibri" w:eastAsia="Calibri" w:hAnsi="Calibri" w:cs="Calibri"/>
        <w:b w:val="0"/>
        <w:i w:val="0"/>
        <w:strike w:val="0"/>
        <w:dstrike w:val="0"/>
        <w:color w:val="000000"/>
        <w:position w:val="0"/>
        <w:sz w:val="20"/>
        <w:szCs w:val="20"/>
        <w:u w:val="none" w:color="000000"/>
        <w:shd w:val="clear" w:color="auto" w:fill="auto"/>
        <w:vertAlign w:val="baseline"/>
      </w:rPr>
    </w:lvl>
    <w:lvl w:ilvl="4">
      <w:start w:val="1"/>
      <w:numFmt w:val="lowerLetter"/>
      <w:lvlText w:val="%5"/>
      <w:lvlJc w:val="left"/>
      <w:pPr>
        <w:ind w:left="4080" w:firstLine="0"/>
      </w:pPr>
      <w:rPr>
        <w:rFonts w:ascii="Calibri" w:eastAsia="Calibri" w:hAnsi="Calibri" w:cs="Calibri"/>
        <w:b w:val="0"/>
        <w:i w:val="0"/>
        <w:strike w:val="0"/>
        <w:dstrike w:val="0"/>
        <w:color w:val="000000"/>
        <w:position w:val="0"/>
        <w:sz w:val="20"/>
        <w:szCs w:val="20"/>
        <w:u w:val="none" w:color="000000"/>
        <w:shd w:val="clear" w:color="auto" w:fill="auto"/>
        <w:vertAlign w:val="baseline"/>
      </w:rPr>
    </w:lvl>
    <w:lvl w:ilvl="5">
      <w:start w:val="1"/>
      <w:numFmt w:val="lowerRoman"/>
      <w:lvlText w:val="%6"/>
      <w:lvlJc w:val="left"/>
      <w:pPr>
        <w:ind w:left="4800" w:firstLine="0"/>
      </w:pPr>
      <w:rPr>
        <w:rFonts w:ascii="Calibri" w:eastAsia="Calibri" w:hAnsi="Calibri" w:cs="Calibri"/>
        <w:b w:val="0"/>
        <w:i w:val="0"/>
        <w:strike w:val="0"/>
        <w:dstrike w:val="0"/>
        <w:color w:val="000000"/>
        <w:position w:val="0"/>
        <w:sz w:val="20"/>
        <w:szCs w:val="20"/>
        <w:u w:val="none" w:color="000000"/>
        <w:shd w:val="clear" w:color="auto" w:fill="auto"/>
        <w:vertAlign w:val="baseline"/>
      </w:rPr>
    </w:lvl>
    <w:lvl w:ilvl="6">
      <w:start w:val="1"/>
      <w:numFmt w:val="decimal"/>
      <w:lvlText w:val="%7"/>
      <w:lvlJc w:val="left"/>
      <w:pPr>
        <w:ind w:left="5520" w:firstLine="0"/>
      </w:pPr>
      <w:rPr>
        <w:rFonts w:ascii="Calibri" w:eastAsia="Calibri" w:hAnsi="Calibri" w:cs="Calibri"/>
        <w:b w:val="0"/>
        <w:i w:val="0"/>
        <w:strike w:val="0"/>
        <w:dstrike w:val="0"/>
        <w:color w:val="000000"/>
        <w:position w:val="0"/>
        <w:sz w:val="20"/>
        <w:szCs w:val="20"/>
        <w:u w:val="none" w:color="000000"/>
        <w:shd w:val="clear" w:color="auto" w:fill="auto"/>
        <w:vertAlign w:val="baseline"/>
      </w:rPr>
    </w:lvl>
    <w:lvl w:ilvl="7">
      <w:start w:val="1"/>
      <w:numFmt w:val="lowerLetter"/>
      <w:lvlText w:val="%8"/>
      <w:lvlJc w:val="left"/>
      <w:pPr>
        <w:ind w:left="6240" w:firstLine="0"/>
      </w:pPr>
      <w:rPr>
        <w:rFonts w:ascii="Calibri" w:eastAsia="Calibri" w:hAnsi="Calibri" w:cs="Calibri"/>
        <w:b w:val="0"/>
        <w:i w:val="0"/>
        <w:strike w:val="0"/>
        <w:dstrike w:val="0"/>
        <w:color w:val="000000"/>
        <w:position w:val="0"/>
        <w:sz w:val="20"/>
        <w:szCs w:val="20"/>
        <w:u w:val="none" w:color="000000"/>
        <w:shd w:val="clear" w:color="auto" w:fill="auto"/>
        <w:vertAlign w:val="baseline"/>
      </w:rPr>
    </w:lvl>
    <w:lvl w:ilvl="8">
      <w:start w:val="1"/>
      <w:numFmt w:val="lowerRoman"/>
      <w:lvlText w:val="%9"/>
      <w:lvlJc w:val="left"/>
      <w:pPr>
        <w:ind w:left="6960" w:firstLine="0"/>
      </w:pPr>
      <w:rPr>
        <w:rFonts w:ascii="Calibri" w:eastAsia="Calibri" w:hAnsi="Calibri" w:cs="Calibri"/>
        <w:b w:val="0"/>
        <w:i w:val="0"/>
        <w:strike w:val="0"/>
        <w:dstrike w:val="0"/>
        <w:color w:val="000000"/>
        <w:position w:val="0"/>
        <w:sz w:val="20"/>
        <w:szCs w:val="20"/>
        <w:u w:val="none" w:color="000000"/>
        <w:shd w:val="clear" w:color="auto" w:fill="auto"/>
        <w:vertAlign w:val="baseline"/>
      </w:rPr>
    </w:lvl>
  </w:abstractNum>
  <w:abstractNum w:abstractNumId="99" w15:restartNumberingAfterBreak="0">
    <w:nsid w:val="697170D4"/>
    <w:multiLevelType w:val="multilevel"/>
    <w:tmpl w:val="643E2012"/>
    <w:lvl w:ilvl="0">
      <w:numFmt w:val="bullet"/>
      <w:lvlText w:val="-"/>
      <w:lvlJc w:val="left"/>
      <w:pPr>
        <w:ind w:left="360"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1">
      <w:numFmt w:val="bullet"/>
      <w:lvlText w:val="o"/>
      <w:lvlJc w:val="left"/>
      <w:pPr>
        <w:ind w:left="1080"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2">
      <w:numFmt w:val="bullet"/>
      <w:lvlText w:val="▪"/>
      <w:lvlJc w:val="left"/>
      <w:pPr>
        <w:ind w:left="1800"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3">
      <w:numFmt w:val="bullet"/>
      <w:lvlText w:val="•"/>
      <w:lvlJc w:val="left"/>
      <w:pPr>
        <w:ind w:left="2520"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4">
      <w:numFmt w:val="bullet"/>
      <w:lvlText w:val="o"/>
      <w:lvlJc w:val="left"/>
      <w:pPr>
        <w:ind w:left="3240"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5">
      <w:numFmt w:val="bullet"/>
      <w:lvlText w:val="▪"/>
      <w:lvlJc w:val="left"/>
      <w:pPr>
        <w:ind w:left="3960"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6">
      <w:numFmt w:val="bullet"/>
      <w:lvlText w:val="•"/>
      <w:lvlJc w:val="left"/>
      <w:pPr>
        <w:ind w:left="4680"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7">
      <w:numFmt w:val="bullet"/>
      <w:lvlText w:val="o"/>
      <w:lvlJc w:val="left"/>
      <w:pPr>
        <w:ind w:left="5400"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8">
      <w:numFmt w:val="bullet"/>
      <w:lvlText w:val="▪"/>
      <w:lvlJc w:val="left"/>
      <w:pPr>
        <w:ind w:left="6120"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abstractNum>
  <w:abstractNum w:abstractNumId="100" w15:restartNumberingAfterBreak="0">
    <w:nsid w:val="6AD36B33"/>
    <w:multiLevelType w:val="multilevel"/>
    <w:tmpl w:val="81B0C50E"/>
    <w:lvl w:ilvl="0">
      <w:numFmt w:val="bullet"/>
      <w:lvlText w:val="•"/>
      <w:lvlJc w:val="left"/>
      <w:rPr>
        <w:rFonts w:ascii="Arial" w:eastAsia="Arial" w:hAnsi="Arial" w:cs="Arial"/>
        <w:b w:val="0"/>
        <w:i w:val="0"/>
        <w:strike w:val="0"/>
        <w:dstrike w:val="0"/>
        <w:color w:val="000000"/>
        <w:position w:val="0"/>
        <w:sz w:val="22"/>
        <w:szCs w:val="22"/>
        <w:u w:val="none" w:color="000000"/>
        <w:shd w:val="clear" w:color="auto" w:fill="auto"/>
        <w:vertAlign w:val="baseline"/>
      </w:rPr>
    </w:lvl>
    <w:lvl w:ilvl="1">
      <w:numFmt w:val="bullet"/>
      <w:lvlText w:val="o"/>
      <w:lvlJc w:val="left"/>
      <w:pPr>
        <w:ind w:left="1086"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2">
      <w:numFmt w:val="bullet"/>
      <w:lvlText w:val="▪"/>
      <w:lvlJc w:val="left"/>
      <w:pPr>
        <w:ind w:left="1806"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3">
      <w:numFmt w:val="bullet"/>
      <w:lvlText w:val="•"/>
      <w:lvlJc w:val="left"/>
      <w:pPr>
        <w:ind w:left="2526"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4">
      <w:numFmt w:val="bullet"/>
      <w:lvlText w:val="o"/>
      <w:lvlJc w:val="left"/>
      <w:pPr>
        <w:ind w:left="3246"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5">
      <w:numFmt w:val="bullet"/>
      <w:lvlText w:val="▪"/>
      <w:lvlJc w:val="left"/>
      <w:pPr>
        <w:ind w:left="3966"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6">
      <w:numFmt w:val="bullet"/>
      <w:lvlText w:val="•"/>
      <w:lvlJc w:val="left"/>
      <w:pPr>
        <w:ind w:left="4686"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7">
      <w:numFmt w:val="bullet"/>
      <w:lvlText w:val="o"/>
      <w:lvlJc w:val="left"/>
      <w:pPr>
        <w:ind w:left="5406"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8">
      <w:numFmt w:val="bullet"/>
      <w:lvlText w:val="▪"/>
      <w:lvlJc w:val="left"/>
      <w:pPr>
        <w:ind w:left="6126"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abstractNum>
  <w:abstractNum w:abstractNumId="101" w15:restartNumberingAfterBreak="0">
    <w:nsid w:val="6BD2250E"/>
    <w:multiLevelType w:val="multilevel"/>
    <w:tmpl w:val="87E6E8F4"/>
    <w:lvl w:ilvl="0">
      <w:start w:val="1"/>
      <w:numFmt w:val="decimal"/>
      <w:lvlText w:val="%1."/>
      <w:lvlJc w:val="left"/>
      <w:rPr>
        <w:rFonts w:ascii="Calibri" w:eastAsia="Calibri" w:hAnsi="Calibri" w:cs="Calibri"/>
        <w:b w:val="0"/>
        <w:i/>
        <w:iCs/>
        <w:strike w:val="0"/>
        <w:dstrike w:val="0"/>
        <w:color w:val="000000"/>
        <w:position w:val="0"/>
        <w:sz w:val="22"/>
        <w:szCs w:val="22"/>
        <w:u w:val="none" w:color="000000"/>
        <w:shd w:val="clear" w:color="auto" w:fill="auto"/>
        <w:vertAlign w:val="baseline"/>
      </w:rPr>
    </w:lvl>
    <w:lvl w:ilvl="1">
      <w:start w:val="1"/>
      <w:numFmt w:val="lowerLetter"/>
      <w:lvlText w:val="%2"/>
      <w:lvlJc w:val="left"/>
      <w:pPr>
        <w:ind w:left="144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2">
      <w:start w:val="1"/>
      <w:numFmt w:val="lowerRoman"/>
      <w:lvlText w:val="%3"/>
      <w:lvlJc w:val="left"/>
      <w:pPr>
        <w:ind w:left="216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3">
      <w:start w:val="1"/>
      <w:numFmt w:val="decimal"/>
      <w:lvlText w:val="%4"/>
      <w:lvlJc w:val="left"/>
      <w:pPr>
        <w:ind w:left="288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4">
      <w:start w:val="1"/>
      <w:numFmt w:val="lowerLetter"/>
      <w:lvlText w:val="%5"/>
      <w:lvlJc w:val="left"/>
      <w:pPr>
        <w:ind w:left="360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5">
      <w:start w:val="1"/>
      <w:numFmt w:val="lowerRoman"/>
      <w:lvlText w:val="%6"/>
      <w:lvlJc w:val="left"/>
      <w:pPr>
        <w:ind w:left="432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6">
      <w:start w:val="1"/>
      <w:numFmt w:val="decimal"/>
      <w:lvlText w:val="%7"/>
      <w:lvlJc w:val="left"/>
      <w:pPr>
        <w:ind w:left="504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7">
      <w:start w:val="1"/>
      <w:numFmt w:val="lowerLetter"/>
      <w:lvlText w:val="%8"/>
      <w:lvlJc w:val="left"/>
      <w:pPr>
        <w:ind w:left="576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8">
      <w:start w:val="1"/>
      <w:numFmt w:val="lowerRoman"/>
      <w:lvlText w:val="%9"/>
      <w:lvlJc w:val="left"/>
      <w:pPr>
        <w:ind w:left="648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abstractNum>
  <w:abstractNum w:abstractNumId="102" w15:restartNumberingAfterBreak="0">
    <w:nsid w:val="6C9A1D24"/>
    <w:multiLevelType w:val="multilevel"/>
    <w:tmpl w:val="267A6C48"/>
    <w:styleLink w:val="WW8Num1"/>
    <w:lvl w:ilvl="0">
      <w:start w:val="1"/>
      <w:numFmt w:val="none"/>
      <w:suff w:val="nothing"/>
      <w:lvlText w:val="%1"/>
      <w:lvlJc w:val="left"/>
      <w:pPr>
        <w:ind w:left="432" w:hanging="432"/>
      </w:pPr>
    </w:lvl>
    <w:lvl w:ilvl="1">
      <w:start w:val="1"/>
      <w:numFmt w:val="none"/>
      <w:suff w:val="nothing"/>
      <w:lvlText w:val="%2"/>
      <w:lvlJc w:val="left"/>
      <w:pPr>
        <w:ind w:left="576" w:hanging="576"/>
      </w:pPr>
    </w:lvl>
    <w:lvl w:ilvl="2">
      <w:start w:val="1"/>
      <w:numFmt w:val="none"/>
      <w:suff w:val="nothing"/>
      <w:lvlText w:val="%3"/>
      <w:lvlJc w:val="left"/>
      <w:pPr>
        <w:ind w:left="720" w:hanging="720"/>
      </w:pPr>
    </w:lvl>
    <w:lvl w:ilvl="3">
      <w:start w:val="1"/>
      <w:numFmt w:val="none"/>
      <w:suff w:val="nothing"/>
      <w:lvlText w:val="%4"/>
      <w:lvlJc w:val="left"/>
      <w:pPr>
        <w:ind w:left="864" w:hanging="864"/>
      </w:pPr>
    </w:lvl>
    <w:lvl w:ilvl="4">
      <w:start w:val="1"/>
      <w:numFmt w:val="none"/>
      <w:suff w:val="nothing"/>
      <w:lvlText w:val="%5"/>
      <w:lvlJc w:val="left"/>
      <w:pPr>
        <w:ind w:left="1008" w:hanging="1008"/>
      </w:pPr>
    </w:lvl>
    <w:lvl w:ilvl="5">
      <w:start w:val="1"/>
      <w:numFmt w:val="none"/>
      <w:suff w:val="nothing"/>
      <w:lvlText w:val="%6"/>
      <w:lvlJc w:val="left"/>
      <w:pPr>
        <w:ind w:left="1152" w:hanging="1152"/>
      </w:pPr>
    </w:lvl>
    <w:lvl w:ilvl="6">
      <w:start w:val="1"/>
      <w:numFmt w:val="none"/>
      <w:suff w:val="nothing"/>
      <w:lvlText w:val="%7"/>
      <w:lvlJc w:val="left"/>
      <w:pPr>
        <w:ind w:left="1296" w:hanging="1296"/>
      </w:pPr>
    </w:lvl>
    <w:lvl w:ilvl="7">
      <w:start w:val="1"/>
      <w:numFmt w:val="none"/>
      <w:suff w:val="nothing"/>
      <w:lvlText w:val="%8"/>
      <w:lvlJc w:val="left"/>
      <w:pPr>
        <w:ind w:left="1440" w:hanging="1440"/>
      </w:pPr>
    </w:lvl>
    <w:lvl w:ilvl="8">
      <w:start w:val="1"/>
      <w:numFmt w:val="none"/>
      <w:suff w:val="nothing"/>
      <w:lvlText w:val="%9"/>
      <w:lvlJc w:val="left"/>
      <w:pPr>
        <w:ind w:left="1584" w:hanging="1584"/>
      </w:pPr>
    </w:lvl>
  </w:abstractNum>
  <w:abstractNum w:abstractNumId="103" w15:restartNumberingAfterBreak="0">
    <w:nsid w:val="6D8433C6"/>
    <w:multiLevelType w:val="multilevel"/>
    <w:tmpl w:val="C8A640AA"/>
    <w:lvl w:ilvl="0">
      <w:start w:val="1"/>
      <w:numFmt w:val="decimal"/>
      <w:lvlText w:val="%1."/>
      <w:lvlJc w:val="left"/>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1">
      <w:start w:val="1"/>
      <w:numFmt w:val="lowerLetter"/>
      <w:lvlText w:val="%2"/>
      <w:lvlJc w:val="left"/>
      <w:pPr>
        <w:ind w:left="1440"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2">
      <w:start w:val="1"/>
      <w:numFmt w:val="lowerRoman"/>
      <w:lvlText w:val="%3"/>
      <w:lvlJc w:val="left"/>
      <w:pPr>
        <w:ind w:left="2160"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3">
      <w:start w:val="1"/>
      <w:numFmt w:val="decimal"/>
      <w:lvlText w:val="%4"/>
      <w:lvlJc w:val="left"/>
      <w:pPr>
        <w:ind w:left="2880"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4">
      <w:start w:val="1"/>
      <w:numFmt w:val="lowerLetter"/>
      <w:lvlText w:val="%5"/>
      <w:lvlJc w:val="left"/>
      <w:pPr>
        <w:ind w:left="3600"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5">
      <w:start w:val="1"/>
      <w:numFmt w:val="lowerRoman"/>
      <w:lvlText w:val="%6"/>
      <w:lvlJc w:val="left"/>
      <w:pPr>
        <w:ind w:left="4320"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6">
      <w:start w:val="1"/>
      <w:numFmt w:val="decimal"/>
      <w:lvlText w:val="%7"/>
      <w:lvlJc w:val="left"/>
      <w:pPr>
        <w:ind w:left="5040"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7">
      <w:start w:val="1"/>
      <w:numFmt w:val="lowerLetter"/>
      <w:lvlText w:val="%8"/>
      <w:lvlJc w:val="left"/>
      <w:pPr>
        <w:ind w:left="5760"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8">
      <w:start w:val="1"/>
      <w:numFmt w:val="lowerRoman"/>
      <w:lvlText w:val="%9"/>
      <w:lvlJc w:val="left"/>
      <w:pPr>
        <w:ind w:left="6480"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abstractNum>
  <w:abstractNum w:abstractNumId="104" w15:restartNumberingAfterBreak="0">
    <w:nsid w:val="7136043D"/>
    <w:multiLevelType w:val="multilevel"/>
    <w:tmpl w:val="70DC34CE"/>
    <w:lvl w:ilvl="0">
      <w:start w:val="1"/>
      <w:numFmt w:val="decimal"/>
      <w:lvlText w:val="%1."/>
      <w:lvlJc w:val="left"/>
      <w:pPr>
        <w:ind w:left="705" w:firstLine="0"/>
      </w:pPr>
      <w:rPr>
        <w:rFonts w:ascii="Arial" w:eastAsia="Calibri" w:hAnsi="Arial" w:cs="Arial"/>
        <w:b/>
        <w:i w:val="0"/>
        <w:strike w:val="0"/>
        <w:dstrike w:val="0"/>
        <w:color w:val="000000"/>
        <w:position w:val="0"/>
        <w:sz w:val="22"/>
        <w:szCs w:val="22"/>
        <w:u w:val="none" w:color="000000"/>
        <w:shd w:val="clear" w:color="auto" w:fill="auto"/>
        <w:vertAlign w:val="baseline"/>
      </w:rPr>
    </w:lvl>
    <w:lvl w:ilvl="1">
      <w:start w:val="1"/>
      <w:numFmt w:val="lowerLetter"/>
      <w:lvlText w:val="%2"/>
      <w:lvlJc w:val="left"/>
      <w:pPr>
        <w:ind w:left="1440"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2">
      <w:start w:val="1"/>
      <w:numFmt w:val="lowerRoman"/>
      <w:lvlText w:val="%3"/>
      <w:lvlJc w:val="left"/>
      <w:pPr>
        <w:ind w:left="2160"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3">
      <w:start w:val="1"/>
      <w:numFmt w:val="decimal"/>
      <w:lvlText w:val="%4"/>
      <w:lvlJc w:val="left"/>
      <w:pPr>
        <w:ind w:left="2880"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4">
      <w:start w:val="1"/>
      <w:numFmt w:val="lowerLetter"/>
      <w:lvlText w:val="%5"/>
      <w:lvlJc w:val="left"/>
      <w:pPr>
        <w:ind w:left="3600"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5">
      <w:start w:val="1"/>
      <w:numFmt w:val="lowerRoman"/>
      <w:lvlText w:val="%6"/>
      <w:lvlJc w:val="left"/>
      <w:pPr>
        <w:ind w:left="4320"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6">
      <w:start w:val="1"/>
      <w:numFmt w:val="decimal"/>
      <w:lvlText w:val="%7"/>
      <w:lvlJc w:val="left"/>
      <w:pPr>
        <w:ind w:left="5040"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7">
      <w:start w:val="1"/>
      <w:numFmt w:val="lowerLetter"/>
      <w:lvlText w:val="%8"/>
      <w:lvlJc w:val="left"/>
      <w:pPr>
        <w:ind w:left="5760"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lvl w:ilvl="8">
      <w:start w:val="1"/>
      <w:numFmt w:val="lowerRoman"/>
      <w:lvlText w:val="%9"/>
      <w:lvlJc w:val="left"/>
      <w:pPr>
        <w:ind w:left="6480" w:firstLine="0"/>
      </w:pPr>
      <w:rPr>
        <w:rFonts w:ascii="Calibri" w:eastAsia="Calibri" w:hAnsi="Calibri" w:cs="Calibri"/>
        <w:b w:val="0"/>
        <w:i w:val="0"/>
        <w:strike w:val="0"/>
        <w:dstrike w:val="0"/>
        <w:color w:val="000000"/>
        <w:position w:val="0"/>
        <w:sz w:val="22"/>
        <w:szCs w:val="22"/>
        <w:u w:val="none" w:color="000000"/>
        <w:shd w:val="clear" w:color="auto" w:fill="auto"/>
        <w:vertAlign w:val="baseline"/>
      </w:rPr>
    </w:lvl>
  </w:abstractNum>
  <w:abstractNum w:abstractNumId="105" w15:restartNumberingAfterBreak="0">
    <w:nsid w:val="71DF3CDA"/>
    <w:multiLevelType w:val="multilevel"/>
    <w:tmpl w:val="6736E21C"/>
    <w:lvl w:ilvl="0">
      <w:start w:val="1"/>
      <w:numFmt w:val="upperLetter"/>
      <w:lvlText w:val="%1)"/>
      <w:lvlJc w:val="left"/>
      <w:pPr>
        <w:ind w:left="599" w:firstLine="0"/>
      </w:pPr>
      <w:rPr>
        <w:rFonts w:ascii="Calibri" w:eastAsia="Calibri" w:hAnsi="Calibri" w:cs="Calibri"/>
        <w:b/>
        <w:bCs/>
        <w:i/>
        <w:iCs/>
        <w:strike w:val="0"/>
        <w:dstrike w:val="0"/>
        <w:color w:val="000000"/>
        <w:position w:val="0"/>
        <w:sz w:val="22"/>
        <w:szCs w:val="22"/>
        <w:u w:val="none" w:color="000000"/>
        <w:shd w:val="clear" w:color="auto" w:fill="auto"/>
        <w:vertAlign w:val="baseline"/>
      </w:rPr>
    </w:lvl>
    <w:lvl w:ilvl="1">
      <w:start w:val="1"/>
      <w:numFmt w:val="lowerLetter"/>
      <w:lvlText w:val="%2"/>
      <w:lvlJc w:val="left"/>
      <w:pPr>
        <w:ind w:left="4953" w:firstLine="0"/>
      </w:pPr>
      <w:rPr>
        <w:rFonts w:ascii="Calibri" w:eastAsia="Calibri" w:hAnsi="Calibri" w:cs="Calibri"/>
        <w:b/>
        <w:bCs/>
        <w:i/>
        <w:iCs/>
        <w:strike w:val="0"/>
        <w:dstrike w:val="0"/>
        <w:color w:val="000000"/>
        <w:position w:val="0"/>
        <w:sz w:val="22"/>
        <w:szCs w:val="22"/>
        <w:u w:val="none" w:color="000000"/>
        <w:shd w:val="clear" w:color="auto" w:fill="auto"/>
        <w:vertAlign w:val="baseline"/>
      </w:rPr>
    </w:lvl>
    <w:lvl w:ilvl="2">
      <w:start w:val="1"/>
      <w:numFmt w:val="lowerRoman"/>
      <w:lvlText w:val="%3"/>
      <w:lvlJc w:val="left"/>
      <w:pPr>
        <w:ind w:left="5673" w:firstLine="0"/>
      </w:pPr>
      <w:rPr>
        <w:rFonts w:ascii="Calibri" w:eastAsia="Calibri" w:hAnsi="Calibri" w:cs="Calibri"/>
        <w:b/>
        <w:bCs/>
        <w:i/>
        <w:iCs/>
        <w:strike w:val="0"/>
        <w:dstrike w:val="0"/>
        <w:color w:val="000000"/>
        <w:position w:val="0"/>
        <w:sz w:val="22"/>
        <w:szCs w:val="22"/>
        <w:u w:val="none" w:color="000000"/>
        <w:shd w:val="clear" w:color="auto" w:fill="auto"/>
        <w:vertAlign w:val="baseline"/>
      </w:rPr>
    </w:lvl>
    <w:lvl w:ilvl="3">
      <w:start w:val="1"/>
      <w:numFmt w:val="decimal"/>
      <w:lvlText w:val="%4"/>
      <w:lvlJc w:val="left"/>
      <w:pPr>
        <w:ind w:left="6393" w:firstLine="0"/>
      </w:pPr>
      <w:rPr>
        <w:rFonts w:ascii="Calibri" w:eastAsia="Calibri" w:hAnsi="Calibri" w:cs="Calibri"/>
        <w:b/>
        <w:bCs/>
        <w:i/>
        <w:iCs/>
        <w:strike w:val="0"/>
        <w:dstrike w:val="0"/>
        <w:color w:val="000000"/>
        <w:position w:val="0"/>
        <w:sz w:val="22"/>
        <w:szCs w:val="22"/>
        <w:u w:val="none" w:color="000000"/>
        <w:shd w:val="clear" w:color="auto" w:fill="auto"/>
        <w:vertAlign w:val="baseline"/>
      </w:rPr>
    </w:lvl>
    <w:lvl w:ilvl="4">
      <w:start w:val="1"/>
      <w:numFmt w:val="lowerLetter"/>
      <w:lvlText w:val="%5"/>
      <w:lvlJc w:val="left"/>
      <w:pPr>
        <w:ind w:left="7113" w:firstLine="0"/>
      </w:pPr>
      <w:rPr>
        <w:rFonts w:ascii="Calibri" w:eastAsia="Calibri" w:hAnsi="Calibri" w:cs="Calibri"/>
        <w:b/>
        <w:bCs/>
        <w:i/>
        <w:iCs/>
        <w:strike w:val="0"/>
        <w:dstrike w:val="0"/>
        <w:color w:val="000000"/>
        <w:position w:val="0"/>
        <w:sz w:val="22"/>
        <w:szCs w:val="22"/>
        <w:u w:val="none" w:color="000000"/>
        <w:shd w:val="clear" w:color="auto" w:fill="auto"/>
        <w:vertAlign w:val="baseline"/>
      </w:rPr>
    </w:lvl>
    <w:lvl w:ilvl="5">
      <w:start w:val="1"/>
      <w:numFmt w:val="lowerRoman"/>
      <w:lvlText w:val="%6"/>
      <w:lvlJc w:val="left"/>
      <w:pPr>
        <w:ind w:left="7833" w:firstLine="0"/>
      </w:pPr>
      <w:rPr>
        <w:rFonts w:ascii="Calibri" w:eastAsia="Calibri" w:hAnsi="Calibri" w:cs="Calibri"/>
        <w:b/>
        <w:bCs/>
        <w:i/>
        <w:iCs/>
        <w:strike w:val="0"/>
        <w:dstrike w:val="0"/>
        <w:color w:val="000000"/>
        <w:position w:val="0"/>
        <w:sz w:val="22"/>
        <w:szCs w:val="22"/>
        <w:u w:val="none" w:color="000000"/>
        <w:shd w:val="clear" w:color="auto" w:fill="auto"/>
        <w:vertAlign w:val="baseline"/>
      </w:rPr>
    </w:lvl>
    <w:lvl w:ilvl="6">
      <w:start w:val="1"/>
      <w:numFmt w:val="decimal"/>
      <w:lvlText w:val="%7"/>
      <w:lvlJc w:val="left"/>
      <w:pPr>
        <w:ind w:left="8553" w:firstLine="0"/>
      </w:pPr>
      <w:rPr>
        <w:rFonts w:ascii="Calibri" w:eastAsia="Calibri" w:hAnsi="Calibri" w:cs="Calibri"/>
        <w:b/>
        <w:bCs/>
        <w:i/>
        <w:iCs/>
        <w:strike w:val="0"/>
        <w:dstrike w:val="0"/>
        <w:color w:val="000000"/>
        <w:position w:val="0"/>
        <w:sz w:val="22"/>
        <w:szCs w:val="22"/>
        <w:u w:val="none" w:color="000000"/>
        <w:shd w:val="clear" w:color="auto" w:fill="auto"/>
        <w:vertAlign w:val="baseline"/>
      </w:rPr>
    </w:lvl>
    <w:lvl w:ilvl="7">
      <w:start w:val="1"/>
      <w:numFmt w:val="lowerLetter"/>
      <w:lvlText w:val="%8"/>
      <w:lvlJc w:val="left"/>
      <w:pPr>
        <w:ind w:left="9273" w:firstLine="0"/>
      </w:pPr>
      <w:rPr>
        <w:rFonts w:ascii="Calibri" w:eastAsia="Calibri" w:hAnsi="Calibri" w:cs="Calibri"/>
        <w:b/>
        <w:bCs/>
        <w:i/>
        <w:iCs/>
        <w:strike w:val="0"/>
        <w:dstrike w:val="0"/>
        <w:color w:val="000000"/>
        <w:position w:val="0"/>
        <w:sz w:val="22"/>
        <w:szCs w:val="22"/>
        <w:u w:val="none" w:color="000000"/>
        <w:shd w:val="clear" w:color="auto" w:fill="auto"/>
        <w:vertAlign w:val="baseline"/>
      </w:rPr>
    </w:lvl>
    <w:lvl w:ilvl="8">
      <w:start w:val="1"/>
      <w:numFmt w:val="lowerRoman"/>
      <w:lvlText w:val="%9"/>
      <w:lvlJc w:val="left"/>
      <w:pPr>
        <w:ind w:left="9993" w:firstLine="0"/>
      </w:pPr>
      <w:rPr>
        <w:rFonts w:ascii="Calibri" w:eastAsia="Calibri" w:hAnsi="Calibri" w:cs="Calibri"/>
        <w:b/>
        <w:bCs/>
        <w:i/>
        <w:iCs/>
        <w:strike w:val="0"/>
        <w:dstrike w:val="0"/>
        <w:color w:val="000000"/>
        <w:position w:val="0"/>
        <w:sz w:val="22"/>
        <w:szCs w:val="22"/>
        <w:u w:val="none" w:color="000000"/>
        <w:shd w:val="clear" w:color="auto" w:fill="auto"/>
        <w:vertAlign w:val="baseline"/>
      </w:rPr>
    </w:lvl>
  </w:abstractNum>
  <w:abstractNum w:abstractNumId="106" w15:restartNumberingAfterBreak="0">
    <w:nsid w:val="72A859F3"/>
    <w:multiLevelType w:val="multilevel"/>
    <w:tmpl w:val="164843FA"/>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7" w15:restartNumberingAfterBreak="0">
    <w:nsid w:val="73386E7F"/>
    <w:multiLevelType w:val="multilevel"/>
    <w:tmpl w:val="7902AE02"/>
    <w:lvl w:ilvl="0">
      <w:numFmt w:val="bullet"/>
      <w:lvlText w:val=""/>
      <w:lvlJc w:val="left"/>
      <w:pPr>
        <w:ind w:left="720" w:hanging="360"/>
      </w:pPr>
      <w:rPr>
        <w:rFonts w:ascii="Symbol" w:hAnsi="Symbol"/>
      </w:rPr>
    </w:lvl>
    <w:lvl w:ilvl="1">
      <w:numFmt w:val="bullet"/>
      <w:lvlText w:val="-"/>
      <w:lvlJc w:val="left"/>
      <w:pPr>
        <w:ind w:left="1440" w:hanging="360"/>
      </w:pPr>
      <w:rPr>
        <w:rFonts w:ascii="Times New Roman" w:hAnsi="Times New Roman" w:cs="Times New Roman"/>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108" w15:restartNumberingAfterBreak="0">
    <w:nsid w:val="74FD51CB"/>
    <w:multiLevelType w:val="multilevel"/>
    <w:tmpl w:val="1C1A590C"/>
    <w:lvl w:ilvl="0">
      <w:start w:val="1"/>
      <w:numFmt w:val="upperLetter"/>
      <w:lvlText w:val="%1)"/>
      <w:lvlJc w:val="left"/>
      <w:pPr>
        <w:ind w:left="1068" w:hanging="360"/>
      </w:pPr>
    </w:lvl>
    <w:lvl w:ilvl="1">
      <w:start w:val="1"/>
      <w:numFmt w:val="lowerLetter"/>
      <w:lvlText w:val="%2."/>
      <w:lvlJc w:val="left"/>
      <w:pPr>
        <w:ind w:left="1788" w:hanging="360"/>
      </w:pPr>
    </w:lvl>
    <w:lvl w:ilvl="2">
      <w:start w:val="1"/>
      <w:numFmt w:val="lowerRoman"/>
      <w:lvlText w:val="%3."/>
      <w:lvlJc w:val="right"/>
      <w:pPr>
        <w:ind w:left="2508" w:hanging="180"/>
      </w:pPr>
    </w:lvl>
    <w:lvl w:ilvl="3">
      <w:start w:val="1"/>
      <w:numFmt w:val="decimal"/>
      <w:lvlText w:val="%4."/>
      <w:lvlJc w:val="left"/>
      <w:pPr>
        <w:ind w:left="3228" w:hanging="360"/>
      </w:pPr>
    </w:lvl>
    <w:lvl w:ilvl="4">
      <w:start w:val="1"/>
      <w:numFmt w:val="lowerLetter"/>
      <w:lvlText w:val="%5."/>
      <w:lvlJc w:val="left"/>
      <w:pPr>
        <w:ind w:left="3948" w:hanging="360"/>
      </w:pPr>
    </w:lvl>
    <w:lvl w:ilvl="5">
      <w:start w:val="1"/>
      <w:numFmt w:val="lowerRoman"/>
      <w:lvlText w:val="%6."/>
      <w:lvlJc w:val="right"/>
      <w:pPr>
        <w:ind w:left="4668" w:hanging="180"/>
      </w:pPr>
    </w:lvl>
    <w:lvl w:ilvl="6">
      <w:start w:val="1"/>
      <w:numFmt w:val="decimal"/>
      <w:lvlText w:val="%7."/>
      <w:lvlJc w:val="left"/>
      <w:pPr>
        <w:ind w:left="5388" w:hanging="360"/>
      </w:pPr>
    </w:lvl>
    <w:lvl w:ilvl="7">
      <w:start w:val="1"/>
      <w:numFmt w:val="lowerLetter"/>
      <w:lvlText w:val="%8."/>
      <w:lvlJc w:val="left"/>
      <w:pPr>
        <w:ind w:left="6108" w:hanging="360"/>
      </w:pPr>
    </w:lvl>
    <w:lvl w:ilvl="8">
      <w:start w:val="1"/>
      <w:numFmt w:val="lowerRoman"/>
      <w:lvlText w:val="%9."/>
      <w:lvlJc w:val="right"/>
      <w:pPr>
        <w:ind w:left="6828" w:hanging="180"/>
      </w:pPr>
    </w:lvl>
  </w:abstractNum>
  <w:abstractNum w:abstractNumId="109" w15:restartNumberingAfterBreak="0">
    <w:nsid w:val="755E6709"/>
    <w:multiLevelType w:val="multilevel"/>
    <w:tmpl w:val="477A6416"/>
    <w:lvl w:ilvl="0">
      <w:start w:val="1"/>
      <w:numFmt w:val="decimal"/>
      <w:lvlText w:val="%1-"/>
      <w:lvlJc w:val="left"/>
      <w:pPr>
        <w:ind w:left="369" w:hanging="360"/>
      </w:pPr>
      <w:rPr>
        <w:rFonts w:eastAsia="Arial" w:cs="Arial"/>
        <w:b/>
      </w:rPr>
    </w:lvl>
    <w:lvl w:ilvl="1">
      <w:start w:val="1"/>
      <w:numFmt w:val="lowerLetter"/>
      <w:lvlText w:val="%2."/>
      <w:lvlJc w:val="left"/>
      <w:pPr>
        <w:ind w:left="1089" w:hanging="360"/>
      </w:pPr>
    </w:lvl>
    <w:lvl w:ilvl="2">
      <w:start w:val="1"/>
      <w:numFmt w:val="lowerRoman"/>
      <w:lvlText w:val="%3."/>
      <w:lvlJc w:val="right"/>
      <w:pPr>
        <w:ind w:left="1809" w:hanging="180"/>
      </w:pPr>
    </w:lvl>
    <w:lvl w:ilvl="3">
      <w:start w:val="1"/>
      <w:numFmt w:val="decimal"/>
      <w:lvlText w:val="%4."/>
      <w:lvlJc w:val="left"/>
      <w:pPr>
        <w:ind w:left="2529" w:hanging="360"/>
      </w:pPr>
    </w:lvl>
    <w:lvl w:ilvl="4">
      <w:start w:val="1"/>
      <w:numFmt w:val="lowerLetter"/>
      <w:lvlText w:val="%5."/>
      <w:lvlJc w:val="left"/>
      <w:pPr>
        <w:ind w:left="3249" w:hanging="360"/>
      </w:pPr>
    </w:lvl>
    <w:lvl w:ilvl="5">
      <w:start w:val="1"/>
      <w:numFmt w:val="lowerRoman"/>
      <w:lvlText w:val="%6."/>
      <w:lvlJc w:val="right"/>
      <w:pPr>
        <w:ind w:left="3969" w:hanging="180"/>
      </w:pPr>
    </w:lvl>
    <w:lvl w:ilvl="6">
      <w:start w:val="1"/>
      <w:numFmt w:val="decimal"/>
      <w:lvlText w:val="%7."/>
      <w:lvlJc w:val="left"/>
      <w:pPr>
        <w:ind w:left="4689" w:hanging="360"/>
      </w:pPr>
    </w:lvl>
    <w:lvl w:ilvl="7">
      <w:start w:val="1"/>
      <w:numFmt w:val="lowerLetter"/>
      <w:lvlText w:val="%8."/>
      <w:lvlJc w:val="left"/>
      <w:pPr>
        <w:ind w:left="5409" w:hanging="360"/>
      </w:pPr>
    </w:lvl>
    <w:lvl w:ilvl="8">
      <w:start w:val="1"/>
      <w:numFmt w:val="lowerRoman"/>
      <w:lvlText w:val="%9."/>
      <w:lvlJc w:val="right"/>
      <w:pPr>
        <w:ind w:left="6129" w:hanging="180"/>
      </w:pPr>
    </w:lvl>
  </w:abstractNum>
  <w:abstractNum w:abstractNumId="110" w15:restartNumberingAfterBreak="0">
    <w:nsid w:val="75F8066B"/>
    <w:multiLevelType w:val="multilevel"/>
    <w:tmpl w:val="D826C26C"/>
    <w:lvl w:ilvl="0">
      <w:start w:val="1"/>
      <w:numFmt w:val="decimal"/>
      <w:lvlText w:val="%1."/>
      <w:lvlJc w:val="left"/>
      <w:pPr>
        <w:ind w:left="285" w:firstLine="0"/>
      </w:pPr>
      <w:rPr>
        <w:rFonts w:ascii="Arial" w:eastAsia="Arial" w:hAnsi="Arial" w:cs="Arial"/>
        <w:b/>
        <w:bCs/>
        <w:i w:val="0"/>
        <w:strike w:val="0"/>
        <w:dstrike w:val="0"/>
        <w:color w:val="000000"/>
        <w:position w:val="0"/>
        <w:sz w:val="22"/>
        <w:szCs w:val="22"/>
        <w:u w:val="none" w:color="000000"/>
        <w:shd w:val="clear" w:color="auto" w:fill="auto"/>
        <w:vertAlign w:val="baseline"/>
      </w:rPr>
    </w:lvl>
    <w:lvl w:ilvl="1">
      <w:start w:val="1"/>
      <w:numFmt w:val="lowerLetter"/>
      <w:lvlText w:val="%2"/>
      <w:lvlJc w:val="left"/>
      <w:pPr>
        <w:ind w:left="1080" w:firstLine="0"/>
      </w:pPr>
      <w:rPr>
        <w:rFonts w:ascii="Arial" w:eastAsia="Arial" w:hAnsi="Arial" w:cs="Arial"/>
        <w:b/>
        <w:bCs/>
        <w:i w:val="0"/>
        <w:strike w:val="0"/>
        <w:dstrike w:val="0"/>
        <w:color w:val="000000"/>
        <w:position w:val="0"/>
        <w:sz w:val="22"/>
        <w:szCs w:val="22"/>
        <w:u w:val="none" w:color="000000"/>
        <w:shd w:val="clear" w:color="auto" w:fill="auto"/>
        <w:vertAlign w:val="baseline"/>
      </w:rPr>
    </w:lvl>
    <w:lvl w:ilvl="2">
      <w:start w:val="1"/>
      <w:numFmt w:val="lowerRoman"/>
      <w:lvlText w:val="%3"/>
      <w:lvlJc w:val="left"/>
      <w:pPr>
        <w:ind w:left="1800" w:firstLine="0"/>
      </w:pPr>
      <w:rPr>
        <w:rFonts w:ascii="Arial" w:eastAsia="Arial" w:hAnsi="Arial" w:cs="Arial"/>
        <w:b/>
        <w:bCs/>
        <w:i w:val="0"/>
        <w:strike w:val="0"/>
        <w:dstrike w:val="0"/>
        <w:color w:val="000000"/>
        <w:position w:val="0"/>
        <w:sz w:val="22"/>
        <w:szCs w:val="22"/>
        <w:u w:val="none" w:color="000000"/>
        <w:shd w:val="clear" w:color="auto" w:fill="auto"/>
        <w:vertAlign w:val="baseline"/>
      </w:rPr>
    </w:lvl>
    <w:lvl w:ilvl="3">
      <w:start w:val="1"/>
      <w:numFmt w:val="decimal"/>
      <w:lvlText w:val="%4"/>
      <w:lvlJc w:val="left"/>
      <w:pPr>
        <w:ind w:left="2520" w:firstLine="0"/>
      </w:pPr>
      <w:rPr>
        <w:rFonts w:ascii="Arial" w:eastAsia="Arial" w:hAnsi="Arial" w:cs="Arial"/>
        <w:b/>
        <w:bCs/>
        <w:i w:val="0"/>
        <w:strike w:val="0"/>
        <w:dstrike w:val="0"/>
        <w:color w:val="000000"/>
        <w:position w:val="0"/>
        <w:sz w:val="22"/>
        <w:szCs w:val="22"/>
        <w:u w:val="none" w:color="000000"/>
        <w:shd w:val="clear" w:color="auto" w:fill="auto"/>
        <w:vertAlign w:val="baseline"/>
      </w:rPr>
    </w:lvl>
    <w:lvl w:ilvl="4">
      <w:start w:val="1"/>
      <w:numFmt w:val="lowerLetter"/>
      <w:lvlText w:val="%5"/>
      <w:lvlJc w:val="left"/>
      <w:pPr>
        <w:ind w:left="3240" w:firstLine="0"/>
      </w:pPr>
      <w:rPr>
        <w:rFonts w:ascii="Arial" w:eastAsia="Arial" w:hAnsi="Arial" w:cs="Arial"/>
        <w:b/>
        <w:bCs/>
        <w:i w:val="0"/>
        <w:strike w:val="0"/>
        <w:dstrike w:val="0"/>
        <w:color w:val="000000"/>
        <w:position w:val="0"/>
        <w:sz w:val="22"/>
        <w:szCs w:val="22"/>
        <w:u w:val="none" w:color="000000"/>
        <w:shd w:val="clear" w:color="auto" w:fill="auto"/>
        <w:vertAlign w:val="baseline"/>
      </w:rPr>
    </w:lvl>
    <w:lvl w:ilvl="5">
      <w:start w:val="1"/>
      <w:numFmt w:val="lowerRoman"/>
      <w:lvlText w:val="%6"/>
      <w:lvlJc w:val="left"/>
      <w:pPr>
        <w:ind w:left="3960" w:firstLine="0"/>
      </w:pPr>
      <w:rPr>
        <w:rFonts w:ascii="Arial" w:eastAsia="Arial" w:hAnsi="Arial" w:cs="Arial"/>
        <w:b/>
        <w:bCs/>
        <w:i w:val="0"/>
        <w:strike w:val="0"/>
        <w:dstrike w:val="0"/>
        <w:color w:val="000000"/>
        <w:position w:val="0"/>
        <w:sz w:val="22"/>
        <w:szCs w:val="22"/>
        <w:u w:val="none" w:color="000000"/>
        <w:shd w:val="clear" w:color="auto" w:fill="auto"/>
        <w:vertAlign w:val="baseline"/>
      </w:rPr>
    </w:lvl>
    <w:lvl w:ilvl="6">
      <w:start w:val="1"/>
      <w:numFmt w:val="decimal"/>
      <w:lvlText w:val="%7"/>
      <w:lvlJc w:val="left"/>
      <w:pPr>
        <w:ind w:left="4680" w:firstLine="0"/>
      </w:pPr>
      <w:rPr>
        <w:rFonts w:ascii="Arial" w:eastAsia="Arial" w:hAnsi="Arial" w:cs="Arial"/>
        <w:b/>
        <w:bCs/>
        <w:i w:val="0"/>
        <w:strike w:val="0"/>
        <w:dstrike w:val="0"/>
        <w:color w:val="000000"/>
        <w:position w:val="0"/>
        <w:sz w:val="22"/>
        <w:szCs w:val="22"/>
        <w:u w:val="none" w:color="000000"/>
        <w:shd w:val="clear" w:color="auto" w:fill="auto"/>
        <w:vertAlign w:val="baseline"/>
      </w:rPr>
    </w:lvl>
    <w:lvl w:ilvl="7">
      <w:start w:val="1"/>
      <w:numFmt w:val="lowerLetter"/>
      <w:lvlText w:val="%8"/>
      <w:lvlJc w:val="left"/>
      <w:pPr>
        <w:ind w:left="5400" w:firstLine="0"/>
      </w:pPr>
      <w:rPr>
        <w:rFonts w:ascii="Arial" w:eastAsia="Arial" w:hAnsi="Arial" w:cs="Arial"/>
        <w:b/>
        <w:bCs/>
        <w:i w:val="0"/>
        <w:strike w:val="0"/>
        <w:dstrike w:val="0"/>
        <w:color w:val="000000"/>
        <w:position w:val="0"/>
        <w:sz w:val="22"/>
        <w:szCs w:val="22"/>
        <w:u w:val="none" w:color="000000"/>
        <w:shd w:val="clear" w:color="auto" w:fill="auto"/>
        <w:vertAlign w:val="baseline"/>
      </w:rPr>
    </w:lvl>
    <w:lvl w:ilvl="8">
      <w:start w:val="1"/>
      <w:numFmt w:val="lowerRoman"/>
      <w:lvlText w:val="%9"/>
      <w:lvlJc w:val="left"/>
      <w:pPr>
        <w:ind w:left="6120" w:firstLine="0"/>
      </w:pPr>
      <w:rPr>
        <w:rFonts w:ascii="Arial" w:eastAsia="Arial" w:hAnsi="Arial" w:cs="Arial"/>
        <w:b/>
        <w:bCs/>
        <w:i w:val="0"/>
        <w:strike w:val="0"/>
        <w:dstrike w:val="0"/>
        <w:color w:val="000000"/>
        <w:position w:val="0"/>
        <w:sz w:val="22"/>
        <w:szCs w:val="22"/>
        <w:u w:val="none" w:color="000000"/>
        <w:shd w:val="clear" w:color="auto" w:fill="auto"/>
        <w:vertAlign w:val="baseline"/>
      </w:rPr>
    </w:lvl>
  </w:abstractNum>
  <w:abstractNum w:abstractNumId="111" w15:restartNumberingAfterBreak="0">
    <w:nsid w:val="76892F1A"/>
    <w:multiLevelType w:val="multilevel"/>
    <w:tmpl w:val="799E44D0"/>
    <w:lvl w:ilvl="0">
      <w:start w:val="13"/>
      <w:numFmt w:val="decimal"/>
      <w:lvlText w:val="%1."/>
      <w:lvlJc w:val="left"/>
      <w:pPr>
        <w:ind w:left="369"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1">
      <w:start w:val="1"/>
      <w:numFmt w:val="lowerLetter"/>
      <w:lvlText w:val="%2"/>
      <w:lvlJc w:val="left"/>
      <w:pPr>
        <w:ind w:left="108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2">
      <w:start w:val="1"/>
      <w:numFmt w:val="lowerRoman"/>
      <w:lvlText w:val="%3"/>
      <w:lvlJc w:val="left"/>
      <w:pPr>
        <w:ind w:left="180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3">
      <w:start w:val="1"/>
      <w:numFmt w:val="decimal"/>
      <w:lvlText w:val="%4"/>
      <w:lvlJc w:val="left"/>
      <w:pPr>
        <w:ind w:left="252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4">
      <w:start w:val="1"/>
      <w:numFmt w:val="lowerLetter"/>
      <w:lvlText w:val="%5"/>
      <w:lvlJc w:val="left"/>
      <w:pPr>
        <w:ind w:left="324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5">
      <w:start w:val="1"/>
      <w:numFmt w:val="lowerRoman"/>
      <w:lvlText w:val="%6"/>
      <w:lvlJc w:val="left"/>
      <w:pPr>
        <w:ind w:left="396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6">
      <w:start w:val="1"/>
      <w:numFmt w:val="decimal"/>
      <w:lvlText w:val="%7"/>
      <w:lvlJc w:val="left"/>
      <w:pPr>
        <w:ind w:left="468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7">
      <w:start w:val="1"/>
      <w:numFmt w:val="lowerLetter"/>
      <w:lvlText w:val="%8"/>
      <w:lvlJc w:val="left"/>
      <w:pPr>
        <w:ind w:left="540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8">
      <w:start w:val="1"/>
      <w:numFmt w:val="lowerRoman"/>
      <w:lvlText w:val="%9"/>
      <w:lvlJc w:val="left"/>
      <w:pPr>
        <w:ind w:left="612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abstractNum>
  <w:abstractNum w:abstractNumId="112" w15:restartNumberingAfterBreak="0">
    <w:nsid w:val="776A5CE3"/>
    <w:multiLevelType w:val="multilevel"/>
    <w:tmpl w:val="7D361180"/>
    <w:lvl w:ilvl="0">
      <w:start w:val="7"/>
      <w:numFmt w:val="decimal"/>
      <w:lvlText w:val="%1."/>
      <w:lvlJc w:val="left"/>
      <w:pPr>
        <w:ind w:left="975" w:firstLine="0"/>
      </w:pPr>
      <w:rPr>
        <w:rFonts w:ascii="Arial" w:eastAsia="Arial" w:hAnsi="Arial" w:cs="Arial"/>
        <w:b/>
        <w:bCs/>
        <w:i w:val="0"/>
        <w:strike w:val="0"/>
        <w:dstrike w:val="0"/>
        <w:color w:val="000000"/>
        <w:position w:val="0"/>
        <w:sz w:val="24"/>
        <w:szCs w:val="24"/>
        <w:u w:val="none" w:color="000000"/>
        <w:shd w:val="clear" w:color="auto" w:fill="auto"/>
        <w:vertAlign w:val="baseline"/>
      </w:rPr>
    </w:lvl>
    <w:lvl w:ilvl="1">
      <w:start w:val="1"/>
      <w:numFmt w:val="decimal"/>
      <w:lvlText w:val="%1.%2."/>
      <w:lvlJc w:val="left"/>
      <w:pPr>
        <w:ind w:left="1211" w:firstLine="0"/>
      </w:pPr>
      <w:rPr>
        <w:rFonts w:ascii="Arial" w:eastAsia="Arial" w:hAnsi="Arial" w:cs="Arial"/>
        <w:b/>
        <w:bCs/>
        <w:i w:val="0"/>
        <w:strike w:val="0"/>
        <w:dstrike w:val="0"/>
        <w:color w:val="000000"/>
        <w:position w:val="0"/>
        <w:sz w:val="22"/>
        <w:szCs w:val="22"/>
        <w:u w:val="none" w:color="000000"/>
        <w:shd w:val="clear" w:color="auto" w:fill="auto"/>
        <w:vertAlign w:val="baseline"/>
      </w:rPr>
    </w:lvl>
    <w:lvl w:ilvl="2">
      <w:start w:val="1"/>
      <w:numFmt w:val="lowerRoman"/>
      <w:lvlText w:val="%3"/>
      <w:lvlJc w:val="left"/>
      <w:pPr>
        <w:ind w:left="1788" w:firstLine="0"/>
      </w:pPr>
      <w:rPr>
        <w:rFonts w:ascii="Arial" w:eastAsia="Arial" w:hAnsi="Arial" w:cs="Arial"/>
        <w:b/>
        <w:bCs/>
        <w:i w:val="0"/>
        <w:strike w:val="0"/>
        <w:dstrike w:val="0"/>
        <w:color w:val="000000"/>
        <w:position w:val="0"/>
        <w:sz w:val="22"/>
        <w:szCs w:val="22"/>
        <w:u w:val="none" w:color="000000"/>
        <w:shd w:val="clear" w:color="auto" w:fill="auto"/>
        <w:vertAlign w:val="baseline"/>
      </w:rPr>
    </w:lvl>
    <w:lvl w:ilvl="3">
      <w:start w:val="1"/>
      <w:numFmt w:val="decimal"/>
      <w:lvlText w:val="%4"/>
      <w:lvlJc w:val="left"/>
      <w:pPr>
        <w:ind w:left="2508" w:firstLine="0"/>
      </w:pPr>
      <w:rPr>
        <w:rFonts w:ascii="Arial" w:eastAsia="Arial" w:hAnsi="Arial" w:cs="Arial"/>
        <w:b/>
        <w:bCs/>
        <w:i w:val="0"/>
        <w:strike w:val="0"/>
        <w:dstrike w:val="0"/>
        <w:color w:val="000000"/>
        <w:position w:val="0"/>
        <w:sz w:val="22"/>
        <w:szCs w:val="22"/>
        <w:u w:val="none" w:color="000000"/>
        <w:shd w:val="clear" w:color="auto" w:fill="auto"/>
        <w:vertAlign w:val="baseline"/>
      </w:rPr>
    </w:lvl>
    <w:lvl w:ilvl="4">
      <w:start w:val="1"/>
      <w:numFmt w:val="lowerLetter"/>
      <w:lvlText w:val="%5"/>
      <w:lvlJc w:val="left"/>
      <w:pPr>
        <w:ind w:left="3228" w:firstLine="0"/>
      </w:pPr>
      <w:rPr>
        <w:rFonts w:ascii="Arial" w:eastAsia="Arial" w:hAnsi="Arial" w:cs="Arial"/>
        <w:b/>
        <w:bCs/>
        <w:i w:val="0"/>
        <w:strike w:val="0"/>
        <w:dstrike w:val="0"/>
        <w:color w:val="000000"/>
        <w:position w:val="0"/>
        <w:sz w:val="22"/>
        <w:szCs w:val="22"/>
        <w:u w:val="none" w:color="000000"/>
        <w:shd w:val="clear" w:color="auto" w:fill="auto"/>
        <w:vertAlign w:val="baseline"/>
      </w:rPr>
    </w:lvl>
    <w:lvl w:ilvl="5">
      <w:start w:val="1"/>
      <w:numFmt w:val="lowerRoman"/>
      <w:lvlText w:val="%6"/>
      <w:lvlJc w:val="left"/>
      <w:pPr>
        <w:ind w:left="3948" w:firstLine="0"/>
      </w:pPr>
      <w:rPr>
        <w:rFonts w:ascii="Arial" w:eastAsia="Arial" w:hAnsi="Arial" w:cs="Arial"/>
        <w:b/>
        <w:bCs/>
        <w:i w:val="0"/>
        <w:strike w:val="0"/>
        <w:dstrike w:val="0"/>
        <w:color w:val="000000"/>
        <w:position w:val="0"/>
        <w:sz w:val="22"/>
        <w:szCs w:val="22"/>
        <w:u w:val="none" w:color="000000"/>
        <w:shd w:val="clear" w:color="auto" w:fill="auto"/>
        <w:vertAlign w:val="baseline"/>
      </w:rPr>
    </w:lvl>
    <w:lvl w:ilvl="6">
      <w:start w:val="1"/>
      <w:numFmt w:val="decimal"/>
      <w:lvlText w:val="%7"/>
      <w:lvlJc w:val="left"/>
      <w:pPr>
        <w:ind w:left="4668" w:firstLine="0"/>
      </w:pPr>
      <w:rPr>
        <w:rFonts w:ascii="Arial" w:eastAsia="Arial" w:hAnsi="Arial" w:cs="Arial"/>
        <w:b/>
        <w:bCs/>
        <w:i w:val="0"/>
        <w:strike w:val="0"/>
        <w:dstrike w:val="0"/>
        <w:color w:val="000000"/>
        <w:position w:val="0"/>
        <w:sz w:val="22"/>
        <w:szCs w:val="22"/>
        <w:u w:val="none" w:color="000000"/>
        <w:shd w:val="clear" w:color="auto" w:fill="auto"/>
        <w:vertAlign w:val="baseline"/>
      </w:rPr>
    </w:lvl>
    <w:lvl w:ilvl="7">
      <w:start w:val="1"/>
      <w:numFmt w:val="lowerLetter"/>
      <w:lvlText w:val="%8"/>
      <w:lvlJc w:val="left"/>
      <w:pPr>
        <w:ind w:left="5388" w:firstLine="0"/>
      </w:pPr>
      <w:rPr>
        <w:rFonts w:ascii="Arial" w:eastAsia="Arial" w:hAnsi="Arial" w:cs="Arial"/>
        <w:b/>
        <w:bCs/>
        <w:i w:val="0"/>
        <w:strike w:val="0"/>
        <w:dstrike w:val="0"/>
        <w:color w:val="000000"/>
        <w:position w:val="0"/>
        <w:sz w:val="22"/>
        <w:szCs w:val="22"/>
        <w:u w:val="none" w:color="000000"/>
        <w:shd w:val="clear" w:color="auto" w:fill="auto"/>
        <w:vertAlign w:val="baseline"/>
      </w:rPr>
    </w:lvl>
    <w:lvl w:ilvl="8">
      <w:start w:val="1"/>
      <w:numFmt w:val="lowerRoman"/>
      <w:lvlText w:val="%9"/>
      <w:lvlJc w:val="left"/>
      <w:pPr>
        <w:ind w:left="6108" w:firstLine="0"/>
      </w:pPr>
      <w:rPr>
        <w:rFonts w:ascii="Arial" w:eastAsia="Arial" w:hAnsi="Arial" w:cs="Arial"/>
        <w:b/>
        <w:bCs/>
        <w:i w:val="0"/>
        <w:strike w:val="0"/>
        <w:dstrike w:val="0"/>
        <w:color w:val="000000"/>
        <w:position w:val="0"/>
        <w:sz w:val="22"/>
        <w:szCs w:val="22"/>
        <w:u w:val="none" w:color="000000"/>
        <w:shd w:val="clear" w:color="auto" w:fill="auto"/>
        <w:vertAlign w:val="baseline"/>
      </w:rPr>
    </w:lvl>
  </w:abstractNum>
  <w:abstractNum w:abstractNumId="113" w15:restartNumberingAfterBreak="0">
    <w:nsid w:val="785C2467"/>
    <w:multiLevelType w:val="multilevel"/>
    <w:tmpl w:val="64BE60A0"/>
    <w:lvl w:ilvl="0">
      <w:start w:val="3"/>
      <w:numFmt w:val="lowerLetter"/>
      <w:lvlText w:val="%1)"/>
      <w:lvlJc w:val="left"/>
      <w:rPr>
        <w:rFonts w:ascii="Calibri" w:eastAsia="Calibri" w:hAnsi="Calibri" w:cs="Calibri"/>
        <w:b w:val="0"/>
        <w:i/>
        <w:iCs/>
        <w:strike w:val="0"/>
        <w:dstrike w:val="0"/>
        <w:color w:val="000000"/>
        <w:position w:val="0"/>
        <w:sz w:val="22"/>
        <w:szCs w:val="22"/>
        <w:u w:val="none" w:color="000000"/>
        <w:shd w:val="clear" w:color="auto" w:fill="auto"/>
        <w:vertAlign w:val="baseline"/>
      </w:rPr>
    </w:lvl>
    <w:lvl w:ilvl="1">
      <w:start w:val="1"/>
      <w:numFmt w:val="lowerLetter"/>
      <w:lvlText w:val="%2"/>
      <w:lvlJc w:val="left"/>
      <w:pPr>
        <w:ind w:left="144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2">
      <w:start w:val="1"/>
      <w:numFmt w:val="lowerRoman"/>
      <w:lvlText w:val="%3"/>
      <w:lvlJc w:val="left"/>
      <w:pPr>
        <w:ind w:left="216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3">
      <w:start w:val="1"/>
      <w:numFmt w:val="decimal"/>
      <w:lvlText w:val="%4"/>
      <w:lvlJc w:val="left"/>
      <w:pPr>
        <w:ind w:left="288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4">
      <w:start w:val="1"/>
      <w:numFmt w:val="lowerLetter"/>
      <w:lvlText w:val="%5"/>
      <w:lvlJc w:val="left"/>
      <w:pPr>
        <w:ind w:left="360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5">
      <w:start w:val="1"/>
      <w:numFmt w:val="lowerRoman"/>
      <w:lvlText w:val="%6"/>
      <w:lvlJc w:val="left"/>
      <w:pPr>
        <w:ind w:left="432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6">
      <w:start w:val="1"/>
      <w:numFmt w:val="decimal"/>
      <w:lvlText w:val="%7"/>
      <w:lvlJc w:val="left"/>
      <w:pPr>
        <w:ind w:left="504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7">
      <w:start w:val="1"/>
      <w:numFmt w:val="lowerLetter"/>
      <w:lvlText w:val="%8"/>
      <w:lvlJc w:val="left"/>
      <w:pPr>
        <w:ind w:left="576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8">
      <w:start w:val="1"/>
      <w:numFmt w:val="lowerRoman"/>
      <w:lvlText w:val="%9"/>
      <w:lvlJc w:val="left"/>
      <w:pPr>
        <w:ind w:left="648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abstractNum>
  <w:abstractNum w:abstractNumId="114" w15:restartNumberingAfterBreak="0">
    <w:nsid w:val="78AE0C71"/>
    <w:multiLevelType w:val="multilevel"/>
    <w:tmpl w:val="F0A81484"/>
    <w:lvl w:ilvl="0">
      <w:start w:val="1"/>
      <w:numFmt w:val="lowerLetter"/>
      <w:lvlText w:val="%1)"/>
      <w:lvlJc w:val="left"/>
      <w:rPr>
        <w:rFonts w:ascii="Arial" w:eastAsia="Arial" w:hAnsi="Arial" w:cs="Arial"/>
        <w:b w:val="0"/>
        <w:i w:val="0"/>
        <w:strike w:val="0"/>
        <w:dstrike w:val="0"/>
        <w:color w:val="000000"/>
        <w:position w:val="0"/>
        <w:sz w:val="22"/>
        <w:szCs w:val="22"/>
        <w:u w:val="none" w:color="000000"/>
        <w:shd w:val="clear" w:color="auto" w:fill="auto"/>
        <w:vertAlign w:val="baseline"/>
      </w:rPr>
    </w:lvl>
    <w:lvl w:ilvl="1">
      <w:start w:val="1"/>
      <w:numFmt w:val="lowerLetter"/>
      <w:lvlText w:val="%2"/>
      <w:lvlJc w:val="left"/>
      <w:pPr>
        <w:ind w:left="1788"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2">
      <w:start w:val="1"/>
      <w:numFmt w:val="lowerRoman"/>
      <w:lvlText w:val="%3"/>
      <w:lvlJc w:val="left"/>
      <w:pPr>
        <w:ind w:left="2508"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3">
      <w:start w:val="1"/>
      <w:numFmt w:val="decimal"/>
      <w:lvlText w:val="%4"/>
      <w:lvlJc w:val="left"/>
      <w:pPr>
        <w:ind w:left="3228"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4">
      <w:start w:val="1"/>
      <w:numFmt w:val="lowerLetter"/>
      <w:lvlText w:val="%5"/>
      <w:lvlJc w:val="left"/>
      <w:pPr>
        <w:ind w:left="3948"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5">
      <w:start w:val="1"/>
      <w:numFmt w:val="lowerRoman"/>
      <w:lvlText w:val="%6"/>
      <w:lvlJc w:val="left"/>
      <w:pPr>
        <w:ind w:left="4668"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6">
      <w:start w:val="1"/>
      <w:numFmt w:val="decimal"/>
      <w:lvlText w:val="%7"/>
      <w:lvlJc w:val="left"/>
      <w:pPr>
        <w:ind w:left="5388"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7">
      <w:start w:val="1"/>
      <w:numFmt w:val="lowerLetter"/>
      <w:lvlText w:val="%8"/>
      <w:lvlJc w:val="left"/>
      <w:pPr>
        <w:ind w:left="6108"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lvl w:ilvl="8">
      <w:start w:val="1"/>
      <w:numFmt w:val="lowerRoman"/>
      <w:lvlText w:val="%9"/>
      <w:lvlJc w:val="left"/>
      <w:pPr>
        <w:ind w:left="6828" w:firstLine="0"/>
      </w:pPr>
      <w:rPr>
        <w:rFonts w:ascii="Arial" w:eastAsia="Arial" w:hAnsi="Arial" w:cs="Arial"/>
        <w:b w:val="0"/>
        <w:i w:val="0"/>
        <w:strike w:val="0"/>
        <w:dstrike w:val="0"/>
        <w:color w:val="000000"/>
        <w:position w:val="0"/>
        <w:sz w:val="22"/>
        <w:szCs w:val="22"/>
        <w:u w:val="none" w:color="000000"/>
        <w:shd w:val="clear" w:color="auto" w:fill="auto"/>
        <w:vertAlign w:val="baseline"/>
      </w:rPr>
    </w:lvl>
  </w:abstractNum>
  <w:abstractNum w:abstractNumId="115" w15:restartNumberingAfterBreak="0">
    <w:nsid w:val="7C9239DA"/>
    <w:multiLevelType w:val="multilevel"/>
    <w:tmpl w:val="2144861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6" w15:restartNumberingAfterBreak="0">
    <w:nsid w:val="7EA24E78"/>
    <w:multiLevelType w:val="multilevel"/>
    <w:tmpl w:val="50288C8A"/>
    <w:lvl w:ilvl="0">
      <w:start w:val="5"/>
      <w:numFmt w:val="decimal"/>
      <w:lvlText w:val="%1."/>
      <w:lvlJc w:val="left"/>
      <w:pPr>
        <w:ind w:left="173"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1">
      <w:start w:val="1"/>
      <w:numFmt w:val="lowerLetter"/>
      <w:lvlText w:val="%2"/>
      <w:lvlJc w:val="left"/>
      <w:pPr>
        <w:ind w:left="144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2">
      <w:start w:val="1"/>
      <w:numFmt w:val="lowerRoman"/>
      <w:lvlText w:val="%3"/>
      <w:lvlJc w:val="left"/>
      <w:pPr>
        <w:ind w:left="216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3">
      <w:start w:val="1"/>
      <w:numFmt w:val="decimal"/>
      <w:lvlText w:val="%4"/>
      <w:lvlJc w:val="left"/>
      <w:pPr>
        <w:ind w:left="288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4">
      <w:start w:val="1"/>
      <w:numFmt w:val="lowerLetter"/>
      <w:lvlText w:val="%5"/>
      <w:lvlJc w:val="left"/>
      <w:pPr>
        <w:ind w:left="360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5">
      <w:start w:val="1"/>
      <w:numFmt w:val="lowerRoman"/>
      <w:lvlText w:val="%6"/>
      <w:lvlJc w:val="left"/>
      <w:pPr>
        <w:ind w:left="432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6">
      <w:start w:val="1"/>
      <w:numFmt w:val="decimal"/>
      <w:lvlText w:val="%7"/>
      <w:lvlJc w:val="left"/>
      <w:pPr>
        <w:ind w:left="504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7">
      <w:start w:val="1"/>
      <w:numFmt w:val="lowerLetter"/>
      <w:lvlText w:val="%8"/>
      <w:lvlJc w:val="left"/>
      <w:pPr>
        <w:ind w:left="576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8">
      <w:start w:val="1"/>
      <w:numFmt w:val="lowerRoman"/>
      <w:lvlText w:val="%9"/>
      <w:lvlJc w:val="left"/>
      <w:pPr>
        <w:ind w:left="648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abstractNum>
  <w:abstractNum w:abstractNumId="117" w15:restartNumberingAfterBreak="0">
    <w:nsid w:val="7F871FD7"/>
    <w:multiLevelType w:val="multilevel"/>
    <w:tmpl w:val="895274B4"/>
    <w:lvl w:ilvl="0">
      <w:start w:val="1"/>
      <w:numFmt w:val="decimal"/>
      <w:lvlText w:val="%1."/>
      <w:lvlJc w:val="left"/>
      <w:rPr>
        <w:rFonts w:ascii="Calibri" w:eastAsia="Calibri" w:hAnsi="Calibri" w:cs="Calibri"/>
        <w:b w:val="0"/>
        <w:i/>
        <w:iCs/>
        <w:strike w:val="0"/>
        <w:dstrike w:val="0"/>
        <w:color w:val="000000"/>
        <w:position w:val="0"/>
        <w:sz w:val="22"/>
        <w:szCs w:val="22"/>
        <w:u w:val="none" w:color="000000"/>
        <w:shd w:val="clear" w:color="auto" w:fill="auto"/>
        <w:vertAlign w:val="baseline"/>
      </w:rPr>
    </w:lvl>
    <w:lvl w:ilvl="1">
      <w:start w:val="1"/>
      <w:numFmt w:val="lowerLetter"/>
      <w:lvlText w:val="%2"/>
      <w:lvlJc w:val="left"/>
      <w:pPr>
        <w:ind w:left="144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2">
      <w:start w:val="1"/>
      <w:numFmt w:val="lowerRoman"/>
      <w:lvlText w:val="%3"/>
      <w:lvlJc w:val="left"/>
      <w:pPr>
        <w:ind w:left="216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3">
      <w:start w:val="1"/>
      <w:numFmt w:val="decimal"/>
      <w:lvlText w:val="%4"/>
      <w:lvlJc w:val="left"/>
      <w:pPr>
        <w:ind w:left="288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4">
      <w:start w:val="1"/>
      <w:numFmt w:val="lowerLetter"/>
      <w:lvlText w:val="%5"/>
      <w:lvlJc w:val="left"/>
      <w:pPr>
        <w:ind w:left="360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5">
      <w:start w:val="1"/>
      <w:numFmt w:val="lowerRoman"/>
      <w:lvlText w:val="%6"/>
      <w:lvlJc w:val="left"/>
      <w:pPr>
        <w:ind w:left="432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6">
      <w:start w:val="1"/>
      <w:numFmt w:val="decimal"/>
      <w:lvlText w:val="%7"/>
      <w:lvlJc w:val="left"/>
      <w:pPr>
        <w:ind w:left="504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7">
      <w:start w:val="1"/>
      <w:numFmt w:val="lowerLetter"/>
      <w:lvlText w:val="%8"/>
      <w:lvlJc w:val="left"/>
      <w:pPr>
        <w:ind w:left="576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lvl w:ilvl="8">
      <w:start w:val="1"/>
      <w:numFmt w:val="lowerRoman"/>
      <w:lvlText w:val="%9"/>
      <w:lvlJc w:val="left"/>
      <w:pPr>
        <w:ind w:left="6480" w:firstLine="0"/>
      </w:pPr>
      <w:rPr>
        <w:rFonts w:ascii="Calibri" w:eastAsia="Calibri" w:hAnsi="Calibri" w:cs="Calibri"/>
        <w:b w:val="0"/>
        <w:i/>
        <w:iCs/>
        <w:strike w:val="0"/>
        <w:dstrike w:val="0"/>
        <w:color w:val="000000"/>
        <w:position w:val="0"/>
        <w:sz w:val="22"/>
        <w:szCs w:val="22"/>
        <w:u w:val="none" w:color="000000"/>
        <w:shd w:val="clear" w:color="auto" w:fill="auto"/>
        <w:vertAlign w:val="baseline"/>
      </w:rPr>
    </w:lvl>
  </w:abstractNum>
  <w:abstractNum w:abstractNumId="118" w15:restartNumberingAfterBreak="0">
    <w:nsid w:val="7FB943D8"/>
    <w:multiLevelType w:val="multilevel"/>
    <w:tmpl w:val="02826FA6"/>
    <w:lvl w:ilvl="0">
      <w:numFmt w:val="bullet"/>
      <w:lvlText w:val=""/>
      <w:lvlJc w:val="left"/>
      <w:pPr>
        <w:ind w:left="720" w:hanging="360"/>
      </w:pPr>
      <w:rPr>
        <w:rFonts w:ascii="Symbol" w:hAnsi="Symbol"/>
      </w:rPr>
    </w:lvl>
    <w:lvl w:ilvl="1">
      <w:numFmt w:val="bullet"/>
      <w:lvlText w:val=""/>
      <w:lvlJc w:val="left"/>
      <w:pPr>
        <w:ind w:left="1080" w:hanging="360"/>
      </w:pPr>
      <w:rPr>
        <w:rFonts w:ascii="Symbol" w:hAnsi="Symbol"/>
      </w:rPr>
    </w:lvl>
    <w:lvl w:ilvl="2">
      <w:numFmt w:val="bullet"/>
      <w:lvlText w:val=""/>
      <w:lvlJc w:val="left"/>
      <w:pPr>
        <w:ind w:left="1440" w:hanging="360"/>
      </w:pPr>
      <w:rPr>
        <w:rFonts w:ascii="Symbol" w:hAnsi="Symbol"/>
      </w:rPr>
    </w:lvl>
    <w:lvl w:ilvl="3">
      <w:numFmt w:val="bullet"/>
      <w:lvlText w:val=""/>
      <w:lvlJc w:val="left"/>
      <w:pPr>
        <w:ind w:left="1800" w:hanging="360"/>
      </w:pPr>
      <w:rPr>
        <w:rFonts w:ascii="Symbol" w:hAnsi="Symbol"/>
      </w:rPr>
    </w:lvl>
    <w:lvl w:ilvl="4">
      <w:numFmt w:val="bullet"/>
      <w:lvlText w:val=""/>
      <w:lvlJc w:val="left"/>
      <w:pPr>
        <w:ind w:left="2160" w:hanging="360"/>
      </w:pPr>
      <w:rPr>
        <w:rFonts w:ascii="Symbol" w:hAnsi="Symbol"/>
      </w:rPr>
    </w:lvl>
    <w:lvl w:ilvl="5">
      <w:numFmt w:val="bullet"/>
      <w:lvlText w:val=""/>
      <w:lvlJc w:val="left"/>
      <w:pPr>
        <w:ind w:left="2520" w:hanging="360"/>
      </w:pPr>
      <w:rPr>
        <w:rFonts w:ascii="Symbol" w:hAnsi="Symbol"/>
      </w:rPr>
    </w:lvl>
    <w:lvl w:ilvl="6">
      <w:numFmt w:val="bullet"/>
      <w:lvlText w:val=""/>
      <w:lvlJc w:val="left"/>
      <w:pPr>
        <w:ind w:left="2880" w:hanging="360"/>
      </w:pPr>
      <w:rPr>
        <w:rFonts w:ascii="Symbol" w:hAnsi="Symbol"/>
      </w:rPr>
    </w:lvl>
    <w:lvl w:ilvl="7">
      <w:numFmt w:val="bullet"/>
      <w:lvlText w:val=""/>
      <w:lvlJc w:val="left"/>
      <w:pPr>
        <w:ind w:left="3240" w:hanging="360"/>
      </w:pPr>
      <w:rPr>
        <w:rFonts w:ascii="Symbol" w:hAnsi="Symbol"/>
      </w:rPr>
    </w:lvl>
    <w:lvl w:ilvl="8">
      <w:numFmt w:val="bullet"/>
      <w:lvlText w:val=""/>
      <w:lvlJc w:val="left"/>
      <w:pPr>
        <w:ind w:left="3600" w:hanging="360"/>
      </w:pPr>
      <w:rPr>
        <w:rFonts w:ascii="Symbol" w:hAnsi="Symbol"/>
      </w:rPr>
    </w:lvl>
  </w:abstractNum>
  <w:abstractNum w:abstractNumId="119" w15:restartNumberingAfterBreak="0">
    <w:nsid w:val="7FFA7E72"/>
    <w:multiLevelType w:val="multilevel"/>
    <w:tmpl w:val="7ABE3E96"/>
    <w:lvl w:ilvl="0">
      <w:start w:val="1"/>
      <w:numFmt w:val="upperLetter"/>
      <w:lvlText w:val="%1)"/>
      <w:lvlJc w:val="left"/>
      <w:pPr>
        <w:ind w:left="374" w:firstLine="0"/>
      </w:pPr>
      <w:rPr>
        <w:rFonts w:ascii="Arial" w:eastAsia="Arial" w:hAnsi="Arial" w:cs="Arial"/>
        <w:b w:val="0"/>
        <w:i w:val="0"/>
        <w:strike w:val="0"/>
        <w:dstrike w:val="0"/>
        <w:color w:val="000000"/>
        <w:position w:val="0"/>
        <w:sz w:val="25"/>
        <w:szCs w:val="25"/>
        <w:u w:val="none" w:color="000000"/>
        <w:shd w:val="clear" w:color="auto" w:fill="auto"/>
        <w:vertAlign w:val="baseline"/>
      </w:rPr>
    </w:lvl>
    <w:lvl w:ilvl="1">
      <w:start w:val="1"/>
      <w:numFmt w:val="lowerLetter"/>
      <w:lvlText w:val="%2"/>
      <w:lvlJc w:val="left"/>
      <w:pPr>
        <w:ind w:left="4763" w:firstLine="0"/>
      </w:pPr>
      <w:rPr>
        <w:rFonts w:ascii="Arial" w:eastAsia="Arial" w:hAnsi="Arial" w:cs="Arial"/>
        <w:b w:val="0"/>
        <w:i w:val="0"/>
        <w:strike w:val="0"/>
        <w:dstrike w:val="0"/>
        <w:color w:val="000000"/>
        <w:position w:val="0"/>
        <w:sz w:val="25"/>
        <w:szCs w:val="25"/>
        <w:u w:val="none" w:color="000000"/>
        <w:shd w:val="clear" w:color="auto" w:fill="auto"/>
        <w:vertAlign w:val="baseline"/>
      </w:rPr>
    </w:lvl>
    <w:lvl w:ilvl="2">
      <w:start w:val="1"/>
      <w:numFmt w:val="lowerRoman"/>
      <w:lvlText w:val="%3"/>
      <w:lvlJc w:val="left"/>
      <w:pPr>
        <w:ind w:left="5483" w:firstLine="0"/>
      </w:pPr>
      <w:rPr>
        <w:rFonts w:ascii="Arial" w:eastAsia="Arial" w:hAnsi="Arial" w:cs="Arial"/>
        <w:b w:val="0"/>
        <w:i w:val="0"/>
        <w:strike w:val="0"/>
        <w:dstrike w:val="0"/>
        <w:color w:val="000000"/>
        <w:position w:val="0"/>
        <w:sz w:val="25"/>
        <w:szCs w:val="25"/>
        <w:u w:val="none" w:color="000000"/>
        <w:shd w:val="clear" w:color="auto" w:fill="auto"/>
        <w:vertAlign w:val="baseline"/>
      </w:rPr>
    </w:lvl>
    <w:lvl w:ilvl="3">
      <w:start w:val="1"/>
      <w:numFmt w:val="decimal"/>
      <w:lvlText w:val="%4"/>
      <w:lvlJc w:val="left"/>
      <w:pPr>
        <w:ind w:left="6203" w:firstLine="0"/>
      </w:pPr>
      <w:rPr>
        <w:rFonts w:ascii="Arial" w:eastAsia="Arial" w:hAnsi="Arial" w:cs="Arial"/>
        <w:b w:val="0"/>
        <w:i w:val="0"/>
        <w:strike w:val="0"/>
        <w:dstrike w:val="0"/>
        <w:color w:val="000000"/>
        <w:position w:val="0"/>
        <w:sz w:val="25"/>
        <w:szCs w:val="25"/>
        <w:u w:val="none" w:color="000000"/>
        <w:shd w:val="clear" w:color="auto" w:fill="auto"/>
        <w:vertAlign w:val="baseline"/>
      </w:rPr>
    </w:lvl>
    <w:lvl w:ilvl="4">
      <w:start w:val="1"/>
      <w:numFmt w:val="lowerLetter"/>
      <w:lvlText w:val="%5"/>
      <w:lvlJc w:val="left"/>
      <w:pPr>
        <w:ind w:left="6923" w:firstLine="0"/>
      </w:pPr>
      <w:rPr>
        <w:rFonts w:ascii="Arial" w:eastAsia="Arial" w:hAnsi="Arial" w:cs="Arial"/>
        <w:b w:val="0"/>
        <w:i w:val="0"/>
        <w:strike w:val="0"/>
        <w:dstrike w:val="0"/>
        <w:color w:val="000000"/>
        <w:position w:val="0"/>
        <w:sz w:val="25"/>
        <w:szCs w:val="25"/>
        <w:u w:val="none" w:color="000000"/>
        <w:shd w:val="clear" w:color="auto" w:fill="auto"/>
        <w:vertAlign w:val="baseline"/>
      </w:rPr>
    </w:lvl>
    <w:lvl w:ilvl="5">
      <w:start w:val="1"/>
      <w:numFmt w:val="lowerRoman"/>
      <w:lvlText w:val="%6"/>
      <w:lvlJc w:val="left"/>
      <w:pPr>
        <w:ind w:left="7643" w:firstLine="0"/>
      </w:pPr>
      <w:rPr>
        <w:rFonts w:ascii="Arial" w:eastAsia="Arial" w:hAnsi="Arial" w:cs="Arial"/>
        <w:b w:val="0"/>
        <w:i w:val="0"/>
        <w:strike w:val="0"/>
        <w:dstrike w:val="0"/>
        <w:color w:val="000000"/>
        <w:position w:val="0"/>
        <w:sz w:val="25"/>
        <w:szCs w:val="25"/>
        <w:u w:val="none" w:color="000000"/>
        <w:shd w:val="clear" w:color="auto" w:fill="auto"/>
        <w:vertAlign w:val="baseline"/>
      </w:rPr>
    </w:lvl>
    <w:lvl w:ilvl="6">
      <w:start w:val="1"/>
      <w:numFmt w:val="decimal"/>
      <w:lvlText w:val="%7"/>
      <w:lvlJc w:val="left"/>
      <w:pPr>
        <w:ind w:left="8363" w:firstLine="0"/>
      </w:pPr>
      <w:rPr>
        <w:rFonts w:ascii="Arial" w:eastAsia="Arial" w:hAnsi="Arial" w:cs="Arial"/>
        <w:b w:val="0"/>
        <w:i w:val="0"/>
        <w:strike w:val="0"/>
        <w:dstrike w:val="0"/>
        <w:color w:val="000000"/>
        <w:position w:val="0"/>
        <w:sz w:val="25"/>
        <w:szCs w:val="25"/>
        <w:u w:val="none" w:color="000000"/>
        <w:shd w:val="clear" w:color="auto" w:fill="auto"/>
        <w:vertAlign w:val="baseline"/>
      </w:rPr>
    </w:lvl>
    <w:lvl w:ilvl="7">
      <w:start w:val="1"/>
      <w:numFmt w:val="lowerLetter"/>
      <w:lvlText w:val="%8"/>
      <w:lvlJc w:val="left"/>
      <w:pPr>
        <w:ind w:left="9083" w:firstLine="0"/>
      </w:pPr>
      <w:rPr>
        <w:rFonts w:ascii="Arial" w:eastAsia="Arial" w:hAnsi="Arial" w:cs="Arial"/>
        <w:b w:val="0"/>
        <w:i w:val="0"/>
        <w:strike w:val="0"/>
        <w:dstrike w:val="0"/>
        <w:color w:val="000000"/>
        <w:position w:val="0"/>
        <w:sz w:val="25"/>
        <w:szCs w:val="25"/>
        <w:u w:val="none" w:color="000000"/>
        <w:shd w:val="clear" w:color="auto" w:fill="auto"/>
        <w:vertAlign w:val="baseline"/>
      </w:rPr>
    </w:lvl>
    <w:lvl w:ilvl="8">
      <w:start w:val="1"/>
      <w:numFmt w:val="lowerRoman"/>
      <w:lvlText w:val="%9"/>
      <w:lvlJc w:val="left"/>
      <w:pPr>
        <w:ind w:left="9803" w:firstLine="0"/>
      </w:pPr>
      <w:rPr>
        <w:rFonts w:ascii="Arial" w:eastAsia="Arial" w:hAnsi="Arial" w:cs="Arial"/>
        <w:b w:val="0"/>
        <w:i w:val="0"/>
        <w:strike w:val="0"/>
        <w:dstrike w:val="0"/>
        <w:color w:val="000000"/>
        <w:position w:val="0"/>
        <w:sz w:val="25"/>
        <w:szCs w:val="25"/>
        <w:u w:val="none" w:color="000000"/>
        <w:shd w:val="clear" w:color="auto" w:fill="auto"/>
        <w:vertAlign w:val="baseline"/>
      </w:rPr>
    </w:lvl>
  </w:abstractNum>
  <w:num w:numId="1">
    <w:abstractNumId w:val="102"/>
  </w:num>
  <w:num w:numId="2">
    <w:abstractNumId w:val="52"/>
  </w:num>
  <w:num w:numId="3">
    <w:abstractNumId w:val="58"/>
  </w:num>
  <w:num w:numId="4">
    <w:abstractNumId w:val="16"/>
  </w:num>
  <w:num w:numId="5">
    <w:abstractNumId w:val="72"/>
  </w:num>
  <w:num w:numId="6">
    <w:abstractNumId w:val="111"/>
  </w:num>
  <w:num w:numId="7">
    <w:abstractNumId w:val="32"/>
  </w:num>
  <w:num w:numId="8">
    <w:abstractNumId w:val="51"/>
  </w:num>
  <w:num w:numId="9">
    <w:abstractNumId w:val="62"/>
  </w:num>
  <w:num w:numId="10">
    <w:abstractNumId w:val="12"/>
  </w:num>
  <w:num w:numId="11">
    <w:abstractNumId w:val="81"/>
  </w:num>
  <w:num w:numId="12">
    <w:abstractNumId w:val="38"/>
  </w:num>
  <w:num w:numId="13">
    <w:abstractNumId w:val="34"/>
  </w:num>
  <w:num w:numId="14">
    <w:abstractNumId w:val="41"/>
  </w:num>
  <w:num w:numId="15">
    <w:abstractNumId w:val="20"/>
  </w:num>
  <w:num w:numId="16">
    <w:abstractNumId w:val="87"/>
  </w:num>
  <w:num w:numId="17">
    <w:abstractNumId w:val="74"/>
  </w:num>
  <w:num w:numId="18">
    <w:abstractNumId w:val="94"/>
  </w:num>
  <w:num w:numId="19">
    <w:abstractNumId w:val="119"/>
  </w:num>
  <w:num w:numId="20">
    <w:abstractNumId w:val="59"/>
  </w:num>
  <w:num w:numId="21">
    <w:abstractNumId w:val="86"/>
  </w:num>
  <w:num w:numId="22">
    <w:abstractNumId w:val="95"/>
  </w:num>
  <w:num w:numId="23">
    <w:abstractNumId w:val="105"/>
  </w:num>
  <w:num w:numId="24">
    <w:abstractNumId w:val="0"/>
  </w:num>
  <w:num w:numId="25">
    <w:abstractNumId w:val="19"/>
  </w:num>
  <w:num w:numId="26">
    <w:abstractNumId w:val="99"/>
  </w:num>
  <w:num w:numId="27">
    <w:abstractNumId w:val="91"/>
  </w:num>
  <w:num w:numId="28">
    <w:abstractNumId w:val="109"/>
  </w:num>
  <w:num w:numId="29">
    <w:abstractNumId w:val="3"/>
  </w:num>
  <w:num w:numId="30">
    <w:abstractNumId w:val="54"/>
  </w:num>
  <w:num w:numId="31">
    <w:abstractNumId w:val="35"/>
  </w:num>
  <w:num w:numId="32">
    <w:abstractNumId w:val="84"/>
  </w:num>
  <w:num w:numId="33">
    <w:abstractNumId w:val="79"/>
  </w:num>
  <w:num w:numId="34">
    <w:abstractNumId w:val="47"/>
  </w:num>
  <w:num w:numId="35">
    <w:abstractNumId w:val="61"/>
  </w:num>
  <w:num w:numId="36">
    <w:abstractNumId w:val="69"/>
  </w:num>
  <w:num w:numId="37">
    <w:abstractNumId w:val="1"/>
  </w:num>
  <w:num w:numId="38">
    <w:abstractNumId w:val="71"/>
  </w:num>
  <w:num w:numId="39">
    <w:abstractNumId w:val="67"/>
  </w:num>
  <w:num w:numId="40">
    <w:abstractNumId w:val="44"/>
  </w:num>
  <w:num w:numId="41">
    <w:abstractNumId w:val="6"/>
  </w:num>
  <w:num w:numId="42">
    <w:abstractNumId w:val="106"/>
  </w:num>
  <w:num w:numId="43">
    <w:abstractNumId w:val="14"/>
  </w:num>
  <w:num w:numId="44">
    <w:abstractNumId w:val="66"/>
  </w:num>
  <w:num w:numId="45">
    <w:abstractNumId w:val="90"/>
  </w:num>
  <w:num w:numId="46">
    <w:abstractNumId w:val="26"/>
  </w:num>
  <w:num w:numId="47">
    <w:abstractNumId w:val="43"/>
  </w:num>
  <w:num w:numId="48">
    <w:abstractNumId w:val="108"/>
  </w:num>
  <w:num w:numId="49">
    <w:abstractNumId w:val="88"/>
  </w:num>
  <w:num w:numId="50">
    <w:abstractNumId w:val="9"/>
  </w:num>
  <w:num w:numId="51">
    <w:abstractNumId w:val="107"/>
  </w:num>
  <w:num w:numId="52">
    <w:abstractNumId w:val="118"/>
  </w:num>
  <w:num w:numId="53">
    <w:abstractNumId w:val="83"/>
  </w:num>
  <w:num w:numId="54">
    <w:abstractNumId w:val="2"/>
  </w:num>
  <w:num w:numId="55">
    <w:abstractNumId w:val="11"/>
  </w:num>
  <w:num w:numId="56">
    <w:abstractNumId w:val="114"/>
  </w:num>
  <w:num w:numId="57">
    <w:abstractNumId w:val="31"/>
  </w:num>
  <w:num w:numId="58">
    <w:abstractNumId w:val="112"/>
  </w:num>
  <w:num w:numId="59">
    <w:abstractNumId w:val="96"/>
  </w:num>
  <w:num w:numId="60">
    <w:abstractNumId w:val="89"/>
  </w:num>
  <w:num w:numId="61">
    <w:abstractNumId w:val="65"/>
  </w:num>
  <w:num w:numId="62">
    <w:abstractNumId w:val="25"/>
  </w:num>
  <w:num w:numId="63">
    <w:abstractNumId w:val="21"/>
  </w:num>
  <w:num w:numId="64">
    <w:abstractNumId w:val="100"/>
  </w:num>
  <w:num w:numId="65">
    <w:abstractNumId w:val="110"/>
  </w:num>
  <w:num w:numId="66">
    <w:abstractNumId w:val="27"/>
  </w:num>
  <w:num w:numId="67">
    <w:abstractNumId w:val="78"/>
  </w:num>
  <w:num w:numId="68">
    <w:abstractNumId w:val="68"/>
  </w:num>
  <w:num w:numId="69">
    <w:abstractNumId w:val="60"/>
  </w:num>
  <w:num w:numId="70">
    <w:abstractNumId w:val="80"/>
  </w:num>
  <w:num w:numId="71">
    <w:abstractNumId w:val="76"/>
  </w:num>
  <w:num w:numId="72">
    <w:abstractNumId w:val="5"/>
  </w:num>
  <w:num w:numId="73">
    <w:abstractNumId w:val="23"/>
  </w:num>
  <w:num w:numId="74">
    <w:abstractNumId w:val="103"/>
  </w:num>
  <w:num w:numId="75">
    <w:abstractNumId w:val="22"/>
  </w:num>
  <w:num w:numId="76">
    <w:abstractNumId w:val="97"/>
  </w:num>
  <w:num w:numId="77">
    <w:abstractNumId w:val="48"/>
  </w:num>
  <w:num w:numId="78">
    <w:abstractNumId w:val="49"/>
  </w:num>
  <w:num w:numId="79">
    <w:abstractNumId w:val="93"/>
  </w:num>
  <w:num w:numId="80">
    <w:abstractNumId w:val="45"/>
  </w:num>
  <w:num w:numId="81">
    <w:abstractNumId w:val="24"/>
  </w:num>
  <w:num w:numId="82">
    <w:abstractNumId w:val="56"/>
  </w:num>
  <w:num w:numId="83">
    <w:abstractNumId w:val="8"/>
  </w:num>
  <w:num w:numId="84">
    <w:abstractNumId w:val="28"/>
  </w:num>
  <w:num w:numId="85">
    <w:abstractNumId w:val="98"/>
  </w:num>
  <w:num w:numId="86">
    <w:abstractNumId w:val="29"/>
  </w:num>
  <w:num w:numId="87">
    <w:abstractNumId w:val="33"/>
  </w:num>
  <w:num w:numId="88">
    <w:abstractNumId w:val="92"/>
  </w:num>
  <w:num w:numId="89">
    <w:abstractNumId w:val="42"/>
  </w:num>
  <w:num w:numId="90">
    <w:abstractNumId w:val="13"/>
  </w:num>
  <w:num w:numId="91">
    <w:abstractNumId w:val="101"/>
  </w:num>
  <w:num w:numId="92">
    <w:abstractNumId w:val="53"/>
  </w:num>
  <w:num w:numId="93">
    <w:abstractNumId w:val="46"/>
  </w:num>
  <w:num w:numId="94">
    <w:abstractNumId w:val="77"/>
  </w:num>
  <w:num w:numId="95">
    <w:abstractNumId w:val="55"/>
  </w:num>
  <w:num w:numId="96">
    <w:abstractNumId w:val="37"/>
  </w:num>
  <w:num w:numId="97">
    <w:abstractNumId w:val="17"/>
  </w:num>
  <w:num w:numId="98">
    <w:abstractNumId w:val="4"/>
  </w:num>
  <w:num w:numId="99">
    <w:abstractNumId w:val="82"/>
  </w:num>
  <w:num w:numId="100">
    <w:abstractNumId w:val="70"/>
  </w:num>
  <w:num w:numId="101">
    <w:abstractNumId w:val="73"/>
  </w:num>
  <w:num w:numId="102">
    <w:abstractNumId w:val="117"/>
  </w:num>
  <w:num w:numId="103">
    <w:abstractNumId w:val="85"/>
  </w:num>
  <w:num w:numId="104">
    <w:abstractNumId w:val="113"/>
  </w:num>
  <w:num w:numId="105">
    <w:abstractNumId w:val="36"/>
  </w:num>
  <w:num w:numId="106">
    <w:abstractNumId w:val="40"/>
  </w:num>
  <w:num w:numId="107">
    <w:abstractNumId w:val="116"/>
  </w:num>
  <w:num w:numId="108">
    <w:abstractNumId w:val="7"/>
  </w:num>
  <w:num w:numId="109">
    <w:abstractNumId w:val="50"/>
  </w:num>
  <w:num w:numId="110">
    <w:abstractNumId w:val="64"/>
  </w:num>
  <w:num w:numId="111">
    <w:abstractNumId w:val="10"/>
  </w:num>
  <w:num w:numId="112">
    <w:abstractNumId w:val="104"/>
  </w:num>
  <w:num w:numId="113">
    <w:abstractNumId w:val="18"/>
  </w:num>
  <w:num w:numId="114">
    <w:abstractNumId w:val="57"/>
  </w:num>
  <w:num w:numId="115">
    <w:abstractNumId w:val="15"/>
  </w:num>
  <w:num w:numId="116">
    <w:abstractNumId w:val="39"/>
  </w:num>
  <w:num w:numId="117">
    <w:abstractNumId w:val="115"/>
  </w:num>
  <w:num w:numId="118">
    <w:abstractNumId w:val="63"/>
  </w:num>
  <w:num w:numId="119">
    <w:abstractNumId w:val="30"/>
  </w:num>
  <w:num w:numId="120">
    <w:abstractNumId w:val="75"/>
  </w:num>
  <w:numIdMacAtCleanup w:val="1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ttachedTemplate r:id="rId1"/>
  <w:defaultTabStop w:val="708"/>
  <w:autoHyphenation/>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
  <w:rsids>
    <w:rsidRoot w:val="009B4233"/>
    <w:rsid w:val="006B08B9"/>
    <w:rsid w:val="009B4233"/>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5:docId w15:val="{421EC7DB-C103-489D-8756-4C49211F2B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SimSun" w:hAnsi="Times New Roman" w:cs="Lucida Sans"/>
        <w:kern w:val="3"/>
        <w:sz w:val="24"/>
        <w:szCs w:val="24"/>
        <w:lang w:val="es-ES" w:eastAsia="zh-CN" w:bidi="hi-IN"/>
      </w:rPr>
    </w:rPrDefault>
    <w:pPrDefault>
      <w:pPr>
        <w:widowControl w:val="0"/>
        <w:autoSpaceDN w:val="0"/>
        <w:textAlignment w:val="baseline"/>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pPr>
      <w:suppressAutoHyphens/>
    </w:pPr>
  </w:style>
  <w:style w:type="paragraph" w:styleId="Ttulo1">
    <w:name w:val="heading 1"/>
    <w:basedOn w:val="Standard"/>
    <w:next w:val="Standard"/>
    <w:pPr>
      <w:keepNext/>
      <w:tabs>
        <w:tab w:val="left" w:pos="-180"/>
        <w:tab w:val="left" w:pos="0"/>
      </w:tabs>
      <w:jc w:val="both"/>
      <w:outlineLvl w:val="0"/>
    </w:pPr>
    <w:rPr>
      <w:rFonts w:ascii="Arimo" w:hAnsi="Arimo" w:cs="Arimo"/>
      <w:b/>
      <w:bCs/>
      <w:sz w:val="16"/>
    </w:rPr>
  </w:style>
  <w:style w:type="paragraph" w:styleId="Ttulo2">
    <w:name w:val="heading 2"/>
    <w:basedOn w:val="Standard"/>
    <w:next w:val="Standard"/>
    <w:pPr>
      <w:keepNext/>
      <w:tabs>
        <w:tab w:val="left" w:pos="-180"/>
        <w:tab w:val="left" w:pos="0"/>
      </w:tabs>
      <w:outlineLvl w:val="1"/>
    </w:pPr>
    <w:rPr>
      <w:rFonts w:ascii="Arimo" w:hAnsi="Arimo" w:cs="Arimo"/>
      <w:b/>
      <w:bCs/>
      <w:sz w:val="28"/>
    </w:rPr>
  </w:style>
  <w:style w:type="paragraph" w:styleId="Ttulo3">
    <w:name w:val="heading 3"/>
    <w:basedOn w:val="Normal"/>
    <w:next w:val="Normal"/>
    <w:pPr>
      <w:keepNext/>
      <w:spacing w:before="240" w:after="60"/>
      <w:textAlignment w:val="auto"/>
      <w:outlineLvl w:val="2"/>
    </w:pPr>
    <w:rPr>
      <w:rFonts w:ascii="Calibri Light" w:eastAsia="Times New Roman" w:hAnsi="Calibri Light" w:cs="Times New Roman"/>
      <w:b/>
      <w:bCs/>
      <w:sz w:val="26"/>
      <w:szCs w:val="26"/>
      <w:lang w:bidi="ar-SA"/>
    </w:rPr>
  </w:style>
  <w:style w:type="paragraph" w:styleId="Ttulo4">
    <w:name w:val="heading 4"/>
    <w:basedOn w:val="Normal"/>
    <w:next w:val="Normal"/>
    <w:pPr>
      <w:keepNext/>
      <w:keepLines/>
      <w:spacing w:before="40"/>
      <w:outlineLvl w:val="3"/>
    </w:pPr>
    <w:rPr>
      <w:rFonts w:ascii="Calibri Light" w:eastAsia="Times New Roman" w:hAnsi="Calibri Light" w:cs="Mangal"/>
      <w:i/>
      <w:iCs/>
      <w:color w:val="2E74B5"/>
      <w:szCs w:val="21"/>
    </w:rPr>
  </w:style>
  <w:style w:type="paragraph" w:styleId="Ttulo6">
    <w:name w:val="heading 6"/>
    <w:basedOn w:val="Normal"/>
    <w:next w:val="Normal"/>
    <w:pPr>
      <w:spacing w:before="240" w:after="60"/>
      <w:textAlignment w:val="auto"/>
      <w:outlineLvl w:val="5"/>
    </w:pPr>
    <w:rPr>
      <w:rFonts w:ascii="Calibri" w:eastAsia="Times New Roman" w:hAnsi="Calibri" w:cs="Times New Roman"/>
      <w:b/>
      <w:bCs/>
      <w:sz w:val="22"/>
      <w:szCs w:val="22"/>
      <w:lang w:bidi="ar-SA"/>
    </w:rPr>
  </w:style>
  <w:style w:type="paragraph" w:styleId="Ttulo7">
    <w:name w:val="heading 7"/>
    <w:basedOn w:val="Normal"/>
    <w:next w:val="Normal"/>
    <w:pPr>
      <w:keepNext/>
      <w:tabs>
        <w:tab w:val="left" w:pos="4949"/>
      </w:tabs>
      <w:ind w:left="4949" w:hanging="283"/>
      <w:jc w:val="both"/>
      <w:textAlignment w:val="auto"/>
      <w:outlineLvl w:val="6"/>
    </w:pPr>
    <w:rPr>
      <w:rFonts w:eastAsia="Times New Roman" w:cs="Times New Roman"/>
      <w:b/>
      <w:bCs/>
      <w:i/>
      <w:iCs/>
      <w:szCs w:val="20"/>
      <w:u w:val="single"/>
      <w:lang w:val="es-ES_tradnl" w:eastAsia="ar-SA" w:bidi="ar-SA"/>
    </w:rPr>
  </w:style>
  <w:style w:type="paragraph" w:styleId="Ttulo8">
    <w:name w:val="heading 8"/>
    <w:basedOn w:val="Normal"/>
    <w:next w:val="Normal"/>
    <w:pPr>
      <w:keepNext/>
      <w:widowControl/>
      <w:tabs>
        <w:tab w:val="left" w:pos="5656"/>
      </w:tabs>
      <w:ind w:left="5656" w:hanging="283"/>
      <w:jc w:val="both"/>
      <w:textAlignment w:val="auto"/>
      <w:outlineLvl w:val="7"/>
    </w:pPr>
    <w:rPr>
      <w:rFonts w:eastAsia="Times New Roman" w:cs="Times New Roman"/>
      <w:szCs w:val="20"/>
      <w:lang w:val="es-ES_tradnl" w:eastAsia="ar-SA" w:bidi="ar-SA"/>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Standard">
    <w:name w:val="Standard"/>
    <w:pPr>
      <w:widowControl/>
      <w:suppressAutoHyphens/>
    </w:pPr>
    <w:rPr>
      <w:rFonts w:eastAsia="Times New Roman" w:cs="Times New Roman"/>
      <w:lang w:bidi="ar-SA"/>
    </w:rPr>
  </w:style>
  <w:style w:type="paragraph" w:customStyle="1" w:styleId="Heading">
    <w:name w:val="Heading"/>
    <w:basedOn w:val="Standard"/>
    <w:next w:val="Textbody"/>
    <w:pPr>
      <w:keepNext/>
      <w:spacing w:before="240" w:after="120"/>
    </w:pPr>
    <w:rPr>
      <w:rFonts w:ascii="Arial" w:eastAsia="Microsoft YaHei" w:hAnsi="Arial" w:cs="Lucida Sans"/>
      <w:sz w:val="28"/>
      <w:szCs w:val="28"/>
    </w:rPr>
  </w:style>
  <w:style w:type="paragraph" w:customStyle="1" w:styleId="Textbody">
    <w:name w:val="Text body"/>
    <w:basedOn w:val="Standard"/>
    <w:pPr>
      <w:jc w:val="both"/>
    </w:pPr>
    <w:rPr>
      <w:rFonts w:ascii="Arimo" w:hAnsi="Arimo" w:cs="Arimo"/>
      <w:sz w:val="14"/>
    </w:rPr>
  </w:style>
  <w:style w:type="paragraph" w:styleId="Lista">
    <w:name w:val="List"/>
    <w:basedOn w:val="Textbody"/>
    <w:rPr>
      <w:rFonts w:cs="Lucida Sans"/>
    </w:rPr>
  </w:style>
  <w:style w:type="paragraph" w:styleId="Descripcin">
    <w:name w:val="caption"/>
    <w:basedOn w:val="Standard"/>
    <w:pPr>
      <w:suppressLineNumbers/>
      <w:spacing w:before="120" w:after="120"/>
    </w:pPr>
    <w:rPr>
      <w:rFonts w:cs="Lucida Sans"/>
      <w:i/>
      <w:iCs/>
    </w:rPr>
  </w:style>
  <w:style w:type="paragraph" w:customStyle="1" w:styleId="Index">
    <w:name w:val="Index"/>
    <w:basedOn w:val="Standard"/>
    <w:pPr>
      <w:suppressLineNumbers/>
    </w:pPr>
    <w:rPr>
      <w:rFonts w:cs="Lucida Sans"/>
    </w:rPr>
  </w:style>
  <w:style w:type="paragraph" w:customStyle="1" w:styleId="Encabezado1">
    <w:name w:val="Encabezado1"/>
    <w:basedOn w:val="Standard"/>
    <w:next w:val="Textbody"/>
    <w:pPr>
      <w:keepNext/>
      <w:spacing w:before="240" w:after="120"/>
    </w:pPr>
    <w:rPr>
      <w:rFonts w:ascii="Arial" w:eastAsia="Microsoft YaHei" w:hAnsi="Arial" w:cs="Lucida Sans"/>
      <w:sz w:val="28"/>
      <w:szCs w:val="28"/>
    </w:rPr>
  </w:style>
  <w:style w:type="paragraph" w:customStyle="1" w:styleId="Textbodyindent">
    <w:name w:val="Text body indent"/>
    <w:basedOn w:val="Standard"/>
    <w:pPr>
      <w:ind w:left="-180"/>
    </w:pPr>
    <w:rPr>
      <w:rFonts w:ascii="Verdana" w:hAnsi="Verdana" w:cs="Verdana"/>
      <w:sz w:val="22"/>
    </w:rPr>
  </w:style>
  <w:style w:type="paragraph" w:customStyle="1" w:styleId="Textoindependiente21">
    <w:name w:val="Texto independiente 21"/>
    <w:basedOn w:val="Standard"/>
    <w:pPr>
      <w:tabs>
        <w:tab w:val="left" w:pos="-180"/>
        <w:tab w:val="left" w:pos="0"/>
      </w:tabs>
    </w:pPr>
    <w:rPr>
      <w:rFonts w:ascii="Arimo" w:hAnsi="Arimo" w:cs="Arimo"/>
      <w:b/>
      <w:bCs/>
      <w:sz w:val="18"/>
    </w:rPr>
  </w:style>
  <w:style w:type="paragraph" w:customStyle="1" w:styleId="Textoindependiente31">
    <w:name w:val="Texto independiente 31"/>
    <w:basedOn w:val="Standard"/>
    <w:pPr>
      <w:jc w:val="both"/>
    </w:pPr>
    <w:rPr>
      <w:rFonts w:ascii="Verdana" w:hAnsi="Verdana" w:cs="Verdana"/>
      <w:sz w:val="16"/>
    </w:rPr>
  </w:style>
  <w:style w:type="paragraph" w:styleId="Encabezado">
    <w:name w:val="header"/>
    <w:basedOn w:val="Standard"/>
    <w:pPr>
      <w:tabs>
        <w:tab w:val="center" w:pos="4252"/>
        <w:tab w:val="right" w:pos="8504"/>
      </w:tabs>
    </w:pPr>
  </w:style>
  <w:style w:type="paragraph" w:styleId="Piedepgina">
    <w:name w:val="footer"/>
    <w:basedOn w:val="Standard"/>
    <w:pPr>
      <w:tabs>
        <w:tab w:val="center" w:pos="4252"/>
        <w:tab w:val="right" w:pos="8504"/>
      </w:tabs>
    </w:pPr>
  </w:style>
  <w:style w:type="paragraph" w:customStyle="1" w:styleId="Framecontents">
    <w:name w:val="Frame contents"/>
    <w:basedOn w:val="Textbody"/>
  </w:style>
  <w:style w:type="paragraph" w:customStyle="1" w:styleId="TableContents">
    <w:name w:val="Table Contents"/>
    <w:basedOn w:val="Standard"/>
    <w:pPr>
      <w:suppressLineNumbers/>
    </w:pPr>
  </w:style>
  <w:style w:type="paragraph" w:customStyle="1" w:styleId="TableHeading">
    <w:name w:val="Table Heading"/>
    <w:basedOn w:val="TableContents"/>
    <w:pPr>
      <w:jc w:val="center"/>
    </w:pPr>
    <w:rPr>
      <w:b/>
      <w:bCs/>
    </w:rPr>
  </w:style>
  <w:style w:type="paragraph" w:styleId="Textodeglobo">
    <w:name w:val="Balloon Text"/>
    <w:basedOn w:val="Standard"/>
    <w:rPr>
      <w:rFonts w:ascii="Tahoma" w:hAnsi="Tahoma" w:cs="Tahoma"/>
      <w:sz w:val="16"/>
      <w:szCs w:val="16"/>
    </w:rPr>
  </w:style>
  <w:style w:type="character" w:customStyle="1" w:styleId="Fuentedeprrafopredeter1">
    <w:name w:val="Fuente de párrafo predeter.1"/>
  </w:style>
  <w:style w:type="character" w:customStyle="1" w:styleId="Ttulo1Car">
    <w:name w:val="Título 1 Car"/>
    <w:rPr>
      <w:rFonts w:ascii="Arimo" w:hAnsi="Arimo" w:cs="Arimo"/>
      <w:b/>
      <w:bCs/>
      <w:sz w:val="16"/>
      <w:szCs w:val="24"/>
    </w:rPr>
  </w:style>
  <w:style w:type="character" w:customStyle="1" w:styleId="Textodecuerpo3Car">
    <w:name w:val="Texto de cuerpo 3 Car"/>
    <w:rPr>
      <w:rFonts w:ascii="Verdana" w:hAnsi="Verdana" w:cs="Verdana"/>
      <w:sz w:val="16"/>
      <w:szCs w:val="24"/>
    </w:rPr>
  </w:style>
  <w:style w:type="character" w:customStyle="1" w:styleId="EncabezadoCar">
    <w:name w:val="Encabezado Car"/>
    <w:rPr>
      <w:sz w:val="24"/>
      <w:szCs w:val="24"/>
      <w:lang w:val="es-ES"/>
    </w:rPr>
  </w:style>
  <w:style w:type="character" w:customStyle="1" w:styleId="PiedepginaCar">
    <w:name w:val="Pie de página Car"/>
    <w:rPr>
      <w:sz w:val="24"/>
      <w:szCs w:val="24"/>
      <w:lang w:val="es-ES"/>
    </w:rPr>
  </w:style>
  <w:style w:type="character" w:customStyle="1" w:styleId="TextodegloboCar">
    <w:name w:val="Texto de globo Car"/>
    <w:basedOn w:val="Fuentedeprrafopredeter"/>
    <w:rPr>
      <w:rFonts w:ascii="Tahoma" w:hAnsi="Tahoma" w:cs="Tahoma"/>
      <w:sz w:val="16"/>
      <w:szCs w:val="16"/>
    </w:rPr>
  </w:style>
  <w:style w:type="paragraph" w:styleId="Textoindependiente">
    <w:name w:val="Body Text"/>
    <w:basedOn w:val="Normal"/>
    <w:pPr>
      <w:spacing w:after="120"/>
      <w:textAlignment w:val="auto"/>
    </w:pPr>
    <w:rPr>
      <w:rFonts w:ascii="Arial" w:eastAsia="Lucida Sans Unicode" w:hAnsi="Arial" w:cs="Times New Roman"/>
      <w:sz w:val="22"/>
      <w:lang w:bidi="ar-SA"/>
    </w:rPr>
  </w:style>
  <w:style w:type="character" w:customStyle="1" w:styleId="TextoindependienteCar">
    <w:name w:val="Texto independiente Car"/>
    <w:basedOn w:val="Fuentedeprrafopredeter"/>
    <w:rPr>
      <w:rFonts w:ascii="Arial" w:eastAsia="Lucida Sans Unicode" w:hAnsi="Arial" w:cs="Times New Roman"/>
      <w:kern w:val="3"/>
      <w:sz w:val="22"/>
      <w:lang w:bidi="ar-SA"/>
    </w:rPr>
  </w:style>
  <w:style w:type="character" w:styleId="Textoennegrita">
    <w:name w:val="Strong"/>
    <w:rPr>
      <w:b/>
      <w:bCs/>
    </w:rPr>
  </w:style>
  <w:style w:type="paragraph" w:customStyle="1" w:styleId="parrafo">
    <w:name w:val="parrafo"/>
    <w:basedOn w:val="Normal"/>
    <w:pPr>
      <w:widowControl/>
      <w:suppressAutoHyphens w:val="0"/>
      <w:spacing w:before="100" w:after="100"/>
      <w:textAlignment w:val="auto"/>
    </w:pPr>
    <w:rPr>
      <w:rFonts w:eastAsia="Times New Roman" w:cs="Times New Roman"/>
      <w:kern w:val="0"/>
      <w:lang w:eastAsia="es-ES" w:bidi="ar-SA"/>
    </w:rPr>
  </w:style>
  <w:style w:type="paragraph" w:styleId="NormalWeb">
    <w:name w:val="Normal (Web)"/>
    <w:basedOn w:val="Normal"/>
    <w:pPr>
      <w:widowControl/>
      <w:suppressAutoHyphens w:val="0"/>
      <w:spacing w:before="100" w:after="119"/>
      <w:textAlignment w:val="auto"/>
    </w:pPr>
    <w:rPr>
      <w:rFonts w:eastAsia="Times New Roman" w:cs="Times New Roman"/>
      <w:kern w:val="0"/>
      <w:lang w:eastAsia="es-ES" w:bidi="ar-SA"/>
    </w:rPr>
  </w:style>
  <w:style w:type="character" w:styleId="nfasis">
    <w:name w:val="Emphasis"/>
    <w:rPr>
      <w:i/>
      <w:iCs/>
    </w:rPr>
  </w:style>
  <w:style w:type="character" w:customStyle="1" w:styleId="Cita1">
    <w:name w:val="Cita1"/>
    <w:rPr>
      <w:i/>
      <w:iCs/>
    </w:rPr>
  </w:style>
  <w:style w:type="paragraph" w:styleId="Prrafodelista">
    <w:name w:val="List Paragraph"/>
    <w:basedOn w:val="Normal"/>
    <w:pPr>
      <w:ind w:left="720"/>
    </w:pPr>
    <w:rPr>
      <w:rFonts w:cs="Mangal"/>
      <w:szCs w:val="21"/>
    </w:rPr>
  </w:style>
  <w:style w:type="character" w:customStyle="1" w:styleId="Ttulo4Car">
    <w:name w:val="Título 4 Car"/>
    <w:basedOn w:val="Fuentedeprrafopredeter"/>
    <w:rPr>
      <w:rFonts w:ascii="Calibri Light" w:eastAsia="Times New Roman" w:hAnsi="Calibri Light" w:cs="Mangal"/>
      <w:i/>
      <w:iCs/>
      <w:color w:val="2E74B5"/>
      <w:szCs w:val="21"/>
    </w:rPr>
  </w:style>
  <w:style w:type="paragraph" w:customStyle="1" w:styleId="Textosinformato1">
    <w:name w:val="Texto sin formato1"/>
    <w:basedOn w:val="Normal"/>
    <w:pPr>
      <w:widowControl/>
      <w:textAlignment w:val="auto"/>
    </w:pPr>
    <w:rPr>
      <w:rFonts w:ascii="Courier New" w:eastAsia="Times New Roman" w:hAnsi="Courier New" w:cs="Times New Roman"/>
      <w:kern w:val="0"/>
      <w:sz w:val="20"/>
      <w:szCs w:val="20"/>
      <w:lang w:eastAsia="ar-SA" w:bidi="ar-SA"/>
    </w:rPr>
  </w:style>
  <w:style w:type="character" w:styleId="Hipervnculo">
    <w:name w:val="Hyperlink"/>
    <w:rPr>
      <w:color w:val="0000FF"/>
      <w:u w:val="single"/>
    </w:rPr>
  </w:style>
  <w:style w:type="character" w:customStyle="1" w:styleId="resalte7">
    <w:name w:val="resalte7"/>
    <w:rPr>
      <w:color w:val="FF0B0B"/>
    </w:rPr>
  </w:style>
  <w:style w:type="character" w:customStyle="1" w:styleId="nota-resumen2">
    <w:name w:val="nota-resumen2"/>
    <w:rPr>
      <w:b w:val="0"/>
      <w:bCs w:val="0"/>
      <w:i w:val="0"/>
      <w:iCs w:val="0"/>
      <w:color w:val="0148B2"/>
      <w:shd w:val="clear" w:color="auto" w:fill="E2EDF5"/>
    </w:rPr>
  </w:style>
  <w:style w:type="character" w:customStyle="1" w:styleId="resalte9">
    <w:name w:val="resalte9"/>
    <w:rPr>
      <w:color w:val="FF0B0B"/>
    </w:rPr>
  </w:style>
  <w:style w:type="paragraph" w:styleId="Textonotapie">
    <w:name w:val="footnote text"/>
    <w:basedOn w:val="Normal"/>
    <w:pPr>
      <w:widowControl/>
      <w:suppressAutoHyphens w:val="0"/>
      <w:textAlignment w:val="auto"/>
    </w:pPr>
    <w:rPr>
      <w:rFonts w:eastAsia="Times New Roman" w:cs="Times New Roman"/>
      <w:kern w:val="0"/>
      <w:sz w:val="20"/>
      <w:szCs w:val="20"/>
      <w:lang w:eastAsia="es-ES" w:bidi="ar-SA"/>
    </w:rPr>
  </w:style>
  <w:style w:type="character" w:customStyle="1" w:styleId="TextonotapieCar">
    <w:name w:val="Texto nota pie Car"/>
    <w:basedOn w:val="Fuentedeprrafopredeter"/>
    <w:rPr>
      <w:rFonts w:eastAsia="Times New Roman" w:cs="Times New Roman"/>
      <w:kern w:val="0"/>
      <w:sz w:val="20"/>
      <w:szCs w:val="20"/>
      <w:lang w:eastAsia="es-ES" w:bidi="ar-SA"/>
    </w:rPr>
  </w:style>
  <w:style w:type="paragraph" w:customStyle="1" w:styleId="03-Contenido">
    <w:name w:val="03-Contenido"/>
    <w:basedOn w:val="Normal"/>
    <w:pPr>
      <w:widowControl/>
      <w:jc w:val="both"/>
      <w:textAlignment w:val="auto"/>
    </w:pPr>
    <w:rPr>
      <w:rFonts w:ascii="Arial" w:eastAsia="Times New Roman" w:hAnsi="Arial" w:cs="Arial"/>
      <w:sz w:val="22"/>
      <w:szCs w:val="20"/>
      <w:lang w:eastAsia="ar-SA" w:bidi="ar-SA"/>
    </w:rPr>
  </w:style>
  <w:style w:type="paragraph" w:styleId="Textoindependiente2">
    <w:name w:val="Body Text 2"/>
    <w:basedOn w:val="Normal"/>
    <w:pPr>
      <w:spacing w:after="120" w:line="480" w:lineRule="auto"/>
      <w:textAlignment w:val="auto"/>
    </w:pPr>
    <w:rPr>
      <w:rFonts w:ascii="Arial" w:eastAsia="Lucida Sans Unicode" w:hAnsi="Arial" w:cs="Times New Roman"/>
      <w:sz w:val="22"/>
      <w:lang w:bidi="ar-SA"/>
    </w:rPr>
  </w:style>
  <w:style w:type="character" w:customStyle="1" w:styleId="Textoindependiente2Car">
    <w:name w:val="Texto independiente 2 Car"/>
    <w:basedOn w:val="Fuentedeprrafopredeter"/>
    <w:rPr>
      <w:rFonts w:ascii="Arial" w:eastAsia="Lucida Sans Unicode" w:hAnsi="Arial" w:cs="Times New Roman"/>
      <w:kern w:val="3"/>
      <w:sz w:val="22"/>
      <w:lang w:bidi="ar-SA"/>
    </w:rPr>
  </w:style>
  <w:style w:type="paragraph" w:styleId="Subttulo">
    <w:name w:val="Subtitle"/>
    <w:basedOn w:val="Normal"/>
    <w:next w:val="Textoindependiente"/>
    <w:pPr>
      <w:keepNext/>
      <w:widowControl/>
      <w:spacing w:before="240" w:after="120"/>
      <w:jc w:val="center"/>
      <w:textAlignment w:val="auto"/>
    </w:pPr>
    <w:rPr>
      <w:rFonts w:ascii="Arial" w:eastAsia="Microsoft YaHei" w:hAnsi="Arial"/>
      <w:i/>
      <w:iCs/>
      <w:sz w:val="28"/>
      <w:szCs w:val="28"/>
      <w:lang w:eastAsia="ar-SA" w:bidi="ar-SA"/>
    </w:rPr>
  </w:style>
  <w:style w:type="character" w:customStyle="1" w:styleId="SubttuloCar">
    <w:name w:val="Subtítulo Car"/>
    <w:basedOn w:val="Fuentedeprrafopredeter"/>
    <w:rPr>
      <w:rFonts w:ascii="Arial" w:eastAsia="Microsoft YaHei" w:hAnsi="Arial"/>
      <w:i/>
      <w:iCs/>
      <w:kern w:val="3"/>
      <w:sz w:val="28"/>
      <w:szCs w:val="28"/>
      <w:lang w:eastAsia="ar-SA" w:bidi="ar-SA"/>
    </w:rPr>
  </w:style>
  <w:style w:type="paragraph" w:customStyle="1" w:styleId="Pa10">
    <w:name w:val="Pa10"/>
    <w:basedOn w:val="Normal"/>
    <w:next w:val="Normal"/>
    <w:pPr>
      <w:widowControl/>
      <w:suppressAutoHyphens w:val="0"/>
      <w:autoSpaceDE w:val="0"/>
      <w:spacing w:line="201" w:lineRule="atLeast"/>
      <w:textAlignment w:val="auto"/>
    </w:pPr>
    <w:rPr>
      <w:rFonts w:ascii="Arial" w:eastAsia="Times New Roman" w:hAnsi="Arial" w:cs="Times New Roman"/>
      <w:kern w:val="0"/>
      <w:lang w:eastAsia="es-ES" w:bidi="ar-SA"/>
    </w:rPr>
  </w:style>
  <w:style w:type="paragraph" w:customStyle="1" w:styleId="sangrado">
    <w:name w:val="sangrado"/>
    <w:basedOn w:val="Normal"/>
    <w:pPr>
      <w:widowControl/>
      <w:suppressAutoHyphens w:val="0"/>
      <w:spacing w:before="100" w:after="100"/>
      <w:textAlignment w:val="auto"/>
    </w:pPr>
    <w:rPr>
      <w:rFonts w:eastAsia="Times New Roman" w:cs="Times New Roman"/>
      <w:kern w:val="0"/>
      <w:lang w:eastAsia="es-ES" w:bidi="ar-SA"/>
    </w:rPr>
  </w:style>
  <w:style w:type="paragraph" w:customStyle="1" w:styleId="imagen">
    <w:name w:val="imagen"/>
    <w:basedOn w:val="Normal"/>
    <w:pPr>
      <w:widowControl/>
      <w:suppressAutoHyphens w:val="0"/>
      <w:spacing w:before="100" w:after="100"/>
      <w:textAlignment w:val="auto"/>
    </w:pPr>
    <w:rPr>
      <w:rFonts w:eastAsia="Times New Roman" w:cs="Times New Roman"/>
      <w:kern w:val="0"/>
      <w:lang w:eastAsia="es-ES" w:bidi="ar-SA"/>
    </w:rPr>
  </w:style>
  <w:style w:type="paragraph" w:customStyle="1" w:styleId="sangrado2">
    <w:name w:val="sangrado_2"/>
    <w:basedOn w:val="Normal"/>
    <w:pPr>
      <w:widowControl/>
      <w:suppressAutoHyphens w:val="0"/>
      <w:spacing w:before="100" w:after="100"/>
      <w:textAlignment w:val="auto"/>
    </w:pPr>
    <w:rPr>
      <w:rFonts w:eastAsia="Times New Roman" w:cs="Times New Roman"/>
      <w:kern w:val="0"/>
      <w:lang w:eastAsia="es-ES" w:bidi="ar-SA"/>
    </w:rPr>
  </w:style>
  <w:style w:type="character" w:styleId="Refdenotaalpie">
    <w:name w:val="footnote reference"/>
    <w:basedOn w:val="Fuentedeprrafopredeter"/>
    <w:rPr>
      <w:position w:val="0"/>
      <w:vertAlign w:val="superscript"/>
    </w:rPr>
  </w:style>
  <w:style w:type="paragraph" w:customStyle="1" w:styleId="Default">
    <w:name w:val="Default"/>
    <w:pPr>
      <w:widowControl/>
      <w:autoSpaceDE w:val="0"/>
      <w:textAlignment w:val="auto"/>
    </w:pPr>
    <w:rPr>
      <w:rFonts w:ascii="Arial" w:eastAsia="Times New Roman" w:hAnsi="Arial" w:cs="Arial"/>
      <w:color w:val="000000"/>
      <w:kern w:val="0"/>
      <w:lang w:eastAsia="es-ES" w:bidi="ar-SA"/>
    </w:rPr>
  </w:style>
  <w:style w:type="character" w:customStyle="1" w:styleId="Ttulo3Car">
    <w:name w:val="Título 3 Car"/>
    <w:basedOn w:val="Fuentedeprrafopredeter"/>
    <w:rPr>
      <w:rFonts w:ascii="Calibri Light" w:eastAsia="Times New Roman" w:hAnsi="Calibri Light" w:cs="Times New Roman"/>
      <w:b/>
      <w:bCs/>
      <w:kern w:val="3"/>
      <w:sz w:val="26"/>
      <w:szCs w:val="26"/>
      <w:lang w:bidi="ar-SA"/>
    </w:rPr>
  </w:style>
  <w:style w:type="character" w:customStyle="1" w:styleId="Ttulo6Car">
    <w:name w:val="Título 6 Car"/>
    <w:basedOn w:val="Fuentedeprrafopredeter"/>
    <w:rPr>
      <w:rFonts w:ascii="Calibri" w:eastAsia="Times New Roman" w:hAnsi="Calibri" w:cs="Times New Roman"/>
      <w:b/>
      <w:bCs/>
      <w:kern w:val="3"/>
      <w:sz w:val="22"/>
      <w:szCs w:val="22"/>
      <w:lang w:bidi="ar-SA"/>
    </w:rPr>
  </w:style>
  <w:style w:type="character" w:customStyle="1" w:styleId="Ttulo7Car">
    <w:name w:val="Título 7 Car"/>
    <w:basedOn w:val="Fuentedeprrafopredeter"/>
    <w:rPr>
      <w:rFonts w:eastAsia="Times New Roman" w:cs="Times New Roman"/>
      <w:b/>
      <w:bCs/>
      <w:i/>
      <w:iCs/>
      <w:kern w:val="3"/>
      <w:szCs w:val="20"/>
      <w:u w:val="single"/>
      <w:lang w:val="es-ES_tradnl" w:eastAsia="ar-SA" w:bidi="ar-SA"/>
    </w:rPr>
  </w:style>
  <w:style w:type="character" w:customStyle="1" w:styleId="Ttulo8Car">
    <w:name w:val="Título 8 Car"/>
    <w:basedOn w:val="Fuentedeprrafopredeter"/>
    <w:rPr>
      <w:rFonts w:eastAsia="Times New Roman" w:cs="Times New Roman"/>
      <w:kern w:val="3"/>
      <w:szCs w:val="20"/>
      <w:lang w:val="es-ES_tradnl" w:eastAsia="ar-SA" w:bidi="ar-SA"/>
    </w:rPr>
  </w:style>
  <w:style w:type="paragraph" w:customStyle="1" w:styleId="Header1">
    <w:name w:val="Header1"/>
    <w:basedOn w:val="Normal"/>
    <w:pPr>
      <w:suppressLineNumbers/>
      <w:tabs>
        <w:tab w:val="center" w:pos="4818"/>
        <w:tab w:val="right" w:pos="9637"/>
      </w:tabs>
      <w:textAlignment w:val="auto"/>
    </w:pPr>
    <w:rPr>
      <w:rFonts w:ascii="Arial" w:eastAsia="Lucida Sans Unicode" w:hAnsi="Arial" w:cs="Times New Roman"/>
      <w:sz w:val="22"/>
      <w:lang w:bidi="ar-SA"/>
    </w:rPr>
  </w:style>
  <w:style w:type="paragraph" w:customStyle="1" w:styleId="Footer1">
    <w:name w:val="Footer1"/>
    <w:basedOn w:val="Normal"/>
    <w:pPr>
      <w:suppressLineNumbers/>
      <w:tabs>
        <w:tab w:val="center" w:pos="4818"/>
        <w:tab w:val="right" w:pos="9637"/>
      </w:tabs>
      <w:textAlignment w:val="auto"/>
    </w:pPr>
    <w:rPr>
      <w:rFonts w:ascii="Arial" w:eastAsia="Lucida Sans Unicode" w:hAnsi="Arial" w:cs="Times New Roman"/>
      <w:sz w:val="22"/>
      <w:lang w:bidi="ar-SA"/>
    </w:rPr>
  </w:style>
  <w:style w:type="paragraph" w:customStyle="1" w:styleId="Header2">
    <w:name w:val="Header2"/>
    <w:basedOn w:val="Normal"/>
    <w:pPr>
      <w:suppressLineNumbers/>
      <w:tabs>
        <w:tab w:val="right" w:pos="9637"/>
      </w:tabs>
      <w:textAlignment w:val="auto"/>
    </w:pPr>
    <w:rPr>
      <w:rFonts w:ascii="Arial" w:eastAsia="Lucida Sans Unicode" w:hAnsi="Arial" w:cs="Times New Roman"/>
      <w:sz w:val="22"/>
      <w:lang w:bidi="ar-SA"/>
    </w:rPr>
  </w:style>
  <w:style w:type="paragraph" w:customStyle="1" w:styleId="Footer2">
    <w:name w:val="Footer2"/>
    <w:basedOn w:val="Normal"/>
    <w:pPr>
      <w:suppressLineNumbers/>
      <w:tabs>
        <w:tab w:val="right" w:pos="9637"/>
      </w:tabs>
      <w:textAlignment w:val="auto"/>
    </w:pPr>
    <w:rPr>
      <w:rFonts w:ascii="Arial" w:eastAsia="Lucida Sans Unicode" w:hAnsi="Arial" w:cs="Times New Roman"/>
      <w:sz w:val="22"/>
      <w:lang w:bidi="ar-SA"/>
    </w:rPr>
  </w:style>
  <w:style w:type="paragraph" w:customStyle="1" w:styleId="Header3">
    <w:name w:val="Header3"/>
    <w:basedOn w:val="Normal"/>
    <w:pPr>
      <w:suppressLineNumbers/>
      <w:tabs>
        <w:tab w:val="center" w:pos="4818"/>
        <w:tab w:val="right" w:pos="9637"/>
      </w:tabs>
      <w:textAlignment w:val="auto"/>
    </w:pPr>
    <w:rPr>
      <w:rFonts w:ascii="Arial" w:eastAsia="Lucida Sans Unicode" w:hAnsi="Arial" w:cs="Times New Roman"/>
      <w:sz w:val="22"/>
      <w:lang w:bidi="ar-SA"/>
    </w:rPr>
  </w:style>
  <w:style w:type="paragraph" w:customStyle="1" w:styleId="Header4">
    <w:name w:val="Header4"/>
    <w:basedOn w:val="Normal"/>
    <w:pPr>
      <w:suppressLineNumbers/>
      <w:tabs>
        <w:tab w:val="center" w:pos="4818"/>
        <w:tab w:val="right" w:pos="9637"/>
      </w:tabs>
      <w:textAlignment w:val="auto"/>
    </w:pPr>
    <w:rPr>
      <w:rFonts w:ascii="Arial" w:eastAsia="Lucida Sans Unicode" w:hAnsi="Arial" w:cs="Times New Roman"/>
      <w:sz w:val="22"/>
      <w:lang w:bidi="ar-SA"/>
    </w:rPr>
  </w:style>
  <w:style w:type="paragraph" w:customStyle="1" w:styleId="Footer3">
    <w:name w:val="Footer3"/>
    <w:basedOn w:val="Normal"/>
    <w:pPr>
      <w:suppressLineNumbers/>
      <w:tabs>
        <w:tab w:val="center" w:pos="4818"/>
        <w:tab w:val="right" w:pos="9637"/>
      </w:tabs>
      <w:textAlignment w:val="auto"/>
    </w:pPr>
    <w:rPr>
      <w:rFonts w:ascii="Arial" w:eastAsia="Lucida Sans Unicode" w:hAnsi="Arial" w:cs="Times New Roman"/>
      <w:sz w:val="22"/>
      <w:lang w:bidi="ar-SA"/>
    </w:rPr>
  </w:style>
  <w:style w:type="paragraph" w:styleId="Ttulo">
    <w:name w:val="Title"/>
    <w:basedOn w:val="Normal"/>
    <w:pPr>
      <w:widowControl/>
      <w:tabs>
        <w:tab w:val="left" w:pos="-720"/>
      </w:tabs>
      <w:suppressAutoHyphens w:val="0"/>
      <w:spacing w:line="240" w:lineRule="atLeast"/>
      <w:jc w:val="center"/>
      <w:textAlignment w:val="auto"/>
    </w:pPr>
    <w:rPr>
      <w:rFonts w:eastAsia="Times New Roman" w:cs="Times New Roman"/>
      <w:b/>
      <w:bCs/>
      <w:spacing w:val="-3"/>
      <w:kern w:val="0"/>
      <w:lang w:val="es-ES_tradnl" w:eastAsia="es-ES" w:bidi="he-IL"/>
    </w:rPr>
  </w:style>
  <w:style w:type="character" w:customStyle="1" w:styleId="TtuloCar">
    <w:name w:val="Título Car"/>
    <w:basedOn w:val="Fuentedeprrafopredeter"/>
    <w:rPr>
      <w:rFonts w:ascii="Calibri Light" w:eastAsia="Times New Roman" w:hAnsi="Calibri Light" w:cs="Mangal"/>
      <w:spacing w:val="-10"/>
      <w:kern w:val="3"/>
      <w:sz w:val="56"/>
      <w:szCs w:val="50"/>
    </w:rPr>
  </w:style>
  <w:style w:type="character" w:customStyle="1" w:styleId="TtuloCar1">
    <w:name w:val="Título Car1"/>
    <w:rPr>
      <w:rFonts w:eastAsia="Times New Roman" w:cs="Times New Roman"/>
      <w:b/>
      <w:bCs/>
      <w:spacing w:val="-3"/>
      <w:kern w:val="0"/>
      <w:lang w:val="es-ES_tradnl" w:eastAsia="es-ES" w:bidi="he-IL"/>
    </w:rPr>
  </w:style>
  <w:style w:type="character" w:customStyle="1" w:styleId="Ttulo2Car">
    <w:name w:val="Título 2 Car"/>
    <w:rPr>
      <w:rFonts w:ascii="Arimo" w:eastAsia="Times New Roman" w:hAnsi="Arimo" w:cs="Arimo"/>
      <w:b/>
      <w:bCs/>
      <w:sz w:val="28"/>
      <w:lang w:bidi="ar-SA"/>
    </w:rPr>
  </w:style>
  <w:style w:type="character" w:customStyle="1" w:styleId="Bullet20Symbols">
    <w:name w:val="Bullet_20_Symbols"/>
  </w:style>
  <w:style w:type="paragraph" w:styleId="Sangradetextonormal">
    <w:name w:val="Body Text Indent"/>
    <w:basedOn w:val="Normal"/>
    <w:pPr>
      <w:spacing w:after="120"/>
      <w:ind w:left="283"/>
      <w:textAlignment w:val="auto"/>
    </w:pPr>
    <w:rPr>
      <w:rFonts w:ascii="Arial" w:eastAsia="Lucida Sans Unicode" w:hAnsi="Arial" w:cs="Times New Roman"/>
      <w:sz w:val="22"/>
      <w:lang w:bidi="ar-SA"/>
    </w:rPr>
  </w:style>
  <w:style w:type="character" w:customStyle="1" w:styleId="SangradetextonormalCar">
    <w:name w:val="Sangría de texto normal Car"/>
    <w:basedOn w:val="Fuentedeprrafopredeter"/>
    <w:rPr>
      <w:rFonts w:ascii="Arial" w:eastAsia="Lucida Sans Unicode" w:hAnsi="Arial" w:cs="Times New Roman"/>
      <w:kern w:val="3"/>
      <w:sz w:val="22"/>
      <w:lang w:bidi="ar-SA"/>
    </w:rPr>
  </w:style>
  <w:style w:type="character" w:customStyle="1" w:styleId="WW8Num1z0">
    <w:name w:val="WW8Num1z0"/>
  </w:style>
  <w:style w:type="character" w:customStyle="1" w:styleId="WW8Num1z1">
    <w:name w:val="WW8Num1z1"/>
  </w:style>
  <w:style w:type="character" w:customStyle="1" w:styleId="WW8Num1z2">
    <w:name w:val="WW8Num1z2"/>
  </w:style>
  <w:style w:type="character" w:customStyle="1" w:styleId="WW8Num1z3">
    <w:name w:val="WW8Num1z3"/>
  </w:style>
  <w:style w:type="character" w:customStyle="1" w:styleId="WW8Num1z4">
    <w:name w:val="WW8Num1z4"/>
  </w:style>
  <w:style w:type="character" w:customStyle="1" w:styleId="WW8Num1z5">
    <w:name w:val="WW8Num1z5"/>
  </w:style>
  <w:style w:type="character" w:customStyle="1" w:styleId="WW8Num1z6">
    <w:name w:val="WW8Num1z6"/>
  </w:style>
  <w:style w:type="character" w:customStyle="1" w:styleId="WW8Num1z7">
    <w:name w:val="WW8Num1z7"/>
  </w:style>
  <w:style w:type="character" w:customStyle="1" w:styleId="WW8Num1z8">
    <w:name w:val="WW8Num1z8"/>
  </w:style>
  <w:style w:type="character" w:customStyle="1" w:styleId="WW8Num2z0">
    <w:name w:val="WW8Num2z0"/>
    <w:rPr>
      <w:rFonts w:ascii="Wingdings" w:eastAsia="Times New Roman" w:hAnsi="Wingdings" w:cs="Wingdings"/>
      <w:sz w:val="24"/>
      <w:szCs w:val="24"/>
    </w:rPr>
  </w:style>
  <w:style w:type="character" w:customStyle="1" w:styleId="WW8Num3z0">
    <w:name w:val="WW8Num3z0"/>
    <w:rPr>
      <w:rFonts w:ascii="Times New Roman" w:hAnsi="Times New Roman" w:cs="Times New Roman"/>
    </w:rPr>
  </w:style>
  <w:style w:type="character" w:customStyle="1" w:styleId="WW8Num4z0">
    <w:name w:val="WW8Num4z0"/>
    <w:rPr>
      <w:rFonts w:ascii="Symbol" w:hAnsi="Symbol" w:cs="OpenSymbol"/>
      <w:lang w:val="es-ES_tradnl"/>
    </w:rPr>
  </w:style>
  <w:style w:type="character" w:customStyle="1" w:styleId="WW8Num4z1">
    <w:name w:val="WW8Num4z1"/>
  </w:style>
  <w:style w:type="character" w:customStyle="1" w:styleId="WW8Num4z2">
    <w:name w:val="WW8Num4z2"/>
  </w:style>
  <w:style w:type="character" w:customStyle="1" w:styleId="WW8Num4z3">
    <w:name w:val="WW8Num4z3"/>
  </w:style>
  <w:style w:type="character" w:customStyle="1" w:styleId="WW8Num4z4">
    <w:name w:val="WW8Num4z4"/>
  </w:style>
  <w:style w:type="character" w:customStyle="1" w:styleId="WW8Num5z0">
    <w:name w:val="WW8Num5z0"/>
    <w:rPr>
      <w:rFonts w:ascii="Symbol" w:hAnsi="Symbol" w:cs="OpenSymbol"/>
    </w:rPr>
  </w:style>
  <w:style w:type="character" w:customStyle="1" w:styleId="WW8Num6z0">
    <w:name w:val="WW8Num6z0"/>
    <w:rPr>
      <w:rFonts w:ascii="Symbol" w:hAnsi="Symbol" w:cs="Symbol"/>
    </w:rPr>
  </w:style>
  <w:style w:type="character" w:customStyle="1" w:styleId="WW8Num7z0">
    <w:name w:val="WW8Num7z0"/>
    <w:rPr>
      <w:bCs/>
    </w:rPr>
  </w:style>
  <w:style w:type="character" w:customStyle="1" w:styleId="WW8Num7z1">
    <w:name w:val="WW8Num7z1"/>
  </w:style>
  <w:style w:type="character" w:customStyle="1" w:styleId="WW8Num7z2">
    <w:name w:val="WW8Num7z2"/>
  </w:style>
  <w:style w:type="character" w:customStyle="1" w:styleId="WW8Num7z3">
    <w:name w:val="WW8Num7z3"/>
  </w:style>
  <w:style w:type="character" w:customStyle="1" w:styleId="WW8Num7z4">
    <w:name w:val="WW8Num7z4"/>
  </w:style>
  <w:style w:type="character" w:customStyle="1" w:styleId="WW8Num7z5">
    <w:name w:val="WW8Num7z5"/>
  </w:style>
  <w:style w:type="character" w:customStyle="1" w:styleId="WW8Num7z6">
    <w:name w:val="WW8Num7z6"/>
  </w:style>
  <w:style w:type="character" w:customStyle="1" w:styleId="WW8Num7z7">
    <w:name w:val="WW8Num7z7"/>
  </w:style>
  <w:style w:type="character" w:customStyle="1" w:styleId="WW8Num7z8">
    <w:name w:val="WW8Num7z8"/>
  </w:style>
  <w:style w:type="character" w:customStyle="1" w:styleId="WW8Num8z0">
    <w:name w:val="WW8Num8z0"/>
    <w:rPr>
      <w:rFonts w:ascii="Symbol" w:eastAsia="Times New Roman" w:hAnsi="Symbol" w:cs="Times New Roman"/>
      <w:bCs/>
      <w:lang w:val="es-ES_tradnl"/>
    </w:rPr>
  </w:style>
  <w:style w:type="character" w:customStyle="1" w:styleId="WW8Num9z0">
    <w:name w:val="WW8Num9z0"/>
    <w:rPr>
      <w:rFonts w:ascii="Symbol" w:eastAsia="Times New Roman" w:hAnsi="Symbol" w:cs="Times New Roman"/>
      <w:bCs/>
      <w:sz w:val="28"/>
      <w:lang w:val="es-ES_tradnl"/>
    </w:rPr>
  </w:style>
  <w:style w:type="character" w:customStyle="1" w:styleId="WW8Num8z1">
    <w:name w:val="WW8Num8z1"/>
    <w:rPr>
      <w:rFonts w:ascii="Courier New" w:hAnsi="Courier New" w:cs="Courier New"/>
    </w:rPr>
  </w:style>
  <w:style w:type="character" w:customStyle="1" w:styleId="WW8Num8z2">
    <w:name w:val="WW8Num8z2"/>
    <w:rPr>
      <w:rFonts w:ascii="Wingdings" w:hAnsi="Wingdings" w:cs="Wingdings"/>
    </w:rPr>
  </w:style>
  <w:style w:type="character" w:customStyle="1" w:styleId="WW8Num8z3">
    <w:name w:val="WW8Num8z3"/>
    <w:rPr>
      <w:rFonts w:ascii="Symbol" w:hAnsi="Symbol" w:cs="Symbol"/>
    </w:rPr>
  </w:style>
  <w:style w:type="character" w:customStyle="1" w:styleId="WW8Num8z4">
    <w:name w:val="WW8Num8z4"/>
  </w:style>
  <w:style w:type="character" w:customStyle="1" w:styleId="WW8Num8z5">
    <w:name w:val="WW8Num8z5"/>
  </w:style>
  <w:style w:type="character" w:customStyle="1" w:styleId="WW8Num8z6">
    <w:name w:val="WW8Num8z6"/>
  </w:style>
  <w:style w:type="character" w:customStyle="1" w:styleId="WW8Num8z7">
    <w:name w:val="WW8Num8z7"/>
  </w:style>
  <w:style w:type="character" w:customStyle="1" w:styleId="WW8Num8z8">
    <w:name w:val="WW8Num8z8"/>
  </w:style>
  <w:style w:type="character" w:customStyle="1" w:styleId="WW8Num10z0">
    <w:name w:val="WW8Num10z0"/>
    <w:rPr>
      <w:rFonts w:ascii="Times New Roman" w:eastAsia="Times New Roman" w:hAnsi="Times New Roman" w:cs="Times New Roman"/>
      <w:bCs/>
      <w:sz w:val="28"/>
      <w:lang w:val="es-ES_tradnl"/>
    </w:rPr>
  </w:style>
  <w:style w:type="character" w:customStyle="1" w:styleId="WW8Num2z1">
    <w:name w:val="WW8Num2z1"/>
    <w:rPr>
      <w:rFonts w:ascii="Symbol" w:hAnsi="Symbol" w:cs="Times New Roman"/>
    </w:rPr>
  </w:style>
  <w:style w:type="character" w:customStyle="1" w:styleId="WW8Num2z2">
    <w:name w:val="WW8Num2z2"/>
  </w:style>
  <w:style w:type="character" w:customStyle="1" w:styleId="WW8Num2z3">
    <w:name w:val="WW8Num2z3"/>
    <w:rPr>
      <w:rFonts w:ascii="Symbol" w:hAnsi="Symbol" w:cs="Symbol"/>
    </w:rPr>
  </w:style>
  <w:style w:type="character" w:customStyle="1" w:styleId="WW8Num2z4">
    <w:name w:val="WW8Num2z4"/>
    <w:rPr>
      <w:rFonts w:ascii="Courier New" w:hAnsi="Courier New" w:cs="Courier New"/>
    </w:rPr>
  </w:style>
  <w:style w:type="character" w:customStyle="1" w:styleId="WW8Num2z5">
    <w:name w:val="WW8Num2z5"/>
  </w:style>
  <w:style w:type="character" w:customStyle="1" w:styleId="WW8Num2z6">
    <w:name w:val="WW8Num2z6"/>
  </w:style>
  <w:style w:type="character" w:customStyle="1" w:styleId="WW8Num2z7">
    <w:name w:val="WW8Num2z7"/>
  </w:style>
  <w:style w:type="character" w:customStyle="1" w:styleId="WW8Num2z8">
    <w:name w:val="WW8Num2z8"/>
  </w:style>
  <w:style w:type="character" w:customStyle="1" w:styleId="WW8Num3z1">
    <w:name w:val="WW8Num3z1"/>
  </w:style>
  <w:style w:type="character" w:customStyle="1" w:styleId="WW8Num3z2">
    <w:name w:val="WW8Num3z2"/>
  </w:style>
  <w:style w:type="character" w:customStyle="1" w:styleId="WW8Num3z3">
    <w:name w:val="WW8Num3z3"/>
  </w:style>
  <w:style w:type="character" w:customStyle="1" w:styleId="WW8Num3z4">
    <w:name w:val="WW8Num3z4"/>
  </w:style>
  <w:style w:type="character" w:customStyle="1" w:styleId="WW8Num3z5">
    <w:name w:val="WW8Num3z5"/>
  </w:style>
  <w:style w:type="character" w:customStyle="1" w:styleId="WW8Num3z6">
    <w:name w:val="WW8Num3z6"/>
  </w:style>
  <w:style w:type="character" w:customStyle="1" w:styleId="WW8Num3z7">
    <w:name w:val="WW8Num3z7"/>
  </w:style>
  <w:style w:type="character" w:customStyle="1" w:styleId="WW8Num3z8">
    <w:name w:val="WW8Num3z8"/>
  </w:style>
  <w:style w:type="character" w:customStyle="1" w:styleId="Fuentedeprrafopredeter2">
    <w:name w:val="Fuente de párrafo predeter.2"/>
  </w:style>
  <w:style w:type="character" w:customStyle="1" w:styleId="RTFNum21">
    <w:name w:val="RTF_Num 2 1"/>
    <w:rPr>
      <w:rFonts w:ascii="OpenSymbol" w:eastAsia="OpenSymbol" w:hAnsi="OpenSymbol" w:cs="OpenSymbol"/>
    </w:rPr>
  </w:style>
  <w:style w:type="character" w:customStyle="1" w:styleId="RTFNum22">
    <w:name w:val="RTF_Num 2 2"/>
    <w:rPr>
      <w:rFonts w:ascii="OpenSymbol" w:eastAsia="OpenSymbol" w:hAnsi="OpenSymbol" w:cs="OpenSymbol"/>
    </w:rPr>
  </w:style>
  <w:style w:type="character" w:customStyle="1" w:styleId="RTFNum23">
    <w:name w:val="RTF_Num 2 3"/>
    <w:rPr>
      <w:rFonts w:ascii="OpenSymbol" w:eastAsia="OpenSymbol" w:hAnsi="OpenSymbol" w:cs="OpenSymbol"/>
    </w:rPr>
  </w:style>
  <w:style w:type="character" w:customStyle="1" w:styleId="RTFNum24">
    <w:name w:val="RTF_Num 2 4"/>
    <w:rPr>
      <w:rFonts w:ascii="OpenSymbol" w:eastAsia="OpenSymbol" w:hAnsi="OpenSymbol" w:cs="OpenSymbol"/>
    </w:rPr>
  </w:style>
  <w:style w:type="character" w:customStyle="1" w:styleId="RTFNum25">
    <w:name w:val="RTF_Num 2 5"/>
    <w:rPr>
      <w:rFonts w:ascii="OpenSymbol" w:eastAsia="OpenSymbol" w:hAnsi="OpenSymbol" w:cs="OpenSymbol"/>
    </w:rPr>
  </w:style>
  <w:style w:type="character" w:customStyle="1" w:styleId="RTFNum26">
    <w:name w:val="RTF_Num 2 6"/>
    <w:rPr>
      <w:rFonts w:ascii="OpenSymbol" w:eastAsia="OpenSymbol" w:hAnsi="OpenSymbol" w:cs="OpenSymbol"/>
    </w:rPr>
  </w:style>
  <w:style w:type="character" w:customStyle="1" w:styleId="RTFNum27">
    <w:name w:val="RTF_Num 2 7"/>
    <w:rPr>
      <w:rFonts w:ascii="OpenSymbol" w:eastAsia="OpenSymbol" w:hAnsi="OpenSymbol" w:cs="OpenSymbol"/>
    </w:rPr>
  </w:style>
  <w:style w:type="character" w:customStyle="1" w:styleId="RTFNum28">
    <w:name w:val="RTF_Num 2 8"/>
    <w:rPr>
      <w:rFonts w:ascii="OpenSymbol" w:eastAsia="OpenSymbol" w:hAnsi="OpenSymbol" w:cs="OpenSymbol"/>
    </w:rPr>
  </w:style>
  <w:style w:type="character" w:customStyle="1" w:styleId="RTFNum29">
    <w:name w:val="RTF_Num 2 9"/>
    <w:rPr>
      <w:rFonts w:ascii="OpenSymbol" w:eastAsia="OpenSymbol" w:hAnsi="OpenSymbol" w:cs="OpenSymbol"/>
    </w:rPr>
  </w:style>
  <w:style w:type="character" w:customStyle="1" w:styleId="Vietas">
    <w:name w:val="Viñetas"/>
    <w:rPr>
      <w:rFonts w:ascii="OpenSymbol" w:eastAsia="OpenSymbol" w:hAnsi="OpenSymbol" w:cs="OpenSymbol"/>
    </w:rPr>
  </w:style>
  <w:style w:type="character" w:customStyle="1" w:styleId="WW8Num4z5">
    <w:name w:val="WW8Num4z5"/>
  </w:style>
  <w:style w:type="character" w:customStyle="1" w:styleId="WW8Num4z6">
    <w:name w:val="WW8Num4z6"/>
  </w:style>
  <w:style w:type="character" w:customStyle="1" w:styleId="WW8Num4z7">
    <w:name w:val="WW8Num4z7"/>
  </w:style>
  <w:style w:type="character" w:customStyle="1" w:styleId="WW8Num4z8">
    <w:name w:val="WW8Num4z8"/>
  </w:style>
  <w:style w:type="character" w:customStyle="1" w:styleId="WW8Num5z1">
    <w:name w:val="WW8Num5z1"/>
  </w:style>
  <w:style w:type="character" w:customStyle="1" w:styleId="WW8Num5z2">
    <w:name w:val="WW8Num5z2"/>
  </w:style>
  <w:style w:type="character" w:customStyle="1" w:styleId="WW8Num5z3">
    <w:name w:val="WW8Num5z3"/>
  </w:style>
  <w:style w:type="character" w:customStyle="1" w:styleId="WW8Num5z4">
    <w:name w:val="WW8Num5z4"/>
  </w:style>
  <w:style w:type="character" w:customStyle="1" w:styleId="WW8Num5z5">
    <w:name w:val="WW8Num5z5"/>
  </w:style>
  <w:style w:type="character" w:customStyle="1" w:styleId="WW8Num5z6">
    <w:name w:val="WW8Num5z6"/>
  </w:style>
  <w:style w:type="character" w:customStyle="1" w:styleId="WW8Num5z7">
    <w:name w:val="WW8Num5z7"/>
  </w:style>
  <w:style w:type="character" w:customStyle="1" w:styleId="WW8Num5z8">
    <w:name w:val="WW8Num5z8"/>
  </w:style>
  <w:style w:type="character" w:customStyle="1" w:styleId="Smbolosdenumeracin">
    <w:name w:val="Símbolos de numeración"/>
  </w:style>
  <w:style w:type="paragraph" w:customStyle="1" w:styleId="Encabezado2">
    <w:name w:val="Encabezado2"/>
    <w:basedOn w:val="Normal"/>
    <w:next w:val="Textoindependiente"/>
    <w:pPr>
      <w:keepNext/>
      <w:widowControl/>
      <w:spacing w:before="240" w:after="120"/>
      <w:textAlignment w:val="auto"/>
    </w:pPr>
    <w:rPr>
      <w:rFonts w:ascii="Arial" w:eastAsia="Microsoft YaHei" w:hAnsi="Arial"/>
      <w:sz w:val="28"/>
      <w:szCs w:val="28"/>
      <w:lang w:eastAsia="ar-SA" w:bidi="ar-SA"/>
    </w:rPr>
  </w:style>
  <w:style w:type="paragraph" w:customStyle="1" w:styleId="Etiqueta">
    <w:name w:val="Etiqueta"/>
    <w:basedOn w:val="Normal"/>
    <w:pPr>
      <w:widowControl/>
      <w:suppressLineNumbers/>
      <w:spacing w:before="120" w:after="120"/>
      <w:textAlignment w:val="auto"/>
    </w:pPr>
    <w:rPr>
      <w:rFonts w:eastAsia="Times New Roman"/>
      <w:i/>
      <w:iCs/>
      <w:lang w:eastAsia="ar-SA" w:bidi="ar-SA"/>
    </w:rPr>
  </w:style>
  <w:style w:type="paragraph" w:customStyle="1" w:styleId="ndice">
    <w:name w:val="Índice"/>
    <w:basedOn w:val="Normal"/>
    <w:pPr>
      <w:widowControl/>
      <w:suppressLineNumbers/>
      <w:textAlignment w:val="auto"/>
    </w:pPr>
    <w:rPr>
      <w:rFonts w:eastAsia="Times New Roman"/>
      <w:lang w:eastAsia="ar-SA" w:bidi="ar-SA"/>
    </w:rPr>
  </w:style>
  <w:style w:type="character" w:customStyle="1" w:styleId="EncabezadoCar1">
    <w:name w:val="Encabezado Car1"/>
    <w:rPr>
      <w:rFonts w:eastAsia="Times New Roman" w:cs="Times New Roman"/>
      <w:lang w:bidi="ar-SA"/>
    </w:rPr>
  </w:style>
  <w:style w:type="character" w:customStyle="1" w:styleId="PiedepginaCar1">
    <w:name w:val="Pie de página Car1"/>
    <w:rPr>
      <w:rFonts w:eastAsia="Times New Roman" w:cs="Times New Roman"/>
      <w:lang w:bidi="ar-SA"/>
    </w:rPr>
  </w:style>
  <w:style w:type="paragraph" w:customStyle="1" w:styleId="Contenidodelmarco">
    <w:name w:val="Contenido del marco"/>
    <w:basedOn w:val="Textoindependiente"/>
    <w:pPr>
      <w:widowControl/>
      <w:spacing w:after="0"/>
      <w:jc w:val="both"/>
    </w:pPr>
    <w:rPr>
      <w:rFonts w:ascii="Arimo" w:eastAsia="Times New Roman" w:hAnsi="Arimo" w:cs="Arimo"/>
      <w:sz w:val="14"/>
      <w:lang w:eastAsia="ar-SA"/>
    </w:rPr>
  </w:style>
  <w:style w:type="paragraph" w:customStyle="1" w:styleId="Contenidodelatabla">
    <w:name w:val="Contenido de la tabla"/>
    <w:basedOn w:val="Normal"/>
    <w:pPr>
      <w:widowControl/>
      <w:suppressLineNumbers/>
      <w:textAlignment w:val="auto"/>
    </w:pPr>
    <w:rPr>
      <w:rFonts w:eastAsia="Times New Roman" w:cs="Times New Roman"/>
      <w:lang w:eastAsia="ar-SA" w:bidi="ar-SA"/>
    </w:rPr>
  </w:style>
  <w:style w:type="paragraph" w:customStyle="1" w:styleId="Encabezadodelatabla">
    <w:name w:val="Encabezado de la tabla"/>
    <w:basedOn w:val="Contenidodelatabla"/>
    <w:pPr>
      <w:jc w:val="center"/>
    </w:pPr>
    <w:rPr>
      <w:b/>
      <w:bCs/>
    </w:rPr>
  </w:style>
  <w:style w:type="character" w:customStyle="1" w:styleId="TextodegloboCar1">
    <w:name w:val="Texto de globo Car1"/>
    <w:rPr>
      <w:rFonts w:ascii="Tahoma" w:eastAsia="Times New Roman" w:hAnsi="Tahoma" w:cs="Tahoma"/>
      <w:sz w:val="16"/>
      <w:szCs w:val="16"/>
      <w:lang w:bidi="ar-SA"/>
    </w:rPr>
  </w:style>
  <w:style w:type="paragraph" w:customStyle="1" w:styleId="Textoindependiente22">
    <w:name w:val="Texto independiente 22"/>
    <w:basedOn w:val="Normal"/>
    <w:pPr>
      <w:widowControl/>
      <w:autoSpaceDE w:val="0"/>
      <w:jc w:val="both"/>
      <w:textAlignment w:val="auto"/>
    </w:pPr>
    <w:rPr>
      <w:rFonts w:eastAsia="Times New Roman" w:cs="Times New Roman"/>
      <w:szCs w:val="13"/>
      <w:lang w:eastAsia="ar-SA" w:bidi="ar-SA"/>
    </w:rPr>
  </w:style>
  <w:style w:type="paragraph" w:customStyle="1" w:styleId="Sangra2detindependiente1">
    <w:name w:val="Sangría 2 de t. independiente1"/>
    <w:basedOn w:val="Normal"/>
    <w:pPr>
      <w:widowControl/>
      <w:autoSpaceDE w:val="0"/>
      <w:ind w:left="708"/>
      <w:jc w:val="both"/>
      <w:textAlignment w:val="auto"/>
    </w:pPr>
    <w:rPr>
      <w:rFonts w:eastAsia="Times New Roman" w:cs="Times New Roman"/>
      <w:lang w:eastAsia="ar-SA" w:bidi="ar-SA"/>
    </w:rPr>
  </w:style>
  <w:style w:type="paragraph" w:customStyle="1" w:styleId="Sangra3detindependiente1">
    <w:name w:val="Sangría 3 de t. independiente1"/>
    <w:basedOn w:val="Normal"/>
    <w:pPr>
      <w:widowControl/>
      <w:ind w:firstLine="360"/>
      <w:jc w:val="both"/>
      <w:textAlignment w:val="auto"/>
    </w:pPr>
    <w:rPr>
      <w:rFonts w:eastAsia="Times New Roman" w:cs="Times New Roman"/>
      <w:lang w:eastAsia="ar-SA" w:bidi="ar-SA"/>
    </w:rPr>
  </w:style>
  <w:style w:type="paragraph" w:customStyle="1" w:styleId="02-Captulos">
    <w:name w:val="02-Capítulos"/>
    <w:next w:val="Normal"/>
    <w:pPr>
      <w:widowControl/>
      <w:suppressAutoHyphens/>
      <w:spacing w:after="120"/>
      <w:textAlignment w:val="auto"/>
    </w:pPr>
    <w:rPr>
      <w:rFonts w:ascii="Arial" w:eastAsia="Times New Roman" w:hAnsi="Arial" w:cs="Arial"/>
      <w:b/>
      <w:caps/>
      <w:spacing w:val="10"/>
      <w:sz w:val="20"/>
      <w:szCs w:val="20"/>
      <w:lang w:eastAsia="ar-SA" w:bidi="ar-SA"/>
    </w:rPr>
  </w:style>
  <w:style w:type="character" w:styleId="Hipervnculovisitado">
    <w:name w:val="FollowedHyperlink"/>
    <w:rPr>
      <w:color w:val="954F72"/>
      <w:u w:val="single"/>
    </w:rPr>
  </w:style>
  <w:style w:type="character" w:customStyle="1" w:styleId="WW8Num11z0">
    <w:name w:val="WW8Num11z0"/>
    <w:rPr>
      <w:sz w:val="24"/>
      <w:szCs w:val="24"/>
    </w:rPr>
  </w:style>
  <w:style w:type="character" w:customStyle="1" w:styleId="WW8Num12z0">
    <w:name w:val="WW8Num12z0"/>
    <w:rPr>
      <w:rFonts w:ascii="Times New Roman" w:eastAsia="Times New Roman" w:hAnsi="Times New Roman" w:cs="Times New Roman"/>
      <w:lang w:val="es-ES_tradnl"/>
    </w:rPr>
  </w:style>
  <w:style w:type="character" w:customStyle="1" w:styleId="WW8Num13z0">
    <w:name w:val="WW8Num13z0"/>
    <w:rPr>
      <w:rFonts w:ascii="Arimo" w:hAnsi="Arimo" w:cs="Arimo"/>
      <w:sz w:val="24"/>
      <w:szCs w:val="24"/>
      <w:lang w:val="es-ES_tradnl"/>
    </w:rPr>
  </w:style>
  <w:style w:type="character" w:customStyle="1" w:styleId="WW8Num14z0">
    <w:name w:val="WW8Num14z0"/>
    <w:rPr>
      <w:rFonts w:ascii="Wingdings" w:hAnsi="Wingdings" w:cs="Wingdings"/>
      <w:sz w:val="24"/>
      <w:szCs w:val="24"/>
      <w:lang w:val="es-ES_tradnl"/>
    </w:rPr>
  </w:style>
  <w:style w:type="character" w:customStyle="1" w:styleId="WW8Num15z0">
    <w:name w:val="WW8Num15z0"/>
    <w:rPr>
      <w:rFonts w:ascii="Symbol" w:hAnsi="Symbol" w:cs="Symbol"/>
      <w:sz w:val="20"/>
    </w:rPr>
  </w:style>
  <w:style w:type="character" w:customStyle="1" w:styleId="WW8Num16z0">
    <w:name w:val="WW8Num16z0"/>
    <w:rPr>
      <w:rFonts w:ascii="Symbol" w:hAnsi="Symbol" w:cs="Arimo"/>
      <w:sz w:val="24"/>
      <w:szCs w:val="24"/>
    </w:rPr>
  </w:style>
  <w:style w:type="character" w:customStyle="1" w:styleId="WW8Num17z0">
    <w:name w:val="WW8Num17z0"/>
    <w:rPr>
      <w:rFonts w:ascii="Arimo" w:hAnsi="Arimo" w:cs="Arimo"/>
      <w:sz w:val="24"/>
      <w:szCs w:val="24"/>
    </w:rPr>
  </w:style>
  <w:style w:type="character" w:customStyle="1" w:styleId="WW8Num18z0">
    <w:name w:val="WW8Num18z0"/>
    <w:rPr>
      <w:rFonts w:ascii="Symbol" w:eastAsia="Times New Roman" w:hAnsi="Symbol" w:cs="Times New Roman"/>
      <w:bCs/>
      <w:sz w:val="24"/>
      <w:szCs w:val="24"/>
      <w:lang w:val="es-ES_tradnl"/>
    </w:rPr>
  </w:style>
  <w:style w:type="character" w:customStyle="1" w:styleId="WW8Num19z0">
    <w:name w:val="WW8Num19z0"/>
    <w:rPr>
      <w:rFonts w:ascii="Symbol" w:eastAsia="Times New Roman" w:hAnsi="Symbol" w:cs="Times New Roman"/>
      <w:bCs/>
      <w:sz w:val="24"/>
      <w:szCs w:val="24"/>
      <w:lang w:val="es-ES_tradnl"/>
    </w:rPr>
  </w:style>
  <w:style w:type="character" w:customStyle="1" w:styleId="WW8Num20z0">
    <w:name w:val="WW8Num20z0"/>
    <w:rPr>
      <w:rFonts w:ascii="Symbol" w:hAnsi="Symbol" w:cs="Symbol"/>
      <w:bCs/>
      <w:sz w:val="20"/>
      <w:lang w:val="es-ES_tradnl"/>
    </w:rPr>
  </w:style>
  <w:style w:type="character" w:customStyle="1" w:styleId="WW8Num21z0">
    <w:name w:val="WW8Num21z0"/>
    <w:rPr>
      <w:rFonts w:ascii="Wingdings" w:hAnsi="Wingdings" w:cs="Wingdings"/>
      <w:bCs/>
      <w:sz w:val="24"/>
      <w:szCs w:val="24"/>
      <w:lang w:val="es-ES_tradnl"/>
    </w:rPr>
  </w:style>
  <w:style w:type="character" w:customStyle="1" w:styleId="WW8Num22z0">
    <w:name w:val="WW8Num22z0"/>
    <w:rPr>
      <w:rFonts w:ascii="Arimo" w:hAnsi="Arimo" w:cs="Arimo"/>
      <w:bCs/>
      <w:lang w:val="es-ES_tradnl"/>
    </w:rPr>
  </w:style>
  <w:style w:type="character" w:customStyle="1" w:styleId="WW8Num23z0">
    <w:name w:val="WW8Num23z0"/>
    <w:rPr>
      <w:rFonts w:ascii="Arimo" w:hAnsi="Arimo" w:cs="Arimo"/>
      <w:bCs/>
      <w:lang w:val="es-ES_tradnl"/>
    </w:rPr>
  </w:style>
  <w:style w:type="character" w:customStyle="1" w:styleId="WW8Num24z0">
    <w:name w:val="WW8Num24z0"/>
    <w:rPr>
      <w:rFonts w:ascii="Arimo" w:hAnsi="Arimo" w:cs="Arimo"/>
      <w:lang w:val="es-ES_tradnl"/>
    </w:rPr>
  </w:style>
  <w:style w:type="character" w:customStyle="1" w:styleId="WW8Num25z0">
    <w:name w:val="WW8Num25z0"/>
    <w:rPr>
      <w:rFonts w:ascii="Arimo" w:hAnsi="Arimo" w:cs="Arimo"/>
      <w:lang w:val="es-ES_tradnl"/>
    </w:rPr>
  </w:style>
  <w:style w:type="character" w:customStyle="1" w:styleId="WW8Num26z0">
    <w:name w:val="WW8Num26z0"/>
    <w:rPr>
      <w:rFonts w:ascii="Arimo" w:hAnsi="Arimo" w:cs="Arimo"/>
      <w:lang w:val="es-ES_tradnl"/>
    </w:rPr>
  </w:style>
  <w:style w:type="character" w:customStyle="1" w:styleId="WW8Num27z0">
    <w:name w:val="WW8Num27z0"/>
    <w:rPr>
      <w:rFonts w:ascii="Arimo" w:hAnsi="Arimo" w:cs="Arimo"/>
      <w:bCs/>
    </w:rPr>
  </w:style>
  <w:style w:type="character" w:customStyle="1" w:styleId="WW8Num28z0">
    <w:name w:val="WW8Num28z0"/>
    <w:rPr>
      <w:rFonts w:ascii="Arimo" w:hAnsi="Arimo" w:cs="Arimo"/>
      <w:bCs/>
    </w:rPr>
  </w:style>
  <w:style w:type="character" w:customStyle="1" w:styleId="WW8Num29z0">
    <w:name w:val="WW8Num29z0"/>
    <w:rPr>
      <w:rFonts w:ascii="Arimo" w:hAnsi="Arimo" w:cs="Arimo"/>
      <w:bCs/>
    </w:rPr>
  </w:style>
  <w:style w:type="character" w:customStyle="1" w:styleId="WW8Num30z0">
    <w:name w:val="WW8Num30z0"/>
    <w:rPr>
      <w:rFonts w:ascii="Symbol" w:hAnsi="Symbol" w:cs="OpenSymbol"/>
    </w:rPr>
  </w:style>
  <w:style w:type="character" w:customStyle="1" w:styleId="WW8Num31z0">
    <w:name w:val="WW8Num31z0"/>
    <w:rPr>
      <w:rFonts w:ascii="Symbol" w:hAnsi="Symbol" w:cs="OpenSymbol"/>
    </w:rPr>
  </w:style>
  <w:style w:type="character" w:customStyle="1" w:styleId="WW8Num32z0">
    <w:name w:val="WW8Num32z0"/>
    <w:rPr>
      <w:rFonts w:ascii="Symbol" w:hAnsi="Symbol" w:cs="OpenSymbol"/>
    </w:rPr>
  </w:style>
  <w:style w:type="character" w:customStyle="1" w:styleId="WW8Num33z0">
    <w:name w:val="WW8Num33z0"/>
    <w:rPr>
      <w:rFonts w:ascii="Symbol" w:hAnsi="Symbol" w:cs="OpenSymbol"/>
    </w:rPr>
  </w:style>
  <w:style w:type="character" w:customStyle="1" w:styleId="WW8Num34z0">
    <w:name w:val="WW8Num34z0"/>
    <w:rPr>
      <w:rFonts w:ascii="Symbol" w:hAnsi="Symbol" w:cs="OpenSymbol"/>
    </w:rPr>
  </w:style>
  <w:style w:type="character" w:customStyle="1" w:styleId="WW8Num35z0">
    <w:name w:val="WW8Num35z0"/>
    <w:rPr>
      <w:rFonts w:ascii="Symbol" w:hAnsi="Symbol" w:cs="OpenSymbol"/>
      <w:caps w:val="0"/>
      <w:smallCaps w:val="0"/>
      <w:color w:val="auto"/>
      <w:spacing w:val="0"/>
      <w:sz w:val="24"/>
      <w:szCs w:val="24"/>
      <w:lang w:val="es-ES_tradnl"/>
    </w:rPr>
  </w:style>
  <w:style w:type="character" w:customStyle="1" w:styleId="WW8Num35z1">
    <w:name w:val="WW8Num35z1"/>
    <w:rPr>
      <w:rFonts w:ascii="Courier New" w:hAnsi="Courier New" w:cs="Courier New"/>
      <w:lang w:val="es-ES_tradnl"/>
    </w:rPr>
  </w:style>
  <w:style w:type="character" w:customStyle="1" w:styleId="WW8Num35z2">
    <w:name w:val="WW8Num35z2"/>
    <w:rPr>
      <w:rFonts w:ascii="Wingdings" w:hAnsi="Wingdings" w:cs="Wingdings"/>
    </w:rPr>
  </w:style>
  <w:style w:type="character" w:customStyle="1" w:styleId="WW8Num35z3">
    <w:name w:val="WW8Num35z3"/>
    <w:rPr>
      <w:rFonts w:ascii="Symbol" w:hAnsi="Symbol" w:cs="Symbol"/>
    </w:rPr>
  </w:style>
  <w:style w:type="character" w:customStyle="1" w:styleId="WW8Num35z4">
    <w:name w:val="WW8Num35z4"/>
  </w:style>
  <w:style w:type="character" w:customStyle="1" w:styleId="WW8Num35z5">
    <w:name w:val="WW8Num35z5"/>
  </w:style>
  <w:style w:type="character" w:customStyle="1" w:styleId="WW8Num35z6">
    <w:name w:val="WW8Num35z6"/>
  </w:style>
  <w:style w:type="character" w:customStyle="1" w:styleId="WW8Num35z7">
    <w:name w:val="WW8Num35z7"/>
  </w:style>
  <w:style w:type="character" w:customStyle="1" w:styleId="WW8Num35z8">
    <w:name w:val="WW8Num35z8"/>
  </w:style>
  <w:style w:type="character" w:customStyle="1" w:styleId="WW8Num11z1">
    <w:name w:val="WW8Num11z1"/>
    <w:rPr>
      <w:rFonts w:ascii="Arimo" w:hAnsi="Arimo" w:cs="Arimo"/>
    </w:rPr>
  </w:style>
  <w:style w:type="character" w:customStyle="1" w:styleId="WW8Num11z2">
    <w:name w:val="WW8Num11z2"/>
  </w:style>
  <w:style w:type="character" w:customStyle="1" w:styleId="WW8Num36z0">
    <w:name w:val="WW8Num36z0"/>
    <w:rPr>
      <w:rFonts w:ascii="Symbol" w:hAnsi="Symbol" w:cs="OpenSymbol"/>
      <w:caps w:val="0"/>
      <w:smallCaps w:val="0"/>
      <w:color w:val="auto"/>
      <w:spacing w:val="0"/>
      <w:sz w:val="24"/>
      <w:szCs w:val="24"/>
    </w:rPr>
  </w:style>
  <w:style w:type="character" w:customStyle="1" w:styleId="WW8Num13z1">
    <w:name w:val="WW8Num13z1"/>
    <w:rPr>
      <w:lang w:val="es-ES_tradnl"/>
    </w:rPr>
  </w:style>
  <w:style w:type="character" w:customStyle="1" w:styleId="WW8Num13z2">
    <w:name w:val="WW8Num13z2"/>
  </w:style>
  <w:style w:type="character" w:customStyle="1" w:styleId="WW8Num13z3">
    <w:name w:val="WW8Num13z3"/>
  </w:style>
  <w:style w:type="character" w:customStyle="1" w:styleId="WW8Num13z4">
    <w:name w:val="WW8Num13z4"/>
  </w:style>
  <w:style w:type="character" w:customStyle="1" w:styleId="WW8Num13z5">
    <w:name w:val="WW8Num13z5"/>
  </w:style>
  <w:style w:type="character" w:customStyle="1" w:styleId="WW8Num13z6">
    <w:name w:val="WW8Num13z6"/>
  </w:style>
  <w:style w:type="character" w:customStyle="1" w:styleId="WW8Num13z7">
    <w:name w:val="WW8Num13z7"/>
  </w:style>
  <w:style w:type="character" w:customStyle="1" w:styleId="WW8Num13z8">
    <w:name w:val="WW8Num13z8"/>
  </w:style>
  <w:style w:type="paragraph" w:customStyle="1" w:styleId="nr">
    <w:name w:val="nr"/>
    <w:basedOn w:val="Normal"/>
    <w:pPr>
      <w:widowControl/>
      <w:spacing w:before="280" w:after="280"/>
      <w:textAlignment w:val="auto"/>
    </w:pPr>
    <w:rPr>
      <w:rFonts w:eastAsia="Times New Roman" w:cs="Times New Roman"/>
      <w:lang w:eastAsia="ar-SA" w:bidi="ar-SA"/>
    </w:rPr>
  </w:style>
  <w:style w:type="paragraph" w:customStyle="1" w:styleId="NormalJustificado0">
    <w:name w:val="Normal + Justificado"/>
    <w:basedOn w:val="Normal"/>
    <w:pPr>
      <w:widowControl/>
      <w:jc w:val="both"/>
      <w:textAlignment w:val="auto"/>
    </w:pPr>
    <w:rPr>
      <w:rFonts w:eastAsia="Times New Roman" w:cs="Times New Roman"/>
      <w:b/>
      <w:i/>
      <w:iCs/>
      <w:lang w:eastAsia="ar-SA" w:bidi="ar-SA"/>
    </w:rPr>
  </w:style>
  <w:style w:type="paragraph" w:customStyle="1" w:styleId="NormalJustificado">
    <w:name w:val="Normal+Justificado"/>
    <w:basedOn w:val="NormalJustificado0"/>
    <w:pPr>
      <w:numPr>
        <w:numId w:val="2"/>
      </w:numPr>
    </w:pPr>
  </w:style>
  <w:style w:type="character" w:customStyle="1" w:styleId="NormalWebCar">
    <w:name w:val="Normal (Web) Car"/>
    <w:rPr>
      <w:rFonts w:eastAsia="Times New Roman" w:cs="Times New Roman"/>
      <w:kern w:val="0"/>
      <w:lang w:eastAsia="es-ES" w:bidi="ar-SA"/>
    </w:rPr>
  </w:style>
  <w:style w:type="paragraph" w:styleId="Textocomentario">
    <w:name w:val="annotation text"/>
    <w:basedOn w:val="Normal"/>
    <w:rPr>
      <w:rFonts w:cs="Mangal"/>
      <w:sz w:val="20"/>
      <w:szCs w:val="18"/>
    </w:rPr>
  </w:style>
  <w:style w:type="character" w:customStyle="1" w:styleId="TextocomentarioCar">
    <w:name w:val="Texto comentario Car"/>
    <w:basedOn w:val="Fuentedeprrafopredeter"/>
    <w:rPr>
      <w:rFonts w:cs="Mangal"/>
      <w:sz w:val="20"/>
      <w:szCs w:val="18"/>
    </w:rPr>
  </w:style>
  <w:style w:type="paragraph" w:styleId="Asuntodelcomentario">
    <w:name w:val="annotation subject"/>
    <w:basedOn w:val="Textocomentario"/>
    <w:next w:val="Textocomentario"/>
    <w:pPr>
      <w:widowControl/>
      <w:suppressAutoHyphens w:val="0"/>
      <w:spacing w:before="120" w:line="288" w:lineRule="auto"/>
      <w:jc w:val="both"/>
      <w:textAlignment w:val="auto"/>
    </w:pPr>
    <w:rPr>
      <w:rFonts w:ascii="Univers" w:eastAsia="Times New Roman" w:hAnsi="Univers" w:cs="Times New Roman"/>
      <w:b/>
      <w:kern w:val="0"/>
      <w:szCs w:val="24"/>
      <w:lang w:val="es-ES_tradnl" w:eastAsia="es-ES" w:bidi="ar-SA"/>
    </w:rPr>
  </w:style>
  <w:style w:type="character" w:customStyle="1" w:styleId="AsuntodelcomentarioCar">
    <w:name w:val="Asunto del comentario Car"/>
    <w:basedOn w:val="TextocomentarioCar"/>
    <w:rPr>
      <w:rFonts w:ascii="Univers" w:eastAsia="Times New Roman" w:hAnsi="Univers" w:cs="Times New Roman"/>
      <w:b/>
      <w:kern w:val="0"/>
      <w:sz w:val="20"/>
      <w:szCs w:val="18"/>
      <w:lang w:val="es-ES_tradnl" w:eastAsia="es-ES" w:bidi="ar-SA"/>
    </w:rPr>
  </w:style>
  <w:style w:type="character" w:customStyle="1" w:styleId="EndnoteCharacters">
    <w:name w:val="Endnote Characters"/>
  </w:style>
  <w:style w:type="character" w:customStyle="1" w:styleId="FootnoteCharacters">
    <w:name w:val="Footnote Characters"/>
  </w:style>
  <w:style w:type="paragraph" w:customStyle="1" w:styleId="HorizontalLine">
    <w:name w:val="Horizontal Line"/>
    <w:basedOn w:val="Normal"/>
    <w:next w:val="Textoindependiente"/>
    <w:pPr>
      <w:spacing w:after="283"/>
      <w:textAlignment w:val="auto"/>
    </w:pPr>
    <w:rPr>
      <w:rFonts w:ascii="Arial" w:eastAsia="DejaVu Sans" w:hAnsi="Arial" w:cs="DejaVu Sans"/>
      <w:kern w:val="0"/>
      <w:sz w:val="12"/>
    </w:rPr>
  </w:style>
  <w:style w:type="paragraph" w:styleId="Remitedesobre">
    <w:name w:val="envelope return"/>
    <w:basedOn w:val="Normal"/>
    <w:pPr>
      <w:textAlignment w:val="auto"/>
    </w:pPr>
    <w:rPr>
      <w:rFonts w:ascii="Arial" w:eastAsia="DejaVu Sans" w:hAnsi="Arial" w:cs="DejaVu Sans"/>
      <w:i/>
      <w:kern w:val="0"/>
      <w:sz w:val="22"/>
    </w:rPr>
  </w:style>
  <w:style w:type="paragraph" w:customStyle="1" w:styleId="HeaderandFooter">
    <w:name w:val="Header and Footer"/>
    <w:basedOn w:val="Normal"/>
    <w:pPr>
      <w:suppressLineNumbers/>
      <w:tabs>
        <w:tab w:val="center" w:pos="5386"/>
        <w:tab w:val="right" w:pos="10772"/>
      </w:tabs>
      <w:textAlignment w:val="auto"/>
    </w:pPr>
    <w:rPr>
      <w:rFonts w:ascii="Arial" w:eastAsia="DejaVu Sans" w:hAnsi="Arial" w:cs="DejaVu Sans"/>
      <w:kern w:val="0"/>
      <w:sz w:val="22"/>
    </w:rPr>
  </w:style>
  <w:style w:type="paragraph" w:customStyle="1" w:styleId="TtuloPortada">
    <w:name w:val="Título_Portada"/>
    <w:basedOn w:val="Normal"/>
    <w:pPr>
      <w:keepLines/>
      <w:widowControl/>
      <w:suppressAutoHyphens w:val="0"/>
      <w:spacing w:before="120" w:after="120"/>
      <w:ind w:firstLine="709"/>
      <w:jc w:val="center"/>
      <w:textAlignment w:val="auto"/>
    </w:pPr>
    <w:rPr>
      <w:rFonts w:ascii="Verdana" w:eastAsia="Times New Roman" w:hAnsi="Verdana" w:cs="Arial"/>
      <w:b/>
      <w:bCs/>
      <w:color w:val="404040"/>
      <w:kern w:val="0"/>
      <w:sz w:val="32"/>
      <w:lang w:eastAsia="es-ES" w:bidi="ar-SA"/>
    </w:rPr>
  </w:style>
  <w:style w:type="character" w:customStyle="1" w:styleId="TtuloPortadaCar">
    <w:name w:val="Título_Portada Car"/>
    <w:rPr>
      <w:rFonts w:ascii="Verdana" w:eastAsia="Times New Roman" w:hAnsi="Verdana" w:cs="Arial"/>
      <w:b/>
      <w:bCs/>
      <w:color w:val="404040"/>
      <w:kern w:val="0"/>
      <w:sz w:val="32"/>
      <w:lang w:eastAsia="es-ES" w:bidi="ar-SA"/>
    </w:rPr>
  </w:style>
  <w:style w:type="character" w:customStyle="1" w:styleId="PrrafodelistaCar">
    <w:name w:val="Párrafo de lista Car"/>
    <w:rPr>
      <w:rFonts w:cs="Mangal"/>
      <w:szCs w:val="21"/>
    </w:rPr>
  </w:style>
  <w:style w:type="numbering" w:customStyle="1" w:styleId="WW8Num1">
    <w:name w:val="WW8Num1"/>
    <w:basedOn w:val="Sinlista"/>
    <w:pPr>
      <w:numPr>
        <w:numId w:val="1"/>
      </w:numPr>
    </w:pPr>
  </w:style>
  <w:style w:type="numbering" w:customStyle="1" w:styleId="LFO10">
    <w:name w:val="LFO10"/>
    <w:basedOn w:val="Sinlista"/>
    <w:pPr>
      <w:numPr>
        <w:numId w:val="2"/>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3" Type="http://schemas.openxmlformats.org/officeDocument/2006/relationships/hyperlink" Target="https://www.administracionpublica.com/sipnosis-del-nuevo-procedimiento-para-%20laaprobacion-de-ordenanzas-municipales/" TargetMode="External"/><Relationship Id="rId18" Type="http://schemas.openxmlformats.org/officeDocument/2006/relationships/hyperlink" Target="http://noticias.juridicas.com/base_datos/Admin/rdleg2-2004.html" TargetMode="External"/><Relationship Id="rId26" Type="http://schemas.openxmlformats.org/officeDocument/2006/relationships/image" Target="media/image6.jpeg"/><Relationship Id="rId39" Type="http://schemas.openxmlformats.org/officeDocument/2006/relationships/image" Target="media/image21.png"/><Relationship Id="rId21" Type="http://schemas.openxmlformats.org/officeDocument/2006/relationships/hyperlink" Target="https://www.candelaria.es/sede-electronica/" TargetMode="External"/><Relationship Id="rId34" Type="http://schemas.openxmlformats.org/officeDocument/2006/relationships/image" Target="media/image16.jpeg"/><Relationship Id="rId42" Type="http://schemas.openxmlformats.org/officeDocument/2006/relationships/image" Target="media/image24.png"/><Relationship Id="rId47" Type="http://schemas.openxmlformats.org/officeDocument/2006/relationships/image" Target="media/image29.png"/><Relationship Id="rId50" Type="http://schemas.openxmlformats.org/officeDocument/2006/relationships/image" Target="media/image32.jpeg"/><Relationship Id="rId7"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4.jpeg"/><Relationship Id="rId29" Type="http://schemas.openxmlformats.org/officeDocument/2006/relationships/image" Target="media/image12.jpeg"/><Relationship Id="rId11" Type="http://schemas.openxmlformats.org/officeDocument/2006/relationships/hyperlink" Target="https://www.youtube.com/watch?v=Iggqf2fg45o" TargetMode="External"/><Relationship Id="rId24" Type="http://schemas.openxmlformats.org/officeDocument/2006/relationships/hyperlink" Target="https://www.candelaria.es/sede-electronica/" TargetMode="External"/><Relationship Id="rId32" Type="http://schemas.openxmlformats.org/officeDocument/2006/relationships/image" Target="media/image14.jpg"/><Relationship Id="rId37" Type="http://schemas.openxmlformats.org/officeDocument/2006/relationships/image" Target="media/image19.jpeg"/><Relationship Id="rId40" Type="http://schemas.openxmlformats.org/officeDocument/2006/relationships/image" Target="media/image22.png"/><Relationship Id="rId45" Type="http://schemas.openxmlformats.org/officeDocument/2006/relationships/image" Target="media/image27.png"/><Relationship Id="rId53"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footer" Target="footer2.xml"/><Relationship Id="rId19" Type="http://schemas.openxmlformats.org/officeDocument/2006/relationships/hyperlink" Target="http://noticias.juridicas.com/base_datos/Admin/rdleg2-2004.html" TargetMode="External"/><Relationship Id="rId31" Type="http://schemas.openxmlformats.org/officeDocument/2006/relationships/image" Target="media/image7.jpeg"/><Relationship Id="rId44" Type="http://schemas.openxmlformats.org/officeDocument/2006/relationships/image" Target="media/image26.png"/><Relationship Id="rId52" Type="http://schemas.openxmlformats.org/officeDocument/2006/relationships/hyperlink" Target="https://www.youtube.com/watch?v=Iggqf2fg45o" TargetMode="Externa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hyperlink" Target="https://www.administracionpublica.com/sipnosis-del-nuevo-procedimiento-para-%20laaprobacion-de-ordenanzas-municipales/" TargetMode="External"/><Relationship Id="rId22" Type="http://schemas.openxmlformats.org/officeDocument/2006/relationships/hyperlink" Target="https://www.candelaria.es/sede-electronica/" TargetMode="External"/><Relationship Id="rId27" Type="http://schemas.openxmlformats.org/officeDocument/2006/relationships/header" Target="header3.xml"/><Relationship Id="rId30" Type="http://schemas.openxmlformats.org/officeDocument/2006/relationships/image" Target="media/image13.jpeg"/><Relationship Id="rId35" Type="http://schemas.openxmlformats.org/officeDocument/2006/relationships/image" Target="media/image17.jpeg"/><Relationship Id="rId43" Type="http://schemas.openxmlformats.org/officeDocument/2006/relationships/image" Target="media/image25.jpeg"/><Relationship Id="rId48" Type="http://schemas.openxmlformats.org/officeDocument/2006/relationships/image" Target="media/image30.png"/><Relationship Id="rId8" Type="http://schemas.openxmlformats.org/officeDocument/2006/relationships/footer" Target="footer1.xml"/><Relationship Id="rId51" Type="http://schemas.openxmlformats.org/officeDocument/2006/relationships/image" Target="media/image33.jpeg"/><Relationship Id="rId3" Type="http://schemas.openxmlformats.org/officeDocument/2006/relationships/settings" Target="settings.xml"/><Relationship Id="rId12" Type="http://schemas.openxmlformats.org/officeDocument/2006/relationships/hyperlink" Target="https://www.administracionpublica.com/sipnosis-del-nuevo-procedimiento-para-%20laaprobacion-de-ordenanzas-municipales/" TargetMode="External"/><Relationship Id="rId17" Type="http://schemas.openxmlformats.org/officeDocument/2006/relationships/hyperlink" Target="http://noticias.juridicas.com/base_datos/Admin/rdleg2-2004.html" TargetMode="External"/><Relationship Id="rId25" Type="http://schemas.openxmlformats.org/officeDocument/2006/relationships/image" Target="media/image5.jpeg"/><Relationship Id="rId33" Type="http://schemas.openxmlformats.org/officeDocument/2006/relationships/image" Target="media/image15.jpeg"/><Relationship Id="rId38" Type="http://schemas.openxmlformats.org/officeDocument/2006/relationships/image" Target="media/image20.jpeg"/><Relationship Id="rId46" Type="http://schemas.openxmlformats.org/officeDocument/2006/relationships/image" Target="media/image28.png"/><Relationship Id="rId20" Type="http://schemas.openxmlformats.org/officeDocument/2006/relationships/hyperlink" Target="http://noticias.juridicas.com/base_datos/Admin/rdleg2-2004.html" TargetMode="External"/><Relationship Id="rId41" Type="http://schemas.openxmlformats.org/officeDocument/2006/relationships/image" Target="media/image23.png"/><Relationship Id="rId54"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3.jpeg"/><Relationship Id="rId23" Type="http://schemas.openxmlformats.org/officeDocument/2006/relationships/hyperlink" Target="https://www.candelaria.es/sede-electronica/" TargetMode="External"/><Relationship Id="rId28" Type="http://schemas.openxmlformats.org/officeDocument/2006/relationships/footer" Target="footer3.xml"/><Relationship Id="rId36" Type="http://schemas.openxmlformats.org/officeDocument/2006/relationships/image" Target="media/image18.jpeg"/><Relationship Id="rId49" Type="http://schemas.openxmlformats.org/officeDocument/2006/relationships/image" Target="media/image31.png"/></Relationships>
</file>

<file path=word/_rels/footer3.xml.rels><?xml version="1.0" encoding="UTF-8" standalone="yes"?>
<Relationships xmlns="http://schemas.openxmlformats.org/package/2006/relationships"><Relationship Id="rId3" Type="http://schemas.openxmlformats.org/officeDocument/2006/relationships/image" Target="media/image10.jpeg"/><Relationship Id="rId2" Type="http://schemas.openxmlformats.org/officeDocument/2006/relationships/image" Target="media/image9.jpg"/><Relationship Id="rId1" Type="http://schemas.openxmlformats.org/officeDocument/2006/relationships/image" Target="media/image8.jpg"/><Relationship Id="rId4" Type="http://schemas.openxmlformats.org/officeDocument/2006/relationships/image" Target="media/image11.jpe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7.jpeg"/></Relationships>
</file>

<file path=word/_rels/settings.xml.rels><?xml version="1.0" encoding="UTF-8" standalone="yes"?>
<Relationships xmlns="http://schemas.openxmlformats.org/package/2006/relationships"><Relationship Id="rId1" Type="http://schemas.openxmlformats.org/officeDocument/2006/relationships/attachedTemplate" Target="Norma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8</Pages>
  <Words>74933</Words>
  <Characters>412134</Characters>
  <Application>Microsoft Office Word</Application>
  <DocSecurity>0</DocSecurity>
  <Lines>3434</Lines>
  <Paragraphs>972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486095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teresa.freijido</dc:creator>
  <cp:lastModifiedBy>begoña.sarmiento</cp:lastModifiedBy>
  <cp:revision>2</cp:revision>
  <cp:lastPrinted>2016-04-20T13:52:00Z</cp:lastPrinted>
  <dcterms:created xsi:type="dcterms:W3CDTF">2025-11-24T12:21:00Z</dcterms:created>
  <dcterms:modified xsi:type="dcterms:W3CDTF">2025-11-24T12:21:00Z</dcterms:modified>
</cp:coreProperties>
</file>