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2EC" w:rsidRDefault="00FC4F28">
      <w:pPr>
        <w:spacing w:after="0" w:line="259" w:lineRule="auto"/>
        <w:ind w:left="392" w:firstLine="0"/>
        <w:jc w:val="left"/>
      </w:pPr>
      <w:bookmarkStart w:id="0" w:name="_GoBack"/>
      <w:bookmarkEnd w:id="0"/>
      <w:r>
        <w:rPr>
          <w:b/>
        </w:rPr>
        <w:t xml:space="preserve"> </w:t>
      </w:r>
      <w:r>
        <w:rPr>
          <w:b/>
        </w:rPr>
        <w:tab/>
      </w:r>
      <w:r>
        <w:t xml:space="preserve"> </w:t>
      </w:r>
      <w:r>
        <w:tab/>
        <w:t xml:space="preserve"> </w:t>
      </w:r>
      <w:r>
        <w:tab/>
        <w:t xml:space="preserve"> </w:t>
      </w:r>
    </w:p>
    <w:p w:rsidR="00E302EC" w:rsidRDefault="00FC4F28">
      <w:pPr>
        <w:spacing w:after="1" w:line="259" w:lineRule="auto"/>
        <w:ind w:left="392" w:firstLine="0"/>
        <w:jc w:val="left"/>
      </w:pPr>
      <w:r>
        <w:t xml:space="preserve"> </w:t>
      </w:r>
      <w:r>
        <w:tab/>
        <w:t xml:space="preserve"> </w:t>
      </w:r>
      <w:r>
        <w:tab/>
        <w:t xml:space="preserve"> </w:t>
      </w:r>
      <w:r>
        <w:tab/>
        <w:t xml:space="preserve"> </w:t>
      </w:r>
    </w:p>
    <w:p w:rsidR="00E302EC" w:rsidRDefault="00FC4F28">
      <w:pPr>
        <w:tabs>
          <w:tab w:val="center" w:pos="1407"/>
          <w:tab w:val="center" w:pos="4243"/>
          <w:tab w:val="center" w:pos="6061"/>
          <w:tab w:val="center" w:pos="7338"/>
        </w:tabs>
        <w:spacing w:after="8" w:line="248" w:lineRule="auto"/>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20067" name="Group 220067"/>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5" name="Shape 115"/>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067" style="width:477pt;height:2.04pt;mso-position-horizontal-relative:char;mso-position-vertical-relative:line" coordsize="60579,259">
                <v:shape id="Shape 115" style="position:absolute;width:60579;height:0;left:0;top:0;" coordsize="6057900,0" path="m0,0l6057900,0">
                  <v:stroke weight="2.04pt" endcap="square" joinstyle="miter" miterlimit="10" on="true" color="#993366"/>
                  <v:fill on="false" color="#000000" opacity="0"/>
                </v:shape>
              </v:group>
            </w:pict>
          </mc:Fallback>
        </mc:AlternateContent>
      </w:r>
    </w:p>
    <w:p w:rsidR="00E302EC" w:rsidRDefault="00FC4F28">
      <w:pPr>
        <w:spacing w:after="0" w:line="259" w:lineRule="auto"/>
        <w:ind w:left="149" w:firstLine="0"/>
        <w:jc w:val="center"/>
      </w:pPr>
      <w:r>
        <w:rPr>
          <w:b/>
        </w:rPr>
        <w:t xml:space="preserve"> </w:t>
      </w:r>
    </w:p>
    <w:p w:rsidR="00E302EC" w:rsidRDefault="00FC4F28">
      <w:pPr>
        <w:spacing w:after="0" w:line="259" w:lineRule="auto"/>
        <w:ind w:left="149" w:firstLine="0"/>
        <w:jc w:val="center"/>
      </w:pPr>
      <w:r>
        <w:rPr>
          <w:b/>
        </w:rPr>
        <w:t xml:space="preserve"> </w:t>
      </w:r>
    </w:p>
    <w:p w:rsidR="00E302EC" w:rsidRDefault="00FC4F28">
      <w:pPr>
        <w:pStyle w:val="Ttulo1"/>
        <w:ind w:left="107" w:right="16"/>
      </w:pPr>
      <w:r>
        <w:t xml:space="preserve">DE LA SESIÓN ORDINARIA CELEBRADA POR EL AYUNTAMIENTO PLENO </w:t>
      </w:r>
    </w:p>
    <w:p w:rsidR="00E302EC" w:rsidRDefault="00FC4F28">
      <w:pPr>
        <w:spacing w:after="3" w:line="259" w:lineRule="auto"/>
        <w:ind w:left="107" w:right="9"/>
        <w:jc w:val="center"/>
      </w:pPr>
      <w:r>
        <w:rPr>
          <w:b/>
        </w:rPr>
        <w:t xml:space="preserve">EL DÍA DE 31 DE MARZO DE  2022. SESIÓN Nº5/2022. </w:t>
      </w:r>
    </w:p>
    <w:p w:rsidR="00E302EC" w:rsidRDefault="00FC4F28">
      <w:pPr>
        <w:spacing w:after="0" w:line="259" w:lineRule="auto"/>
        <w:ind w:left="149" w:firstLine="0"/>
        <w:jc w:val="center"/>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149" w:firstLine="0"/>
        <w:jc w:val="center"/>
      </w:pPr>
      <w:r>
        <w:t xml:space="preserve"> </w:t>
      </w:r>
    </w:p>
    <w:p w:rsidR="00E302EC" w:rsidRDefault="00FC4F28">
      <w:pPr>
        <w:spacing w:after="3" w:line="259" w:lineRule="auto"/>
        <w:ind w:left="107" w:right="8"/>
        <w:jc w:val="center"/>
      </w:pPr>
      <w:r>
        <w:rPr>
          <w:b/>
        </w:rPr>
        <w:t xml:space="preserve">SEÑORES ASISTENTES: </w:t>
      </w:r>
    </w:p>
    <w:p w:rsidR="00E302EC" w:rsidRDefault="00FC4F28">
      <w:pPr>
        <w:spacing w:after="0" w:line="259" w:lineRule="auto"/>
        <w:ind w:left="3099" w:firstLine="0"/>
        <w:jc w:val="left"/>
      </w:pPr>
      <w:r>
        <w:rPr>
          <w:b/>
        </w:rPr>
        <w:t xml:space="preserve"> </w:t>
      </w:r>
    </w:p>
    <w:p w:rsidR="00E302EC" w:rsidRDefault="00FC4F28">
      <w:pPr>
        <w:spacing w:after="0" w:line="259" w:lineRule="auto"/>
        <w:ind w:left="3099" w:firstLine="0"/>
        <w:jc w:val="left"/>
      </w:pPr>
      <w:r>
        <w:rPr>
          <w:b/>
        </w:rPr>
        <w:t xml:space="preserve"> </w:t>
      </w:r>
    </w:p>
    <w:p w:rsidR="00E302EC" w:rsidRDefault="00FC4F28">
      <w:pPr>
        <w:ind w:left="279" w:right="184"/>
      </w:pPr>
      <w:r>
        <w:rPr>
          <w:b/>
        </w:rPr>
        <w:t xml:space="preserve">               Alcaldesa-Presidenta: </w:t>
      </w:r>
      <w:r>
        <w:t>Dª María Concepción Brito Núñez.</w:t>
      </w:r>
      <w:r>
        <w:rPr>
          <w:rFonts w:ascii="Times New Roman" w:eastAsia="Times New Roman" w:hAnsi="Times New Roman" w:cs="Times New Roman"/>
          <w:sz w:val="24"/>
        </w:rPr>
        <w:t xml:space="preserve"> </w:t>
      </w:r>
    </w:p>
    <w:p w:rsidR="00E302EC" w:rsidRDefault="00FC4F28">
      <w:pPr>
        <w:ind w:left="279"/>
      </w:pPr>
      <w:r>
        <w:t xml:space="preserve"> (a partir del punto de urgencias presidió la sesión el Alcalde Accidental, Don Jorge Baute Delgado). </w:t>
      </w:r>
    </w:p>
    <w:p w:rsidR="00E302EC" w:rsidRDefault="00FC4F28">
      <w:pPr>
        <w:spacing w:after="0" w:line="259" w:lineRule="auto"/>
        <w:ind w:left="284" w:firstLine="0"/>
        <w:jc w:val="left"/>
      </w:pPr>
      <w:r>
        <w:rPr>
          <w:b/>
        </w:rPr>
        <w:t xml:space="preserve"> </w:t>
      </w:r>
    </w:p>
    <w:p w:rsidR="00E302EC" w:rsidRDefault="00FC4F28">
      <w:pPr>
        <w:spacing w:after="0" w:line="259" w:lineRule="auto"/>
        <w:ind w:left="149" w:firstLine="0"/>
        <w:jc w:val="center"/>
      </w:pPr>
      <w:r>
        <w:rPr>
          <w:b/>
        </w:rPr>
        <w:t xml:space="preserve"> </w:t>
      </w:r>
    </w:p>
    <w:p w:rsidR="00E302EC" w:rsidRDefault="00FC4F28">
      <w:pPr>
        <w:ind w:left="279" w:right="184"/>
      </w:pPr>
      <w:r>
        <w:rPr>
          <w:b/>
        </w:rPr>
        <w:t xml:space="preserve">               Grupo Socialista</w:t>
      </w:r>
      <w:r>
        <w:t>: D. Jorge Baute Delgado, Dª Olivia Concepción Pérez Díaz, D. José Francisco Pinto R</w:t>
      </w:r>
      <w:r>
        <w:t xml:space="preserve">amos, Dª Hilaria Cecilia Otazo González, D. Airam Pérez Chinea, Dª Margarita Eva Tendero Barroso,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220061" name="Group 220061"/>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20061"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0068" name="Group 22006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18" name="Rectangle 11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19" name="Rectangle 119"/>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0068" style="width:12.7031pt;height:273.276pt;position:absolute;mso-position-horizontal-relative:page;mso-position-horizontal:absolute;margin-left:682.278pt;mso-position-vertical-relative:page;margin-top:538.644pt;" coordsize="1613,34706">
                <v:rect id="Rectangle 11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19"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159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8914384"/>
                <wp:effectExtent l="0" t="0" r="0" b="0"/>
                <wp:wrapSquare wrapText="bothSides"/>
                <wp:docPr id="220069" name="Group 220069"/>
                <wp:cNvGraphicFramePr/>
                <a:graphic xmlns:a="http://schemas.openxmlformats.org/drawingml/2006/main">
                  <a:graphicData uri="http://schemas.microsoft.com/office/word/2010/wordprocessingGroup">
                    <wpg:wgp>
                      <wpg:cNvGrpSpPr/>
                      <wpg:grpSpPr>
                        <a:xfrm>
                          <a:off x="0" y="0"/>
                          <a:ext cx="368300" cy="8914384"/>
                          <a:chOff x="0" y="0"/>
                          <a:chExt cx="368300" cy="8914384"/>
                        </a:xfrm>
                      </wpg:grpSpPr>
                      <wps:wsp>
                        <wps:cNvPr id="120" name="Shape 120"/>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21" name="Shape 121"/>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22" name="Shape 122"/>
                        <wps:cNvSpPr/>
                        <wps:spPr>
                          <a:xfrm>
                            <a:off x="0" y="5985256"/>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0069" style="width:29pt;height:701.92pt;position:absolute;mso-position-horizontal-relative:page;mso-position-horizontal:absolute;margin-left:20pt;mso-position-vertical-relative:page;margin-top:110pt;" coordsize="3683,89143">
                <v:shape id="Shape 120" style="position:absolute;width:3683;height:29291;left:0;top:0;" coordsize="368300,2929128" path="m0,2929128l368300,2929128l368300,0l0,0x">
                  <v:stroke weight="0.5pt" endcap="flat" joinstyle="miter" miterlimit="10" on="true" color="#808080"/>
                  <v:fill on="false" color="#000000" opacity="0"/>
                </v:shape>
                <v:shape id="Shape 121" style="position:absolute;width:3683;height:29291;left:0;top:29926;" coordsize="368300,2929128" path="m0,2929128l368300,2929128l368300,0l0,0x">
                  <v:stroke weight="0.5pt" endcap="flat" joinstyle="miter" miterlimit="10" on="true" color="#808080"/>
                  <v:fill on="false" color="#000000" opacity="0"/>
                </v:shape>
                <v:shape id="Shape 122" style="position:absolute;width:3683;height:29291;left:0;top:59852;" coordsize="368300,2929128" path="m0,2929128l368300,2929128l368300,0l0,0x">
                  <v:stroke weight="0.5pt" endcap="flat" joinstyle="miter" miterlimit="10" on="true" color="#808080"/>
                  <v:fill on="false" color="#000000" opacity="0"/>
                </v:shape>
                <w10:wrap type="square"/>
              </v:group>
            </w:pict>
          </mc:Fallback>
        </mc:AlternateContent>
      </w:r>
      <w:r>
        <w:rPr>
          <w:b/>
        </w:rPr>
        <w:t xml:space="preserve">               Grupo Popular: </w:t>
      </w:r>
      <w:r>
        <w:t>D. Jacobo López Fariña y Dª Raqu</w:t>
      </w:r>
      <w:r>
        <w:t>el Martín Castro.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 xml:space="preserve">               Grupo Mixto:</w:t>
      </w:r>
      <w:r>
        <w:t xml:space="preserve"> Dª Lourdes del Carmen Mondéjar Rondón y D. Antonio Delgado García (Si Se Puede) Dª Ángela Cruz Perera (Coalición Canaria Partido Nacionalista Canario), y Dª Alicia Mercedes Marrero Meneses (Vecinos por Cande</w:t>
      </w:r>
      <w:r>
        <w:t>laria).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 xml:space="preserve">                Secretario General: </w:t>
      </w:r>
      <w:r>
        <w:t>D. Octavio Manuel Fernández Hernández</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 xml:space="preserve">                Interventor:  </w:t>
      </w:r>
      <w:r>
        <w:t>D. Nicolás Rojo Garnica.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4247" w:firstLine="0"/>
        <w:jc w:val="left"/>
      </w:pPr>
      <w:r>
        <w:t xml:space="preserve"> </w:t>
      </w:r>
    </w:p>
    <w:p w:rsidR="00E302EC" w:rsidRDefault="00FC4F28">
      <w:pPr>
        <w:ind w:left="279" w:right="184"/>
      </w:pPr>
      <w:r>
        <w:t>En Candelaria, a 31 de marzo de 2022, siendo las 9:15 horas, se constituyó el Ayuntamiento Pleno en el Salón de Sesiones de la Casa Consistorial con asistencia de los Sres. Concejales expresados al margen, y al objeto de celebrar sesión ordinaria para trat</w:t>
      </w:r>
      <w:r>
        <w:t xml:space="preserve">ar los asuntos comprendidos en el orden del día de la convocatoria. </w:t>
      </w:r>
    </w:p>
    <w:p w:rsidR="00E302EC" w:rsidRDefault="00FC4F28">
      <w:pPr>
        <w:spacing w:after="0" w:line="259" w:lineRule="auto"/>
        <w:ind w:left="284" w:firstLine="0"/>
        <w:jc w:val="left"/>
      </w:pPr>
      <w:r>
        <w:rPr>
          <w:b/>
        </w:rPr>
        <w:t xml:space="preserve"> </w:t>
      </w:r>
    </w:p>
    <w:p w:rsidR="00E302EC" w:rsidRDefault="00FC4F28">
      <w:pPr>
        <w:spacing w:after="1394" w:line="259" w:lineRule="auto"/>
        <w:ind w:left="4247" w:firstLine="0"/>
        <w:jc w:val="left"/>
      </w:pPr>
      <w:r>
        <w:t xml:space="preserve"> </w:t>
      </w:r>
    </w:p>
    <w:p w:rsidR="00E302EC" w:rsidRDefault="00FC4F28">
      <w:pPr>
        <w:spacing w:after="0" w:line="259" w:lineRule="auto"/>
        <w:ind w:left="0" w:right="185"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220066" name="Group 22006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06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E302EC" w:rsidRDefault="00FC4F28">
      <w:pPr>
        <w:spacing w:after="89" w:line="241" w:lineRule="auto"/>
        <w:ind w:left="4403" w:right="1942" w:hanging="1976"/>
        <w:jc w:val="left"/>
      </w:pPr>
      <w:r>
        <w:rPr>
          <w:sz w:val="14"/>
        </w:rPr>
        <w:t xml:space="preserve">Avenida Constitución Nº 7. Código postal: 38530, Candelaria. Teléfono: 922.500.800. </w:t>
      </w:r>
      <w:r>
        <w:rPr>
          <w:b/>
          <w:sz w:val="14"/>
        </w:rPr>
        <w:t xml:space="preserve">www. candelaria. es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pStyle w:val="Ttulo1"/>
        <w:ind w:left="107" w:right="7"/>
      </w:pPr>
      <w:r>
        <w:t xml:space="preserve">ORDEN DEL DÍA </w:t>
      </w:r>
    </w:p>
    <w:p w:rsidR="00E302EC" w:rsidRDefault="00FC4F28">
      <w:pPr>
        <w:spacing w:after="0" w:line="259" w:lineRule="auto"/>
        <w:ind w:left="149" w:firstLine="0"/>
        <w:jc w:val="center"/>
      </w:pPr>
      <w:r>
        <w:rPr>
          <w:b/>
        </w:rPr>
        <w:t xml:space="preserve"> </w:t>
      </w:r>
    </w:p>
    <w:p w:rsidR="00E302EC" w:rsidRDefault="00FC4F28">
      <w:pPr>
        <w:spacing w:after="0" w:line="259" w:lineRule="auto"/>
        <w:ind w:left="149" w:firstLine="0"/>
        <w:jc w:val="center"/>
      </w:pPr>
      <w:r>
        <w:rPr>
          <w:b/>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639"/>
        <w:jc w:val="left"/>
      </w:pPr>
      <w:r>
        <w:rPr>
          <w:b/>
        </w:rPr>
        <w:t xml:space="preserve">A) </w:t>
      </w:r>
      <w:r>
        <w:rPr>
          <w:b/>
          <w:u w:val="single" w:color="000000"/>
        </w:rPr>
        <w:t>Parte Resolutiva de la Sesión.</w:t>
      </w: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1.- </w:t>
      </w:r>
      <w:r>
        <w:t>Expediente 2870/2022. Propuesta del Concejal delegado de Hacienda de 23 de marzo de 2022 de toma de conocimiento del informe definitivo de la fiscalización de la Cuenta General del ejercicio 2019 del Ayuntamiento de Candelaria, realizado por la Audiencia d</w:t>
      </w:r>
      <w:r>
        <w:t xml:space="preserve">e Cuentas de Canarias.  </w:t>
      </w:r>
    </w:p>
    <w:p w:rsidR="00E302EC" w:rsidRDefault="00FC4F28">
      <w:pPr>
        <w:spacing w:after="0" w:line="259" w:lineRule="auto"/>
        <w:ind w:left="284" w:firstLine="0"/>
        <w:jc w:val="left"/>
      </w:pPr>
      <w:r>
        <w:t xml:space="preserve"> </w:t>
      </w:r>
    </w:p>
    <w:p w:rsidR="00E302EC" w:rsidRDefault="00FC4F28">
      <w:pPr>
        <w:numPr>
          <w:ilvl w:val="0"/>
          <w:numId w:val="1"/>
        </w:numPr>
        <w:ind w:right="184" w:hanging="285"/>
      </w:pPr>
      <w:r>
        <w:t>Expediente 2655/2022. Propuesta del Concejal delegado de Hacienda al Pleno de 23 de marzo de 2022 de aprobación del expediente de modificación presupuestaria nº 2655/2022 por créditos extraordinarios financiado con Remanente de T</w:t>
      </w:r>
      <w:r>
        <w:t xml:space="preserve">esorería para gastos generales, por una cantidad total de 1.348.216,10 euros.  </w:t>
      </w:r>
    </w:p>
    <w:p w:rsidR="00E302EC" w:rsidRDefault="00FC4F28">
      <w:pPr>
        <w:spacing w:after="0" w:line="259" w:lineRule="auto"/>
        <w:ind w:left="284" w:firstLine="0"/>
        <w:jc w:val="left"/>
      </w:pPr>
      <w:r>
        <w:t xml:space="preserve"> </w:t>
      </w:r>
    </w:p>
    <w:p w:rsidR="00E302EC" w:rsidRDefault="00FC4F28">
      <w:pPr>
        <w:numPr>
          <w:ilvl w:val="0"/>
          <w:numId w:val="1"/>
        </w:numPr>
        <w:ind w:right="184" w:hanging="285"/>
      </w:pPr>
      <w:r>
        <w:t xml:space="preserve">Expediente 2149/2022. Propuesta del Concejal delegado de Hacienda al Pleno de 18 de marzo de 2022 de dación de cuenta de la Liquidación del Presupuesto General del año 2021. </w:t>
      </w:r>
      <w:r>
        <w:t xml:space="preserve"> </w:t>
      </w:r>
    </w:p>
    <w:p w:rsidR="00E302EC" w:rsidRDefault="00FC4F28">
      <w:pPr>
        <w:spacing w:after="0" w:line="259" w:lineRule="auto"/>
        <w:ind w:left="284" w:firstLine="0"/>
        <w:jc w:val="left"/>
      </w:pPr>
      <w:r>
        <w:t xml:space="preserve"> </w:t>
      </w:r>
    </w:p>
    <w:p w:rsidR="00E302EC" w:rsidRDefault="00FC4F28">
      <w:pPr>
        <w:numPr>
          <w:ilvl w:val="0"/>
          <w:numId w:val="1"/>
        </w:numPr>
        <w:ind w:right="184" w:hanging="285"/>
      </w:pPr>
      <w:r>
        <w:t>Expediente 761/2022. Propuesta del Concejal delegado de Hacienda de 23 de marzo de 2022 al Pleno de la aprobación inicial de la modificación de la Ordenanza Fiscal Reguladora del Impuesto sobre el Incremento de Valor de los Terrenos de Naturaleza Urban</w:t>
      </w:r>
      <w:r>
        <w:t xml:space="preserve">a (IIVTNU). </w:t>
      </w:r>
    </w:p>
    <w:p w:rsidR="00E302EC" w:rsidRDefault="00FC4F28">
      <w:pPr>
        <w:spacing w:after="0" w:line="259" w:lineRule="auto"/>
        <w:ind w:left="284" w:firstLine="0"/>
        <w:jc w:val="left"/>
      </w:pPr>
      <w:r>
        <w:t xml:space="preserve"> </w:t>
      </w:r>
    </w:p>
    <w:p w:rsidR="00E302EC" w:rsidRDefault="00FC4F28">
      <w:pPr>
        <w:numPr>
          <w:ilvl w:val="0"/>
          <w:numId w:val="1"/>
        </w:numPr>
        <w:ind w:right="184" w:hanging="285"/>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19982" name="Group 21998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51" name="Rectangle 25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52" name="Rectangle 252"/>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19982" style="width:12.7031pt;height:273.276pt;position:absolute;mso-position-horizontal-relative:page;mso-position-horizontal:absolute;margin-left:682.278pt;mso-position-vertical-relative:page;margin-top:538.644pt;" coordsize="1613,34706">
                <v:rect id="Rectangle 25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52"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159 </w:t>
                        </w:r>
                      </w:p>
                    </w:txbxContent>
                  </v:textbox>
                </v:rect>
                <w10:wrap type="square"/>
              </v:group>
            </w:pict>
          </mc:Fallback>
        </mc:AlternateContent>
      </w:r>
      <w:r>
        <w:t xml:space="preserve">Expediente 1782/2022. Propuesta de la Alcaldesa-Presidenta de fecha 23 de marzo de 2022 al Pleno de revocación de la dedicación exclusiva y retribuciones de Don Reinaldo José Triviño Blanco a petición propia según instancia de 21 de marzo de 2022. </w:t>
      </w:r>
    </w:p>
    <w:p w:rsidR="00E302EC" w:rsidRDefault="00FC4F28">
      <w:pPr>
        <w:spacing w:after="0" w:line="259" w:lineRule="auto"/>
        <w:ind w:left="284" w:firstLine="0"/>
        <w:jc w:val="left"/>
      </w:pPr>
      <w:r>
        <w:t xml:space="preserve"> </w:t>
      </w:r>
    </w:p>
    <w:p w:rsidR="00E302EC" w:rsidRDefault="00FC4F28">
      <w:pPr>
        <w:numPr>
          <w:ilvl w:val="0"/>
          <w:numId w:val="1"/>
        </w:numPr>
        <w:ind w:right="184" w:hanging="285"/>
      </w:pPr>
      <w:r>
        <w:t>Exped</w:t>
      </w:r>
      <w:r>
        <w:t xml:space="preserve">iente 6669/2020. Nombramiento a Reinaldo José Triviño Blanco suplente en la en la </w:t>
      </w:r>
    </w:p>
    <w:p w:rsidR="00E302EC" w:rsidRDefault="00FC4F28">
      <w:pPr>
        <w:ind w:left="279" w:right="184"/>
      </w:pPr>
      <w:r>
        <w:t>Asamblea General y en el Consejo Rector de la Junta de Compensación del ASU-1B, Punta LargaLas Arenas 7. Expediente 11258/2019. Nombramiento a Reinaldo José Triviño Blanco s</w:t>
      </w:r>
      <w:r>
        <w:t xml:space="preserve">uplente en la Asamblea General y en el Consejo Rector de la Junta de Compensación Polígono “Los Mangos” SUSO CA5. </w:t>
      </w:r>
    </w:p>
    <w:p w:rsidR="00E302EC" w:rsidRDefault="00FC4F28">
      <w:pPr>
        <w:spacing w:after="0" w:line="259" w:lineRule="auto"/>
        <w:ind w:left="284" w:firstLine="0"/>
        <w:jc w:val="left"/>
      </w:pPr>
      <w:r>
        <w:t xml:space="preserve"> </w:t>
      </w:r>
    </w:p>
    <w:p w:rsidR="00E302EC" w:rsidRDefault="00FC4F28">
      <w:pPr>
        <w:numPr>
          <w:ilvl w:val="0"/>
          <w:numId w:val="1"/>
        </w:numPr>
        <w:spacing w:after="28"/>
        <w:ind w:right="184" w:hanging="285"/>
      </w:pPr>
      <w:r>
        <w:t>Expediente 11258/2019. Nombramiento a Reinaldo José Triviño Blanco suplente en la Asamblea General y en el Consejo Rector de la Junta de Co</w:t>
      </w:r>
      <w:r>
        <w:t xml:space="preserve">mpensación Polígono “Los Mangos” SUSO CA5. </w:t>
      </w:r>
    </w:p>
    <w:p w:rsidR="00E302EC" w:rsidRDefault="00FC4F28">
      <w:pPr>
        <w:spacing w:after="0" w:line="259" w:lineRule="auto"/>
        <w:ind w:left="284" w:firstLine="0"/>
        <w:jc w:val="left"/>
      </w:pPr>
      <w:r>
        <w:t xml:space="preserve"> </w:t>
      </w:r>
    </w:p>
    <w:p w:rsidR="00E302EC" w:rsidRDefault="00FC4F28">
      <w:pPr>
        <w:numPr>
          <w:ilvl w:val="0"/>
          <w:numId w:val="1"/>
        </w:numPr>
        <w:ind w:right="184" w:hanging="285"/>
      </w:pPr>
      <w:r>
        <w:t>Expediente 6327/2019. Propuesta de la Alcaldesa-Presidenta de fecha 23 de marzo de 2022 de someter a la consideración del Ayuntamiento Pleno el nombramiento como suplente en representación del Ayuntamiento de C</w:t>
      </w:r>
      <w:r>
        <w:t xml:space="preserve">andelaria en la Asamblea General y en el Consejo Rector de la Junta de Compensación SUSO C-2 “Punta Larga” a D. Reinaldo José Triviño Blanco.  </w:t>
      </w:r>
    </w:p>
    <w:p w:rsidR="00E302EC" w:rsidRDefault="00FC4F28">
      <w:pPr>
        <w:spacing w:after="0" w:line="259" w:lineRule="auto"/>
        <w:ind w:left="284" w:firstLine="0"/>
        <w:jc w:val="left"/>
      </w:pPr>
      <w:r>
        <w:t xml:space="preserve"> </w:t>
      </w:r>
    </w:p>
    <w:p w:rsidR="00E302EC" w:rsidRDefault="00FC4F28">
      <w:pPr>
        <w:numPr>
          <w:ilvl w:val="0"/>
          <w:numId w:val="1"/>
        </w:numPr>
        <w:ind w:right="184" w:hanging="285"/>
      </w:pPr>
      <w:r>
        <w:lastRenderedPageBreak/>
        <w:t xml:space="preserve">Expediente 2811/2022. Moción del Grupo Mixto con registro de entrada N.º (2022-E-RE-1275) </w:t>
      </w:r>
      <w:r>
        <w:t>del 21 de marzo de 2022 para el impulso al proyecto del Tren del Sur en Tenerife</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ind w:left="279" w:right="184"/>
      </w:pPr>
      <w:r>
        <w:t>10.Expediente 2812/2022. Moción del Grupo Mixto con registro de entrada N.º (2022-E-RE-1259) del 19 de marzo de 2022 para la atención a las personas mayores en las entida</w:t>
      </w:r>
      <w:r>
        <w:t xml:space="preserve">des bancarias.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11.Urgencias. </w:t>
      </w:r>
    </w:p>
    <w:p w:rsidR="00E302EC" w:rsidRDefault="00FC4F28">
      <w:pPr>
        <w:spacing w:after="0" w:line="259" w:lineRule="auto"/>
        <w:ind w:left="284" w:firstLine="0"/>
        <w:jc w:val="left"/>
      </w:pPr>
      <w:r>
        <w:t xml:space="preserve"> </w:t>
      </w:r>
    </w:p>
    <w:p w:rsidR="00E302EC" w:rsidRDefault="00FC4F28">
      <w:pPr>
        <w:ind w:left="279" w:right="184"/>
      </w:pPr>
      <w:r>
        <w:t xml:space="preserve">(Receso entre las 12 a las 14:30 para elaborar el punto de urgencias).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numPr>
          <w:ilvl w:val="1"/>
          <w:numId w:val="1"/>
        </w:numPr>
        <w:spacing w:after="8" w:line="248" w:lineRule="auto"/>
        <w:ind w:right="183" w:hanging="360"/>
      </w:pPr>
      <w:r>
        <w:rPr>
          <w:b/>
        </w:rPr>
        <w:t xml:space="preserve">Actividad de control.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ind w:left="279" w:right="184"/>
      </w:pPr>
      <w:r>
        <w:t>12.Dación de cuenta de los Decretos de la Alcaldía-Presidencia y Concejales delegados desde la última sesión ordinari</w:t>
      </w:r>
      <w:r>
        <w:t xml:space="preserve">a. </w:t>
      </w:r>
    </w:p>
    <w:p w:rsidR="00E302EC" w:rsidRDefault="00FC4F28">
      <w:pPr>
        <w:spacing w:after="0" w:line="259" w:lineRule="auto"/>
        <w:ind w:left="284" w:firstLine="0"/>
        <w:jc w:val="left"/>
      </w:pPr>
      <w:r>
        <w:t xml:space="preserve"> </w:t>
      </w:r>
    </w:p>
    <w:p w:rsidR="00E302EC" w:rsidRDefault="00FC4F28">
      <w:pPr>
        <w:ind w:left="279" w:right="258"/>
      </w:pPr>
      <w:r>
        <w:t xml:space="preserve">13.Informe de la Intervención sobre las resoluciones adoptadas contrarios a los reparos efectuados conforme la ley 27/2013, de 27 de diciembre, de racionalización y sostenibilidad de la Administración local. </w:t>
      </w:r>
    </w:p>
    <w:p w:rsidR="00E302EC" w:rsidRDefault="00FC4F28">
      <w:pPr>
        <w:spacing w:after="0" w:line="259" w:lineRule="auto"/>
        <w:ind w:left="284" w:firstLine="0"/>
        <w:jc w:val="left"/>
      </w:pPr>
      <w:r>
        <w:t xml:space="preserve"> </w:t>
      </w:r>
    </w:p>
    <w:p w:rsidR="00E302EC" w:rsidRDefault="00FC4F28">
      <w:pPr>
        <w:numPr>
          <w:ilvl w:val="1"/>
          <w:numId w:val="1"/>
        </w:numPr>
        <w:spacing w:after="8" w:line="248" w:lineRule="auto"/>
        <w:ind w:right="183" w:hanging="360"/>
      </w:pPr>
      <w:r>
        <w:rPr>
          <w:b/>
        </w:rPr>
        <w:t xml:space="preserve">Ruegos y preguntas. </w:t>
      </w:r>
    </w:p>
    <w:p w:rsidR="00E302EC" w:rsidRDefault="00FC4F28">
      <w:pPr>
        <w:spacing w:after="0" w:line="259" w:lineRule="auto"/>
        <w:ind w:left="284" w:firstLine="0"/>
        <w:jc w:val="left"/>
      </w:pPr>
      <w:r>
        <w:rPr>
          <w:b/>
        </w:rPr>
        <w:t xml:space="preserve"> </w:t>
      </w:r>
    </w:p>
    <w:p w:rsidR="00E302EC" w:rsidRDefault="00FC4F28">
      <w:pPr>
        <w:ind w:left="279" w:right="184"/>
      </w:pPr>
      <w:r>
        <w:t>14.- Ruegos y pr</w:t>
      </w:r>
      <w:r>
        <w:t xml:space="preserve">eguntas.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19932" name="Group 21993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370" name="Rectangle 37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371" name="Rectangle 371"/>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19932" style="width:12.7031pt;height:273.276pt;position:absolute;mso-position-horizontal-relative:page;mso-position-horizontal:absolute;margin-left:682.278pt;mso-position-vertical-relative:page;margin-top:538.644pt;" coordsize="1613,34706">
                <v:rect id="Rectangle 37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371"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159 </w:t>
                        </w:r>
                      </w:p>
                    </w:txbxContent>
                  </v:textbox>
                </v:rect>
                <w10:wrap type="topAndBottom"/>
              </v:group>
            </w:pict>
          </mc:Fallback>
        </mc:AlternateContent>
      </w: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639"/>
        <w:jc w:val="left"/>
      </w:pPr>
      <w:r>
        <w:rPr>
          <w:b/>
        </w:rPr>
        <w:t xml:space="preserve">A) </w:t>
      </w:r>
      <w:r>
        <w:rPr>
          <w:b/>
          <w:u w:val="single" w:color="000000"/>
        </w:rPr>
        <w:t>Parte Resolutiva de la Sesión.</w:t>
      </w:r>
      <w:r>
        <w:rPr>
          <w:b/>
        </w:rPr>
        <w:t xml:space="preserve"> </w:t>
      </w:r>
    </w:p>
    <w:p w:rsidR="00E302EC" w:rsidRDefault="00FC4F28">
      <w:pPr>
        <w:spacing w:after="0" w:line="259" w:lineRule="auto"/>
        <w:ind w:left="1004" w:firstLine="0"/>
        <w:jc w:val="left"/>
      </w:pPr>
      <w:r>
        <w:rPr>
          <w:b/>
        </w:rPr>
        <w:t xml:space="preserve"> </w:t>
      </w:r>
    </w:p>
    <w:p w:rsidR="00E302EC" w:rsidRDefault="00FC4F28">
      <w:pPr>
        <w:spacing w:after="0" w:line="259" w:lineRule="auto"/>
        <w:ind w:left="1004" w:firstLine="0"/>
        <w:jc w:val="left"/>
      </w:pPr>
      <w:r>
        <w:rPr>
          <w:b/>
          <w:color w:val="0000FF"/>
          <w:u w:val="single" w:color="0000FF"/>
        </w:rPr>
        <w:t>https://www.youtube.com/watch?v=h65nFfsckNw</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49" w:lineRule="auto"/>
        <w:ind w:left="279" w:right="183"/>
      </w:pPr>
      <w:r>
        <w:rPr>
          <w:b/>
          <w:sz w:val="24"/>
        </w:rPr>
        <w:t>1.- Expediente 2870/2022. Propuesta del Concejal delegado de Hacienda de 23 de marzo de 2022 de toma de conocimiento del informe definitivo de la fiscalizac</w:t>
      </w:r>
      <w:r>
        <w:rPr>
          <w:b/>
          <w:sz w:val="24"/>
        </w:rPr>
        <w:t>ión de la Cuenta General del ejercicio 2019 del Ayuntamiento de Candelaria, realizado por la Audiencia de Cuentas de Canarias.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b/>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b/>
          <w:sz w:val="24"/>
        </w:rPr>
        <w:t xml:space="preserve"> </w:t>
      </w:r>
    </w:p>
    <w:p w:rsidR="00E302EC" w:rsidRDefault="00FC4F28">
      <w:pPr>
        <w:spacing w:after="8" w:line="248" w:lineRule="auto"/>
        <w:ind w:left="279" w:right="183"/>
      </w:pPr>
      <w:r>
        <w:t xml:space="preserve">    </w:t>
      </w:r>
      <w:r>
        <w:rPr>
          <w:b/>
        </w:rPr>
        <w:t>Consta en el expediente Informe de Intervención emitido por Don Nicolás Rojo Garnica, que desempeña el puesto de trabajo de Interventor Municipal, de 23 de marzo de 2022, del siguiente tenor literal:</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16" w:line="259" w:lineRule="auto"/>
        <w:ind w:left="284" w:firstLine="0"/>
        <w:jc w:val="left"/>
      </w:pPr>
      <w:r>
        <w:rPr>
          <w:b/>
        </w:rPr>
        <w:t xml:space="preserve"> </w:t>
      </w:r>
    </w:p>
    <w:p w:rsidR="00E302EC" w:rsidRDefault="00FC4F28">
      <w:pPr>
        <w:pStyle w:val="Ttulo1"/>
        <w:ind w:left="107"/>
      </w:pPr>
      <w:r>
        <w:t xml:space="preserve">“INFORME DE INTERVENCIÓN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ASUNTO: RESULTADO DEFINITIVO DE LA FISCALIZACIÓN DE LA CUENTA GENERAL 2019 </w:t>
      </w:r>
    </w:p>
    <w:p w:rsidR="00E302EC" w:rsidRDefault="00FC4F28">
      <w:pPr>
        <w:spacing w:after="8" w:line="248" w:lineRule="auto"/>
        <w:ind w:left="279" w:right="183"/>
      </w:pPr>
      <w:r>
        <w:rPr>
          <w:b/>
        </w:rPr>
        <w:t>DEL AYUNTAMIENTO DE CANDELARIA POR LA AUDIENCIA DE CUENTAS DE CANARIAS</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0929" name="Group 22092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491" name="Rectangle 49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492" name="Rectangle 492"/>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Docum</w:t>
                              </w:r>
                              <w:r>
                                <w:rPr>
                                  <w:sz w:val="12"/>
                                </w:rPr>
                                <w:t xml:space="preserve">ento firmado electrónicamente desde la plataforma esPublico Gestiona | Página 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0929" style="width:12.7031pt;height:273.276pt;position:absolute;mso-position-horizontal-relative:page;mso-position-horizontal:absolute;margin-left:682.278pt;mso-position-vertical-relative:page;margin-top:538.644pt;" coordsize="1613,34706">
                <v:rect id="Rectangle 49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492"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159 </w:t>
                        </w:r>
                      </w:p>
                    </w:txbxContent>
                  </v:textbox>
                </v:rect>
                <w10:wrap type="square"/>
              </v:group>
            </w:pict>
          </mc:Fallback>
        </mc:AlternateContent>
      </w: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20927" name="Group 220927"/>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88" name="Shape 488"/>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927" style="width:477.1pt;height:2.04pt;mso-position-horizontal-relative:char;mso-position-vertical-relative:line" coordsize="60591,259">
                <v:shape id="Shape 488" style="position:absolute;width:60591;height:0;left:0;top:0;" coordsize="6059170,0" path="m0,0l6059170,0">
                  <v:stroke weight="2.04pt" endcap="square" joinstyle="miter" miterlimit="10" on="true" color="#993366"/>
                  <v:fill on="false" color="#000000" opacity="0"/>
                </v:shape>
              </v:group>
            </w:pict>
          </mc:Fallback>
        </mc:AlternateContent>
      </w:r>
    </w:p>
    <w:p w:rsidR="00E302EC" w:rsidRDefault="00FC4F28">
      <w:pPr>
        <w:spacing w:after="105" w:line="259" w:lineRule="auto"/>
        <w:ind w:left="284" w:firstLine="0"/>
        <w:jc w:val="left"/>
      </w:pPr>
      <w:r>
        <w:t xml:space="preserve"> </w:t>
      </w:r>
      <w:r>
        <w:tab/>
        <w:t xml:space="preserve"> </w:t>
      </w:r>
      <w:r>
        <w:tab/>
        <w:t xml:space="preserve"> </w:t>
      </w:r>
    </w:p>
    <w:p w:rsidR="00E302EC" w:rsidRDefault="00FC4F28">
      <w:pPr>
        <w:ind w:left="279" w:right="184"/>
      </w:pPr>
      <w:r>
        <w:t xml:space="preserve"> Visto el escrito remitido por la Audiencia de Cuentas de Canarias, con fecha de registro de entrada 25 de febrero de 2022, relativo al “Resultado Definitivo d</w:t>
      </w:r>
      <w:r>
        <w:t>e la Fiscalización de la Cuenta General del ejercicio 2019 del Ayuntamiento de Candelaria”, con la obligación de remitir certificación plenaria de su conocimiento por parte de esa Corporación, de conformidad con el artículo 19 de la Ley Territorial 4/1989,</w:t>
      </w:r>
      <w:r>
        <w:t xml:space="preserve"> de 2 de mayo, esta Intervención tiene a bien INFORMAR: </w:t>
      </w:r>
    </w:p>
    <w:p w:rsidR="00E302EC" w:rsidRDefault="00FC4F28">
      <w:pPr>
        <w:spacing w:after="0" w:line="259" w:lineRule="auto"/>
        <w:ind w:left="284" w:firstLine="0"/>
        <w:jc w:val="left"/>
      </w:pPr>
      <w:r>
        <w:t xml:space="preserve"> </w:t>
      </w:r>
    </w:p>
    <w:p w:rsidR="00E302EC" w:rsidRDefault="00FC4F28">
      <w:pPr>
        <w:ind w:left="279" w:right="184"/>
      </w:pPr>
      <w:r>
        <w:rPr>
          <w:b/>
        </w:rPr>
        <w:t>PRIMERO</w:t>
      </w:r>
      <w:r>
        <w:t xml:space="preserve">: De conformidad con el artículo 223 del </w:t>
      </w:r>
      <w:r>
        <w:rPr>
          <w:color w:val="0000FF"/>
          <w:u w:val="single" w:color="0000FF"/>
        </w:rPr>
        <w:t>Real Decreto Legislativo 2/2004</w:t>
      </w:r>
      <w:r>
        <w:t xml:space="preserve">, de 5 de marzo, por el que se aprueba el texto refundido de la </w:t>
      </w:r>
      <w:r>
        <w:rPr>
          <w:color w:val="0000FF"/>
          <w:u w:val="single" w:color="0000FF"/>
        </w:rPr>
        <w:t>Ley Reguladora de las Haciendas Locales</w:t>
      </w:r>
      <w:r>
        <w:t>:</w:t>
      </w:r>
      <w:r>
        <w:rPr>
          <w:rFonts w:ascii="Courier New" w:eastAsia="Courier New" w:hAnsi="Courier New" w:cs="Courier New"/>
          <w:sz w:val="31"/>
          <w:vertAlign w:val="subscript"/>
        </w:rPr>
        <w:t xml:space="preserve"> </w:t>
      </w:r>
    </w:p>
    <w:p w:rsidR="00E302EC" w:rsidRDefault="00FC4F28">
      <w:pPr>
        <w:spacing w:after="13" w:line="259" w:lineRule="auto"/>
        <w:ind w:left="284" w:firstLine="0"/>
        <w:jc w:val="left"/>
      </w:pPr>
      <w:r>
        <w:t xml:space="preserve"> </w:t>
      </w:r>
    </w:p>
    <w:p w:rsidR="00E302EC" w:rsidRDefault="00FC4F28">
      <w:pPr>
        <w:ind w:left="279" w:right="184"/>
      </w:pPr>
      <w:r>
        <w:t>“la fiscalización externa de las cuentas y de la gestión económica de las entidades locales y de todos los organismos y sociedades de ellas dependientes es función propia del Tribunal de Cuentas, con el alcance y condiciones que establece su ley orgánica r</w:t>
      </w:r>
      <w:r>
        <w:t xml:space="preserve">eguladora y su ley de funcionamiento.  </w:t>
      </w:r>
    </w:p>
    <w:p w:rsidR="00E302EC" w:rsidRDefault="00FC4F28">
      <w:pPr>
        <w:spacing w:after="0" w:line="259" w:lineRule="auto"/>
        <w:ind w:left="284" w:firstLine="0"/>
        <w:jc w:val="left"/>
      </w:pPr>
      <w:r>
        <w:t xml:space="preserve"> </w:t>
      </w:r>
    </w:p>
    <w:p w:rsidR="00E302EC" w:rsidRDefault="00FC4F28">
      <w:pPr>
        <w:ind w:left="269" w:right="184" w:firstLine="708"/>
      </w:pPr>
      <w:r>
        <w:t xml:space="preserve">A tal efecto, las entidades locales rendirán al citado Tribunal, antes del día 15 de octubre de cada año, la Cuenta General.  </w:t>
      </w:r>
    </w:p>
    <w:p w:rsidR="00E302EC" w:rsidRDefault="00FC4F28">
      <w:pPr>
        <w:spacing w:after="0" w:line="259" w:lineRule="auto"/>
        <w:ind w:left="992" w:firstLine="0"/>
        <w:jc w:val="left"/>
      </w:pPr>
      <w:r>
        <w:t xml:space="preserve"> </w:t>
      </w:r>
    </w:p>
    <w:p w:rsidR="00E302EC" w:rsidRDefault="00FC4F28">
      <w:pPr>
        <w:ind w:left="269" w:right="184" w:firstLine="708"/>
      </w:pPr>
      <w:r>
        <w:t>Una vez fiscalizadas las cuentas por el Tribunal, se someterá a la consideración de l</w:t>
      </w:r>
      <w:r>
        <w:t xml:space="preserve">a entidad local la propuesta de corrección de las anomalías observadas y el ejercicio de las acciones procedentes, sin perjuicio, todo ello, de las actuaciones que puedan corresponder al Tribunal en los casos de exigencia de responsabilidad contable. </w:t>
      </w:r>
    </w:p>
    <w:p w:rsidR="00E302EC" w:rsidRDefault="00FC4F28">
      <w:pPr>
        <w:spacing w:after="0" w:line="259" w:lineRule="auto"/>
        <w:ind w:left="992" w:firstLine="0"/>
        <w:jc w:val="left"/>
      </w:pPr>
      <w:r>
        <w:t xml:space="preserve"> </w:t>
      </w:r>
    </w:p>
    <w:p w:rsidR="00E302EC" w:rsidRDefault="00FC4F28">
      <w:pPr>
        <w:ind w:left="269" w:right="184" w:firstLine="708"/>
      </w:pPr>
      <w:r>
        <w:t>Lo</w:t>
      </w:r>
      <w:r>
        <w:t xml:space="preserve"> establecido en el presente artículo se entiende sin menoscabo de las facultades que, en materia de fiscalización externa de las entidades locales, tengan atribuidas por sus Estatutos las Comunidades Autónomas”.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SEGUNDO:</w:t>
      </w:r>
      <w:r>
        <w:t xml:space="preserve"> </w:t>
      </w:r>
      <w:r>
        <w:t>El informe de Fiscalización pone de manifiesto que, en el ejercicio 2019, la Entidad ha presentado la información que compone la Cuenta General por vía telemática y ajustada a los requisitos de la Instrucción de Contabilidad para la Administración Local.</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 xml:space="preserve">TERCERO: </w:t>
      </w:r>
      <w:r>
        <w:t xml:space="preserve">Se han detectado incidencias en la Sociedad Mercantil de Viviendas, referida al informe de auditoría, que no está firmado por el Interventor, con una opinión favorable.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En este sentido señalar que el informe de auditoría fue realizado por</w:t>
      </w:r>
      <w:r>
        <w:t xml:space="preserve"> empresa privada de auditoría, por lo que no ha sido firmada por este Interventor. </w:t>
      </w:r>
    </w:p>
    <w:p w:rsidR="00E302EC" w:rsidRDefault="00FC4F28">
      <w:pPr>
        <w:spacing w:after="0" w:line="259" w:lineRule="auto"/>
        <w:ind w:left="284" w:firstLine="0"/>
        <w:jc w:val="left"/>
      </w:pPr>
      <w:r>
        <w:t xml:space="preserve"> </w:t>
      </w:r>
    </w:p>
    <w:p w:rsidR="00E302EC" w:rsidRDefault="00FC4F28">
      <w:pPr>
        <w:ind w:left="279" w:right="184"/>
      </w:pPr>
      <w:r>
        <w:t xml:space="preserve"> </w:t>
      </w:r>
      <w:r>
        <w:tab/>
        <w:t xml:space="preserve">En la Entidad Pública Empresarial, se señala igualmente que el informe de auditoría, no ha sido firmada por este Interventor y la opinión es con salvedades. </w:t>
      </w:r>
    </w:p>
    <w:p w:rsidR="00E302EC" w:rsidRDefault="00FC4F28">
      <w:pPr>
        <w:spacing w:after="0" w:line="259" w:lineRule="auto"/>
        <w:ind w:left="284" w:firstLine="0"/>
        <w:jc w:val="left"/>
      </w:pPr>
      <w:r>
        <w:t xml:space="preserve"> </w:t>
      </w:r>
    </w:p>
    <w:p w:rsidR="00E302EC" w:rsidRDefault="00FC4F28">
      <w:pPr>
        <w:ind w:left="279" w:right="184"/>
      </w:pPr>
      <w:r>
        <w:t xml:space="preserve"> En cuan</w:t>
      </w:r>
      <w:r>
        <w:t xml:space="preserve">to a la Fundación Canaria Candelaria Solidaria, señalan que el importe del Activo del Balance no coincide con el importe de Patrimonio Neto y Pasivo.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5143" name="Group 22514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608" name="Rectangle 60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609" name="Rectangle 609"/>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5143" style="width:12.7031pt;height:273.276pt;position:absolute;mso-position-horizontal-relative:page;mso-position-horizontal:absolute;margin-left:682.278pt;mso-position-vertical-relative:page;margin-top:538.644pt;" coordsize="1613,34706">
                <v:rect id="Rectangle 60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609"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159 </w:t>
                        </w:r>
                      </w:p>
                    </w:txbxContent>
                  </v:textbox>
                </v:rect>
                <w10:wrap type="square"/>
              </v:group>
            </w:pict>
          </mc:Fallback>
        </mc:AlternateContent>
      </w:r>
      <w:r>
        <w:t xml:space="preserve"> Se adjunta en el expediente el Balance, que pone de manifiesto la igualdad de las citadas masas patrimoniales y la Cuenta de Pérdidas y Ganancias que pone de man</w:t>
      </w:r>
      <w:r>
        <w:t xml:space="preserve">ifiesto la igualdad entre el Resultado de Explotación y los conceptos que lo conforman. </w:t>
      </w:r>
    </w:p>
    <w:p w:rsidR="00E302EC" w:rsidRDefault="00FC4F28">
      <w:pPr>
        <w:spacing w:after="0" w:line="259" w:lineRule="auto"/>
        <w:ind w:left="284" w:firstLine="0"/>
        <w:jc w:val="left"/>
      </w:pPr>
      <w:r>
        <w:t xml:space="preserve"> </w:t>
      </w:r>
    </w:p>
    <w:p w:rsidR="00E302EC" w:rsidRDefault="00FC4F28">
      <w:pPr>
        <w:ind w:left="279" w:right="184"/>
      </w:pPr>
      <w:r>
        <w:t xml:space="preserve"> Asimismo, señalan que no se ha remitido el informe de auditoría de cuentas incluido en el Plan anual de Auditorías. En este sentido señalar que la legislación de Fu</w:t>
      </w:r>
      <w:r>
        <w:t xml:space="preserve">ndaciones, en su art 25 Ley 50/2002, fija sus propios límites para la realización de una auditoría: </w:t>
      </w:r>
      <w:r>
        <w:rPr>
          <w:rFonts w:ascii="Times New Roman" w:eastAsia="Times New Roman" w:hAnsi="Times New Roman" w:cs="Times New Roman"/>
          <w:sz w:val="24"/>
        </w:rPr>
        <w:t xml:space="preserve"> </w:t>
      </w:r>
    </w:p>
    <w:p w:rsidR="00E302EC" w:rsidRDefault="00FC4F28">
      <w:pPr>
        <w:spacing w:after="16" w:line="259" w:lineRule="auto"/>
        <w:ind w:left="284" w:firstLine="0"/>
        <w:jc w:val="left"/>
      </w:pPr>
      <w:r>
        <w:t xml:space="preserve"> </w:t>
      </w:r>
    </w:p>
    <w:p w:rsidR="00E302EC" w:rsidRDefault="00FC4F28">
      <w:pPr>
        <w:numPr>
          <w:ilvl w:val="0"/>
          <w:numId w:val="2"/>
        </w:numPr>
        <w:spacing w:after="30"/>
        <w:ind w:left="526" w:right="184" w:hanging="257"/>
      </w:pPr>
      <w:r>
        <w:t xml:space="preserve">Total del activo inferior a 2.400.000 €. </w:t>
      </w:r>
    </w:p>
    <w:p w:rsidR="00E302EC" w:rsidRDefault="00FC4F28">
      <w:pPr>
        <w:numPr>
          <w:ilvl w:val="0"/>
          <w:numId w:val="2"/>
        </w:numPr>
        <w:ind w:left="526" w:right="184" w:hanging="257"/>
      </w:pPr>
      <w:r>
        <w:t xml:space="preserve">Importe Neto de su Cifra de Negocio 2.400.000 €. </w:t>
      </w:r>
    </w:p>
    <w:p w:rsidR="00E302EC" w:rsidRDefault="00FC4F28">
      <w:pPr>
        <w:numPr>
          <w:ilvl w:val="0"/>
          <w:numId w:val="2"/>
        </w:numPr>
        <w:ind w:left="526" w:right="184" w:hanging="257"/>
      </w:pPr>
      <w:r>
        <w:t xml:space="preserve">Número medio de personas contratadas inferior a 50.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ind w:left="1002" w:right="184"/>
      </w:pPr>
      <w:r>
        <w:t>No se han detectado incidencias en el Ayuntamiento de Candelaria.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CUARTO:</w:t>
      </w:r>
      <w:r>
        <w:t xml:space="preserve"> La fiscalización de la Cuenta General 2019 por la Audiencia de Cuentas, pone de manifiesto la realidad de los indicadores y magnitudes presupuestarios y económicos, puestos de m</w:t>
      </w:r>
      <w:r>
        <w:t xml:space="preserve">anifiesto en la Cuenta General de esta Corporación municipal, aprobada por acuerdo plenario de fecha 24 de septiembre de 2020: </w:t>
      </w:r>
      <w:r>
        <w:rPr>
          <w:rFonts w:ascii="Courier New" w:eastAsia="Courier New" w:hAnsi="Courier New" w:cs="Courier New"/>
          <w:sz w:val="31"/>
          <w:vertAlign w:val="subscript"/>
        </w:rPr>
        <w:t xml:space="preserve"> </w:t>
      </w:r>
    </w:p>
    <w:p w:rsidR="00E302EC" w:rsidRDefault="00FC4F28">
      <w:pPr>
        <w:spacing w:after="33" w:line="259" w:lineRule="auto"/>
        <w:ind w:left="284" w:firstLine="0"/>
        <w:jc w:val="left"/>
      </w:pPr>
      <w:r>
        <w:t xml:space="preserve"> </w:t>
      </w:r>
    </w:p>
    <w:p w:rsidR="00E302EC" w:rsidRDefault="00FC4F28">
      <w:pPr>
        <w:numPr>
          <w:ilvl w:val="1"/>
          <w:numId w:val="2"/>
        </w:numPr>
        <w:ind w:right="184" w:hanging="348"/>
      </w:pPr>
      <w:r>
        <w:t xml:space="preserve">Resultado Presupuestario: 6.485.304,29 €. </w:t>
      </w:r>
    </w:p>
    <w:p w:rsidR="00E302EC" w:rsidRDefault="00FC4F28">
      <w:pPr>
        <w:spacing w:after="33" w:line="259" w:lineRule="auto"/>
        <w:ind w:left="284" w:firstLine="0"/>
        <w:jc w:val="left"/>
      </w:pPr>
      <w:r>
        <w:t xml:space="preserve"> </w:t>
      </w:r>
    </w:p>
    <w:p w:rsidR="00E302EC" w:rsidRDefault="00FC4F28">
      <w:pPr>
        <w:numPr>
          <w:ilvl w:val="1"/>
          <w:numId w:val="2"/>
        </w:numPr>
        <w:ind w:right="184" w:hanging="348"/>
      </w:pPr>
      <w:r>
        <w:t xml:space="preserve">Remanente de Tesorería: 18.219.677,27 €. </w:t>
      </w:r>
    </w:p>
    <w:p w:rsidR="00E302EC" w:rsidRDefault="00FC4F28">
      <w:pPr>
        <w:spacing w:after="0" w:line="259" w:lineRule="auto"/>
        <w:ind w:left="284" w:firstLine="0"/>
        <w:jc w:val="left"/>
      </w:pPr>
      <w:r>
        <w:t xml:space="preserve"> </w:t>
      </w:r>
    </w:p>
    <w:p w:rsidR="00E302EC" w:rsidRDefault="00FC4F28">
      <w:pPr>
        <w:numPr>
          <w:ilvl w:val="1"/>
          <w:numId w:val="2"/>
        </w:numPr>
        <w:ind w:right="184" w:hanging="348"/>
      </w:pPr>
      <w:r>
        <w:t xml:space="preserve">Ahorro Neto: 18,6 % de los derechos </w:t>
      </w:r>
      <w:r>
        <w:t xml:space="preserve">corrientes liquidados. </w:t>
      </w:r>
    </w:p>
    <w:p w:rsidR="00E302EC" w:rsidRDefault="00FC4F28">
      <w:pPr>
        <w:spacing w:after="98" w:line="259" w:lineRule="auto"/>
        <w:ind w:left="284" w:firstLine="0"/>
        <w:jc w:val="left"/>
      </w:pPr>
      <w:r>
        <w:t xml:space="preserve"> </w:t>
      </w:r>
    </w:p>
    <w:p w:rsidR="00E302EC" w:rsidRDefault="00FC4F28">
      <w:pPr>
        <w:ind w:left="279" w:right="184"/>
      </w:pPr>
      <w:r>
        <w:rPr>
          <w:b/>
        </w:rPr>
        <w:t>QUINTO</w:t>
      </w:r>
      <w:r>
        <w:t>: El Análisis de Indicadores, tanto presupuestarios como financieros y patrimoniales, muestra la siguiente evolución desde los ejercicios 2015 al 2019:</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1.- Indicadores Presupuestarios: </w:t>
      </w:r>
    </w:p>
    <w:p w:rsidR="00E302EC" w:rsidRDefault="00FC4F28">
      <w:pPr>
        <w:spacing w:after="0" w:line="259" w:lineRule="auto"/>
        <w:ind w:left="284" w:firstLine="0"/>
        <w:jc w:val="left"/>
      </w:pPr>
      <w:r>
        <w:t xml:space="preserve"> </w:t>
      </w:r>
    </w:p>
    <w:p w:rsidR="00E302EC" w:rsidRDefault="00FC4F28">
      <w:pPr>
        <w:ind w:left="279" w:right="184"/>
      </w:pPr>
      <w:r>
        <w:rPr>
          <w:b/>
          <w:i/>
        </w:rPr>
        <w:t>Ejecución de Ingresos</w:t>
      </w:r>
      <w:r>
        <w:t>: Nos muestra si se han formulado unas previsiones excesivas de ingresos en el presupuesto o no, señalando que una ejecución mayor del 90 por 100, se considera satisfactorio. En el año 2019, asciende al 85,6 %, una subida de 2,4 puntos porcentuales respect</w:t>
      </w:r>
      <w:r>
        <w:t>o del 2018.</w:t>
      </w:r>
      <w:r>
        <w:rPr>
          <w:rFonts w:ascii="Courier New" w:eastAsia="Courier New" w:hAnsi="Courier New" w:cs="Courier New"/>
          <w:sz w:val="31"/>
          <w:vertAlign w:val="subscript"/>
        </w:rPr>
        <w:t xml:space="preserve"> </w:t>
      </w:r>
    </w:p>
    <w:p w:rsidR="00E302EC" w:rsidRDefault="00FC4F28">
      <w:pPr>
        <w:spacing w:after="0" w:line="259" w:lineRule="auto"/>
        <w:ind w:left="644" w:firstLine="0"/>
        <w:jc w:val="left"/>
      </w:pPr>
      <w:r>
        <w:t xml:space="preserve"> </w:t>
      </w:r>
    </w:p>
    <w:p w:rsidR="00E302EC" w:rsidRDefault="00FC4F28">
      <w:pPr>
        <w:ind w:left="279" w:right="184"/>
      </w:pPr>
      <w:r>
        <w:rPr>
          <w:b/>
          <w:i/>
        </w:rPr>
        <w:t>Ejecución de Gastos</w:t>
      </w:r>
      <w:r>
        <w:t>: Mismo criterio que el anterior. Alcanza unos valores de 71,2 %, una bajada de 2,7 puntos porcentuales respecto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Realización de Cobros</w:t>
      </w:r>
      <w:r>
        <w:t xml:space="preserve">: Mide la capacidad para transformar en liquidez los derechos de cobro liquidados y vencidos, es decir, el ritmo de cobro. Se considera un índice satisfactorio, que sea superior al 80 por 100. En el año 2019, llega al 97,7 %, un punto porcentual mayor que </w:t>
      </w:r>
      <w:r>
        <w:t>en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Realización de los Pagos</w:t>
      </w:r>
      <w:r>
        <w:t xml:space="preserve">: Refleja el porcentaje de obligaciones reconocidas en el ejercicio que han sido pagadas durante el mismo. Se consideran satisfactorios unos índices entre el 80 y el 90 por 100. Si son inferiores, alertan de posibles </w:t>
      </w:r>
      <w:r>
        <w:t>dificultades de tesorería. Llega al 94,2 %, cayendo 2,9 puntos porcentuales respecto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3193" name="Group 22319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714" name="Rectangle 71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715" name="Rectangle 715"/>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w:t>
                              </w:r>
                              <w:r>
                                <w:rPr>
                                  <w:sz w:val="12"/>
                                </w:rPr>
                                <w:t xml:space="preserve">ublico Gestiona | Página 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3193" style="width:12.7031pt;height:273.276pt;position:absolute;mso-position-horizontal-relative:page;mso-position-horizontal:absolute;margin-left:682.278pt;mso-position-vertical-relative:page;margin-top:538.644pt;" coordsize="1613,34706">
                <v:rect id="Rectangle 71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715"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159 </w:t>
                        </w:r>
                      </w:p>
                    </w:txbxContent>
                  </v:textbox>
                </v:rect>
                <w10:wrap type="square"/>
              </v:group>
            </w:pict>
          </mc:Fallback>
        </mc:AlternateContent>
      </w:r>
      <w:r>
        <w:t xml:space="preserve"> </w:t>
      </w:r>
    </w:p>
    <w:p w:rsidR="00E302EC" w:rsidRDefault="00FC4F28">
      <w:pPr>
        <w:ind w:left="279" w:right="184"/>
      </w:pPr>
      <w:r>
        <w:rPr>
          <w:b/>
          <w:i/>
        </w:rPr>
        <w:t>Carga Financiera del ejercicio</w:t>
      </w:r>
      <w:r>
        <w:t xml:space="preserve">: Relaciona el cociente entre los gastos financieros y amortización financiera con los derechos liquidados corrientes. Cuanto menor sea el peso de la carga financiera, mayor será el margen </w:t>
      </w:r>
      <w:r>
        <w:t xml:space="preserve">de maniobra para financiar las inversiones. Asciende al 4 %, frente al 11,3 </w:t>
      </w:r>
    </w:p>
    <w:p w:rsidR="00E302EC" w:rsidRDefault="00FC4F28">
      <w:pPr>
        <w:ind w:left="279" w:right="184"/>
      </w:pPr>
      <w:r>
        <w:t>% del año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Ahorro Neto</w:t>
      </w:r>
      <w:r>
        <w:t>: Refleja la capacidad de financiar, con sus recursos corrientes, los gastos ordinarios y carga financiera. Llega actualmente al 18,6 %, frente al 8,</w:t>
      </w:r>
      <w:r>
        <w:t>3 % respecto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 xml:space="preserve">Eficacia de la Gestión Recaudatoria: </w:t>
      </w:r>
      <w:r>
        <w:t>Mide la capacidad de transformar en liquidez los derechos de cobro liquidados y vencidos de los tres primeros capítulos de ingresos de naturaleza tributaria, principalmente. Sería deseable que s</w:t>
      </w:r>
      <w:r>
        <w:t>ea mayor de 80 por 100, y llega al 95,7 %, más de dos puntos porcentuales mejor que en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2.- Indicadores Financieros y Patrimoniales: </w:t>
      </w:r>
    </w:p>
    <w:p w:rsidR="00E302EC" w:rsidRDefault="00FC4F28">
      <w:pPr>
        <w:spacing w:after="0" w:line="259" w:lineRule="auto"/>
        <w:ind w:left="284" w:firstLine="0"/>
        <w:jc w:val="left"/>
      </w:pPr>
      <w:r>
        <w:t xml:space="preserve"> </w:t>
      </w:r>
    </w:p>
    <w:p w:rsidR="00E302EC" w:rsidRDefault="00FC4F28">
      <w:pPr>
        <w:ind w:left="279" w:right="184"/>
      </w:pPr>
      <w:r>
        <w:rPr>
          <w:b/>
          <w:i/>
        </w:rPr>
        <w:t>Índice de Liquidez Inmediata</w:t>
      </w:r>
      <w:r>
        <w:t xml:space="preserve">: Se obtiene por el cociente entre los fondos líquidos (dinero en caja y bancos, </w:t>
      </w:r>
      <w:r>
        <w:t xml:space="preserve">así como inversiones financieras temporales con alto grado de liquidez) y las obligaciones presupuestarias y extrapresupuestarias pendientes de pago, minoradas por el volumen de pagos pendientes de aplicación. Cuanto mayor sea el porcentaje, menor será el </w:t>
      </w:r>
      <w:r>
        <w:t>riesgo financiero, si bien, un valor excesivo, revela un excedente de liquidez que habrá que colocar. Este ratio,, debe situarse entre 0,70 y 0,90, encontrándose la entidad en el año 2019, en el 6,2 %, ocho décimas mejor respecto del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Relación de E</w:t>
      </w:r>
      <w:r>
        <w:rPr>
          <w:b/>
          <w:i/>
        </w:rPr>
        <w:t>ndeudamiento</w:t>
      </w:r>
      <w:r>
        <w:t>: Se define como el cociente entre las agrupaciones de provisiones y acreedores a corto plazo (pasivo corriente), sobre las agrupaciones de provisiones y acreedores a largo plazo (pasivo no corriente) del pasivo del balance.</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w:t>
      </w:r>
      <w:r>
        <w:t xml:space="preserve">Indica qué porcentaje representa el exigible a corto plazo, sobre las obligaciones reembolsables a largo plazo. Un valor superior a uno, indica un mayor volumen de deuda a corto plazo que de deuda a largo plazo, y a la inversa. </w:t>
      </w:r>
    </w:p>
    <w:p w:rsidR="00E302EC" w:rsidRDefault="00FC4F28">
      <w:pPr>
        <w:spacing w:after="0" w:line="259" w:lineRule="auto"/>
        <w:ind w:left="284" w:firstLine="0"/>
        <w:jc w:val="left"/>
      </w:pPr>
      <w:r>
        <w:t xml:space="preserve"> </w:t>
      </w:r>
    </w:p>
    <w:p w:rsidR="00E302EC" w:rsidRDefault="00FC4F28">
      <w:pPr>
        <w:ind w:left="279" w:right="184"/>
      </w:pPr>
      <w:r>
        <w:t xml:space="preserve"> Cuanto más se aproxima s</w:t>
      </w:r>
      <w:r>
        <w:t xml:space="preserve">u valor a cero, mayor es el peso de las obligaciones a largo plazo sobre el total de obligaciones a corto, y a la inversa. </w:t>
      </w:r>
    </w:p>
    <w:p w:rsidR="00E302EC" w:rsidRDefault="00FC4F28">
      <w:pPr>
        <w:spacing w:after="0" w:line="259" w:lineRule="auto"/>
        <w:ind w:left="284" w:firstLine="0"/>
        <w:jc w:val="left"/>
      </w:pPr>
      <w:r>
        <w:t xml:space="preserve"> </w:t>
      </w:r>
    </w:p>
    <w:p w:rsidR="00E302EC" w:rsidRDefault="00FC4F28">
      <w:pPr>
        <w:ind w:left="279" w:right="184"/>
      </w:pPr>
      <w:r>
        <w:t xml:space="preserve"> En el ejercicio 2019, este indicador asciende a 1,2 %. Empeora cuatro décimas respecto del año 2018. </w:t>
      </w:r>
    </w:p>
    <w:p w:rsidR="00E302EC" w:rsidRDefault="00FC4F28">
      <w:pPr>
        <w:spacing w:after="0" w:line="259" w:lineRule="auto"/>
        <w:ind w:left="284" w:firstLine="0"/>
        <w:jc w:val="left"/>
      </w:pPr>
      <w:r>
        <w:t xml:space="preserve"> </w:t>
      </w:r>
    </w:p>
    <w:p w:rsidR="00E302EC" w:rsidRDefault="00FC4F28">
      <w:pPr>
        <w:ind w:left="279" w:right="184"/>
      </w:pPr>
      <w:r>
        <w:rPr>
          <w:b/>
          <w:i/>
        </w:rPr>
        <w:t>Endeudamiento por Habitan</w:t>
      </w:r>
      <w:r>
        <w:rPr>
          <w:b/>
          <w:i/>
        </w:rPr>
        <w:t>te</w:t>
      </w:r>
      <w:r>
        <w:t>: Se obtiene dividiendo la deuda financiera o pasivo corriente y no corriente total, existente a 31 de diciembre y el número de habitantes, de tal manera que cuanto mayor sea este ratio, mayor será el riesgo de insolvencia. Asciende a 168,1 Euros, mejora</w:t>
      </w:r>
      <w:r>
        <w:t>ndo 100 Euros, respecto del año anterior.</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 xml:space="preserve">SEXTO: </w:t>
      </w:r>
      <w:r>
        <w:t>El análisis Económico Financiero ha dado lugar a los siguientes resultados:</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numPr>
          <w:ilvl w:val="0"/>
          <w:numId w:val="3"/>
        </w:numPr>
        <w:ind w:right="184" w:hanging="259"/>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5301" name="Group 22530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839" name="Rectangle 83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840" name="Rectangle 840"/>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Documento firmado el</w:t>
                              </w:r>
                              <w:r>
                                <w:rPr>
                                  <w:sz w:val="12"/>
                                </w:rPr>
                                <w:t xml:space="preserve">ectrónicamente desde la plataforma esPublico Gestiona | Página 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5301" style="width:12.7031pt;height:273.276pt;position:absolute;mso-position-horizontal-relative:page;mso-position-horizontal:absolute;margin-left:682.278pt;mso-position-vertical-relative:page;margin-top:538.644pt;" coordsize="1613,34706">
                <v:rect id="Rectangle 83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840"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159 </w:t>
                        </w:r>
                      </w:p>
                    </w:txbxContent>
                  </v:textbox>
                </v:rect>
                <w10:wrap type="square"/>
              </v:group>
            </w:pict>
          </mc:Fallback>
        </mc:AlternateContent>
      </w:r>
      <w:r>
        <w:t>La principal fuente de financiación de la Entidad en el ejercicio fue el capítulo 4 (Transferencias corrientes), que alcanzó el 36,5 % de los derechos reconocidos, seguido en importan</w:t>
      </w:r>
      <w:r>
        <w:t xml:space="preserve">cia del capítulo 1 (Impuestos directos) con el 28,5 %. </w:t>
      </w:r>
    </w:p>
    <w:p w:rsidR="00E302EC" w:rsidRDefault="00FC4F28">
      <w:pPr>
        <w:spacing w:after="0" w:line="259" w:lineRule="auto"/>
        <w:ind w:left="284" w:firstLine="0"/>
        <w:jc w:val="left"/>
      </w:pPr>
      <w:r>
        <w:t xml:space="preserve"> </w:t>
      </w:r>
    </w:p>
    <w:p w:rsidR="00E302EC" w:rsidRDefault="00FC4F28">
      <w:pPr>
        <w:numPr>
          <w:ilvl w:val="0"/>
          <w:numId w:val="3"/>
        </w:numPr>
        <w:ind w:right="184" w:hanging="259"/>
      </w:pPr>
      <w:r>
        <w:t xml:space="preserve">El principal componente del gasto fue el capítulo 1 (Gastos de personal), que representó el 39,3 % de las obligaciones reconocidas. Le sigue el capítulo 2 (Gastos corrientes en bienes y servicios), </w:t>
      </w:r>
      <w:r>
        <w:t xml:space="preserve">que supuso el 38,9 % del total del gasto. </w:t>
      </w:r>
    </w:p>
    <w:p w:rsidR="00E302EC" w:rsidRDefault="00FC4F28">
      <w:pPr>
        <w:spacing w:after="0" w:line="259" w:lineRule="auto"/>
        <w:ind w:left="284" w:firstLine="0"/>
        <w:jc w:val="left"/>
      </w:pPr>
      <w:r>
        <w:t xml:space="preserve"> </w:t>
      </w:r>
    </w:p>
    <w:p w:rsidR="00E302EC" w:rsidRDefault="00FC4F28">
      <w:pPr>
        <w:numPr>
          <w:ilvl w:val="0"/>
          <w:numId w:val="3"/>
        </w:numPr>
        <w:ind w:right="184" w:hanging="259"/>
      </w:pPr>
      <w:r>
        <w:t>Las modificaciones netas de crédito para gastos supusieron el 39,9 % de los</w:t>
      </w:r>
      <w:r>
        <w:rPr>
          <w:rFonts w:ascii="Times New Roman" w:eastAsia="Times New Roman" w:hAnsi="Times New Roman" w:cs="Times New Roman"/>
          <w:sz w:val="24"/>
        </w:rPr>
        <w:t xml:space="preserve"> </w:t>
      </w:r>
    </w:p>
    <w:p w:rsidR="00E302EC" w:rsidRDefault="00FC4F28">
      <w:pPr>
        <w:ind w:left="279" w:right="184"/>
      </w:pPr>
      <w:r>
        <w:t>créditos iniciales del Presupuesto, correspondiendo el mayor volumen de las mismas al capítulo (Inversiones reales).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0"/>
          <w:numId w:val="3"/>
        </w:numPr>
        <w:ind w:right="184" w:hanging="259"/>
      </w:pPr>
      <w:r>
        <w:t>Los grados de ejecución del presupuesto de ingresos y gastos fueron intermedios, en tanto que los niveles de realización de los cobros y pagos se situaron en niveles elevados, el 97,74 % y 94,18 %, respectivamente, habiendo alcanzado la eficacia en la gest</w:t>
      </w:r>
      <w:r>
        <w:t>ión recaudatoria un 94,4 %.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0"/>
          <w:numId w:val="3"/>
        </w:numPr>
        <w:ind w:right="184" w:hanging="259"/>
      </w:pPr>
      <w:r>
        <w:t>Los importes pendientes de cobro en ejercicios cerrados eran elevados.</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numPr>
          <w:ilvl w:val="0"/>
          <w:numId w:val="3"/>
        </w:numPr>
        <w:ind w:right="184" w:hanging="259"/>
      </w:pPr>
      <w:r>
        <w:t>La carga financiera del ejercicio alcanzó el 4 % de los derechos reconocidos netos por operaciones corrientes.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0"/>
          <w:numId w:val="3"/>
        </w:numPr>
        <w:ind w:right="184" w:hanging="259"/>
      </w:pPr>
      <w:r>
        <w:t xml:space="preserve">El Resultado presupuestario ajustado </w:t>
      </w:r>
      <w:r>
        <w:t>fue positivo, debido a que los ingresos</w:t>
      </w:r>
      <w:r>
        <w:rPr>
          <w:rFonts w:ascii="Times New Roman" w:eastAsia="Times New Roman" w:hAnsi="Times New Roman" w:cs="Times New Roman"/>
          <w:sz w:val="24"/>
        </w:rPr>
        <w:t xml:space="preserve"> </w:t>
      </w:r>
      <w:r>
        <w:t xml:space="preserve">generados en el ejercicio fueron suficientes para atender a los gastos, al igual que el Remanente de tesorería para gastos generales fue positivo.” </w:t>
      </w:r>
    </w:p>
    <w:p w:rsidR="00E302EC" w:rsidRDefault="00FC4F28">
      <w:pPr>
        <w:spacing w:after="0" w:line="259" w:lineRule="auto"/>
        <w:ind w:left="284" w:firstLine="0"/>
        <w:jc w:val="left"/>
      </w:pPr>
      <w:r>
        <w:t xml:space="preserve"> </w:t>
      </w:r>
    </w:p>
    <w:p w:rsidR="00E302EC" w:rsidRDefault="00FC4F28">
      <w:pPr>
        <w:spacing w:after="1" w:line="259" w:lineRule="auto"/>
        <w:ind w:left="10" w:right="184"/>
        <w:jc w:val="right"/>
      </w:pPr>
      <w:r>
        <w:rPr>
          <w:b/>
        </w:rPr>
        <w:t xml:space="preserve">Consta en el expediente propuesta del Concejal delegado de Hacienda, D. Airam </w:t>
      </w:r>
    </w:p>
    <w:p w:rsidR="00E302EC" w:rsidRDefault="00FC4F28">
      <w:pPr>
        <w:spacing w:after="8" w:line="248" w:lineRule="auto"/>
        <w:ind w:left="279" w:right="183"/>
      </w:pPr>
      <w:r>
        <w:rPr>
          <w:b/>
        </w:rPr>
        <w:t xml:space="preserve">Pérez Chinea, de fecha 23 de marzo de 2022, que transcrito literalmente dice: </w:t>
      </w:r>
    </w:p>
    <w:p w:rsidR="00E302EC" w:rsidRDefault="00FC4F28">
      <w:pPr>
        <w:spacing w:after="0" w:line="259" w:lineRule="auto"/>
        <w:ind w:left="284" w:firstLine="0"/>
        <w:jc w:val="left"/>
      </w:pPr>
      <w:r>
        <w:rPr>
          <w:b/>
        </w:rPr>
        <w:t xml:space="preserve"> </w:t>
      </w:r>
    </w:p>
    <w:p w:rsidR="00E302EC" w:rsidRDefault="00FC4F28">
      <w:pPr>
        <w:spacing w:after="16" w:line="259" w:lineRule="auto"/>
        <w:ind w:left="284" w:firstLine="0"/>
        <w:jc w:val="left"/>
      </w:pPr>
      <w:r>
        <w:rPr>
          <w:b/>
        </w:rPr>
        <w:t xml:space="preserve"> </w:t>
      </w:r>
    </w:p>
    <w:p w:rsidR="00E302EC" w:rsidRDefault="00FC4F28">
      <w:pPr>
        <w:pStyle w:val="Ttulo1"/>
        <w:ind w:left="107" w:right="4"/>
      </w:pPr>
      <w:r>
        <w:t xml:space="preserve">“PROPUESTA DE LA CONCEJALÍA DELEGADA DE HACIENDA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ASUNTO: RESULTADO DEFINITIVO DE LA FISCALIZACIÓN DE LA CUENTA GENERAL 2019 </w:t>
      </w:r>
    </w:p>
    <w:p w:rsidR="00E302EC" w:rsidRDefault="00FC4F28">
      <w:pPr>
        <w:spacing w:after="8" w:line="248" w:lineRule="auto"/>
        <w:ind w:left="279" w:right="183"/>
      </w:pPr>
      <w:r>
        <w:rPr>
          <w:b/>
        </w:rPr>
        <w:t>DEL AYUNTAMIENTO DE CANDELARIA POR LA AUDIENCIA DE CUENTAS DE CANARIAS</w:t>
      </w:r>
      <w:r>
        <w:rPr>
          <w:rFonts w:ascii="Courier New" w:eastAsia="Courier New" w:hAnsi="Courier New" w:cs="Courier New"/>
          <w:sz w:val="31"/>
          <w:vertAlign w:val="subscript"/>
        </w:rPr>
        <w:t xml:space="preserve"> </w:t>
      </w:r>
    </w:p>
    <w:p w:rsidR="00E302EC" w:rsidRDefault="00FC4F28">
      <w:pPr>
        <w:spacing w:after="110" w:line="250" w:lineRule="auto"/>
        <w:ind w:left="284" w:right="211"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26594" name="Group 22659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954" name="Shape 954"/>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6594" style="width:477.1pt;height:2.04pt;mso-position-horizontal-relative:char;mso-position-vertical-relative:line" coordsize="60591,259">
                <v:shape id="Shape 954" style="position:absolute;width:60591;height:0;left:0;top:0;" coordsize="6059170,0" path="m0,0l6059170,0">
                  <v:stroke weight="2.04pt" endcap="square" joinstyle="miter" miterlimit="10" on="true" color="#993366"/>
                  <v:fill on="false" color="#000000" opacity="0"/>
                </v:shape>
              </v:group>
            </w:pict>
          </mc:Fallback>
        </mc:AlternateContent>
      </w:r>
      <w:r>
        <w:t xml:space="preserve"> </w:t>
      </w:r>
    </w:p>
    <w:p w:rsidR="00E302EC" w:rsidRDefault="00FC4F28">
      <w:pPr>
        <w:tabs>
          <w:tab w:val="center" w:pos="284"/>
          <w:tab w:val="center" w:pos="4239"/>
        </w:tabs>
        <w:ind w:left="0" w:firstLine="0"/>
        <w:jc w:val="left"/>
      </w:pPr>
      <w:r>
        <w:rPr>
          <w:rFonts w:ascii="Calibri" w:eastAsia="Calibri" w:hAnsi="Calibri" w:cs="Calibri"/>
        </w:rPr>
        <w:tab/>
      </w:r>
      <w:r>
        <w:t xml:space="preserve"> </w:t>
      </w:r>
      <w:r>
        <w:tab/>
        <w:t xml:space="preserve">  Visto el informe de Intervención que se transcribe a continuación: </w:t>
      </w:r>
    </w:p>
    <w:p w:rsidR="00E302EC" w:rsidRDefault="00FC4F28">
      <w:pPr>
        <w:spacing w:after="17" w:line="259" w:lineRule="auto"/>
        <w:ind w:left="284" w:firstLine="0"/>
        <w:jc w:val="left"/>
      </w:pPr>
      <w:r>
        <w:t xml:space="preserve"> </w:t>
      </w:r>
    </w:p>
    <w:p w:rsidR="00E302EC" w:rsidRDefault="00FC4F28">
      <w:pPr>
        <w:ind w:left="279" w:right="184"/>
      </w:pPr>
      <w:r>
        <w:t xml:space="preserve"> “Visto el escrito remitido p</w:t>
      </w:r>
      <w:r>
        <w:t>or la Audiencia de Cuentas de Canarias, con fecha de registro de entrada 25 de febrero de 2022, relativo al “Resultado Definitivo de la Fiscalización de la Cuenta General del ejercicio 2019 del Ayuntamiento de Candelaria”, con la obligación de remitir cert</w:t>
      </w:r>
      <w:r>
        <w:t xml:space="preserve">ificación plenaria de su conocimiento por parte de esa Corporación, de conformidad con el artículo 19 de la Ley Territorial 4/1989, de 2 de mayo, esta Intervención tiene a bien INFORMAR: </w:t>
      </w:r>
    </w:p>
    <w:p w:rsidR="00E302EC" w:rsidRDefault="00FC4F28">
      <w:pPr>
        <w:spacing w:after="0" w:line="259" w:lineRule="auto"/>
        <w:ind w:left="284" w:firstLine="0"/>
        <w:jc w:val="left"/>
      </w:pPr>
      <w:r>
        <w:t xml:space="preserve"> </w:t>
      </w:r>
    </w:p>
    <w:p w:rsidR="00E302EC" w:rsidRDefault="00FC4F28">
      <w:pPr>
        <w:ind w:left="279" w:right="184"/>
      </w:pPr>
      <w:r>
        <w:rPr>
          <w:b/>
        </w:rPr>
        <w:t>PRIMERO</w:t>
      </w:r>
      <w:r>
        <w:t xml:space="preserve">: De conformidad con el artículo 223 del </w:t>
      </w:r>
      <w:r>
        <w:rPr>
          <w:color w:val="0000FF"/>
          <w:u w:val="single" w:color="0000FF"/>
        </w:rPr>
        <w:t>Real Decreto Legis</w:t>
      </w:r>
      <w:r>
        <w:rPr>
          <w:color w:val="0000FF"/>
          <w:u w:val="single" w:color="0000FF"/>
        </w:rPr>
        <w:t>lativo 2/2004</w:t>
      </w:r>
      <w:r>
        <w:t xml:space="preserve">, de 5 de marzo, por el que se aprueba el texto refundido de la </w:t>
      </w:r>
      <w:r>
        <w:rPr>
          <w:color w:val="0000FF"/>
          <w:u w:val="single" w:color="0000FF"/>
        </w:rPr>
        <w:t>Ley Reguladora de las Haciendas Locales</w:t>
      </w:r>
      <w:r>
        <w:t>:</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6596" name="Group 22659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957" name="Rectangle 95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958" name="Rectangle 958"/>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6596" style="width:12.7031pt;height:273.276pt;position:absolute;mso-position-horizontal-relative:page;mso-position-horizontal:absolute;margin-left:682.278pt;mso-position-vertical-relative:page;margin-top:538.644pt;" coordsize="1613,34706">
                <v:rect id="Rectangle 95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958"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159 </w:t>
                        </w:r>
                      </w:p>
                    </w:txbxContent>
                  </v:textbox>
                </v:rect>
                <w10:wrap type="square"/>
              </v:group>
            </w:pict>
          </mc:Fallback>
        </mc:AlternateContent>
      </w:r>
      <w:r>
        <w:t>“la fiscalización externa de las cuentas y de la gestión económica de las entidades locales y de todos los organismos y sociedades de ellas dependientes es función</w:t>
      </w:r>
      <w:r>
        <w:t xml:space="preserve"> propia del Tribunal de Cuentas, con el alcance y condiciones que establece su ley orgánica reguladora y su ley de funcionamiento.  </w:t>
      </w:r>
    </w:p>
    <w:p w:rsidR="00E302EC" w:rsidRDefault="00FC4F28">
      <w:pPr>
        <w:spacing w:after="0" w:line="259" w:lineRule="auto"/>
        <w:ind w:left="284" w:firstLine="0"/>
        <w:jc w:val="left"/>
      </w:pPr>
      <w:r>
        <w:t xml:space="preserve"> </w:t>
      </w:r>
    </w:p>
    <w:p w:rsidR="00E302EC" w:rsidRDefault="00FC4F28">
      <w:pPr>
        <w:ind w:left="269" w:right="184" w:firstLine="708"/>
      </w:pPr>
      <w:r>
        <w:t>A tal efecto, las entidades locales rendirán al citado Tribunal, antes del día 15 de octubre de cada año, la Cuenta Gener</w:t>
      </w:r>
      <w:r>
        <w:t xml:space="preserve">al.  </w:t>
      </w:r>
    </w:p>
    <w:p w:rsidR="00E302EC" w:rsidRDefault="00FC4F28">
      <w:pPr>
        <w:spacing w:after="0" w:line="259" w:lineRule="auto"/>
        <w:ind w:left="992" w:firstLine="0"/>
        <w:jc w:val="left"/>
      </w:pPr>
      <w:r>
        <w:t xml:space="preserve"> </w:t>
      </w:r>
    </w:p>
    <w:p w:rsidR="00E302EC" w:rsidRDefault="00FC4F28">
      <w:pPr>
        <w:ind w:left="269" w:right="184" w:firstLine="708"/>
      </w:pPr>
      <w:r>
        <w:t>Una vez fiscalizadas las cuentas por el Tribunal, se someterá a la consideración de la entidad local la propuesta de corrección de las anomalías observadas y el ejercicio de las acciones procedentes, sin perjuicio, todo ello, de las actuaciones que</w:t>
      </w:r>
      <w:r>
        <w:t xml:space="preserve"> puedan corresponder al Tribunal en los casos de exigencia de responsabilidad contable. </w:t>
      </w:r>
    </w:p>
    <w:p w:rsidR="00E302EC" w:rsidRDefault="00FC4F28">
      <w:pPr>
        <w:spacing w:after="0" w:line="259" w:lineRule="auto"/>
        <w:ind w:left="992" w:firstLine="0"/>
        <w:jc w:val="left"/>
      </w:pPr>
      <w:r>
        <w:t xml:space="preserve"> </w:t>
      </w:r>
    </w:p>
    <w:p w:rsidR="00E302EC" w:rsidRDefault="00FC4F28">
      <w:pPr>
        <w:ind w:left="269" w:right="184" w:firstLine="708"/>
      </w:pPr>
      <w:r>
        <w:t>Lo establecido en el presente artículo se entiende sin menoscabo de las facultades que, en materia de fiscalización externa de las entidades locales, tengan atribuid</w:t>
      </w:r>
      <w:r>
        <w:t xml:space="preserve">as por sus Estatutos las Comunidades Autónomas”.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SEGUNDO:</w:t>
      </w:r>
      <w:r>
        <w:t xml:space="preserve"> </w:t>
      </w:r>
      <w:r>
        <w:t>El informe de Fiscalización pone de manifiesto que, en el ejercicio 2019, la Entidad ha presentado la información que compone la Cuenta General por vía telemática y ajustada a los requisitos de la Instrucción de Contabilidad para la Administración Local.</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 xml:space="preserve">TERCERO: </w:t>
      </w:r>
      <w:r>
        <w:t xml:space="preserve">Se han detectado incidencias en la Sociedad Mercantil de Viviendas, referida al informe de auditoría, que no está firmado por el Interventor, con una opinión favorable.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En este sentido señalar que el informe de auditoría fue realizado por</w:t>
      </w:r>
      <w:r>
        <w:t xml:space="preserve"> empresa privada de auditoría, por lo que no ha sido firmada por este Interventor. </w:t>
      </w:r>
    </w:p>
    <w:p w:rsidR="00E302EC" w:rsidRDefault="00FC4F28">
      <w:pPr>
        <w:spacing w:after="0" w:line="259" w:lineRule="auto"/>
        <w:ind w:left="284" w:firstLine="0"/>
        <w:jc w:val="left"/>
      </w:pPr>
      <w:r>
        <w:t xml:space="preserve"> </w:t>
      </w:r>
    </w:p>
    <w:p w:rsidR="00E302EC" w:rsidRDefault="00FC4F28">
      <w:pPr>
        <w:ind w:left="279" w:right="184"/>
      </w:pPr>
      <w:r>
        <w:t xml:space="preserve"> </w:t>
      </w:r>
      <w:r>
        <w:tab/>
        <w:t xml:space="preserve">En la Entidad Pública Empresarial, se señala igualmente que el informe de auditoría, no ha sido firmada por este Interventor y la opinión es con salvedades. </w:t>
      </w:r>
    </w:p>
    <w:p w:rsidR="00E302EC" w:rsidRDefault="00FC4F28">
      <w:pPr>
        <w:spacing w:after="0" w:line="259" w:lineRule="auto"/>
        <w:ind w:left="284" w:firstLine="0"/>
        <w:jc w:val="left"/>
      </w:pPr>
      <w:r>
        <w:t xml:space="preserve"> </w:t>
      </w:r>
    </w:p>
    <w:p w:rsidR="00E302EC" w:rsidRDefault="00FC4F28">
      <w:pPr>
        <w:ind w:left="279" w:right="184"/>
      </w:pPr>
      <w:r>
        <w:t xml:space="preserve"> En cuan</w:t>
      </w:r>
      <w:r>
        <w:t xml:space="preserve">to a la Fundación Canaria Candelaria Solidaria, señalan que el importe del Activo del Balance no coincide con el importe de Patrimonio Neto y Pasivo.  </w:t>
      </w:r>
    </w:p>
    <w:p w:rsidR="00E302EC" w:rsidRDefault="00FC4F28">
      <w:pPr>
        <w:spacing w:after="0" w:line="259" w:lineRule="auto"/>
        <w:ind w:left="284" w:firstLine="0"/>
        <w:jc w:val="left"/>
      </w:pPr>
      <w:r>
        <w:t xml:space="preserve"> </w:t>
      </w:r>
    </w:p>
    <w:p w:rsidR="00E302EC" w:rsidRDefault="00FC4F28">
      <w:pPr>
        <w:ind w:left="279" w:right="184"/>
      </w:pPr>
      <w:r>
        <w:t xml:space="preserve"> </w:t>
      </w:r>
      <w:r>
        <w:t xml:space="preserve">Se adjunta en el expediente el Balance, que pone de manifiesto la igualdad de las citadas masas patrimoniales y la Cuenta de Pérdidas y Ganancias que pone de manifiesto la igualdad entre el Resultado de Explotación y los conceptos que lo conforman. </w:t>
      </w:r>
    </w:p>
    <w:p w:rsidR="00E302EC" w:rsidRDefault="00FC4F28">
      <w:pPr>
        <w:spacing w:after="0" w:line="259" w:lineRule="auto"/>
        <w:ind w:left="284" w:firstLine="0"/>
        <w:jc w:val="left"/>
      </w:pPr>
      <w:r>
        <w:t xml:space="preserve"> </w:t>
      </w:r>
    </w:p>
    <w:p w:rsidR="00E302EC" w:rsidRDefault="00FC4F28">
      <w:pPr>
        <w:ind w:left="279" w:right="184"/>
      </w:pPr>
      <w:r>
        <w:t xml:space="preserve"> Asi</w:t>
      </w:r>
      <w:r>
        <w:t>mismo, señalan que no se ha remitido el informe de auditoría de cuentas incluido en el Plan anual de Auditorías. En este sentido señalar que la legislación de Fundaciones, en su art 25 Ley 50/2002, fija sus propios límites para la realización de una audito</w:t>
      </w:r>
      <w:r>
        <w:t xml:space="preserve">ría: </w:t>
      </w:r>
      <w:r>
        <w:rPr>
          <w:rFonts w:ascii="Times New Roman" w:eastAsia="Times New Roman" w:hAnsi="Times New Roman" w:cs="Times New Roman"/>
          <w:sz w:val="24"/>
        </w:rPr>
        <w:t xml:space="preserve"> </w:t>
      </w:r>
    </w:p>
    <w:p w:rsidR="00E302EC" w:rsidRDefault="00FC4F28">
      <w:pPr>
        <w:spacing w:after="16" w:line="259" w:lineRule="auto"/>
        <w:ind w:left="284" w:firstLine="0"/>
        <w:jc w:val="left"/>
      </w:pPr>
      <w:r>
        <w:t xml:space="preserve"> </w:t>
      </w:r>
    </w:p>
    <w:p w:rsidR="00E302EC" w:rsidRDefault="00FC4F28">
      <w:pPr>
        <w:numPr>
          <w:ilvl w:val="0"/>
          <w:numId w:val="4"/>
        </w:numPr>
        <w:ind w:left="526" w:right="184" w:hanging="257"/>
      </w:pPr>
      <w:r>
        <w:t xml:space="preserve">Total del activo inferior a 2.400.000 €. </w:t>
      </w:r>
    </w:p>
    <w:p w:rsidR="00E302EC" w:rsidRDefault="00FC4F28">
      <w:pPr>
        <w:numPr>
          <w:ilvl w:val="0"/>
          <w:numId w:val="4"/>
        </w:numPr>
        <w:ind w:left="526" w:right="184" w:hanging="257"/>
      </w:pPr>
      <w:r>
        <w:t xml:space="preserve">Importe Neto de su Cifra de Negocio 2.400.000 €. </w:t>
      </w:r>
    </w:p>
    <w:p w:rsidR="00E302EC" w:rsidRDefault="00FC4F28">
      <w:pPr>
        <w:numPr>
          <w:ilvl w:val="0"/>
          <w:numId w:val="4"/>
        </w:numPr>
        <w:ind w:left="526" w:right="184" w:hanging="257"/>
      </w:pPr>
      <w:r>
        <w:t xml:space="preserve">Número medio de personas contratadas inferior a 50.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ind w:left="1002" w:right="184"/>
      </w:pPr>
      <w:r>
        <w:t>No se han detectado incidencias en el Ayuntamiento de Candelaria.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5542" name="Group 22554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074" name="Rectangle 107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w:t>
                              </w:r>
                              <w:r>
                                <w:rPr>
                                  <w:sz w:val="12"/>
                                </w:rPr>
                                <w:t xml:space="preserve">FLY7JHEN56D753ZS5Q | Verificación: https://candelaria.sedelectronica.es/ </w:t>
                              </w:r>
                            </w:p>
                          </w:txbxContent>
                        </wps:txbx>
                        <wps:bodyPr horzOverflow="overflow" vert="horz" lIns="0" tIns="0" rIns="0" bIns="0" rtlCol="0">
                          <a:noAutofit/>
                        </wps:bodyPr>
                      </wps:wsp>
                      <wps:wsp>
                        <wps:cNvPr id="1075" name="Rectangle 1075"/>
                        <wps:cNvSpPr/>
                        <wps:spPr>
                          <a:xfrm rot="-5399999">
                            <a:off x="-2042224" y="1238956"/>
                            <a:ext cx="4350075"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5542" style="width:12.7031pt;height:273.276pt;position:absolute;mso-position-horizontal-relative:page;mso-position-horizontal:absolute;margin-left:682.278pt;mso-position-vertical-relative:page;margin-top:538.644pt;" coordsize="1613,34706">
                <v:rect id="Rectangle 107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075" style="position:absolute;width:43500;height:1132;left:-20422;top:1238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159 </w:t>
                        </w:r>
                      </w:p>
                    </w:txbxContent>
                  </v:textbox>
                </v:rect>
                <w10:wrap type="square"/>
              </v:group>
            </w:pict>
          </mc:Fallback>
        </mc:AlternateContent>
      </w:r>
      <w:r>
        <w:rPr>
          <w:b/>
        </w:rPr>
        <w:t>CUARTO:</w:t>
      </w:r>
      <w:r>
        <w:t xml:space="preserve"> </w:t>
      </w:r>
      <w:r>
        <w:t>La fiscalización de la Cuenta General 2019 por la Audiencia de Cuentas, pone de manifiesto la realidad de los indicadores y magnitudes presupuestarios y económicos, puestos de manifiesto en la Cuenta General de esta Corporación municipal, aprobada por acue</w:t>
      </w:r>
      <w:r>
        <w:t xml:space="preserve">rdo plenario de fecha 24 de septiembre de 2020: </w:t>
      </w:r>
      <w:r>
        <w:rPr>
          <w:rFonts w:ascii="Courier New" w:eastAsia="Courier New" w:hAnsi="Courier New" w:cs="Courier New"/>
          <w:sz w:val="31"/>
          <w:vertAlign w:val="subscript"/>
        </w:rPr>
        <w:t xml:space="preserve"> </w:t>
      </w:r>
    </w:p>
    <w:p w:rsidR="00E302EC" w:rsidRDefault="00FC4F28">
      <w:pPr>
        <w:spacing w:after="33" w:line="259" w:lineRule="auto"/>
        <w:ind w:left="284" w:firstLine="0"/>
        <w:jc w:val="left"/>
      </w:pPr>
      <w:r>
        <w:t xml:space="preserve"> </w:t>
      </w:r>
    </w:p>
    <w:p w:rsidR="00E302EC" w:rsidRDefault="00FC4F28">
      <w:pPr>
        <w:numPr>
          <w:ilvl w:val="1"/>
          <w:numId w:val="4"/>
        </w:numPr>
        <w:ind w:right="184" w:hanging="348"/>
      </w:pPr>
      <w:r>
        <w:t xml:space="preserve">Resultado Presupuestario: 6.485.304,29 €. </w:t>
      </w:r>
    </w:p>
    <w:p w:rsidR="00E302EC" w:rsidRDefault="00FC4F28">
      <w:pPr>
        <w:spacing w:after="15" w:line="259" w:lineRule="auto"/>
        <w:ind w:left="284" w:firstLine="0"/>
        <w:jc w:val="left"/>
      </w:pPr>
      <w:r>
        <w:t xml:space="preserve"> </w:t>
      </w:r>
    </w:p>
    <w:p w:rsidR="00E302EC" w:rsidRDefault="00FC4F28">
      <w:pPr>
        <w:numPr>
          <w:ilvl w:val="1"/>
          <w:numId w:val="4"/>
        </w:numPr>
        <w:ind w:right="184" w:hanging="348"/>
      </w:pPr>
      <w:r>
        <w:t xml:space="preserve">Remanente de Tesorería: 18.219.677,27 €. </w:t>
      </w:r>
    </w:p>
    <w:p w:rsidR="00E302EC" w:rsidRDefault="00FC4F28">
      <w:pPr>
        <w:spacing w:after="0" w:line="259" w:lineRule="auto"/>
        <w:ind w:left="284" w:firstLine="0"/>
        <w:jc w:val="left"/>
      </w:pPr>
      <w:r>
        <w:t xml:space="preserve"> </w:t>
      </w:r>
    </w:p>
    <w:p w:rsidR="00E302EC" w:rsidRDefault="00FC4F28">
      <w:pPr>
        <w:numPr>
          <w:ilvl w:val="1"/>
          <w:numId w:val="4"/>
        </w:numPr>
        <w:ind w:right="184" w:hanging="348"/>
      </w:pPr>
      <w:r>
        <w:t xml:space="preserve">Ahorro Neto: 18,6 % de los derechos corrientes liquidados. </w:t>
      </w:r>
    </w:p>
    <w:p w:rsidR="00E302EC" w:rsidRDefault="00FC4F28">
      <w:pPr>
        <w:spacing w:after="98" w:line="259" w:lineRule="auto"/>
        <w:ind w:left="284" w:firstLine="0"/>
        <w:jc w:val="left"/>
      </w:pPr>
      <w:r>
        <w:t xml:space="preserve"> </w:t>
      </w:r>
    </w:p>
    <w:p w:rsidR="00E302EC" w:rsidRDefault="00FC4F28">
      <w:pPr>
        <w:ind w:left="279" w:right="184"/>
      </w:pPr>
      <w:r>
        <w:rPr>
          <w:b/>
        </w:rPr>
        <w:t>QUINTO</w:t>
      </w:r>
      <w:r>
        <w:t>: El Análisis de Indicadores, tanto presupuestarios como financieros y patrimoniales, muestra la siguiente evolución desde los ejercicios 2015 al 2019:</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1.- Indicadores Presupuestarios: </w:t>
      </w:r>
    </w:p>
    <w:p w:rsidR="00E302EC" w:rsidRDefault="00FC4F28">
      <w:pPr>
        <w:spacing w:after="0" w:line="259" w:lineRule="auto"/>
        <w:ind w:left="284" w:firstLine="0"/>
        <w:jc w:val="left"/>
      </w:pPr>
      <w:r>
        <w:t xml:space="preserve"> </w:t>
      </w:r>
    </w:p>
    <w:p w:rsidR="00E302EC" w:rsidRDefault="00FC4F28">
      <w:pPr>
        <w:ind w:left="279" w:right="184"/>
      </w:pPr>
      <w:r>
        <w:rPr>
          <w:b/>
          <w:i/>
        </w:rPr>
        <w:t>Ejecución de Ingresos</w:t>
      </w:r>
      <w:r>
        <w:t>: Nos muestra si se han formulado unas previ</w:t>
      </w:r>
      <w:r>
        <w:t>siones excesivas de ingresos en el presupuesto o no, señalando que una ejecución mayor del 90 por 100, se considera satisfactorio. En el año 2019, asciende al 85,6 %, una subida de 2,4 puntos porcentuales respecto del 2018.</w:t>
      </w:r>
      <w:r>
        <w:rPr>
          <w:rFonts w:ascii="Courier New" w:eastAsia="Courier New" w:hAnsi="Courier New" w:cs="Courier New"/>
          <w:sz w:val="31"/>
          <w:vertAlign w:val="subscript"/>
        </w:rPr>
        <w:t xml:space="preserve"> </w:t>
      </w:r>
    </w:p>
    <w:p w:rsidR="00E302EC" w:rsidRDefault="00FC4F28">
      <w:pPr>
        <w:spacing w:after="0" w:line="259" w:lineRule="auto"/>
        <w:ind w:left="644" w:firstLine="0"/>
        <w:jc w:val="left"/>
      </w:pPr>
      <w:r>
        <w:t xml:space="preserve"> </w:t>
      </w:r>
    </w:p>
    <w:p w:rsidR="00E302EC" w:rsidRDefault="00FC4F28">
      <w:pPr>
        <w:ind w:left="279" w:right="184"/>
      </w:pPr>
      <w:r>
        <w:rPr>
          <w:b/>
          <w:i/>
        </w:rPr>
        <w:t>Ejecución de Gastos</w:t>
      </w:r>
      <w:r>
        <w:t>: Mismo criterio que el anterior. Alcanza unos valores de 71,2 %, una bajada de 2,7 puntos porcentuales respecto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Realización de Cobros</w:t>
      </w:r>
      <w:r>
        <w:t>: Mide la capacidad para transformar en liquidez los derechos de cobro liquidados y vencidos, es decir, el rit</w:t>
      </w:r>
      <w:r>
        <w:t>mo de cobro. Se considera un índice satisfactorio, que sea superior al 80 por 100. En el año 2019, llega al 97,7 %, un punto porcentual mayor que en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Realización de los Pagos</w:t>
      </w:r>
      <w:r>
        <w:t>: Refleja el porcentaje de obligaciones reconocidas en el ejercicio que</w:t>
      </w:r>
      <w:r>
        <w:t xml:space="preserve"> han sido pagadas durante el mismo. Se consideran satisfactorios unos índices entre el 80 y el 90 por 100. Si son inferiores, alertan de posibles dificultades de tesorería. Llega al 94,2 %, cayendo 2,9 puntos porcentuales respecto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Carga Financi</w:t>
      </w:r>
      <w:r>
        <w:rPr>
          <w:b/>
          <w:i/>
        </w:rPr>
        <w:t>era del ejercicio</w:t>
      </w:r>
      <w:r>
        <w:t>: Relaciona el cociente entre los gastos financieros y amortización financiera con los derechos liquidados corrientes. Cuanto menor sea el peso de la carga financiera, mayor será el margen de maniobra para financiar las inversiones. Ascien</w:t>
      </w:r>
      <w:r>
        <w:t>de al 4 %, frente al 11,3 % del año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Ahorro Neto</w:t>
      </w:r>
      <w:r>
        <w:t>: Refleja la capacidad de financiar, con sus recursos corrientes, los gastos ordinarios y carga financiera. Llega actualmente al 18,6 %, frente al 8,3 % respecto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Eficacia de la Gestión Rec</w:t>
      </w:r>
      <w:r>
        <w:rPr>
          <w:b/>
          <w:i/>
        </w:rPr>
        <w:t xml:space="preserve">audatoria: </w:t>
      </w:r>
      <w:r>
        <w:t>Mide la capacidad de transformar en liquidez los derechos de cobro liquidados y vencidos de los tres primeros capítulos de ingresos de naturaleza tributaria, principalmente. Sería deseable que sea mayor de 80 por 100, y llega al 95,7 %, más de d</w:t>
      </w:r>
      <w:r>
        <w:t>os puntos porcentuales mejor que en 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2.- Indicadores Financieros y Patrimoniales: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5727" name="Group 22572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189" name="Rectangle 118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190" name="Rectangle 119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w:t>
                              </w:r>
                              <w:r>
                                <w:rPr>
                                  <w:sz w:val="12"/>
                                </w:rPr>
                                <w:t xml:space="preserve">blico Gestiona | Página 10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5727" style="width:12.7031pt;height:273.276pt;position:absolute;mso-position-horizontal-relative:page;mso-position-horizontal:absolute;margin-left:682.278pt;mso-position-vertical-relative:page;margin-top:538.644pt;" coordsize="1613,34706">
                <v:rect id="Rectangle 118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19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159 </w:t>
                        </w:r>
                      </w:p>
                    </w:txbxContent>
                  </v:textbox>
                </v:rect>
                <w10:wrap type="square"/>
              </v:group>
            </w:pict>
          </mc:Fallback>
        </mc:AlternateContent>
      </w:r>
      <w:r>
        <w:t xml:space="preserve"> </w:t>
      </w:r>
    </w:p>
    <w:p w:rsidR="00E302EC" w:rsidRDefault="00FC4F28">
      <w:pPr>
        <w:ind w:left="279" w:right="184"/>
      </w:pPr>
      <w:r>
        <w:rPr>
          <w:b/>
          <w:i/>
        </w:rPr>
        <w:t>Índice de Liquidez Inmediata</w:t>
      </w:r>
      <w:r>
        <w:t>: Se obtiene por el cociente entre los fondos líquidos (dinero en caja y bancos, así como inversiones financieras temporales con alto grado de liquidez) y las obligaciones presupuestarias y e</w:t>
      </w:r>
      <w:r>
        <w:t>xtrapresupuestarias pendientes de pago, minoradas por el volumen de pagos pendientes de aplicación. Cuanto mayor sea el porcentaje, menor será el riesgo financiero, si bien, un valor excesivo, revela un excedente de liquidez que habrá que colocar. Este rat</w:t>
      </w:r>
      <w:r>
        <w:t>io, debe situarse entre 0,70 y 0,90, encontrándose la entidad en el año 2019, en el 6,2 %, ocho décimas mejor respecto del 2018.</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i/>
        </w:rPr>
        <w:t>Relación de Endeudamiento</w:t>
      </w:r>
      <w:r>
        <w:t>: Se define como el cociente entre las agrupaciones de provisiones y acreedores a corto plazo (pasivo corriente), sobre las agrupaciones de provisiones y acreedores a largo plazo (pasivo no corriente) del pasivo del balance.</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Indica qué </w:t>
      </w:r>
      <w:r>
        <w:t xml:space="preserve">porcentaje representa el exigible a corto plazo, sobre las obligaciones reembolsables a largo plazo. Un valor superior a uno, indica un mayor volumen de deuda a corto plazo que de deuda a largo plazo, y a la inversa. </w:t>
      </w:r>
    </w:p>
    <w:p w:rsidR="00E302EC" w:rsidRDefault="00FC4F28">
      <w:pPr>
        <w:spacing w:after="0" w:line="259" w:lineRule="auto"/>
        <w:ind w:left="284" w:firstLine="0"/>
        <w:jc w:val="left"/>
      </w:pPr>
      <w:r>
        <w:t xml:space="preserve"> </w:t>
      </w:r>
    </w:p>
    <w:p w:rsidR="00E302EC" w:rsidRDefault="00FC4F28">
      <w:pPr>
        <w:ind w:left="279" w:right="184"/>
      </w:pPr>
      <w:r>
        <w:t xml:space="preserve"> Cuanto más se aproxima su valor a c</w:t>
      </w:r>
      <w:r>
        <w:t xml:space="preserve">ero, mayor es el peso de las obligaciones a largo plazo sobre el total de obligaciones a corto, y a la inversa. </w:t>
      </w:r>
    </w:p>
    <w:p w:rsidR="00E302EC" w:rsidRDefault="00FC4F28">
      <w:pPr>
        <w:spacing w:after="0" w:line="259" w:lineRule="auto"/>
        <w:ind w:left="284" w:firstLine="0"/>
        <w:jc w:val="left"/>
      </w:pPr>
      <w:r>
        <w:t xml:space="preserve"> </w:t>
      </w:r>
    </w:p>
    <w:p w:rsidR="00E302EC" w:rsidRDefault="00FC4F28">
      <w:pPr>
        <w:ind w:left="279" w:right="184"/>
      </w:pPr>
      <w:r>
        <w:t xml:space="preserve"> En el ejercicio 2019, este indicador asciende a 1,2 %. Empeora cuatro décimas respecto del año 2018. </w:t>
      </w:r>
    </w:p>
    <w:p w:rsidR="00E302EC" w:rsidRDefault="00FC4F28">
      <w:pPr>
        <w:spacing w:after="0" w:line="259" w:lineRule="auto"/>
        <w:ind w:left="284" w:firstLine="0"/>
        <w:jc w:val="left"/>
      </w:pPr>
      <w:r>
        <w:t xml:space="preserve"> </w:t>
      </w:r>
    </w:p>
    <w:p w:rsidR="00E302EC" w:rsidRDefault="00FC4F28">
      <w:pPr>
        <w:ind w:left="279" w:right="184"/>
      </w:pPr>
      <w:r>
        <w:rPr>
          <w:b/>
          <w:i/>
        </w:rPr>
        <w:t>Endeudamiento por Habitante</w:t>
      </w:r>
      <w:r>
        <w:t>: Se obti</w:t>
      </w:r>
      <w:r>
        <w:t>ene dividiendo la deuda financiera o pasivo corriente y no corriente total, existente a 31 de diciembre y el número de habitantes, de tal manera que cuanto mayor sea este ratio, mayor será el riesgo de insolvencia. Asciende a 168,1 Euros, mejorando 100 Eur</w:t>
      </w:r>
      <w:r>
        <w:t>os, respecto del año anterior.</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 xml:space="preserve">SEXTO: </w:t>
      </w:r>
      <w:r>
        <w:t>El análisis Económico Financiero ha dado lugar a los siguientes resultados:</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numPr>
          <w:ilvl w:val="0"/>
          <w:numId w:val="5"/>
        </w:numPr>
        <w:ind w:right="184" w:hanging="259"/>
      </w:pPr>
      <w:r>
        <w:t>La principal fuente de financiación de la Entidad en el ejercicio fue el capítulo 4 (Transferencias corrientes), que alcanzó el 36,5 %</w:t>
      </w:r>
      <w:r>
        <w:t xml:space="preserve"> de los derechos reconocidos, seguido en importancia del capítulo 1 (Impuestos directos) con el 28,5 %. </w:t>
      </w:r>
    </w:p>
    <w:p w:rsidR="00E302EC" w:rsidRDefault="00FC4F28">
      <w:pPr>
        <w:spacing w:after="0" w:line="259" w:lineRule="auto"/>
        <w:ind w:left="284" w:firstLine="0"/>
        <w:jc w:val="left"/>
      </w:pPr>
      <w:r>
        <w:t xml:space="preserve"> </w:t>
      </w:r>
    </w:p>
    <w:p w:rsidR="00E302EC" w:rsidRDefault="00FC4F28">
      <w:pPr>
        <w:numPr>
          <w:ilvl w:val="0"/>
          <w:numId w:val="5"/>
        </w:numPr>
        <w:ind w:right="184" w:hanging="259"/>
      </w:pPr>
      <w:r>
        <w:t>El principal componente del gasto fue el capítulo 1 (Gastos de personal), que representó el 39,3 % de las obligaciones reconocidas. Le sigue el capít</w:t>
      </w:r>
      <w:r>
        <w:t xml:space="preserve">ulo 2 (Gastos corrientes en bienes y servicios), que supuso el 38,9 % del total del gasto. </w:t>
      </w:r>
    </w:p>
    <w:p w:rsidR="00E302EC" w:rsidRDefault="00FC4F28">
      <w:pPr>
        <w:spacing w:after="0" w:line="259" w:lineRule="auto"/>
        <w:ind w:left="284" w:firstLine="0"/>
        <w:jc w:val="left"/>
      </w:pPr>
      <w:r>
        <w:t xml:space="preserve"> </w:t>
      </w:r>
    </w:p>
    <w:p w:rsidR="00E302EC" w:rsidRDefault="00FC4F28">
      <w:pPr>
        <w:numPr>
          <w:ilvl w:val="0"/>
          <w:numId w:val="5"/>
        </w:numPr>
        <w:ind w:right="184" w:hanging="259"/>
      </w:pPr>
      <w:r>
        <w:t>Las modificaciones netas de crédito para gastos supusieron el 39,9 % de los</w:t>
      </w:r>
      <w:r>
        <w:rPr>
          <w:rFonts w:ascii="Times New Roman" w:eastAsia="Times New Roman" w:hAnsi="Times New Roman" w:cs="Times New Roman"/>
          <w:sz w:val="24"/>
        </w:rPr>
        <w:t xml:space="preserve"> </w:t>
      </w:r>
      <w:r>
        <w:t xml:space="preserve">créditos iniciales del Presupuesto, correspondiendo el mayor volumen de las mismas al </w:t>
      </w:r>
      <w:r>
        <w:t>capítulo (Inversiones reales).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0"/>
          <w:numId w:val="5"/>
        </w:numPr>
        <w:ind w:right="184" w:hanging="259"/>
      </w:pPr>
      <w:r>
        <w:t>Los grados de ejecución del presupuesto de ingresos y gastos fueron intermedios, en tanto que los niveles de realización de los cobros y pagos se situaron en niveles elevados, el 97,74 % y 94,18 %, respectivamente, habiend</w:t>
      </w:r>
      <w:r>
        <w:t>o alcanzado la eficacia en la gestión recaudatoria un 94,4 %.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0"/>
          <w:numId w:val="5"/>
        </w:numPr>
        <w:ind w:right="184" w:hanging="259"/>
      </w:pPr>
      <w:r>
        <w:t>Los importes pendientes de cobro en ejercicios cerrados eran elevados.</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6590" name="Group 22659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319" name="Rectangle 131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320" name="Rectangle 1320"/>
                        <wps:cNvSpPr/>
                        <wps:spPr>
                          <a:xfrm rot="-5399999">
                            <a:off x="-2066649" y="1214531"/>
                            <a:ext cx="4398923"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6590" style="width:12.7031pt;height:273.276pt;position:absolute;mso-position-horizontal-relative:page;mso-position-horizontal:absolute;margin-left:682.278pt;mso-position-vertical-relative:page;margin-top:538.644pt;" coordsize="1613,34706">
                <v:rect id="Rectangle 131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320" style="position:absolute;width:43989;height:1132;left:-20666;top:12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159 </w:t>
                        </w:r>
                      </w:p>
                    </w:txbxContent>
                  </v:textbox>
                </v:rect>
                <w10:wrap type="square"/>
              </v:group>
            </w:pict>
          </mc:Fallback>
        </mc:AlternateContent>
      </w:r>
      <w:r>
        <w:t xml:space="preserve"> </w:t>
      </w:r>
    </w:p>
    <w:p w:rsidR="00E302EC" w:rsidRDefault="00FC4F28">
      <w:pPr>
        <w:numPr>
          <w:ilvl w:val="0"/>
          <w:numId w:val="5"/>
        </w:numPr>
        <w:ind w:right="184" w:hanging="259"/>
      </w:pPr>
      <w:r>
        <w:t>La carga financiera del ejercicio alcanzó el 4 % de los derechos reconocidos netos por operaciones corrientes.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0"/>
          <w:numId w:val="5"/>
        </w:numPr>
        <w:ind w:right="184" w:hanging="259"/>
      </w:pPr>
      <w:r>
        <w:t>El Resultado presupuestario ajustado fue positivo, debido a que los ingresos</w:t>
      </w:r>
      <w:r>
        <w:rPr>
          <w:rFonts w:ascii="Times New Roman" w:eastAsia="Times New Roman" w:hAnsi="Times New Roman" w:cs="Times New Roman"/>
          <w:sz w:val="24"/>
        </w:rPr>
        <w:t xml:space="preserve"> </w:t>
      </w:r>
      <w:r>
        <w:t xml:space="preserve">generados en el ejercicio fueron suficientes para atender a los gastos, al igual que el Remanente de tesorería para gastos generales fue positivo.”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69" w:right="184" w:firstLine="348"/>
      </w:pPr>
      <w:r>
        <w:t>Por tanto, este Concejal P</w:t>
      </w:r>
      <w:r>
        <w:t xml:space="preserve">ROPONE al Ayuntamiento Pleno, la adopción del siguiente ACUERDO: </w:t>
      </w:r>
    </w:p>
    <w:p w:rsidR="00E302EC" w:rsidRDefault="00FC4F28">
      <w:pPr>
        <w:spacing w:after="0" w:line="259" w:lineRule="auto"/>
        <w:ind w:left="284" w:firstLine="0"/>
        <w:jc w:val="left"/>
      </w:pPr>
      <w:r>
        <w:t xml:space="preserve"> </w:t>
      </w:r>
    </w:p>
    <w:p w:rsidR="00E302EC" w:rsidRDefault="00FC4F28">
      <w:pPr>
        <w:ind w:left="279" w:right="184"/>
      </w:pPr>
      <w:r>
        <w:rPr>
          <w:b/>
        </w:rPr>
        <w:t>Primero</w:t>
      </w:r>
      <w:r>
        <w:t>: Tomar Conocimiento del Informe Definitivo de la Fiscalización de la Cuenta General del ejercicio 2019 del Ayuntamiento de Candelaria, realizado por la Audiencia de Cuentas de Cana</w:t>
      </w:r>
      <w:r>
        <w:t xml:space="preserve">rias, en virtud del artículo 223 del </w:t>
      </w:r>
      <w:r>
        <w:rPr>
          <w:color w:val="0000FF"/>
          <w:u w:val="single" w:color="0000FF"/>
        </w:rPr>
        <w:t>Real Decreto Legislativo 2/2004</w:t>
      </w:r>
      <w:r>
        <w:t xml:space="preserve">, de 5 de marzo, por el que se aprueba el texto refundido de la </w:t>
      </w:r>
      <w:r>
        <w:rPr>
          <w:color w:val="0000FF"/>
          <w:u w:val="single" w:color="0000FF"/>
        </w:rPr>
        <w:t>Ley Reguladora de las Haciendas Locales</w:t>
      </w:r>
      <w:r>
        <w:t>.</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Segundo</w:t>
      </w:r>
      <w:r>
        <w:t>: Remisión de la certificación plenaria de la Toma de Conocimiento a la A</w:t>
      </w:r>
      <w:r>
        <w:t>udiencia de Cuentas de Canarias, de conformidad con el artículo 19 de la Ley Territorial 4/1989, de 2 de mayo.”</w:t>
      </w:r>
      <w:r>
        <w:rPr>
          <w:rFonts w:ascii="Courier New" w:eastAsia="Courier New" w:hAnsi="Courier New" w:cs="Courier New"/>
          <w:sz w:val="20"/>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DICTAMEN FAVORABLE DE LA COMISIÓN INFORMATIVA DE HACIENDA, RECURSOS HUMANOS Y SERVICIOS GENERALES DE 28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Los 7 conceja</w:t>
      </w:r>
      <w:r>
        <w:t xml:space="preserve">les presentes tomaron conocimiento. </w:t>
      </w:r>
    </w:p>
    <w:p w:rsidR="00E302EC" w:rsidRDefault="00FC4F28">
      <w:pPr>
        <w:spacing w:after="0" w:line="259" w:lineRule="auto"/>
        <w:ind w:left="284" w:firstLine="0"/>
        <w:jc w:val="left"/>
      </w:pPr>
      <w:r>
        <w:t xml:space="preserve"> </w:t>
      </w:r>
    </w:p>
    <w:p w:rsidR="00E302EC" w:rsidRDefault="00FC4F28">
      <w:pPr>
        <w:ind w:left="279" w:right="184"/>
      </w:pPr>
      <w:r>
        <w:t xml:space="preserve">Los 4 concejales del Grupo Socialista: Don Airam Pérez Chinea, Don Jorge Baute Delgado, Don José Francisco Pinto Ramos y Don Olegario Francisco Alonso Bello. </w:t>
      </w:r>
    </w:p>
    <w:p w:rsidR="00E302EC" w:rsidRDefault="00FC4F28">
      <w:pPr>
        <w:spacing w:after="0" w:line="259" w:lineRule="auto"/>
        <w:ind w:left="284" w:firstLine="0"/>
        <w:jc w:val="left"/>
      </w:pPr>
      <w:r>
        <w:t xml:space="preserve"> </w:t>
      </w:r>
    </w:p>
    <w:p w:rsidR="00E302EC" w:rsidRDefault="00FC4F28">
      <w:pPr>
        <w:numPr>
          <w:ilvl w:val="0"/>
          <w:numId w:val="6"/>
        </w:numPr>
        <w:ind w:right="184" w:hanging="184"/>
      </w:pPr>
      <w:r>
        <w:t xml:space="preserve">de la concejal del Grupo Popular, Doña Raquel Martín Castro. </w:t>
      </w:r>
    </w:p>
    <w:p w:rsidR="00E302EC" w:rsidRDefault="00FC4F28">
      <w:pPr>
        <w:spacing w:after="0" w:line="259" w:lineRule="auto"/>
        <w:ind w:left="284" w:firstLine="0"/>
        <w:jc w:val="left"/>
      </w:pPr>
      <w:r>
        <w:t xml:space="preserve"> </w:t>
      </w:r>
    </w:p>
    <w:p w:rsidR="00E302EC" w:rsidRDefault="00FC4F28">
      <w:pPr>
        <w:numPr>
          <w:ilvl w:val="0"/>
          <w:numId w:val="6"/>
        </w:numPr>
        <w:ind w:right="184" w:hanging="184"/>
      </w:pPr>
      <w:r>
        <w:t xml:space="preserve">de los concejales del Grupo Mixto: Doña Lourdes del Carmen Mondéjar Rondón y Doña Alicia Mercedes Marrero Meneses.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TOMA DE CO</w:t>
      </w:r>
      <w:r>
        <w:rPr>
          <w:b/>
        </w:rPr>
        <w:t xml:space="preserve">NOCIMIENTO EN EL PLENO DE 31 DE MARZO DE 2022. </w:t>
      </w:r>
    </w:p>
    <w:p w:rsidR="00E302EC" w:rsidRDefault="00FC4F28">
      <w:pPr>
        <w:spacing w:after="0" w:line="259" w:lineRule="auto"/>
        <w:ind w:left="284" w:firstLine="0"/>
        <w:jc w:val="left"/>
      </w:pPr>
      <w:r>
        <w:t xml:space="preserve"> </w:t>
      </w:r>
    </w:p>
    <w:p w:rsidR="00E302EC" w:rsidRDefault="00FC4F28">
      <w:pPr>
        <w:ind w:left="279" w:right="184"/>
      </w:pPr>
      <w:r>
        <w:t xml:space="preserve">Los 17 concejales presentes quedaron enterados: </w:t>
      </w:r>
    </w:p>
    <w:p w:rsidR="00E302EC" w:rsidRDefault="00FC4F28">
      <w:pPr>
        <w:spacing w:after="0" w:line="259" w:lineRule="auto"/>
        <w:ind w:left="284" w:firstLine="0"/>
        <w:jc w:val="left"/>
      </w:pPr>
      <w:r>
        <w:t xml:space="preserve"> </w:t>
      </w:r>
    </w:p>
    <w:p w:rsidR="00E302EC" w:rsidRDefault="00FC4F28">
      <w:pPr>
        <w:spacing w:after="112"/>
        <w:ind w:left="279" w:right="184"/>
      </w:pPr>
      <w:r>
        <w:t xml:space="preserve">11 concejales del Grupo Socialista: Doña María Concepción Brito Núñez, Doña Don Jorge Baute Delgado, Doña Olivia Concepción Pérez Díaz, Don José Francisco </w:t>
      </w:r>
      <w:r>
        <w:t xml:space="preserve">Pinto Ramos, Doña Hilaria Cecilia Otazo González, Don Airam Pérez Chinea, Doña Margarita Eva Tendero Barroso, Don Manuel Alberto González Pestano, Doña María del Carmen Clemente Díaz, Don Olegario Francisco Alonso Bello y Don Reinaldo José Triviño Blanco. </w:t>
      </w:r>
    </w:p>
    <w:p w:rsidR="00E302EC" w:rsidRDefault="00FC4F28">
      <w:pPr>
        <w:spacing w:after="111"/>
        <w:ind w:left="279" w:right="184"/>
      </w:pPr>
      <w:r>
        <w:t xml:space="preserve">2 concejales del Grupo Popular: Don Jacobo López Fariña y Doña Raquel Martín Castro. </w:t>
      </w:r>
    </w:p>
    <w:p w:rsidR="00E302EC" w:rsidRDefault="00FC4F28">
      <w:pPr>
        <w:spacing w:after="112"/>
        <w:ind w:left="279" w:right="184"/>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6970" name="Group 22697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444" name="Rectangle 144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445" name="Rectangle 1445"/>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6970" style="width:12.7031pt;height:273.276pt;position:absolute;mso-position-horizontal-relative:page;mso-position-horizontal:absolute;margin-left:682.278pt;mso-position-vertical-relative:page;margin-top:538.644pt;" coordsize="1613,34706">
                <v:rect id="Rectangle 144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445"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159 </w:t>
                        </w:r>
                      </w:p>
                    </w:txbxContent>
                  </v:textbox>
                </v:rect>
                <w10:wrap type="square"/>
              </v:group>
            </w:pict>
          </mc:Fallback>
        </mc:AlternateContent>
      </w:r>
      <w:r>
        <w:t xml:space="preserve">2 de los concejales del Grupo Mixto (SSP), Doña Lourdes del Carmen Mondéjar Rondón y Don Antonio Delgado García. </w:t>
      </w:r>
    </w:p>
    <w:p w:rsidR="00E302EC" w:rsidRDefault="00FC4F28">
      <w:pPr>
        <w:spacing w:after="111"/>
        <w:ind w:left="279" w:right="184"/>
      </w:pPr>
      <w:r>
        <w:t xml:space="preserve">1 de la concejal del Grupo Mixto (CC-PNC): Doña </w:t>
      </w:r>
      <w:r>
        <w:t xml:space="preserve">Ángela Cruz Perera. </w:t>
      </w:r>
    </w:p>
    <w:p w:rsidR="00E302EC" w:rsidRDefault="00FC4F28">
      <w:pPr>
        <w:spacing w:after="109"/>
        <w:ind w:left="279" w:right="184"/>
      </w:pPr>
      <w:r>
        <w:t xml:space="preserve">1 de la concejal del Grupo Mixto (VxC): Doña Alicia Mercedes Marrero Meneses.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1712" w:right="183"/>
      </w:pPr>
      <w:r>
        <w:rPr>
          <w:b/>
        </w:rPr>
        <w:t xml:space="preserve">ACUERDO DEL PLENO DE 31 DE MARZO DE 2022. </w:t>
      </w:r>
    </w:p>
    <w:p w:rsidR="00E302EC" w:rsidRDefault="00FC4F28">
      <w:pPr>
        <w:spacing w:after="0" w:line="259" w:lineRule="auto"/>
        <w:ind w:left="284" w:firstLine="0"/>
        <w:jc w:val="left"/>
      </w:pPr>
      <w:r>
        <w:rPr>
          <w:b/>
        </w:rPr>
        <w:t xml:space="preserve"> </w:t>
      </w:r>
    </w:p>
    <w:p w:rsidR="00E302EC" w:rsidRDefault="00FC4F28">
      <w:pPr>
        <w:ind w:left="269" w:right="184" w:firstLine="708"/>
      </w:pPr>
      <w:r>
        <w:rPr>
          <w:b/>
        </w:rPr>
        <w:t>Primero</w:t>
      </w:r>
      <w:r>
        <w:t>: Tomar conocimiento del informe definitivo de la fiscalización de la Cuenta General del ejercicio 2</w:t>
      </w:r>
      <w:r>
        <w:t xml:space="preserve">019 del Ayuntamiento de Candelaria, realizado por la Audiencia de Cuentas de Canarias, en virtud del artículo 223 del </w:t>
      </w:r>
      <w:r>
        <w:rPr>
          <w:color w:val="0000FF"/>
          <w:u w:val="single" w:color="0000FF"/>
        </w:rPr>
        <w:t>Real Decreto Legislativo 2/2004</w:t>
      </w:r>
      <w:r>
        <w:t xml:space="preserve">, de 5 de marzo, por el que se aprueba el texto refundido de la </w:t>
      </w:r>
      <w:r>
        <w:rPr>
          <w:color w:val="0000FF"/>
          <w:u w:val="single" w:color="0000FF"/>
        </w:rPr>
        <w:t>Ley Reguladora de las Haciendas Locales</w:t>
      </w:r>
      <w:r>
        <w:t>.</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ind w:left="269" w:right="184" w:firstLine="708"/>
      </w:pPr>
      <w:r>
        <w:rPr>
          <w:b/>
        </w:rPr>
        <w:t>Segundo</w:t>
      </w:r>
      <w:r>
        <w:t>: Remisión de la certificación plenaria de la toma de Conocimiento a la Audiencia de Cuentas de Canarias, de conformidad con el artículo 19 de la Ley Territorial 4/1989, de 2 de mayo.</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10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119" w:line="259" w:lineRule="auto"/>
        <w:ind w:left="284" w:firstLine="0"/>
        <w:jc w:val="left"/>
      </w:pPr>
      <w:r>
        <w:rPr>
          <w:b/>
        </w:rPr>
        <w:t xml:space="preserve"> </w:t>
      </w:r>
    </w:p>
    <w:p w:rsidR="00E302EC" w:rsidRDefault="00FC4F28">
      <w:pPr>
        <w:spacing w:after="93" w:line="249" w:lineRule="auto"/>
        <w:ind w:left="269" w:right="183" w:firstLine="708"/>
      </w:pPr>
      <w:r>
        <w:rPr>
          <w:b/>
          <w:sz w:val="24"/>
        </w:rPr>
        <w:t>2.-</w:t>
      </w:r>
      <w:r>
        <w:rPr>
          <w:sz w:val="24"/>
        </w:rPr>
        <w:t xml:space="preserve"> </w:t>
      </w:r>
      <w:r>
        <w:rPr>
          <w:b/>
          <w:sz w:val="24"/>
        </w:rPr>
        <w:t xml:space="preserve">Expediente 2655/2022. </w:t>
      </w:r>
      <w:r>
        <w:rPr>
          <w:b/>
          <w:sz w:val="24"/>
        </w:rPr>
        <w:t xml:space="preserve">Propuesta del Concejal delegado de Hacienda al Pleno de 23 de marzo de 2022 de aprobación del expediente de modificación presupuestaria nº 2655/2022 por créditos extraordinarios financiado con Remanente de Tesorería para gastos generales, por una cantidad </w:t>
      </w:r>
      <w:r>
        <w:rPr>
          <w:b/>
          <w:sz w:val="24"/>
        </w:rPr>
        <w:t>total de 1.348.216,10 euros.</w:t>
      </w:r>
      <w:r>
        <w:t xml:space="preserve"> </w:t>
      </w:r>
    </w:p>
    <w:p w:rsidR="00E302EC" w:rsidRDefault="00FC4F28">
      <w:pPr>
        <w:spacing w:after="79" w:line="259" w:lineRule="auto"/>
        <w:ind w:left="284" w:firstLine="0"/>
        <w:jc w:val="left"/>
      </w:pPr>
      <w:r>
        <w:rPr>
          <w:b/>
          <w:sz w:val="24"/>
        </w:rPr>
        <w:t xml:space="preserve"> </w:t>
      </w:r>
    </w:p>
    <w:p w:rsidR="00E302EC" w:rsidRDefault="00FC4F28">
      <w:pPr>
        <w:spacing w:after="8" w:line="248" w:lineRule="auto"/>
        <w:ind w:left="279" w:right="183"/>
      </w:pPr>
      <w:r>
        <w:rPr>
          <w:b/>
        </w:rPr>
        <w:t xml:space="preserve">Consta en el expediente propuesta de la Alcaldesa-Presidenta, de fecha 23 de marzo de 2022, cuyo tenor literal es el siguiente: </w:t>
      </w:r>
    </w:p>
    <w:p w:rsidR="00E302EC" w:rsidRDefault="00FC4F28">
      <w:pPr>
        <w:spacing w:after="0" w:line="259" w:lineRule="auto"/>
        <w:ind w:left="284" w:firstLine="0"/>
        <w:jc w:val="left"/>
      </w:pPr>
      <w:r>
        <w:rPr>
          <w:b/>
        </w:rPr>
        <w:t xml:space="preserve"> </w:t>
      </w:r>
    </w:p>
    <w:p w:rsidR="00E302EC" w:rsidRDefault="00FC4F28">
      <w:pPr>
        <w:spacing w:after="29" w:line="259" w:lineRule="auto"/>
        <w:ind w:left="284" w:firstLine="0"/>
        <w:jc w:val="left"/>
      </w:pPr>
      <w:r>
        <w:t xml:space="preserve"> </w:t>
      </w:r>
    </w:p>
    <w:p w:rsidR="00E302EC" w:rsidRDefault="00FC4F28">
      <w:pPr>
        <w:spacing w:after="4" w:line="251" w:lineRule="auto"/>
        <w:ind w:left="103"/>
        <w:jc w:val="center"/>
      </w:pPr>
      <w:r>
        <w:t>“PROPUESTA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  </w:t>
      </w:r>
      <w:r>
        <w:t xml:space="preserve">El Ayuntamiento de Candelaria necesita créditos extraordinarios a los consignados en el Presupuesto vigente para llevar a cabo actuaciones de mejora de instalaciones e infraestructuras municipales con ocasión de la ejecución de las obras siguientes, según </w:t>
      </w:r>
      <w:r>
        <w:t xml:space="preserve">memoria-propuesta del Concejal Delegado de Obras Públicas, Servicios Público, Transporte y Accesibilidad: </w:t>
      </w:r>
    </w:p>
    <w:p w:rsidR="00E302EC" w:rsidRDefault="00FC4F28">
      <w:pPr>
        <w:spacing w:after="12" w:line="259" w:lineRule="auto"/>
        <w:ind w:left="284" w:firstLine="0"/>
        <w:jc w:val="left"/>
      </w:pPr>
      <w:r>
        <w:t xml:space="preserve"> </w:t>
      </w:r>
    </w:p>
    <w:p w:rsidR="00E302EC" w:rsidRDefault="00FC4F28">
      <w:pPr>
        <w:numPr>
          <w:ilvl w:val="0"/>
          <w:numId w:val="7"/>
        </w:numPr>
        <w:ind w:right="184" w:hanging="283"/>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0276" name="Group 22027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577" name="Rectangle 157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578" name="Rectangle 1578"/>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0276" style="width:12.7031pt;height:273.276pt;position:absolute;mso-position-horizontal-relative:page;mso-position-horizontal:absolute;margin-left:682.278pt;mso-position-vertical-relative:page;margin-top:538.644pt;" coordsize="1613,34706">
                <v:rect id="Rectangle 157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578"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159 </w:t>
                        </w:r>
                      </w:p>
                    </w:txbxContent>
                  </v:textbox>
                </v:rect>
                <w10:wrap type="square"/>
              </v:group>
            </w:pict>
          </mc:Fallback>
        </mc:AlternateContent>
      </w:r>
      <w:r>
        <w:rPr>
          <w:b/>
        </w:rPr>
        <w:t xml:space="preserve">Reforma y Legalización Alumbrado Público en C/ La Puntita, C/ Batayola y Las Caletillas, </w:t>
      </w:r>
      <w:r>
        <w:t xml:space="preserve">por un importe total de </w:t>
      </w:r>
      <w:r>
        <w:rPr>
          <w:b/>
        </w:rPr>
        <w:t xml:space="preserve">1.348.216,10€: </w:t>
      </w:r>
      <w:r>
        <w:t xml:space="preserve"> vista la necesidad de acometer ac</w:t>
      </w:r>
      <w:r>
        <w:t xml:space="preserve">tuaciones destinadas a la legalización y puesta en norma de distintas instalaciones de alumbrado público, se presenta la siguiente propuesta de inversión. El estado general de las instalaciones de alumbrado público del municipio de Candelaria se considera </w:t>
      </w:r>
      <w:r>
        <w:t>muy deficientes, conclusión a la que llega la última auditoría energética realizada en el municipio, ya que a pesar de que la mayor parte de las instalaciones se encuentran en servicio, la mayoría de ellas presentan deficiencias graves y muy graves como so</w:t>
      </w:r>
      <w:r>
        <w:t>n la falta de protecciones contra contactos indirectos (diferenciales) de los circuitos de alumbrado y el mal estado de la instalación de puesta a tierra de los mismos, entre otras deficiencias. Estos riesgos constituyen un peligro inmediato para la seguri</w:t>
      </w:r>
      <w:r>
        <w:t xml:space="preserve">dad de las personas y los bienes. </w:t>
      </w:r>
      <w:r>
        <w:rPr>
          <w:rFonts w:ascii="Times New Roman" w:eastAsia="Times New Roman" w:hAnsi="Times New Roman" w:cs="Times New Roman"/>
          <w:sz w:val="24"/>
        </w:rPr>
        <w:t xml:space="preserve"> </w:t>
      </w:r>
    </w:p>
    <w:p w:rsidR="00E302EC" w:rsidRDefault="00FC4F28">
      <w:pPr>
        <w:ind w:left="634" w:right="184"/>
      </w:pPr>
      <w:r>
        <w:t>Con la implementación de las actuaciones propuestas, además de resolver las deficiencias detectadas en las instalaciones, éstas se optimizarán energéticamente en función de las necesidades del municipio atendiendo a lo e</w:t>
      </w:r>
      <w:r>
        <w:t xml:space="preserve">stablecido en las normativas vigentes de aplicación, lo que se traducirá en un ahorro tanto energético como económico estimado en torno al 60 %. </w:t>
      </w:r>
    </w:p>
    <w:p w:rsidR="00E302EC" w:rsidRDefault="00FC4F28">
      <w:pPr>
        <w:spacing w:after="0" w:line="259" w:lineRule="auto"/>
        <w:ind w:left="624" w:firstLine="0"/>
        <w:jc w:val="left"/>
      </w:pPr>
      <w:r>
        <w:t xml:space="preserve"> </w:t>
      </w:r>
    </w:p>
    <w:p w:rsidR="00E302EC" w:rsidRDefault="00FC4F28">
      <w:pPr>
        <w:ind w:left="634" w:right="184"/>
      </w:pPr>
      <w:r>
        <w:t xml:space="preserve">Las actuaciones previstas serán las siguientes: </w:t>
      </w:r>
    </w:p>
    <w:p w:rsidR="00E302EC" w:rsidRDefault="00FC4F28">
      <w:pPr>
        <w:numPr>
          <w:ilvl w:val="0"/>
          <w:numId w:val="7"/>
        </w:numPr>
        <w:ind w:right="184" w:hanging="283"/>
      </w:pPr>
      <w:r>
        <w:t>MODIFICADO DE PROYECTO DE REFORMA Y LEGALIZACIÓN DE A.P. EN</w:t>
      </w:r>
      <w:r>
        <w:t xml:space="preserve"> C/ LA PUNTITA: 277.398,25€ </w:t>
      </w:r>
    </w:p>
    <w:p w:rsidR="00E302EC" w:rsidRDefault="00FC4F28">
      <w:pPr>
        <w:numPr>
          <w:ilvl w:val="0"/>
          <w:numId w:val="7"/>
        </w:numPr>
        <w:ind w:right="184" w:hanging="283"/>
      </w:pPr>
      <w:r>
        <w:t xml:space="preserve">MODIFICADO DE PROYECTO DE REFORMA Y LEGALIZACIÓN DE A.P. EN C/ BATAYOLA: 751.731,58€. </w:t>
      </w:r>
    </w:p>
    <w:p w:rsidR="00E302EC" w:rsidRDefault="00FC4F28">
      <w:pPr>
        <w:numPr>
          <w:ilvl w:val="0"/>
          <w:numId w:val="7"/>
        </w:numPr>
        <w:spacing w:after="29"/>
        <w:ind w:right="184" w:hanging="283"/>
      </w:pPr>
      <w:r>
        <w:t xml:space="preserve">MODIFICADO DE PROYECTO DE REFORMA Y LEGALIZACIÓN DE A.P. EN LAS </w:t>
      </w:r>
    </w:p>
    <w:p w:rsidR="00E302EC" w:rsidRDefault="00FC4F28">
      <w:pPr>
        <w:spacing w:after="109"/>
        <w:ind w:left="822" w:right="184"/>
      </w:pPr>
      <w:r>
        <w:t xml:space="preserve">CALETILLAS: 319.086,27€. </w:t>
      </w:r>
    </w:p>
    <w:p w:rsidR="00E302EC" w:rsidRDefault="00FC4F28">
      <w:pPr>
        <w:spacing w:after="115" w:line="259" w:lineRule="auto"/>
        <w:ind w:left="284" w:firstLine="0"/>
        <w:jc w:val="left"/>
      </w:pPr>
      <w:r>
        <w:t xml:space="preserve"> </w:t>
      </w:r>
    </w:p>
    <w:p w:rsidR="00E302EC" w:rsidRDefault="00FC4F28">
      <w:pPr>
        <w:spacing w:after="142"/>
        <w:ind w:left="269" w:right="184" w:firstLine="720"/>
      </w:pPr>
      <w:r>
        <w:t xml:space="preserve">Siendo un gasto específico y determinado ante la imposibilidad de demorarlo a ejercicios posteriores, y no habiendo crédito suficiente en las aplicaciónes presupuestarias. </w:t>
      </w:r>
    </w:p>
    <w:p w:rsidR="00E302EC" w:rsidRDefault="00FC4F28">
      <w:pPr>
        <w:spacing w:after="0" w:line="259" w:lineRule="auto"/>
        <w:ind w:left="284" w:firstLine="0"/>
        <w:jc w:val="left"/>
      </w:pPr>
      <w:r>
        <w:rPr>
          <w:b/>
        </w:rPr>
        <w:t xml:space="preserve"> </w:t>
      </w:r>
    </w:p>
    <w:p w:rsidR="00E302EC" w:rsidRDefault="00FC4F28">
      <w:pPr>
        <w:spacing w:after="112" w:line="248" w:lineRule="auto"/>
        <w:ind w:left="279" w:right="183"/>
      </w:pPr>
      <w:r>
        <w:rPr>
          <w:b/>
        </w:rPr>
        <w:t>SE PROPONE:</w:t>
      </w:r>
      <w:r>
        <w:rPr>
          <w:rFonts w:ascii="Times New Roman" w:eastAsia="Times New Roman" w:hAnsi="Times New Roman" w:cs="Times New Roman"/>
          <w:sz w:val="24"/>
        </w:rPr>
        <w:t xml:space="preserve"> </w:t>
      </w:r>
    </w:p>
    <w:p w:rsidR="00E302EC" w:rsidRDefault="00FC4F28">
      <w:pPr>
        <w:spacing w:after="114"/>
        <w:ind w:left="279" w:right="184"/>
      </w:pPr>
      <w:r>
        <w:t xml:space="preserve">Único: Tramitar expediente </w:t>
      </w:r>
      <w:r>
        <w:rPr>
          <w:b/>
        </w:rPr>
        <w:t>2655/2022</w:t>
      </w:r>
      <w:r>
        <w:t xml:space="preserve"> de modificación presupuestaria </w:t>
      </w:r>
      <w:r>
        <w:t xml:space="preserve">por </w:t>
      </w:r>
      <w:r>
        <w:rPr>
          <w:b/>
        </w:rPr>
        <w:t xml:space="preserve">Créditos extraordinarios </w:t>
      </w:r>
      <w:r>
        <w:t>financiado con Remanente de Tesorería para gastos generales, por una cantidad total de</w:t>
      </w:r>
      <w:r>
        <w:rPr>
          <w:b/>
        </w:rPr>
        <w:t xml:space="preserve"> 1.348.216,10 euros</w:t>
      </w:r>
      <w:r>
        <w:t xml:space="preserve">, de acuerdo al siguiente detalle: </w:t>
      </w:r>
    </w:p>
    <w:p w:rsidR="00E302EC" w:rsidRDefault="00FC4F28">
      <w:pPr>
        <w:spacing w:after="98" w:line="259" w:lineRule="auto"/>
        <w:ind w:left="284" w:firstLine="0"/>
        <w:jc w:val="left"/>
      </w:pPr>
      <w:r>
        <w:t xml:space="preserve"> </w:t>
      </w:r>
    </w:p>
    <w:p w:rsidR="00E302EC" w:rsidRDefault="00FC4F28">
      <w:pPr>
        <w:spacing w:after="125" w:line="259" w:lineRule="auto"/>
        <w:ind w:left="284" w:firstLine="0"/>
        <w:jc w:val="left"/>
      </w:pPr>
      <w:r>
        <w:t xml:space="preserve"> </w:t>
      </w:r>
    </w:p>
    <w:p w:rsidR="00E302EC" w:rsidRDefault="00FC4F28">
      <w:pPr>
        <w:pStyle w:val="Ttulo1"/>
        <w:ind w:left="107" w:right="784"/>
      </w:pPr>
      <w:r>
        <w:t xml:space="preserve">Estados de gastos </w:t>
      </w:r>
    </w:p>
    <w:tbl>
      <w:tblPr>
        <w:tblStyle w:val="TableGrid"/>
        <w:tblW w:w="8645" w:type="dxa"/>
        <w:tblInd w:w="354" w:type="dxa"/>
        <w:tblCellMar>
          <w:top w:w="5" w:type="dxa"/>
          <w:left w:w="71" w:type="dxa"/>
          <w:bottom w:w="0" w:type="dxa"/>
          <w:right w:w="8" w:type="dxa"/>
        </w:tblCellMar>
        <w:tblLook w:val="04A0" w:firstRow="1" w:lastRow="0" w:firstColumn="1" w:lastColumn="0" w:noHBand="0" w:noVBand="1"/>
      </w:tblPr>
      <w:tblGrid>
        <w:gridCol w:w="1199"/>
        <w:gridCol w:w="1208"/>
        <w:gridCol w:w="4950"/>
        <w:gridCol w:w="1288"/>
      </w:tblGrid>
      <w:tr w:rsidR="00E302EC">
        <w:trPr>
          <w:trHeight w:val="514"/>
        </w:trPr>
        <w:tc>
          <w:tcPr>
            <w:tcW w:w="1199"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center"/>
            </w:pPr>
            <w:r>
              <w:rPr>
                <w:b/>
              </w:rPr>
              <w:t xml:space="preserve">Proyecto gasto </w:t>
            </w:r>
          </w:p>
        </w:tc>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2"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58" w:firstLine="0"/>
              <w:jc w:val="center"/>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60" w:firstLine="0"/>
              <w:jc w:val="center"/>
            </w:pPr>
            <w:r>
              <w:rPr>
                <w:b/>
              </w:rPr>
              <w:t xml:space="preserve">Importe </w:t>
            </w:r>
          </w:p>
        </w:tc>
      </w:tr>
      <w:tr w:rsidR="00E302EC">
        <w:trPr>
          <w:trHeight w:val="517"/>
        </w:trPr>
        <w:tc>
          <w:tcPr>
            <w:tcW w:w="1199"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58" w:firstLine="0"/>
              <w:jc w:val="left"/>
            </w:pPr>
            <w:r>
              <w:t xml:space="preserve">P.22.2.16 </w:t>
            </w:r>
          </w:p>
        </w:tc>
        <w:tc>
          <w:tcPr>
            <w:tcW w:w="12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16500.619 00 </w:t>
            </w:r>
          </w:p>
        </w:tc>
        <w:tc>
          <w:tcPr>
            <w:tcW w:w="49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Reforma Alumbrado Público en C/ La Puntita, C/ Batayola y Las Caletillas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7357" w:type="dxa"/>
            <w:gridSpan w:val="3"/>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6" w:firstLine="0"/>
              <w:jc w:val="center"/>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39" w:line="259" w:lineRule="auto"/>
        <w:ind w:left="1484" w:firstLine="0"/>
        <w:jc w:val="left"/>
      </w:pPr>
      <w:r>
        <w:rPr>
          <w:b/>
        </w:rPr>
        <w:t xml:space="preserve"> </w:t>
      </w:r>
      <w:r>
        <w:t xml:space="preserve"> </w:t>
      </w:r>
      <w:r>
        <w:tab/>
        <w:t xml:space="preserve"> </w:t>
      </w:r>
      <w:r>
        <w:tab/>
        <w:t xml:space="preserve"> </w:t>
      </w:r>
    </w:p>
    <w:p w:rsidR="00E302EC" w:rsidRDefault="00FC4F28">
      <w:pPr>
        <w:pStyle w:val="Ttulo1"/>
        <w:ind w:left="107" w:right="786"/>
      </w:pPr>
      <w:r>
        <w:t xml:space="preserve">Estados de Ingresos </w:t>
      </w:r>
    </w:p>
    <w:tbl>
      <w:tblPr>
        <w:tblStyle w:val="TableGrid"/>
        <w:tblW w:w="8645" w:type="dxa"/>
        <w:tblInd w:w="354" w:type="dxa"/>
        <w:tblCellMar>
          <w:top w:w="9" w:type="dxa"/>
          <w:left w:w="71" w:type="dxa"/>
          <w:bottom w:w="0" w:type="dxa"/>
          <w:right w:w="8" w:type="dxa"/>
        </w:tblCellMar>
        <w:tblLook w:val="04A0" w:firstRow="1" w:lastRow="0" w:firstColumn="1" w:lastColumn="0" w:noHBand="0" w:noVBand="1"/>
      </w:tblPr>
      <w:tblGrid>
        <w:gridCol w:w="2407"/>
        <w:gridCol w:w="4950"/>
        <w:gridCol w:w="1288"/>
      </w:tblGrid>
      <w:tr w:rsidR="00E302EC">
        <w:trPr>
          <w:trHeight w:val="314"/>
        </w:trPr>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63"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left"/>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59" w:firstLine="0"/>
              <w:jc w:val="center"/>
            </w:pPr>
            <w:r>
              <w:rPr>
                <w:b/>
              </w:rPr>
              <w:t xml:space="preserve">Importe </w:t>
            </w:r>
          </w:p>
        </w:tc>
      </w:tr>
      <w:tr w:rsidR="00E302EC">
        <w:trPr>
          <w:trHeight w:val="518"/>
        </w:trPr>
        <w:tc>
          <w:tcPr>
            <w:tcW w:w="2407"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0" w:firstLine="0"/>
              <w:jc w:val="center"/>
            </w:pPr>
            <w:r>
              <w:t xml:space="preserve">870.00 </w:t>
            </w:r>
          </w:p>
        </w:tc>
        <w:tc>
          <w:tcPr>
            <w:tcW w:w="4950"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firstLine="0"/>
              <w:jc w:val="left"/>
            </w:pPr>
            <w:r>
              <w:t xml:space="preserve">Remanente de Tesorería para gastos generales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8"/>
        </w:trPr>
        <w:tc>
          <w:tcPr>
            <w:tcW w:w="2407"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4950"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937"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61"/>
        <w:ind w:left="279" w:right="184"/>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3546" name="Group 22354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36" name="Rectangle 183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837" name="Rectangle 183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3546" style="width:12.7031pt;height:273.276pt;position:absolute;mso-position-horizontal-relative:page;mso-position-horizontal:absolute;margin-left:682.278pt;mso-position-vertical-relative:page;margin-top:538.644pt;" coordsize="1613,34706">
                <v:rect id="Rectangle 183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3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159 </w:t>
                        </w:r>
                      </w:p>
                    </w:txbxContent>
                  </v:textbox>
                </v:rect>
                <w10:wrap type="square"/>
              </v:group>
            </w:pict>
          </mc:Fallback>
        </mc:AlternateContent>
      </w:r>
      <w: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Consta en el expediente Informe de Intervención emitido por Don Nicolás Rojo Garnica, que desempeña el puesto de trabajo de Interventor Municipal, de 23 de marzo de 2022, del siguiente tenor literal: </w:t>
      </w:r>
    </w:p>
    <w:p w:rsidR="00E302EC" w:rsidRDefault="00FC4F28">
      <w:pPr>
        <w:spacing w:after="213" w:line="259" w:lineRule="auto"/>
        <w:ind w:left="284" w:firstLine="0"/>
        <w:jc w:val="left"/>
      </w:pPr>
      <w:r>
        <w:t xml:space="preserve"> </w:t>
      </w:r>
    </w:p>
    <w:p w:rsidR="00E302EC" w:rsidRDefault="00FC4F28">
      <w:pPr>
        <w:spacing w:after="251" w:line="259" w:lineRule="auto"/>
        <w:ind w:left="284" w:firstLine="0"/>
        <w:jc w:val="left"/>
      </w:pPr>
      <w:r>
        <w:t xml:space="preserve"> </w:t>
      </w:r>
    </w:p>
    <w:p w:rsidR="00E302EC" w:rsidRDefault="00FC4F28">
      <w:pPr>
        <w:pStyle w:val="Ttulo1"/>
        <w:spacing w:after="100"/>
        <w:ind w:left="107" w:right="6"/>
      </w:pPr>
      <w:r>
        <w:t>“INFORME</w:t>
      </w:r>
      <w:r>
        <w:rPr>
          <w:b w:val="0"/>
        </w:rPr>
        <w:t xml:space="preserve"> </w:t>
      </w:r>
    </w:p>
    <w:p w:rsidR="00E302EC" w:rsidRDefault="00FC4F28">
      <w:pPr>
        <w:spacing w:after="49"/>
        <w:ind w:left="269" w:right="184" w:firstLine="708"/>
      </w:pPr>
      <w:r>
        <w:t>Vista la propuesta de la Alcaldesa, de tr</w:t>
      </w:r>
      <w:r>
        <w:t>amitación de 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E302EC" w:rsidRDefault="00FC4F28">
      <w:pPr>
        <w:spacing w:after="85" w:line="259" w:lineRule="auto"/>
        <w:ind w:left="992" w:firstLine="0"/>
        <w:jc w:val="left"/>
      </w:pPr>
      <w:r>
        <w:t xml:space="preserve">  </w:t>
      </w:r>
    </w:p>
    <w:p w:rsidR="00E302EC" w:rsidRDefault="00FC4F28">
      <w:pPr>
        <w:spacing w:after="45"/>
        <w:ind w:left="269" w:right="184" w:firstLine="708"/>
      </w:pPr>
      <w:r>
        <w:t xml:space="preserve">“El Ayuntamiento de Candelaria necesita créditos extraordinarios a los consignados en el Presupuesto vigente </w:t>
      </w:r>
      <w:r>
        <w:t>para llevar a cabo actuaciones de mejora de instalaciones e infraestructuras municipales con ocasión de la ejecución de las obras siguientes, según memoria-propuesta del Concejal Delegado de Obras Públicas, Servicios Público, Transporte y Accesibilidad:</w:t>
      </w:r>
      <w:r>
        <w:rPr>
          <w:rFonts w:ascii="Times New Roman" w:eastAsia="Times New Roman" w:hAnsi="Times New Roman" w:cs="Times New Roman"/>
          <w:sz w:val="24"/>
        </w:rPr>
        <w:t xml:space="preserve"> </w:t>
      </w:r>
    </w:p>
    <w:p w:rsidR="00E302EC" w:rsidRDefault="00FC4F28">
      <w:pPr>
        <w:spacing w:after="88" w:line="259" w:lineRule="auto"/>
        <w:ind w:left="341" w:firstLine="0"/>
        <w:jc w:val="left"/>
      </w:pPr>
      <w:r>
        <w:t xml:space="preserve"> </w:t>
      </w:r>
    </w:p>
    <w:p w:rsidR="00E302EC" w:rsidRDefault="00FC4F28">
      <w:pPr>
        <w:numPr>
          <w:ilvl w:val="0"/>
          <w:numId w:val="8"/>
        </w:numPr>
        <w:ind w:right="184" w:hanging="283"/>
      </w:pPr>
      <w:r>
        <w:rPr>
          <w:b/>
        </w:rPr>
        <w:t xml:space="preserve">Reforma y Legalización Alumbrado Público en C/ La Puntita, C/ Batayola y Las Caletillas, </w:t>
      </w:r>
      <w:r>
        <w:t xml:space="preserve">por un importe total de </w:t>
      </w:r>
      <w:r>
        <w:rPr>
          <w:b/>
        </w:rPr>
        <w:t xml:space="preserve">1.348.216,10€: </w:t>
      </w:r>
      <w:r>
        <w:t xml:space="preserve"> vista la necesidad de acometer actuaciones destinadas a la legalización y puesta en norma de distintas instalaciones de alumbr</w:t>
      </w:r>
      <w:r>
        <w:t>ado público, se presenta la siguiente propuesta de inversión. El estado general de las instalaciones de alumbrado público del municipio de Candelaria se considera muy deficientes, conclusión a la que llega la última auditoría energética realizada en el mun</w:t>
      </w:r>
      <w:r>
        <w:t>icipio, ya que a pesar de que la mayor parte de las instalaciones se encuentran en servicio, la mayoría de ellas presentan deficiencias graves y muy graves como son la falta de protecciones contra contactos indirectos (diferenciales) de los circuitos de al</w:t>
      </w:r>
      <w:r>
        <w:t xml:space="preserve">umbrado y el mal estado de la instalación de puesta a tierra de los mismos, entre otras deficiencias. Estos riesgos constituyen un peligro inmediato para la seguridad de las personas y los bienes. </w:t>
      </w:r>
      <w:r>
        <w:rPr>
          <w:rFonts w:ascii="Times New Roman" w:eastAsia="Times New Roman" w:hAnsi="Times New Roman" w:cs="Times New Roman"/>
          <w:sz w:val="24"/>
        </w:rPr>
        <w:t xml:space="preserve"> </w:t>
      </w:r>
    </w:p>
    <w:p w:rsidR="00E302EC" w:rsidRDefault="00FC4F28">
      <w:pPr>
        <w:ind w:left="634" w:right="184"/>
      </w:pPr>
      <w:r>
        <w:t>Con la implementación de las actuaciones propuestas, adem</w:t>
      </w:r>
      <w:r>
        <w:t>ás de resolver las deficiencias detectadas en las instalaciones, éstas se optimizarán energéticamente en función de las necesidades del municipio atendiendo a lo establecido en las normativas vigentes de aplicación, lo que se traducirá en un ahorro tanto e</w:t>
      </w:r>
      <w:r>
        <w:t xml:space="preserve">nergético como económico estimado en torno al 60 %. </w:t>
      </w:r>
    </w:p>
    <w:p w:rsidR="00E302EC" w:rsidRDefault="00FC4F28">
      <w:pPr>
        <w:spacing w:after="0" w:line="259" w:lineRule="auto"/>
        <w:ind w:left="624" w:firstLine="0"/>
        <w:jc w:val="left"/>
      </w:pPr>
      <w:r>
        <w:t xml:space="preserve"> </w:t>
      </w:r>
    </w:p>
    <w:p w:rsidR="00E302EC" w:rsidRDefault="00FC4F28">
      <w:pPr>
        <w:ind w:left="634" w:right="184"/>
      </w:pPr>
      <w:r>
        <w:t xml:space="preserve">Las actuaciones previstas serán las siguientes: </w:t>
      </w:r>
    </w:p>
    <w:p w:rsidR="00E302EC" w:rsidRDefault="00FC4F28">
      <w:pPr>
        <w:numPr>
          <w:ilvl w:val="0"/>
          <w:numId w:val="8"/>
        </w:numPr>
        <w:spacing w:after="27"/>
        <w:ind w:right="184" w:hanging="283"/>
      </w:pPr>
      <w:r>
        <w:t xml:space="preserve">MODIFICADO DE PROYECTO DE REFORMA Y LEGALIZACIÓN DE A.P. EN C/ LA PUNTITA: 277.398,25€ </w:t>
      </w:r>
    </w:p>
    <w:p w:rsidR="00E302EC" w:rsidRDefault="00FC4F28">
      <w:pPr>
        <w:numPr>
          <w:ilvl w:val="0"/>
          <w:numId w:val="8"/>
        </w:numPr>
        <w:ind w:right="184" w:hanging="283"/>
      </w:pPr>
      <w:r>
        <w:t xml:space="preserve">MODIFICADO DE PROYECTO DE REFORMA Y LEGALIZACIÓN DE A.P. EN C/ BATAYOLA: 751.731,58€. </w:t>
      </w:r>
    </w:p>
    <w:p w:rsidR="00E302EC" w:rsidRDefault="00FC4F28">
      <w:pPr>
        <w:numPr>
          <w:ilvl w:val="0"/>
          <w:numId w:val="8"/>
        </w:numPr>
        <w:spacing w:after="27"/>
        <w:ind w:right="184" w:hanging="283"/>
      </w:pPr>
      <w:r>
        <w:t xml:space="preserve">MODIFICADO DE PROYECTO DE REFORMA Y LEGALIZACIÓN DE A.P. EN LAS </w:t>
      </w:r>
    </w:p>
    <w:p w:rsidR="00E302EC" w:rsidRDefault="00FC4F28">
      <w:pPr>
        <w:spacing w:after="111"/>
        <w:ind w:left="822" w:right="184"/>
      </w:pPr>
      <w:r>
        <w:t xml:space="preserve">CALETILLAS: 319.086,27€. </w:t>
      </w:r>
    </w:p>
    <w:p w:rsidR="00E302EC" w:rsidRDefault="00FC4F28">
      <w:pPr>
        <w:spacing w:after="113" w:line="259" w:lineRule="auto"/>
        <w:ind w:left="284" w:firstLine="0"/>
        <w:jc w:val="left"/>
      </w:pPr>
      <w:r>
        <w:t xml:space="preserve"> </w:t>
      </w:r>
    </w:p>
    <w:p w:rsidR="00E302EC" w:rsidRDefault="00FC4F28">
      <w:pPr>
        <w:spacing w:after="139"/>
        <w:ind w:left="269" w:right="184" w:firstLine="720"/>
      </w:pPr>
      <w:r>
        <w:t xml:space="preserve">Siendo un gasto específico y determinado ante la imposibilidad de demorarlo a ejercicios posteriores, y no habiendo crédito suficiente en las aplicaciónes presupuestarias. </w:t>
      </w:r>
    </w:p>
    <w:p w:rsidR="00E302EC" w:rsidRDefault="00FC4F28">
      <w:pPr>
        <w:spacing w:after="135" w:line="259" w:lineRule="auto"/>
        <w:ind w:left="284" w:firstLine="0"/>
        <w:jc w:val="left"/>
      </w:pPr>
      <w:r>
        <w:rPr>
          <w:b/>
        </w:rPr>
        <w:t xml:space="preserve"> </w:t>
      </w:r>
    </w:p>
    <w:p w:rsidR="00E302EC" w:rsidRDefault="00FC4F28">
      <w:pPr>
        <w:spacing w:after="109" w:line="248" w:lineRule="auto"/>
        <w:ind w:left="279" w:right="183"/>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3690" name="Group 22369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04" name="Rectangle 210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05" name="Rectangle 2105"/>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3690" style="width:12.7031pt;height:273.276pt;position:absolute;mso-position-horizontal-relative:page;mso-position-horizontal:absolute;margin-left:682.278pt;mso-position-vertical-relative:page;margin-top:538.644pt;" coordsize="1613,34706">
                <v:rect id="Rectangle 210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05"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159 </w:t>
                        </w:r>
                      </w:p>
                    </w:txbxContent>
                  </v:textbox>
                </v:rect>
                <w10:wrap type="square"/>
              </v:group>
            </w:pict>
          </mc:Fallback>
        </mc:AlternateContent>
      </w:r>
      <w:r>
        <w:rPr>
          <w:b/>
        </w:rPr>
        <w:t>SE PROPONE:</w:t>
      </w:r>
      <w:r>
        <w:rPr>
          <w:rFonts w:ascii="Times New Roman" w:eastAsia="Times New Roman" w:hAnsi="Times New Roman" w:cs="Times New Roman"/>
          <w:sz w:val="24"/>
        </w:rPr>
        <w:t xml:space="preserve"> </w:t>
      </w:r>
    </w:p>
    <w:p w:rsidR="00E302EC" w:rsidRDefault="00FC4F28">
      <w:pPr>
        <w:spacing w:after="114"/>
        <w:ind w:left="279" w:right="184"/>
      </w:pPr>
      <w:r>
        <w:t xml:space="preserve">Único: Tramitar expediente </w:t>
      </w:r>
      <w:r>
        <w:rPr>
          <w:b/>
        </w:rPr>
        <w:t>2655/2022</w:t>
      </w:r>
      <w:r>
        <w:t xml:space="preserve"> de modificac</w:t>
      </w:r>
      <w:r>
        <w:t xml:space="preserve">ión presupuestaria por </w:t>
      </w:r>
      <w:r>
        <w:rPr>
          <w:b/>
        </w:rPr>
        <w:t xml:space="preserve">Créditos extraordinarios </w:t>
      </w:r>
      <w:r>
        <w:t>financiado con Remanente de Tesorería para gastos generales, por una cantidad total de</w:t>
      </w:r>
      <w:r>
        <w:rPr>
          <w:b/>
        </w:rPr>
        <w:t xml:space="preserve"> 1.348.216,10 euros</w:t>
      </w:r>
      <w:r>
        <w:t xml:space="preserve">, de acuerdo al siguiente detalle: </w:t>
      </w:r>
    </w:p>
    <w:p w:rsidR="00E302EC" w:rsidRDefault="00FC4F28">
      <w:pPr>
        <w:spacing w:after="100" w:line="259" w:lineRule="auto"/>
        <w:ind w:left="284" w:firstLine="0"/>
        <w:jc w:val="left"/>
      </w:pPr>
      <w:r>
        <w:t xml:space="preserve"> </w:t>
      </w:r>
    </w:p>
    <w:p w:rsidR="00E302EC" w:rsidRDefault="00FC4F28">
      <w:pPr>
        <w:spacing w:after="124" w:line="259" w:lineRule="auto"/>
        <w:ind w:left="284" w:firstLine="0"/>
        <w:jc w:val="left"/>
      </w:pPr>
      <w:r>
        <w:t xml:space="preserve"> </w:t>
      </w:r>
    </w:p>
    <w:p w:rsidR="00E302EC" w:rsidRDefault="00FC4F28">
      <w:pPr>
        <w:pStyle w:val="Ttulo1"/>
        <w:ind w:left="107" w:right="784"/>
      </w:pPr>
      <w:r>
        <w:t xml:space="preserve">Estados de gastos </w:t>
      </w:r>
    </w:p>
    <w:tbl>
      <w:tblPr>
        <w:tblStyle w:val="TableGrid"/>
        <w:tblW w:w="8645" w:type="dxa"/>
        <w:tblInd w:w="354" w:type="dxa"/>
        <w:tblCellMar>
          <w:top w:w="5" w:type="dxa"/>
          <w:left w:w="71" w:type="dxa"/>
          <w:bottom w:w="0" w:type="dxa"/>
          <w:right w:w="8" w:type="dxa"/>
        </w:tblCellMar>
        <w:tblLook w:val="04A0" w:firstRow="1" w:lastRow="0" w:firstColumn="1" w:lastColumn="0" w:noHBand="0" w:noVBand="1"/>
      </w:tblPr>
      <w:tblGrid>
        <w:gridCol w:w="1199"/>
        <w:gridCol w:w="1208"/>
        <w:gridCol w:w="4950"/>
        <w:gridCol w:w="1288"/>
      </w:tblGrid>
      <w:tr w:rsidR="00E302EC">
        <w:trPr>
          <w:trHeight w:val="514"/>
        </w:trPr>
        <w:tc>
          <w:tcPr>
            <w:tcW w:w="1199"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center"/>
            </w:pPr>
            <w:r>
              <w:rPr>
                <w:b/>
              </w:rPr>
              <w:t xml:space="preserve">Proyecto gasto </w:t>
            </w:r>
          </w:p>
        </w:tc>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2"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58" w:firstLine="0"/>
              <w:jc w:val="center"/>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60" w:firstLine="0"/>
              <w:jc w:val="center"/>
            </w:pPr>
            <w:r>
              <w:rPr>
                <w:b/>
              </w:rPr>
              <w:t xml:space="preserve">Importe </w:t>
            </w:r>
          </w:p>
        </w:tc>
      </w:tr>
      <w:tr w:rsidR="00E302EC">
        <w:trPr>
          <w:trHeight w:val="517"/>
        </w:trPr>
        <w:tc>
          <w:tcPr>
            <w:tcW w:w="1199"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58" w:firstLine="0"/>
              <w:jc w:val="left"/>
            </w:pPr>
            <w:r>
              <w:t xml:space="preserve">P.22.2.16 </w:t>
            </w:r>
          </w:p>
        </w:tc>
        <w:tc>
          <w:tcPr>
            <w:tcW w:w="12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16500.619 00 </w:t>
            </w:r>
          </w:p>
        </w:tc>
        <w:tc>
          <w:tcPr>
            <w:tcW w:w="49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Reforma Alumbrado Público en C/ La Puntita, C/ Batayola y Las Caletillas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7357" w:type="dxa"/>
            <w:gridSpan w:val="3"/>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6" w:firstLine="0"/>
              <w:jc w:val="center"/>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39" w:line="259" w:lineRule="auto"/>
        <w:ind w:left="1484" w:firstLine="0"/>
        <w:jc w:val="left"/>
      </w:pPr>
      <w:r>
        <w:rPr>
          <w:b/>
        </w:rPr>
        <w:t xml:space="preserve"> </w:t>
      </w:r>
      <w:r>
        <w:t xml:space="preserve"> </w:t>
      </w:r>
      <w:r>
        <w:tab/>
        <w:t xml:space="preserve"> </w:t>
      </w:r>
      <w:r>
        <w:tab/>
        <w:t xml:space="preserve"> </w:t>
      </w:r>
    </w:p>
    <w:p w:rsidR="00E302EC" w:rsidRDefault="00FC4F28">
      <w:pPr>
        <w:pStyle w:val="Ttulo1"/>
        <w:ind w:left="107" w:right="786"/>
      </w:pPr>
      <w:r>
        <w:t xml:space="preserve">Estados de Ingresos </w:t>
      </w:r>
    </w:p>
    <w:tbl>
      <w:tblPr>
        <w:tblStyle w:val="TableGrid"/>
        <w:tblW w:w="8645" w:type="dxa"/>
        <w:tblInd w:w="354" w:type="dxa"/>
        <w:tblCellMar>
          <w:top w:w="7" w:type="dxa"/>
          <w:left w:w="71" w:type="dxa"/>
          <w:bottom w:w="0" w:type="dxa"/>
          <w:right w:w="8" w:type="dxa"/>
        </w:tblCellMar>
        <w:tblLook w:val="04A0" w:firstRow="1" w:lastRow="0" w:firstColumn="1" w:lastColumn="0" w:noHBand="0" w:noVBand="1"/>
      </w:tblPr>
      <w:tblGrid>
        <w:gridCol w:w="2407"/>
        <w:gridCol w:w="4950"/>
        <w:gridCol w:w="1288"/>
      </w:tblGrid>
      <w:tr w:rsidR="00E302EC">
        <w:trPr>
          <w:trHeight w:val="316"/>
        </w:trPr>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63"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left"/>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59" w:firstLine="0"/>
              <w:jc w:val="center"/>
            </w:pPr>
            <w:r>
              <w:rPr>
                <w:b/>
              </w:rPr>
              <w:t xml:space="preserve">Importe </w:t>
            </w:r>
          </w:p>
        </w:tc>
      </w:tr>
      <w:tr w:rsidR="00E302EC">
        <w:trPr>
          <w:trHeight w:val="517"/>
        </w:trPr>
        <w:tc>
          <w:tcPr>
            <w:tcW w:w="2407"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0" w:firstLine="0"/>
              <w:jc w:val="center"/>
            </w:pPr>
            <w:r>
              <w:t xml:space="preserve">870.00 </w:t>
            </w:r>
          </w:p>
        </w:tc>
        <w:tc>
          <w:tcPr>
            <w:tcW w:w="4950"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firstLine="0"/>
              <w:jc w:val="left"/>
            </w:pPr>
            <w:r>
              <w:t xml:space="preserve">Remanente de Tesorería para gastos generales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2407"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4950"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937"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ind w:left="279" w:right="184"/>
      </w:pPr>
      <w:r>
        <w:t xml:space="preserve">.” </w:t>
      </w:r>
    </w:p>
    <w:p w:rsidR="00E302EC" w:rsidRDefault="00FC4F28">
      <w:pPr>
        <w:spacing w:after="153" w:line="259" w:lineRule="auto"/>
        <w:ind w:left="992" w:firstLine="0"/>
        <w:jc w:val="left"/>
      </w:pPr>
      <w:r>
        <w:t xml:space="preserve"> </w:t>
      </w:r>
    </w:p>
    <w:p w:rsidR="00E302EC" w:rsidRDefault="00FC4F28">
      <w:pPr>
        <w:spacing w:after="163"/>
        <w:ind w:left="269" w:right="184"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E302EC" w:rsidRDefault="00FC4F28">
      <w:pPr>
        <w:ind w:left="279" w:right="184"/>
      </w:pPr>
      <w:r>
        <w:rPr>
          <w:b/>
        </w:rPr>
        <w:t xml:space="preserve">PRIMERO. </w:t>
      </w:r>
      <w:r>
        <w:t>Visto Acuerdo del Congreso de los Diputados del 20 de o</w:t>
      </w:r>
      <w:r>
        <w:t>ctubre de 2020, aprobado por mayoría absoluta, ha apreciado, por mayoría absoluta de sus miembros, que se da una situación de emergencia extraordinaria que motiva la suspensión de las reglas fiscales, requisito que establece el artículo 11.3 de la LOEPSF.</w:t>
      </w:r>
      <w:r>
        <w:rPr>
          <w:rFonts w:ascii="Verdana" w:eastAsia="Verdana" w:hAnsi="Verdana" w:cs="Verdana"/>
          <w:sz w:val="24"/>
        </w:rPr>
        <w:t xml:space="preserve"> </w:t>
      </w:r>
    </w:p>
    <w:p w:rsidR="00E302EC" w:rsidRDefault="00FC4F28">
      <w:pPr>
        <w:spacing w:after="0" w:line="259" w:lineRule="auto"/>
        <w:ind w:left="284" w:firstLine="0"/>
        <w:jc w:val="left"/>
      </w:pPr>
      <w:r>
        <w:t xml:space="preserve"> </w:t>
      </w:r>
    </w:p>
    <w:p w:rsidR="00E302EC" w:rsidRDefault="00FC4F28">
      <w:pPr>
        <w:spacing w:after="47"/>
        <w:ind w:left="279" w:right="184"/>
      </w:pPr>
      <w:r>
        <w:t xml:space="preserve"> Atendiendo al acuerdo del Consejo de Ministros de 6 de octubre de 2020, mediante el que se acuerda: </w:t>
      </w:r>
    </w:p>
    <w:p w:rsidR="00E302EC" w:rsidRDefault="00FC4F28">
      <w:pPr>
        <w:numPr>
          <w:ilvl w:val="0"/>
          <w:numId w:val="9"/>
        </w:numPr>
        <w:spacing w:after="46"/>
        <w:ind w:right="184" w:hanging="360"/>
      </w:pPr>
      <w:r>
        <w:t xml:space="preserve">“Solicitar del Congreso de los Diputados la apreciación de que en España estamos sufriendo una pandemia, lo que supone una situación de emergencia extraordinaria que se ajusta a lo dispuesto en el artículo 135.4 de la Constitución y en el artículo 11.3 de </w:t>
      </w:r>
      <w:r>
        <w:t xml:space="preserve">la Ley Orgánica de Estabilidad Presupuestaria y Sostenibilidad Financiera”.  </w:t>
      </w:r>
    </w:p>
    <w:p w:rsidR="00E302EC" w:rsidRDefault="00FC4F28">
      <w:pPr>
        <w:numPr>
          <w:ilvl w:val="0"/>
          <w:numId w:val="9"/>
        </w:numPr>
        <w:ind w:right="184" w:hanging="360"/>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0635" name="Group 22063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19" name="Rectangle 221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220" name="Rectangle 222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Gestiona |</w:t>
                              </w:r>
                              <w:r>
                                <w:rPr>
                                  <w:sz w:val="12"/>
                                </w:rPr>
                                <w:t xml:space="preserve"> Página 16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0635" style="width:12.7031pt;height:273.276pt;position:absolute;mso-position-horizontal-relative:page;mso-position-horizontal:absolute;margin-left:682.278pt;mso-position-vertical-relative:page;margin-top:538.644pt;" coordsize="1613,34706">
                <v:rect id="Rectangle 221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2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159 </w:t>
                        </w:r>
                      </w:p>
                    </w:txbxContent>
                  </v:textbox>
                </v:rect>
                <w10:wrap type="square"/>
              </v:group>
            </w:pict>
          </mc:Fallback>
        </mc:AlternateContent>
      </w:r>
      <w:r>
        <w:t>“Quedan suspendidos el Acuerdo de Consejo de Ministros de 11 de febrero de 2020 por el que se adecúan los objetivos de estabilidad presupuestaria y de deuda pública para el conjunto de Administraciones Públicas y de cada uno de sus subse</w:t>
      </w:r>
      <w:r>
        <w:t>ctores para el año 2020 para su remisión a las Cortes Generales, y se fija el límite de gasto no financiero del presupuesto del Estado para 2020, así como el Acuerdo de Consejo de Ministros de 11 de febrero de 2020 por el que se fijan los objetivos de esta</w:t>
      </w:r>
      <w:r>
        <w:t>bilidad presupuestaria y de deuda pública para el conjunto de Administraciones Públicas y de cada uno de sus subsectores para el período 2021-2023 para su remisión a las Cortes Generales, y el límite de gasto no financiero del presupuesto del Estado para 2</w:t>
      </w:r>
      <w:r>
        <w:t xml:space="preserve">021.  </w:t>
      </w:r>
    </w:p>
    <w:p w:rsidR="00E302EC" w:rsidRDefault="00FC4F28">
      <w:pPr>
        <w:spacing w:after="0" w:line="259" w:lineRule="auto"/>
        <w:ind w:left="284" w:firstLine="0"/>
        <w:jc w:val="left"/>
      </w:pPr>
      <w:r>
        <w:t xml:space="preserve"> </w:t>
      </w:r>
    </w:p>
    <w:p w:rsidR="00E302EC" w:rsidRDefault="00FC4F28">
      <w:pPr>
        <w:ind w:left="279" w:right="184"/>
      </w:pPr>
      <w:r>
        <w:t xml:space="preserve"> Por tanto, los objetivos de estabilidad y de deuda pública, y la regla de gasto, aprobados por el Gobierno el 11 de febrero de 2020 son inaplicables al aprobar éste su suspensión para el 2020 y el 2021. </w:t>
      </w:r>
    </w:p>
    <w:p w:rsidR="00E302EC" w:rsidRDefault="00FC4F28">
      <w:pPr>
        <w:spacing w:after="0" w:line="259" w:lineRule="auto"/>
        <w:ind w:left="992" w:firstLine="0"/>
        <w:jc w:val="left"/>
      </w:pPr>
      <w:r>
        <w:t xml:space="preserve"> </w:t>
      </w:r>
    </w:p>
    <w:p w:rsidR="00E302EC" w:rsidRDefault="00FC4F28">
      <w:pPr>
        <w:ind w:left="269" w:right="184" w:firstLine="708"/>
      </w:pPr>
      <w:r>
        <w:t xml:space="preserve">La suspensión de las reglas fiscales ha </w:t>
      </w:r>
      <w:r>
        <w:t>supuesto que el superávit no tenga que dedicarse a amortizar deuda, aun siendo posible realizar esta amortización si la EELL lo considera. La regla del artículo 32 de la LOEPSF puede no aplicarse a partir del momento en que se han suspendido las reglas fis</w:t>
      </w:r>
      <w:r>
        <w:t xml:space="preserve">cales, ya que estas son el fundamento de aquella regla. Regla que conecta con el objetivo de estabilidad presupuestaria y con el de deuda pública.  </w:t>
      </w:r>
    </w:p>
    <w:p w:rsidR="00E302EC" w:rsidRDefault="00FC4F28">
      <w:pPr>
        <w:spacing w:after="0" w:line="259" w:lineRule="auto"/>
        <w:ind w:left="992" w:firstLine="0"/>
        <w:jc w:val="left"/>
      </w:pPr>
      <w:r>
        <w:t xml:space="preserve"> </w:t>
      </w:r>
    </w:p>
    <w:p w:rsidR="00E302EC" w:rsidRDefault="00FC4F28">
      <w:pPr>
        <w:ind w:left="279" w:right="184"/>
      </w:pPr>
      <w:r>
        <w:t xml:space="preserve"> Al no ser aplicable la regla general, tampoco es necesaria la regla especial de destinar el superávit a </w:t>
      </w:r>
      <w:r>
        <w:t xml:space="preserve">inversiones financieramente sostenibles, salvo las excepciones siguientes, o mediante norma posterior que prorrogue íntegramente la DA 6ª de la LOEPSF. </w:t>
      </w:r>
    </w:p>
    <w:p w:rsidR="00E302EC" w:rsidRDefault="00FC4F28">
      <w:pPr>
        <w:spacing w:after="40" w:line="259" w:lineRule="auto"/>
        <w:ind w:left="284" w:firstLine="0"/>
        <w:jc w:val="left"/>
      </w:pPr>
      <w:r>
        <w:t xml:space="preserve"> </w:t>
      </w:r>
      <w:r>
        <w:tab/>
      </w:r>
      <w:r>
        <w:rPr>
          <w:rFonts w:ascii="Times New Roman" w:eastAsia="Times New Roman" w:hAnsi="Times New Roman" w:cs="Times New Roman"/>
          <w:sz w:val="24"/>
        </w:rPr>
        <w:t xml:space="preserve"> </w:t>
      </w:r>
    </w:p>
    <w:p w:rsidR="00E302EC" w:rsidRDefault="00FC4F28">
      <w:pPr>
        <w:spacing w:after="33"/>
        <w:ind w:left="279" w:right="184"/>
      </w:pPr>
      <w:r>
        <w:rPr>
          <w:b/>
        </w:rPr>
        <w:t>SEGUNDO</w:t>
      </w:r>
      <w:r>
        <w:t>. La legislación aplicable es la siguiente:</w:t>
      </w:r>
      <w:r>
        <w:rPr>
          <w:rFonts w:ascii="Times New Roman" w:eastAsia="Times New Roman" w:hAnsi="Times New Roman" w:cs="Times New Roman"/>
          <w:sz w:val="24"/>
        </w:rPr>
        <w:t xml:space="preserve"> </w:t>
      </w:r>
    </w:p>
    <w:p w:rsidR="00E302EC" w:rsidRDefault="00FC4F28">
      <w:pPr>
        <w:numPr>
          <w:ilvl w:val="0"/>
          <w:numId w:val="10"/>
        </w:numPr>
        <w:spacing w:after="4" w:line="251" w:lineRule="auto"/>
        <w:ind w:right="184" w:hanging="360"/>
      </w:pPr>
      <w:r>
        <w:t xml:space="preserve">Los artículos 169, 170 y 172 a 177 del Real Decreto Legislativo 2/2004, de 5 de marzo, por el que se aprueba el Texto Refundido de la Ley Reguladora de las Haciendas Locales.  </w:t>
      </w:r>
    </w:p>
    <w:p w:rsidR="00E302EC" w:rsidRDefault="00FC4F28">
      <w:pPr>
        <w:numPr>
          <w:ilvl w:val="0"/>
          <w:numId w:val="10"/>
        </w:numPr>
        <w:spacing w:after="50" w:line="249" w:lineRule="auto"/>
        <w:ind w:right="184" w:hanging="360"/>
      </w:pPr>
      <w:r>
        <w:t xml:space="preserve">Los artículos 34 a 38 del Real Decreto 500/1990, de 20 de abril, por el que se </w:t>
      </w:r>
      <w:r>
        <w:t xml:space="preserve">desarrolla el Capítulo I, del Título VI, de la Ley 39/1988, de 28 de diciembre, Reguladora de las Haciendas Locales, en materia de presupuestos. </w:t>
      </w:r>
    </w:p>
    <w:p w:rsidR="00E302EC" w:rsidRDefault="00FC4F28">
      <w:pPr>
        <w:numPr>
          <w:ilvl w:val="0"/>
          <w:numId w:val="10"/>
        </w:numPr>
        <w:spacing w:after="51"/>
        <w:ind w:right="184" w:hanging="360"/>
      </w:pPr>
      <w:r>
        <w:t>Los artículos 3, 4, 11, 12, 13, 21, 23 y 32 de la Ley Orgánica 2/2012, de 27 de abril, de Estabilidad Presupue</w:t>
      </w:r>
      <w:r>
        <w:t xml:space="preserve">staria y Sostenibilidad Financiera.  </w:t>
      </w:r>
    </w:p>
    <w:p w:rsidR="00E302EC" w:rsidRDefault="00FC4F28">
      <w:pPr>
        <w:numPr>
          <w:ilvl w:val="0"/>
          <w:numId w:val="10"/>
        </w:numPr>
        <w:spacing w:after="54"/>
        <w:ind w:right="184" w:hanging="360"/>
      </w:pPr>
      <w:r>
        <w:t>El artículo 16.2 del Real Decreto 1463/2007, de 2 de noviembre, por el que se aprueba el Reglamento de Desarrollo de la Ley 18/2001, de 12 de noviembre, de Estabilidad Presupuestaria, en su Aplicación a las Entidades L</w:t>
      </w:r>
      <w:r>
        <w:t xml:space="preserve">ocales. </w:t>
      </w:r>
    </w:p>
    <w:p w:rsidR="00E302EC" w:rsidRDefault="00FC4F28">
      <w:pPr>
        <w:numPr>
          <w:ilvl w:val="0"/>
          <w:numId w:val="10"/>
        </w:numPr>
        <w:spacing w:after="52"/>
        <w:ind w:right="184" w:hanging="360"/>
      </w:pPr>
      <w:r>
        <w:t xml:space="preserve">El artículo 22.2.e) de la Ley 7/1985, de 2 de abril, Reguladora de las Bases del Régimen Local. </w:t>
      </w:r>
    </w:p>
    <w:p w:rsidR="00E302EC" w:rsidRDefault="00FC4F28">
      <w:pPr>
        <w:numPr>
          <w:ilvl w:val="0"/>
          <w:numId w:val="10"/>
        </w:numPr>
        <w:spacing w:after="88"/>
        <w:ind w:right="184" w:hanging="360"/>
      </w:pPr>
      <w:r>
        <w:t xml:space="preserve">La Disposición Adicional 6.ª de la Ley Orgánica 2/2012, de 27 de abril, de Estabilidad Presupuestaria y Sostenibilidad Financiera. </w:t>
      </w:r>
    </w:p>
    <w:p w:rsidR="00E302EC" w:rsidRDefault="00FC4F28">
      <w:pPr>
        <w:numPr>
          <w:ilvl w:val="0"/>
          <w:numId w:val="10"/>
        </w:numPr>
        <w:spacing w:after="35"/>
        <w:ind w:right="184" w:hanging="360"/>
      </w:pPr>
      <w:r>
        <w:t>La Orden EHA/3565/</w:t>
      </w:r>
      <w:r>
        <w:t>2008, de 3 de diciembre, por la que se aprueba la estructura de presupuestos de las entidades locales. - Resolución de 14 de septiembre de 2009, de la Dirección General de Coordinación Financiera con las Comunidades Autónomas y con las Entidades Locales, p</w:t>
      </w:r>
      <w:r>
        <w:t>or la que se Dictan Medidas para el Desarrollo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E302EC" w:rsidRDefault="00FC4F28">
      <w:pPr>
        <w:numPr>
          <w:ilvl w:val="0"/>
          <w:numId w:val="10"/>
        </w:numPr>
        <w:spacing w:after="51"/>
        <w:ind w:right="184" w:hanging="360"/>
      </w:pPr>
      <w:r>
        <w:t>La Disposición Adicional 16.ª del Texto Refundido de la Ley Reguladora de las Ha</w:t>
      </w:r>
      <w:r>
        <w:t xml:space="preserve">ciendas Locales.  </w:t>
      </w:r>
    </w:p>
    <w:p w:rsidR="00E302EC" w:rsidRDefault="00FC4F28">
      <w:pPr>
        <w:numPr>
          <w:ilvl w:val="0"/>
          <w:numId w:val="10"/>
        </w:numPr>
        <w:spacing w:after="52"/>
        <w:ind w:right="184" w:hanging="360"/>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2746" name="Group 22274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51" name="Rectangle 235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52" name="Rectangle 235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2746" style="width:12.7031pt;height:273.276pt;position:absolute;mso-position-horizontal-relative:page;mso-position-horizontal:absolute;margin-left:682.278pt;mso-position-vertical-relative:page;margin-top:538.644pt;" coordsize="1613,34706">
                <v:rect id="Rectangle 235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5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159 </w:t>
                        </w:r>
                      </w:p>
                    </w:txbxContent>
                  </v:textbox>
                </v:rect>
                <w10:wrap type="square"/>
              </v:group>
            </w:pict>
          </mc:Fallback>
        </mc:AlternateContent>
      </w:r>
      <w:r>
        <w:t>Acuerdo del Congreso de los Diputados del 13 de octubre de 2020, relativo al Objetivo de Estabilidad Presupuestaria, según acuerdo del Consejo de Ministros de 6 de octubre de 2020 de “Someter a la deliberación del Pleno, a los efectos previstos en los artí</w:t>
      </w:r>
      <w:r>
        <w:t xml:space="preserve">culos 135.4 de la Constitución y 11.3 de la Ley Orgánica 2/2012, de 27 de abril, de Estabilidad Presupuestaria y Sostenibilidad Financiera y publicar en el Boletín Oficial de las Cortes Generales.” </w:t>
      </w:r>
    </w:p>
    <w:p w:rsidR="00E302EC" w:rsidRDefault="00FC4F28">
      <w:pPr>
        <w:spacing w:after="0" w:line="259" w:lineRule="auto"/>
        <w:ind w:left="284" w:firstLine="0"/>
        <w:jc w:val="left"/>
      </w:pPr>
      <w:r>
        <w:t xml:space="preserve"> </w:t>
      </w:r>
    </w:p>
    <w:p w:rsidR="00E302EC" w:rsidRDefault="00FC4F28">
      <w:pPr>
        <w:ind w:left="279" w:right="184"/>
      </w:pPr>
      <w:r>
        <w:rPr>
          <w:b/>
        </w:rPr>
        <w:t>TERCERO</w:t>
      </w:r>
      <w:r>
        <w:t xml:space="preserve">: Considerando que el artículo 177 </w:t>
      </w:r>
      <w:r>
        <w:t>del Real Decreto Legislativo 2/2004, de 5 de marzo, por el que se aprueba el texto refundido de la Ley Reguladora de las Haciendas Locales, regula los expedientes de modificación presupuestaria mediante créditos extraordinarios y suplementos de crédito, al</w:t>
      </w:r>
      <w:r>
        <w:t xml:space="preserve"> señalar que:</w:t>
      </w:r>
      <w:r>
        <w:rPr>
          <w:rFonts w:ascii="Times New Roman" w:eastAsia="Times New Roman" w:hAnsi="Times New Roman" w:cs="Times New Roman"/>
          <w:sz w:val="24"/>
        </w:rPr>
        <w:t xml:space="preserve"> </w:t>
      </w:r>
    </w:p>
    <w:p w:rsidR="00E302EC" w:rsidRDefault="00FC4F28">
      <w:pPr>
        <w:numPr>
          <w:ilvl w:val="0"/>
          <w:numId w:val="11"/>
        </w:numPr>
        <w:ind w:right="184" w:hanging="360"/>
      </w:pPr>
      <w:r>
        <w:t xml:space="preserve">Cuando haya de realizarse algún gasto que no pueda demorarse hasta el ejercicio siguiente, y sea insuficiente en el presupuesto de la corporación el crédito consignado, el presidente de la corporación ordenará la incoación del expediente de </w:t>
      </w:r>
      <w:r>
        <w:t xml:space="preserve">suplemento de crédito.  </w:t>
      </w:r>
    </w:p>
    <w:p w:rsidR="00E302EC" w:rsidRDefault="00FC4F28">
      <w:pPr>
        <w:numPr>
          <w:ilvl w:val="0"/>
          <w:numId w:val="11"/>
        </w:numPr>
        <w:ind w:right="184" w:hanging="360"/>
      </w:pPr>
      <w:r>
        <w:t>El expediente, que habrá de ser previamente informado por la Intervención, se someterá a la aprobación del Pleno de la corporación, con sujeción a los mismos trámites y requisitos que los presupuestos. Serán, asimismo, de aplicació</w:t>
      </w:r>
      <w:r>
        <w:t xml:space="preserve">n, las normas sobre información, reclamación y publicidad de los presupuestos a que se refiere el artículo 169 de esta ley.  </w:t>
      </w:r>
    </w:p>
    <w:p w:rsidR="00E302EC" w:rsidRDefault="00FC4F28">
      <w:pPr>
        <w:numPr>
          <w:ilvl w:val="0"/>
          <w:numId w:val="11"/>
        </w:numPr>
        <w:spacing w:after="44"/>
        <w:ind w:right="184" w:hanging="360"/>
      </w:pPr>
      <w:r>
        <w:t>El expediente deberá especificar la concreta partida presupuestaria a incrementar y el medio o recurso que ha de financiar el aume</w:t>
      </w:r>
      <w:r>
        <w:t xml:space="preserve">nto que se propone. </w:t>
      </w:r>
    </w:p>
    <w:p w:rsidR="00E302EC" w:rsidRDefault="00FC4F28">
      <w:pPr>
        <w:numPr>
          <w:ilvl w:val="0"/>
          <w:numId w:val="11"/>
        </w:numPr>
        <w:ind w:right="184" w:hanging="360"/>
      </w:pPr>
      <w:r>
        <w:t>Dicho aumento se financiará con cargo al remanente líquido de tesorería, con nuevos o mayores ingresos recaudados sobre los totales previstos en el presupuesto corriente, y mediante anulaciones o bajas de créditos de gastos de otras pa</w:t>
      </w:r>
      <w:r>
        <w:t>rtidas del presupuesto vigente no comprometidos, cuyas dotaciones se estimen reducibles sin perturbación del respectivo servicio. En el expediente se acreditará que los ingresos previstos en el presupuesto vengan efectuándose con normalidad, salvo que aqué</w:t>
      </w:r>
      <w:r>
        <w:t xml:space="preserve">llos tengan carácter finalista.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CUARTO:</w:t>
      </w:r>
      <w:r>
        <w:t xml:space="preserve"> Vista la Liquidación del Presupuesto general 2021, aprobada por decreto 597/2022 de 16/03/2021, donde se aprueba un Remanente de Tesorería para gastos Generales (RTGG) por un importe de 18.482.024,15€.</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135"/>
        <w:ind w:left="279" w:right="184"/>
      </w:pPr>
      <w:r>
        <w:rPr>
          <w:b/>
        </w:rPr>
        <w:t>QUINTO:</w:t>
      </w:r>
      <w:r>
        <w:t xml:space="preserve"> Que el expediente de modificación presupuestaria </w:t>
      </w:r>
      <w:r>
        <w:rPr>
          <w:b/>
        </w:rPr>
        <w:t>nº 2655/2022</w:t>
      </w:r>
      <w:r>
        <w:t xml:space="preserve"> de modificación presupuestaria por </w:t>
      </w:r>
      <w:r>
        <w:rPr>
          <w:b/>
        </w:rPr>
        <w:t xml:space="preserve">Créditos extraordinarios </w:t>
      </w:r>
      <w:r>
        <w:t>financiado con Remanente de Tesorería para gastos generales, por una cantidad total de</w:t>
      </w:r>
      <w:r>
        <w:rPr>
          <w:b/>
        </w:rPr>
        <w:t xml:space="preserve"> 1.348.216,10 euros</w:t>
      </w:r>
      <w:r>
        <w:t>, se apruebe de acuerdo al s</w:t>
      </w:r>
      <w:r>
        <w:t xml:space="preserve">iguiente detalle: </w:t>
      </w:r>
    </w:p>
    <w:p w:rsidR="00E302EC" w:rsidRDefault="00FC4F28">
      <w:pPr>
        <w:pStyle w:val="Ttulo1"/>
        <w:ind w:left="107" w:right="784"/>
      </w:pPr>
      <w:r>
        <w:t xml:space="preserve">Estados de gastos </w:t>
      </w:r>
    </w:p>
    <w:tbl>
      <w:tblPr>
        <w:tblStyle w:val="TableGrid"/>
        <w:tblW w:w="8645" w:type="dxa"/>
        <w:tblInd w:w="354" w:type="dxa"/>
        <w:tblCellMar>
          <w:top w:w="5" w:type="dxa"/>
          <w:left w:w="71" w:type="dxa"/>
          <w:bottom w:w="0" w:type="dxa"/>
          <w:right w:w="8" w:type="dxa"/>
        </w:tblCellMar>
        <w:tblLook w:val="04A0" w:firstRow="1" w:lastRow="0" w:firstColumn="1" w:lastColumn="0" w:noHBand="0" w:noVBand="1"/>
      </w:tblPr>
      <w:tblGrid>
        <w:gridCol w:w="1199"/>
        <w:gridCol w:w="1208"/>
        <w:gridCol w:w="4950"/>
        <w:gridCol w:w="1288"/>
      </w:tblGrid>
      <w:tr w:rsidR="00E302EC">
        <w:trPr>
          <w:trHeight w:val="514"/>
        </w:trPr>
        <w:tc>
          <w:tcPr>
            <w:tcW w:w="1199"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center"/>
            </w:pPr>
            <w:r>
              <w:rPr>
                <w:b/>
              </w:rPr>
              <w:t xml:space="preserve">Proyecto gasto </w:t>
            </w:r>
          </w:p>
        </w:tc>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2"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58" w:firstLine="0"/>
              <w:jc w:val="center"/>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60" w:firstLine="0"/>
              <w:jc w:val="center"/>
            </w:pPr>
            <w:r>
              <w:rPr>
                <w:b/>
              </w:rPr>
              <w:t xml:space="preserve">Importe </w:t>
            </w:r>
          </w:p>
        </w:tc>
      </w:tr>
      <w:tr w:rsidR="00E302EC">
        <w:trPr>
          <w:trHeight w:val="517"/>
        </w:trPr>
        <w:tc>
          <w:tcPr>
            <w:tcW w:w="1199"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58" w:firstLine="0"/>
              <w:jc w:val="left"/>
            </w:pPr>
            <w:r>
              <w:t xml:space="preserve">P.22.2.16 </w:t>
            </w:r>
          </w:p>
        </w:tc>
        <w:tc>
          <w:tcPr>
            <w:tcW w:w="12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16500.619 00 </w:t>
            </w:r>
          </w:p>
        </w:tc>
        <w:tc>
          <w:tcPr>
            <w:tcW w:w="49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Reforma Alumbrado Público en C/ La Puntita, C/ Batayola y Las Caletillas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7357" w:type="dxa"/>
            <w:gridSpan w:val="3"/>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6" w:firstLine="0"/>
              <w:jc w:val="center"/>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39" w:line="259" w:lineRule="auto"/>
        <w:ind w:left="1484" w:firstLine="0"/>
        <w:jc w:val="left"/>
      </w:pPr>
      <w:r>
        <w:rPr>
          <w:b/>
        </w:rPr>
        <w:t xml:space="preserve"> </w:t>
      </w:r>
      <w:r>
        <w:t xml:space="preserve"> </w:t>
      </w:r>
      <w:r>
        <w:tab/>
        <w:t xml:space="preserve"> </w:t>
      </w:r>
      <w:r>
        <w:tab/>
        <w:t xml:space="preserve"> </w:t>
      </w:r>
    </w:p>
    <w:p w:rsidR="00E302EC" w:rsidRDefault="00FC4F28">
      <w:pPr>
        <w:pStyle w:val="Ttulo1"/>
        <w:ind w:left="107" w:right="786"/>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6165" name="Group 22616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622" name="Rectangle 262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623" name="Rectangle 262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6165" style="width:12.7031pt;height:273.276pt;position:absolute;mso-position-horizontal-relative:page;mso-position-horizontal:absolute;margin-left:682.278pt;mso-position-vertical-relative:page;margin-top:538.644pt;" coordsize="1613,34706">
                <v:rect id="Rectangle 262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62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159 </w:t>
                        </w:r>
                      </w:p>
                    </w:txbxContent>
                  </v:textbox>
                </v:rect>
                <w10:wrap type="square"/>
              </v:group>
            </w:pict>
          </mc:Fallback>
        </mc:AlternateContent>
      </w:r>
      <w:r>
        <w:t xml:space="preserve">Estados de Ingresos </w:t>
      </w:r>
    </w:p>
    <w:tbl>
      <w:tblPr>
        <w:tblStyle w:val="TableGrid"/>
        <w:tblW w:w="8645" w:type="dxa"/>
        <w:tblInd w:w="354" w:type="dxa"/>
        <w:tblCellMar>
          <w:top w:w="7" w:type="dxa"/>
          <w:left w:w="71" w:type="dxa"/>
          <w:bottom w:w="0" w:type="dxa"/>
          <w:right w:w="8" w:type="dxa"/>
        </w:tblCellMar>
        <w:tblLook w:val="04A0" w:firstRow="1" w:lastRow="0" w:firstColumn="1" w:lastColumn="0" w:noHBand="0" w:noVBand="1"/>
      </w:tblPr>
      <w:tblGrid>
        <w:gridCol w:w="2407"/>
        <w:gridCol w:w="4950"/>
        <w:gridCol w:w="1288"/>
      </w:tblGrid>
      <w:tr w:rsidR="00E302EC">
        <w:trPr>
          <w:trHeight w:val="317"/>
        </w:trPr>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63"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left"/>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59" w:firstLine="0"/>
              <w:jc w:val="center"/>
            </w:pPr>
            <w:r>
              <w:rPr>
                <w:b/>
              </w:rPr>
              <w:t xml:space="preserve">Importe </w:t>
            </w:r>
          </w:p>
        </w:tc>
      </w:tr>
      <w:tr w:rsidR="00E302EC">
        <w:trPr>
          <w:trHeight w:val="518"/>
        </w:trPr>
        <w:tc>
          <w:tcPr>
            <w:tcW w:w="2407"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0" w:firstLine="0"/>
              <w:jc w:val="center"/>
            </w:pPr>
            <w:r>
              <w:t xml:space="preserve">870.00 </w:t>
            </w:r>
          </w:p>
        </w:tc>
        <w:tc>
          <w:tcPr>
            <w:tcW w:w="4950"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firstLine="0"/>
              <w:jc w:val="left"/>
            </w:pPr>
            <w:r>
              <w:t xml:space="preserve">Remanente de Tesorería para gastos generales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2407"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4950"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937"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ind w:left="279" w:right="184"/>
      </w:pPr>
      <w: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Consta en el expediente propuesta del Concejal delegado de Hacienda, D. Airam Pérez Chinea, de fecha 23 de marzo de 2022, que transcrito literalmente dice: </w:t>
      </w:r>
    </w:p>
    <w:p w:rsidR="00E302EC" w:rsidRDefault="00FC4F28">
      <w:pPr>
        <w:spacing w:after="0" w:line="259" w:lineRule="auto"/>
        <w:ind w:left="284" w:firstLine="0"/>
        <w:jc w:val="left"/>
      </w:pPr>
      <w:r>
        <w:rPr>
          <w:b/>
        </w:rPr>
        <w:t xml:space="preserve"> </w:t>
      </w:r>
    </w:p>
    <w:p w:rsidR="00E302EC" w:rsidRDefault="00FC4F28">
      <w:pPr>
        <w:spacing w:after="128" w:line="259" w:lineRule="auto"/>
        <w:ind w:left="279" w:firstLine="0"/>
        <w:jc w:val="left"/>
      </w:pPr>
      <w:r>
        <w:t xml:space="preserve"> </w:t>
      </w:r>
    </w:p>
    <w:p w:rsidR="00E302EC" w:rsidRDefault="00FC4F28">
      <w:pPr>
        <w:spacing w:after="119"/>
        <w:ind w:left="269" w:right="184" w:firstLine="708"/>
      </w:pPr>
      <w:r>
        <w:t xml:space="preserve">“Dado expediente </w:t>
      </w:r>
      <w:r>
        <w:rPr>
          <w:b/>
        </w:rPr>
        <w:t>2655/2022 de Créditos Extraordinarios</w:t>
      </w:r>
      <w:r>
        <w:t>, y visto informe de la Intervención General que se transcribe a continuación:</w:t>
      </w:r>
      <w:r>
        <w:rPr>
          <w:rFonts w:ascii="Times New Roman" w:eastAsia="Times New Roman" w:hAnsi="Times New Roman" w:cs="Times New Roman"/>
          <w:sz w:val="24"/>
        </w:rPr>
        <w:t xml:space="preserve"> </w:t>
      </w:r>
    </w:p>
    <w:p w:rsidR="00E302EC" w:rsidRDefault="00FC4F28">
      <w:pPr>
        <w:spacing w:after="49"/>
        <w:ind w:left="279" w:right="184"/>
      </w:pPr>
      <w:r>
        <w:t xml:space="preserve">“Vista la propuesta de la Alcaldesa, </w:t>
      </w:r>
      <w:r>
        <w:t>de tramitación de 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E302EC" w:rsidRDefault="00FC4F28">
      <w:pPr>
        <w:spacing w:after="55" w:line="259" w:lineRule="auto"/>
        <w:ind w:left="992" w:firstLine="0"/>
        <w:jc w:val="left"/>
      </w:pPr>
      <w:r>
        <w:t xml:space="preserve">  </w:t>
      </w:r>
    </w:p>
    <w:p w:rsidR="00E302EC" w:rsidRDefault="00FC4F28">
      <w:pPr>
        <w:spacing w:after="47"/>
        <w:ind w:left="269" w:right="184" w:firstLine="708"/>
      </w:pPr>
      <w:r>
        <w:t>“El Ayuntamiento de Candelaria necesita créditos extraordinarios a los consignados en el Presupuesto vig</w:t>
      </w:r>
      <w:r>
        <w:t>ente para llevar a cabo actuaciones de mejora de instalaciones e infraestructuras municipales con ocasión de la ejecución de las obras siguientes, según memoria-propuesta del Concejal Delegado de Obras Públicas, Servicios Público, Transporte y Accesibilida</w:t>
      </w:r>
      <w:r>
        <w:t>d:</w:t>
      </w:r>
      <w:r>
        <w:rPr>
          <w:rFonts w:ascii="Times New Roman" w:eastAsia="Times New Roman" w:hAnsi="Times New Roman" w:cs="Times New Roman"/>
          <w:sz w:val="24"/>
        </w:rPr>
        <w:t xml:space="preserve"> </w:t>
      </w:r>
    </w:p>
    <w:p w:rsidR="00E302EC" w:rsidRDefault="00FC4F28">
      <w:pPr>
        <w:spacing w:after="86" w:line="259" w:lineRule="auto"/>
        <w:ind w:left="341" w:firstLine="0"/>
        <w:jc w:val="left"/>
      </w:pPr>
      <w:r>
        <w:t xml:space="preserve"> </w:t>
      </w:r>
    </w:p>
    <w:p w:rsidR="00E302EC" w:rsidRDefault="00FC4F28">
      <w:pPr>
        <w:numPr>
          <w:ilvl w:val="0"/>
          <w:numId w:val="12"/>
        </w:numPr>
        <w:ind w:right="184" w:hanging="283"/>
      </w:pPr>
      <w:r>
        <w:rPr>
          <w:b/>
        </w:rPr>
        <w:t xml:space="preserve">Reforma y Legalización Alumbrado Público en C/ La Puntita, C/ Batayola y Las Caletillas, </w:t>
      </w:r>
      <w:r>
        <w:t xml:space="preserve">por un importe total de </w:t>
      </w:r>
      <w:r>
        <w:rPr>
          <w:b/>
        </w:rPr>
        <w:t xml:space="preserve">1.348.216,10€: </w:t>
      </w:r>
      <w:r>
        <w:t xml:space="preserve"> vista la necesidad de acometer actuaciones destinadas a la legalización y puesta en norma de distintas instalaciones de a</w:t>
      </w:r>
      <w:r>
        <w:t>lumbrado público, se presenta la siguiente propuesta de inversión. El estado general de las instalaciones de alumbrado público del municipio de Candelaria se considera muy deficientes, conclusión a la que llega la última auditoría energética realizada en e</w:t>
      </w:r>
      <w:r>
        <w:t xml:space="preserve">l municipio, ya que a pesar de que la mayor parte de las instalaciones se encuentran en servicio, la mayoría de ellas presentan deficiencias graves y muy graves como son la falta de protecciones contra contactos indirectos (diferenciales) de los circuitos </w:t>
      </w:r>
      <w:r>
        <w:t xml:space="preserve">de alumbrado y el mal estado de la instalación de puesta a tierra de los mismos, entre otras deficiencias. Estos riesgos constituyen un peligro inmediato para la seguridad de las personas y los bienes. </w:t>
      </w:r>
      <w:r>
        <w:rPr>
          <w:rFonts w:ascii="Times New Roman" w:eastAsia="Times New Roman" w:hAnsi="Times New Roman" w:cs="Times New Roman"/>
          <w:sz w:val="24"/>
        </w:rPr>
        <w:t xml:space="preserve"> </w:t>
      </w:r>
    </w:p>
    <w:p w:rsidR="00E302EC" w:rsidRDefault="00FC4F28">
      <w:pPr>
        <w:ind w:left="634" w:right="184"/>
      </w:pPr>
      <w:r>
        <w:t>Con la implementación de las actuaciones propuestas,</w:t>
      </w:r>
      <w:r>
        <w:t xml:space="preserve"> además de resolver las deficiencias detectadas en las instalaciones, éstas se optimizarán energéticamente en función de las necesidades del municipio atendiendo a lo establecido en las normativas vigentes de aplicación, lo que se traducirá en un ahorro ta</w:t>
      </w:r>
      <w:r>
        <w:t xml:space="preserve">nto energético como económico estimado en torno al 60 %. </w:t>
      </w:r>
    </w:p>
    <w:p w:rsidR="00E302EC" w:rsidRDefault="00FC4F28">
      <w:pPr>
        <w:spacing w:after="0" w:line="259" w:lineRule="auto"/>
        <w:ind w:left="624" w:firstLine="0"/>
        <w:jc w:val="left"/>
      </w:pPr>
      <w:r>
        <w:t xml:space="preserve"> </w:t>
      </w:r>
    </w:p>
    <w:p w:rsidR="00E302EC" w:rsidRDefault="00FC4F28">
      <w:pPr>
        <w:ind w:left="634" w:right="184"/>
      </w:pPr>
      <w:r>
        <w:t xml:space="preserve">Las actuaciones previstas serán las siguientes: </w:t>
      </w:r>
    </w:p>
    <w:p w:rsidR="00E302EC" w:rsidRDefault="00FC4F28">
      <w:pPr>
        <w:numPr>
          <w:ilvl w:val="0"/>
          <w:numId w:val="12"/>
        </w:numPr>
        <w:spacing w:after="27"/>
        <w:ind w:right="184" w:hanging="283"/>
      </w:pPr>
      <w:r>
        <w:t xml:space="preserve">MODIFICADO DE PROYECTO DE REFORMA Y LEGALIZACIÓN DE A.P. EN C/ LA PUNTITA: 277.398,25€ </w:t>
      </w:r>
    </w:p>
    <w:p w:rsidR="00E302EC" w:rsidRDefault="00FC4F28">
      <w:pPr>
        <w:numPr>
          <w:ilvl w:val="0"/>
          <w:numId w:val="12"/>
        </w:numPr>
        <w:ind w:right="184" w:hanging="283"/>
      </w:pPr>
      <w:r>
        <w:t>MODIFICADO DE PROYECTO DE REFORMA Y LEGALIZACIÓN DE A.P. EN</w:t>
      </w:r>
      <w:r>
        <w:t xml:space="preserve"> C/ BATAYOLA: 751.731,58€. </w:t>
      </w:r>
    </w:p>
    <w:p w:rsidR="00E302EC" w:rsidRDefault="00FC4F28">
      <w:pPr>
        <w:numPr>
          <w:ilvl w:val="0"/>
          <w:numId w:val="12"/>
        </w:numPr>
        <w:spacing w:after="27"/>
        <w:ind w:right="184" w:hanging="283"/>
      </w:pPr>
      <w:r>
        <w:t xml:space="preserve">MODIFICADO DE PROYECTO DE REFORMA Y LEGALIZACIÓN DE A.P. EN LAS </w:t>
      </w:r>
    </w:p>
    <w:p w:rsidR="00E302EC" w:rsidRDefault="00FC4F28">
      <w:pPr>
        <w:spacing w:after="111"/>
        <w:ind w:left="822" w:right="184"/>
      </w:pPr>
      <w:r>
        <w:t xml:space="preserve">CALETILLAS: 319.086,27€. </w:t>
      </w:r>
    </w:p>
    <w:p w:rsidR="00E302EC" w:rsidRDefault="00FC4F28">
      <w:pPr>
        <w:spacing w:after="113" w:line="259" w:lineRule="auto"/>
        <w:ind w:left="284" w:firstLine="0"/>
        <w:jc w:val="left"/>
      </w:pPr>
      <w:r>
        <w:t xml:space="preserve"> </w:t>
      </w:r>
    </w:p>
    <w:p w:rsidR="00E302EC" w:rsidRDefault="00FC4F28">
      <w:pPr>
        <w:spacing w:after="141"/>
        <w:ind w:left="269" w:right="184" w:firstLine="720"/>
      </w:pPr>
      <w:r>
        <w:t xml:space="preserve">Siendo un gasto específico y determinado ante la imposibilidad de demorarlo a ejercicios posteriores, y no habiendo crédito suficiente en las aplicaciónes presupuestarias. </w:t>
      </w:r>
    </w:p>
    <w:p w:rsidR="00E302EC" w:rsidRDefault="00FC4F28">
      <w:pPr>
        <w:spacing w:after="131" w:line="259" w:lineRule="auto"/>
        <w:ind w:left="992" w:firstLine="0"/>
        <w:jc w:val="left"/>
      </w:pPr>
      <w:r>
        <w:t xml:space="preserve"> </w:t>
      </w:r>
    </w:p>
    <w:p w:rsidR="00E302EC" w:rsidRDefault="00FC4F28">
      <w:pPr>
        <w:spacing w:after="140" w:line="259" w:lineRule="auto"/>
        <w:ind w:left="992"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6121" name="Group 22612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896" name="Rectangle 289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7MT23JRFLY7JHEN56D753ZS5Q | Verificación: https://candelaria.</w:t>
                              </w:r>
                              <w:r>
                                <w:rPr>
                                  <w:sz w:val="12"/>
                                </w:rPr>
                                <w:t xml:space="preserve">sedelectronica.es/ </w:t>
                              </w:r>
                            </w:p>
                          </w:txbxContent>
                        </wps:txbx>
                        <wps:bodyPr horzOverflow="overflow" vert="horz" lIns="0" tIns="0" rIns="0" bIns="0" rtlCol="0">
                          <a:noAutofit/>
                        </wps:bodyPr>
                      </wps:wsp>
                      <wps:wsp>
                        <wps:cNvPr id="2897" name="Rectangle 289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6121" style="width:12.7031pt;height:273.276pt;position:absolute;mso-position-horizontal-relative:page;mso-position-horizontal:absolute;margin-left:682.278pt;mso-position-vertical-relative:page;margin-top:538.644pt;" coordsize="1613,34706">
                <v:rect id="Rectangle 289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89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159 </w:t>
                        </w:r>
                      </w:p>
                    </w:txbxContent>
                  </v:textbox>
                </v:rect>
                <w10:wrap type="square"/>
              </v:group>
            </w:pict>
          </mc:Fallback>
        </mc:AlternateContent>
      </w:r>
      <w:r>
        <w:t xml:space="preserve"> </w:t>
      </w:r>
    </w:p>
    <w:p w:rsidR="00E302EC" w:rsidRDefault="00FC4F28">
      <w:pPr>
        <w:spacing w:after="112" w:line="248" w:lineRule="auto"/>
        <w:ind w:left="279" w:right="183"/>
      </w:pPr>
      <w:r>
        <w:rPr>
          <w:b/>
        </w:rPr>
        <w:t>SE PROPONE:</w:t>
      </w:r>
      <w:r>
        <w:rPr>
          <w:rFonts w:ascii="Times New Roman" w:eastAsia="Times New Roman" w:hAnsi="Times New Roman" w:cs="Times New Roman"/>
          <w:sz w:val="24"/>
        </w:rPr>
        <w:t xml:space="preserve"> </w:t>
      </w:r>
    </w:p>
    <w:p w:rsidR="00E302EC" w:rsidRDefault="00FC4F28">
      <w:pPr>
        <w:spacing w:line="249" w:lineRule="auto"/>
        <w:ind w:left="279" w:right="184"/>
        <w:jc w:val="left"/>
      </w:pPr>
      <w:r>
        <w:t xml:space="preserve">Único: Tramitar expediente </w:t>
      </w:r>
      <w:r>
        <w:rPr>
          <w:b/>
        </w:rPr>
        <w:t>2655/2022</w:t>
      </w:r>
      <w:r>
        <w:t xml:space="preserve"> de modificación presupuestaria por </w:t>
      </w:r>
      <w:r>
        <w:rPr>
          <w:b/>
        </w:rPr>
        <w:t xml:space="preserve">Créditos extraordinarios </w:t>
      </w:r>
      <w:r>
        <w:t xml:space="preserve">financiado con Remanente de </w:t>
      </w:r>
      <w:r>
        <w:t>Tesorería para gastos generales, por una cantidad total de</w:t>
      </w:r>
      <w:r>
        <w:rPr>
          <w:b/>
        </w:rPr>
        <w:t xml:space="preserve"> 1.348.216,10 euros</w:t>
      </w:r>
      <w:r>
        <w:t xml:space="preserve">, de acuerdo al siguiente detalle: </w:t>
      </w:r>
      <w:r>
        <w:rPr>
          <w:b/>
        </w:rPr>
        <w:t xml:space="preserve">Estados de gastos </w:t>
      </w:r>
    </w:p>
    <w:tbl>
      <w:tblPr>
        <w:tblStyle w:val="TableGrid"/>
        <w:tblW w:w="8645" w:type="dxa"/>
        <w:tblInd w:w="354" w:type="dxa"/>
        <w:tblCellMar>
          <w:top w:w="5" w:type="dxa"/>
          <w:left w:w="71" w:type="dxa"/>
          <w:bottom w:w="0" w:type="dxa"/>
          <w:right w:w="8" w:type="dxa"/>
        </w:tblCellMar>
        <w:tblLook w:val="04A0" w:firstRow="1" w:lastRow="0" w:firstColumn="1" w:lastColumn="0" w:noHBand="0" w:noVBand="1"/>
      </w:tblPr>
      <w:tblGrid>
        <w:gridCol w:w="1199"/>
        <w:gridCol w:w="1208"/>
        <w:gridCol w:w="4950"/>
        <w:gridCol w:w="1288"/>
      </w:tblGrid>
      <w:tr w:rsidR="00E302EC">
        <w:trPr>
          <w:trHeight w:val="514"/>
        </w:trPr>
        <w:tc>
          <w:tcPr>
            <w:tcW w:w="1199"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center"/>
            </w:pPr>
            <w:r>
              <w:rPr>
                <w:b/>
              </w:rPr>
              <w:t xml:space="preserve">Proyecto gasto </w:t>
            </w:r>
          </w:p>
        </w:tc>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2"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58" w:firstLine="0"/>
              <w:jc w:val="center"/>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60" w:firstLine="0"/>
              <w:jc w:val="center"/>
            </w:pPr>
            <w:r>
              <w:rPr>
                <w:b/>
              </w:rPr>
              <w:t xml:space="preserve">Importe </w:t>
            </w:r>
          </w:p>
        </w:tc>
      </w:tr>
      <w:tr w:rsidR="00E302EC">
        <w:trPr>
          <w:trHeight w:val="517"/>
        </w:trPr>
        <w:tc>
          <w:tcPr>
            <w:tcW w:w="1199"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70" w:firstLine="0"/>
              <w:jc w:val="left"/>
            </w:pPr>
            <w:r>
              <w:t xml:space="preserve">P.22.2.16 </w:t>
            </w:r>
          </w:p>
        </w:tc>
        <w:tc>
          <w:tcPr>
            <w:tcW w:w="12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16500.619 00 </w:t>
            </w:r>
          </w:p>
        </w:tc>
        <w:tc>
          <w:tcPr>
            <w:tcW w:w="49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Reforma Alumbrado Público en C/ La Puntita, C/ Batayola y Las Caletillas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1199"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6158" w:type="dxa"/>
            <w:gridSpan w:val="2"/>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2155"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39" w:line="259" w:lineRule="auto"/>
        <w:ind w:left="1484" w:firstLine="0"/>
        <w:jc w:val="left"/>
      </w:pPr>
      <w:r>
        <w:rPr>
          <w:b/>
        </w:rPr>
        <w:t xml:space="preserve"> </w:t>
      </w:r>
      <w:r>
        <w:t xml:space="preserve"> </w:t>
      </w:r>
      <w:r>
        <w:tab/>
        <w:t xml:space="preserve"> </w:t>
      </w:r>
      <w:r>
        <w:tab/>
        <w:t xml:space="preserve"> </w:t>
      </w:r>
    </w:p>
    <w:p w:rsidR="00E302EC" w:rsidRDefault="00FC4F28">
      <w:pPr>
        <w:pStyle w:val="Ttulo1"/>
        <w:ind w:left="107" w:right="786"/>
      </w:pPr>
      <w:r>
        <w:t xml:space="preserve">Estados de Ingresos </w:t>
      </w:r>
    </w:p>
    <w:tbl>
      <w:tblPr>
        <w:tblStyle w:val="TableGrid"/>
        <w:tblW w:w="8645" w:type="dxa"/>
        <w:tblInd w:w="354" w:type="dxa"/>
        <w:tblCellMar>
          <w:top w:w="9" w:type="dxa"/>
          <w:left w:w="71" w:type="dxa"/>
          <w:bottom w:w="0" w:type="dxa"/>
          <w:right w:w="8" w:type="dxa"/>
        </w:tblCellMar>
        <w:tblLook w:val="04A0" w:firstRow="1" w:lastRow="0" w:firstColumn="1" w:lastColumn="0" w:noHBand="0" w:noVBand="1"/>
      </w:tblPr>
      <w:tblGrid>
        <w:gridCol w:w="2407"/>
        <w:gridCol w:w="4950"/>
        <w:gridCol w:w="1288"/>
      </w:tblGrid>
      <w:tr w:rsidR="00E302EC">
        <w:trPr>
          <w:trHeight w:val="314"/>
        </w:trPr>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63"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left"/>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59" w:firstLine="0"/>
              <w:jc w:val="center"/>
            </w:pPr>
            <w:r>
              <w:rPr>
                <w:b/>
              </w:rPr>
              <w:t xml:space="preserve">Importe </w:t>
            </w:r>
          </w:p>
        </w:tc>
      </w:tr>
      <w:tr w:rsidR="00E302EC">
        <w:trPr>
          <w:trHeight w:val="517"/>
        </w:trPr>
        <w:tc>
          <w:tcPr>
            <w:tcW w:w="2407"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0" w:firstLine="0"/>
              <w:jc w:val="center"/>
            </w:pPr>
            <w:r>
              <w:t xml:space="preserve">870.00 </w:t>
            </w:r>
          </w:p>
        </w:tc>
        <w:tc>
          <w:tcPr>
            <w:tcW w:w="4950"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firstLine="0"/>
              <w:jc w:val="left"/>
            </w:pPr>
            <w:r>
              <w:t xml:space="preserve">Remanente de Tesorería para gastos generales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9"/>
        </w:trPr>
        <w:tc>
          <w:tcPr>
            <w:tcW w:w="2407"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4950"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946"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63"/>
        <w:ind w:left="279" w:right="184"/>
      </w:pPr>
      <w:r>
        <w:t xml:space="preserve">…/…” </w:t>
      </w:r>
    </w:p>
    <w:p w:rsidR="00E302EC" w:rsidRDefault="00FC4F28">
      <w:pPr>
        <w:spacing w:after="0" w:line="259" w:lineRule="auto"/>
        <w:ind w:left="992" w:firstLine="0"/>
        <w:jc w:val="left"/>
      </w:pPr>
      <w:r>
        <w:t xml:space="preserve"> </w:t>
      </w:r>
    </w:p>
    <w:p w:rsidR="00E302EC" w:rsidRDefault="00FC4F28">
      <w:pPr>
        <w:spacing w:after="165"/>
        <w:ind w:left="279" w:right="184"/>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E302EC" w:rsidRDefault="00FC4F28">
      <w:pPr>
        <w:ind w:left="279" w:right="184"/>
      </w:pPr>
      <w:r>
        <w:rPr>
          <w:b/>
        </w:rPr>
        <w:t xml:space="preserve">PRIMERO. </w:t>
      </w:r>
      <w:r>
        <w:t>Visto Acuerdo del Congreso de los Diputados del 20 de o</w:t>
      </w:r>
      <w:r>
        <w:t>ctubre de 2020, aprobado por mayoría absoluta, ha apreciado, por mayoría absoluta de sus miembros, que se da una situación de emergencia extraordinaria que motiva la suspensión de las reglas fiscales, requisito que establece el artículo 11.3 de la LOEPSF.</w:t>
      </w:r>
      <w:r>
        <w:rPr>
          <w:rFonts w:ascii="Verdana" w:eastAsia="Verdana" w:hAnsi="Verdana" w:cs="Verdana"/>
          <w:sz w:val="24"/>
        </w:rPr>
        <w:t xml:space="preserve"> </w:t>
      </w:r>
    </w:p>
    <w:p w:rsidR="00E302EC" w:rsidRDefault="00FC4F28">
      <w:pPr>
        <w:spacing w:after="45"/>
        <w:ind w:left="279" w:right="184"/>
      </w:pPr>
      <w:r>
        <w:t xml:space="preserve"> Atendiendo al acuerdo del Consejo de Ministros de 6 de octubre de 2020, mediante el que se acuerda: </w:t>
      </w:r>
    </w:p>
    <w:p w:rsidR="00E302EC" w:rsidRDefault="00FC4F28">
      <w:pPr>
        <w:numPr>
          <w:ilvl w:val="0"/>
          <w:numId w:val="13"/>
        </w:numPr>
        <w:ind w:right="184" w:hanging="360"/>
      </w:pPr>
      <w:r>
        <w:t xml:space="preserve">“Solicitar del Congreso de los Diputados la apreciación de que en España estamos sufriendo una pandemia, lo que supone una situación de emergencia extraordinaria que se ajusta a lo dispuesto en el artículo 135.4 de la Constitución y en el artículo 11.3 de </w:t>
      </w:r>
      <w:r>
        <w:t xml:space="preserve">la Ley Orgánica de Estabilidad Presupuestaria y Sostenibilidad Financiera”.  </w:t>
      </w:r>
    </w:p>
    <w:p w:rsidR="00E302EC" w:rsidRDefault="00FC4F28">
      <w:pPr>
        <w:numPr>
          <w:ilvl w:val="0"/>
          <w:numId w:val="13"/>
        </w:numPr>
        <w:ind w:right="184" w:hanging="360"/>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2615" name="Group 22261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3019" name="Rectangle 301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3020" name="Rectangle 302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Gestiona |</w:t>
                              </w:r>
                              <w:r>
                                <w:rPr>
                                  <w:sz w:val="12"/>
                                </w:rPr>
                                <w:t xml:space="preserve"> Página 20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2615" style="width:12.7031pt;height:273.276pt;position:absolute;mso-position-horizontal-relative:page;mso-position-horizontal:absolute;margin-left:682.278pt;mso-position-vertical-relative:page;margin-top:538.644pt;" coordsize="1613,34706">
                <v:rect id="Rectangle 301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302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159 </w:t>
                        </w:r>
                      </w:p>
                    </w:txbxContent>
                  </v:textbox>
                </v:rect>
                <w10:wrap type="square"/>
              </v:group>
            </w:pict>
          </mc:Fallback>
        </mc:AlternateContent>
      </w:r>
      <w:r>
        <w:t>“Quedan suspendidos el Acuerdo de Consejo de Ministros de 11 de febrero de 2020 por el que se adecúan los objetivos de estabilidad presupuestaria y de deuda pública para el conjunto de Administraciones Públicas y de cada uno de sus subse</w:t>
      </w:r>
      <w:r>
        <w:t>ctores para el año 2020 para su remisión a las Cortes Generales, y se fija el límite de gasto no financiero del presupuesto del Estado para 2020, así como el Acuerdo de Consejo de Ministros de 11 de febrero de 2020 por el que se fijan los objetivos de esta</w:t>
      </w:r>
      <w:r>
        <w:t>bilidad presupuestaria y de deuda pública para el conjunto de Administraciones Públicas y de cada uno de sus subsectores para el período 2021-2023 para su remisión a las Cortes Generales, y el límite de gasto no financiero del presupuesto del Estado para 2</w:t>
      </w:r>
      <w:r>
        <w:t xml:space="preserve">021.  </w:t>
      </w:r>
    </w:p>
    <w:p w:rsidR="00E302EC" w:rsidRDefault="00FC4F28">
      <w:pPr>
        <w:spacing w:after="38" w:line="259" w:lineRule="auto"/>
        <w:ind w:left="284" w:firstLine="0"/>
        <w:jc w:val="left"/>
      </w:pPr>
      <w:r>
        <w:t xml:space="preserve"> </w:t>
      </w:r>
    </w:p>
    <w:p w:rsidR="00E302EC" w:rsidRDefault="00FC4F28">
      <w:pPr>
        <w:spacing w:after="52"/>
        <w:ind w:left="279" w:right="184"/>
      </w:pPr>
      <w:r>
        <w:t xml:space="preserve"> Por tanto, los objetivos de estabilidad y de deuda pública, y la regla de gasto, aprobados por el Gobierno el 11 de febrero de 2020 son inaplicables al aprobar éste su suspensión para el 2020 y el 2021. </w:t>
      </w:r>
    </w:p>
    <w:p w:rsidR="00E302EC" w:rsidRDefault="00FC4F28">
      <w:pPr>
        <w:spacing w:after="52"/>
        <w:ind w:left="269" w:right="184" w:firstLine="708"/>
      </w:pPr>
      <w:r>
        <w:t>La suspensión de las reglas fiscales ha su</w:t>
      </w:r>
      <w:r>
        <w:t>puesto que el superávit no tenga que dedicarse a amortizar deuda, aun siendo posible realizar esta amortización si la EELL lo considera. La regla del artículo 32 de la LOEPSF puede no aplicarse a partir del momento en que se han suspendido las reglas fisca</w:t>
      </w:r>
      <w:r>
        <w:t xml:space="preserve">les, ya que estas son el fundamento de aquella regla. Regla que conecta con el objetivo de estabilidad presupuestaria y con el de deuda pública.  </w:t>
      </w:r>
    </w:p>
    <w:p w:rsidR="00E302EC" w:rsidRDefault="00FC4F28">
      <w:pPr>
        <w:spacing w:after="164"/>
        <w:ind w:left="279" w:right="184"/>
      </w:pPr>
      <w:r>
        <w:t xml:space="preserve"> </w:t>
      </w:r>
      <w:r>
        <w:t xml:space="preserve">Al no ser aplicable la regla general, tampoco es necesaria la regla especial de destinar el superávit a inversiones financieramente sostenibles, salvo las excepciones siguientes, o mediante norma posterior que prorrogue íntegramente la DA 6ª de la LOEPSF. </w:t>
      </w:r>
    </w:p>
    <w:p w:rsidR="00E302EC" w:rsidRDefault="00FC4F28">
      <w:pPr>
        <w:spacing w:after="33"/>
        <w:ind w:left="279" w:right="184"/>
      </w:pPr>
      <w:r>
        <w:rPr>
          <w:b/>
        </w:rPr>
        <w:t>SEGUNDO</w:t>
      </w:r>
      <w:r>
        <w:t>. La legislación aplicable es la siguiente:</w:t>
      </w:r>
      <w:r>
        <w:rPr>
          <w:rFonts w:ascii="Times New Roman" w:eastAsia="Times New Roman" w:hAnsi="Times New Roman" w:cs="Times New Roman"/>
          <w:sz w:val="24"/>
        </w:rPr>
        <w:t xml:space="preserve"> </w:t>
      </w:r>
    </w:p>
    <w:p w:rsidR="00E302EC" w:rsidRDefault="00FC4F28">
      <w:pPr>
        <w:numPr>
          <w:ilvl w:val="0"/>
          <w:numId w:val="14"/>
        </w:numPr>
        <w:spacing w:after="50" w:line="251" w:lineRule="auto"/>
        <w:ind w:right="184" w:hanging="360"/>
      </w:pPr>
      <w:r>
        <w:t xml:space="preserve">Los artículos 169, 170 y 172 a 177 del Real Decreto Legislativo 2/2004, de 5 de marzo, por el que se aprueba el Texto Refundido de la Ley Reguladora de las Haciendas Locales.  </w:t>
      </w:r>
    </w:p>
    <w:p w:rsidR="00E302EC" w:rsidRDefault="00FC4F28">
      <w:pPr>
        <w:numPr>
          <w:ilvl w:val="0"/>
          <w:numId w:val="14"/>
        </w:numPr>
        <w:spacing w:after="53" w:line="249" w:lineRule="auto"/>
        <w:ind w:right="184" w:hanging="360"/>
      </w:pPr>
      <w:r>
        <w:t xml:space="preserve">Los artículos 34 a 38 del Real Decreto 500/1990, de 20 de abril, por el que se desarrolla el Capítulo I, del Título VI, de la Ley 39/1988, de 28 de diciembre, Reguladora de las Haciendas Locales, en materia de presupuestos. </w:t>
      </w:r>
    </w:p>
    <w:p w:rsidR="00E302EC" w:rsidRDefault="00FC4F28">
      <w:pPr>
        <w:numPr>
          <w:ilvl w:val="0"/>
          <w:numId w:val="14"/>
        </w:numPr>
        <w:ind w:right="184" w:hanging="360"/>
      </w:pPr>
      <w:r>
        <w:t>Los artículos 3, 4, 11, 12, 13,</w:t>
      </w:r>
      <w:r>
        <w:t xml:space="preserve"> 21, 23 y 32 de la Ley Orgánica 2/2012, de 27 de abril, de Estabilidad Presupuestaria y Sostenibilidad Financiera.  </w:t>
      </w:r>
    </w:p>
    <w:p w:rsidR="00E302EC" w:rsidRDefault="00FC4F28">
      <w:pPr>
        <w:numPr>
          <w:ilvl w:val="0"/>
          <w:numId w:val="14"/>
        </w:numPr>
        <w:spacing w:after="52"/>
        <w:ind w:right="184" w:hanging="360"/>
      </w:pPr>
      <w:r>
        <w:t xml:space="preserve">El artículo 16.2 del Real Decreto 1463/2007, de 2 de noviembre, por el que se aprueba el Reglamento de Desarrollo de la Ley 18/2001, de 12 </w:t>
      </w:r>
      <w:r>
        <w:t xml:space="preserve">de noviembre, de Estabilidad Presupuestaria, en su Aplicación a las Entidades Locales. </w:t>
      </w:r>
    </w:p>
    <w:p w:rsidR="00E302EC" w:rsidRDefault="00FC4F28">
      <w:pPr>
        <w:numPr>
          <w:ilvl w:val="0"/>
          <w:numId w:val="14"/>
        </w:numPr>
        <w:spacing w:after="51"/>
        <w:ind w:right="184" w:hanging="360"/>
      </w:pPr>
      <w:r>
        <w:t xml:space="preserve">El artículo 22.2.e) de la Ley 7/1985, de 2 de abril, Reguladora de las Bases del Régimen Local. </w:t>
      </w:r>
    </w:p>
    <w:p w:rsidR="00E302EC" w:rsidRDefault="00FC4F28">
      <w:pPr>
        <w:numPr>
          <w:ilvl w:val="0"/>
          <w:numId w:val="14"/>
        </w:numPr>
        <w:spacing w:after="88"/>
        <w:ind w:right="184" w:hanging="360"/>
      </w:pPr>
      <w:r>
        <w:t>La Disposición Adicional 6.ª de la Ley Orgánica 2/2012, de 27 de abril,</w:t>
      </w:r>
      <w:r>
        <w:t xml:space="preserve"> de Estabilidad Presupuestaria y Sostenibilidad Financiera. </w:t>
      </w:r>
    </w:p>
    <w:p w:rsidR="00E302EC" w:rsidRDefault="00FC4F28">
      <w:pPr>
        <w:numPr>
          <w:ilvl w:val="0"/>
          <w:numId w:val="14"/>
        </w:numPr>
        <w:spacing w:after="35"/>
        <w:ind w:right="184" w:hanging="360"/>
      </w:pPr>
      <w:r>
        <w:t>La Orden EHA/3565/2008, de 3 de diciembre, por la que se aprueba la estructura de presupuestos de las entidades locales. - Resolución de 14 de septiembre de 2009, de la Dirección General de Coord</w:t>
      </w:r>
      <w:r>
        <w:t>inación Financiera con las Comunidades Autónomas y con las Entidades Locales, por la que se Dictan Medidas para el Desarrollo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E302EC" w:rsidRDefault="00FC4F28">
      <w:pPr>
        <w:numPr>
          <w:ilvl w:val="0"/>
          <w:numId w:val="14"/>
        </w:numPr>
        <w:spacing w:after="51"/>
        <w:ind w:right="184" w:hanging="360"/>
      </w:pPr>
      <w:r>
        <w:t>L</w:t>
      </w:r>
      <w:r>
        <w:t xml:space="preserve">a Disposición Adicional 16.ª del Texto Refundido de la Ley Reguladora de las Haciendas Locales.  </w:t>
      </w:r>
    </w:p>
    <w:p w:rsidR="00E302EC" w:rsidRDefault="00FC4F28">
      <w:pPr>
        <w:numPr>
          <w:ilvl w:val="0"/>
          <w:numId w:val="14"/>
        </w:numPr>
        <w:ind w:right="184" w:hanging="360"/>
      </w:pPr>
      <w:r>
        <w:t xml:space="preserve">Acuerdo del Congreso de los Diputados del 13 de octubre de 2020, relativo al Objetivo de </w:t>
      </w:r>
    </w:p>
    <w:p w:rsidR="00E302EC" w:rsidRDefault="00FC4F28">
      <w:pPr>
        <w:spacing w:after="149"/>
        <w:ind w:left="1006" w:right="184"/>
      </w:pPr>
      <w:r>
        <w:t>Estabilidad Presupuestaria, según acuerdo del Consejo de Ministros d</w:t>
      </w:r>
      <w:r>
        <w:t>e 6 de octubre de 2020 de “Someter a la deliberación del Pleno, a los efectos previstos en los artículos 135.4 de la Constitución y 11.3 de la Ley Orgánica 2/2012, de 27 de abril, de Estabilidad Presupuestaria y Sostenibilidad Financiera y publicar en el B</w:t>
      </w:r>
      <w:r>
        <w:t xml:space="preserve">oletín Oficial de las Cortes Generales.”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2758" name="Group 22275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3153" name="Rectangle 315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3154" name="Rectangle 315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2758" style="width:12.7031pt;height:273.276pt;position:absolute;mso-position-horizontal-relative:page;mso-position-horizontal:absolute;margin-left:682.278pt;mso-position-vertical-relative:page;margin-top:538.644pt;" coordsize="1613,34706">
                <v:rect id="Rectangle 315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315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159 </w:t>
                        </w:r>
                      </w:p>
                    </w:txbxContent>
                  </v:textbox>
                </v:rect>
                <w10:wrap type="square"/>
              </v:group>
            </w:pict>
          </mc:Fallback>
        </mc:AlternateContent>
      </w:r>
      <w:r>
        <w:rPr>
          <w:b/>
        </w:rPr>
        <w:t>TERCERO</w:t>
      </w:r>
      <w:r>
        <w:t>: Considerando que el artículo 177 del Real Decreto Legislativo 2/2004, de 5 de marzo, por el que se aprueba el texto refundido de la Ley Reguladora de las Haciendas Locales, regula los expedientes de modificación presupuestaria mediante créditos extraordi</w:t>
      </w:r>
      <w:r>
        <w:t>narios y suplementos de crédito, al señalar que:</w:t>
      </w:r>
      <w:r>
        <w:rPr>
          <w:rFonts w:ascii="Times New Roman" w:eastAsia="Times New Roman" w:hAnsi="Times New Roman" w:cs="Times New Roman"/>
          <w:sz w:val="24"/>
        </w:rPr>
        <w:t xml:space="preserve"> </w:t>
      </w:r>
    </w:p>
    <w:p w:rsidR="00E302EC" w:rsidRDefault="00FC4F28">
      <w:pPr>
        <w:numPr>
          <w:ilvl w:val="0"/>
          <w:numId w:val="15"/>
        </w:numPr>
        <w:ind w:right="184" w:hanging="360"/>
      </w:pPr>
      <w:r>
        <w:t>Cuando haya de realizarse algún gasto que no pueda demorarse hasta el ejercicio siguiente, y sea insuficiente en el presupuesto de la corporación el crédito consignado, el presidente de la corporación orden</w:t>
      </w:r>
      <w:r>
        <w:t xml:space="preserve">ará la incoación del expediente de suplemento de crédito.  </w:t>
      </w:r>
    </w:p>
    <w:p w:rsidR="00E302EC" w:rsidRDefault="00FC4F28">
      <w:pPr>
        <w:numPr>
          <w:ilvl w:val="0"/>
          <w:numId w:val="15"/>
        </w:numPr>
        <w:ind w:right="184" w:hanging="360"/>
      </w:pPr>
      <w:r>
        <w:t>El expediente, que habrá de ser previamente informado por la Intervención, se someterá a la aprobación del Pleno de la corporación, con sujeción a los mismos trámites y requisitos que los presupue</w:t>
      </w:r>
      <w:r>
        <w:t xml:space="preserve">stos. Serán, asimismo, de aplicación, las normas sobre información, reclamación y publicidad de los presupuestos a que se refiere el artículo 169 de esta ley.  </w:t>
      </w:r>
    </w:p>
    <w:p w:rsidR="00E302EC" w:rsidRDefault="00FC4F28">
      <w:pPr>
        <w:numPr>
          <w:ilvl w:val="0"/>
          <w:numId w:val="15"/>
        </w:numPr>
        <w:spacing w:after="42"/>
        <w:ind w:right="184" w:hanging="360"/>
      </w:pPr>
      <w:r>
        <w:t xml:space="preserve">El expediente deberá especificar la concreta partida presupuestaria a incrementar y el medio o </w:t>
      </w:r>
      <w:r>
        <w:t xml:space="preserve">recurso que ha de financiar el aumento que se propone. </w:t>
      </w:r>
    </w:p>
    <w:p w:rsidR="00E302EC" w:rsidRDefault="00FC4F28">
      <w:pPr>
        <w:numPr>
          <w:ilvl w:val="0"/>
          <w:numId w:val="15"/>
        </w:numPr>
        <w:ind w:right="184" w:hanging="360"/>
      </w:pPr>
      <w:r>
        <w:t>Dicho aumento se financiará con cargo al remanente líquido de tesorería, con nuevos o mayores ingresos recaudados sobre los totales previstos en el presupuesto corriente, y mediante anulaciones o baja</w:t>
      </w:r>
      <w:r>
        <w:t>s de créditos de gastos de otras partidas del presupuesto vigente no comprometidos, cuyas dotaciones se estimen reducibles sin perturbación del respectivo servicio. En el expediente se acreditará que los ingresos previstos en el presupuesto vengan efectuán</w:t>
      </w:r>
      <w:r>
        <w:t xml:space="preserve">dose con normalidad, salvo que aquéllos tengan carácter finalista.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CUARTO:</w:t>
      </w:r>
      <w:r>
        <w:t xml:space="preserve"> Vista la Liquidación del Presupuesto general 2021, aprobada por decreto 597/2022 de 16/03/2021, donde se aprueba un Remanente de Tesorería para gastos Generales (RTGG) por un im</w:t>
      </w:r>
      <w:r>
        <w:t>porte de 18.482.024,15€.</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138"/>
        <w:ind w:left="279" w:right="184"/>
      </w:pPr>
      <w:r>
        <w:rPr>
          <w:b/>
        </w:rPr>
        <w:t>QUINTO:</w:t>
      </w:r>
      <w:r>
        <w:t xml:space="preserve"> Que el expediente de modificación presupuestaria </w:t>
      </w:r>
      <w:r>
        <w:rPr>
          <w:b/>
        </w:rPr>
        <w:t>nº 2655/2022</w:t>
      </w:r>
      <w:r>
        <w:t xml:space="preserve"> de modificación presupuestaria por </w:t>
      </w:r>
      <w:r>
        <w:rPr>
          <w:b/>
        </w:rPr>
        <w:t xml:space="preserve">Créditos extraordinarios </w:t>
      </w:r>
      <w:r>
        <w:t>financiado con Remanente de Tesorería para gastos generales, por una cantidad total de</w:t>
      </w:r>
      <w:r>
        <w:rPr>
          <w:b/>
        </w:rPr>
        <w:t xml:space="preserve"> 1.348.216,1</w:t>
      </w:r>
      <w:r>
        <w:rPr>
          <w:b/>
        </w:rPr>
        <w:t>0 euros</w:t>
      </w:r>
      <w:r>
        <w:t xml:space="preserve">, se apruebe de acuerdo al siguiente detalle: </w:t>
      </w:r>
    </w:p>
    <w:p w:rsidR="00E302EC" w:rsidRDefault="00FC4F28">
      <w:pPr>
        <w:pStyle w:val="Ttulo1"/>
        <w:ind w:left="107" w:right="784"/>
      </w:pPr>
      <w:r>
        <w:t xml:space="preserve">Estados de gastos </w:t>
      </w:r>
    </w:p>
    <w:tbl>
      <w:tblPr>
        <w:tblStyle w:val="TableGrid"/>
        <w:tblW w:w="8645" w:type="dxa"/>
        <w:tblInd w:w="354" w:type="dxa"/>
        <w:tblCellMar>
          <w:top w:w="5" w:type="dxa"/>
          <w:left w:w="71" w:type="dxa"/>
          <w:bottom w:w="0" w:type="dxa"/>
          <w:right w:w="8" w:type="dxa"/>
        </w:tblCellMar>
        <w:tblLook w:val="04A0" w:firstRow="1" w:lastRow="0" w:firstColumn="1" w:lastColumn="0" w:noHBand="0" w:noVBand="1"/>
      </w:tblPr>
      <w:tblGrid>
        <w:gridCol w:w="1199"/>
        <w:gridCol w:w="1208"/>
        <w:gridCol w:w="4950"/>
        <w:gridCol w:w="1288"/>
      </w:tblGrid>
      <w:tr w:rsidR="00E302EC">
        <w:trPr>
          <w:trHeight w:val="514"/>
        </w:trPr>
        <w:tc>
          <w:tcPr>
            <w:tcW w:w="1199"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center"/>
            </w:pPr>
            <w:r>
              <w:rPr>
                <w:b/>
              </w:rPr>
              <w:t xml:space="preserve">Proyecto gasto </w:t>
            </w:r>
          </w:p>
        </w:tc>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2"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58" w:firstLine="0"/>
              <w:jc w:val="center"/>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59" w:firstLine="0"/>
              <w:jc w:val="center"/>
            </w:pPr>
            <w:r>
              <w:rPr>
                <w:b/>
              </w:rPr>
              <w:t xml:space="preserve">Importe </w:t>
            </w:r>
          </w:p>
        </w:tc>
      </w:tr>
      <w:tr w:rsidR="00E302EC">
        <w:trPr>
          <w:trHeight w:val="518"/>
        </w:trPr>
        <w:tc>
          <w:tcPr>
            <w:tcW w:w="1199"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70" w:firstLine="0"/>
              <w:jc w:val="left"/>
            </w:pPr>
            <w:r>
              <w:t xml:space="preserve">P.22.2.16 </w:t>
            </w:r>
          </w:p>
        </w:tc>
        <w:tc>
          <w:tcPr>
            <w:tcW w:w="12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16500.619 00 </w:t>
            </w:r>
          </w:p>
        </w:tc>
        <w:tc>
          <w:tcPr>
            <w:tcW w:w="49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Reforma Alumbrado Público en C/ La Puntita, C/ Batayola y Las Caletillas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1199"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6158" w:type="dxa"/>
            <w:gridSpan w:val="2"/>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2155"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12" w:line="259" w:lineRule="auto"/>
        <w:ind w:left="1484" w:firstLine="0"/>
        <w:jc w:val="left"/>
      </w:pPr>
      <w:r>
        <w:rPr>
          <w:b/>
        </w:rPr>
        <w:t xml:space="preserve"> </w:t>
      </w:r>
      <w:r>
        <w:t xml:space="preserve"> </w:t>
      </w:r>
      <w:r>
        <w:tab/>
        <w:t xml:space="preserve"> </w:t>
      </w:r>
      <w:r>
        <w:tab/>
        <w:t xml:space="preserve"> </w:t>
      </w:r>
    </w:p>
    <w:p w:rsidR="00E302EC" w:rsidRDefault="00FC4F28">
      <w:pPr>
        <w:pStyle w:val="Ttulo1"/>
        <w:ind w:left="107" w:right="786"/>
      </w:pPr>
      <w:r>
        <w:t xml:space="preserve">Estados de Ingresos </w:t>
      </w:r>
    </w:p>
    <w:tbl>
      <w:tblPr>
        <w:tblStyle w:val="TableGrid"/>
        <w:tblW w:w="8645" w:type="dxa"/>
        <w:tblInd w:w="354" w:type="dxa"/>
        <w:tblCellMar>
          <w:top w:w="7" w:type="dxa"/>
          <w:left w:w="71" w:type="dxa"/>
          <w:bottom w:w="0" w:type="dxa"/>
          <w:right w:w="8" w:type="dxa"/>
        </w:tblCellMar>
        <w:tblLook w:val="04A0" w:firstRow="1" w:lastRow="0" w:firstColumn="1" w:lastColumn="0" w:noHBand="0" w:noVBand="1"/>
      </w:tblPr>
      <w:tblGrid>
        <w:gridCol w:w="2407"/>
        <w:gridCol w:w="4950"/>
        <w:gridCol w:w="1288"/>
      </w:tblGrid>
      <w:tr w:rsidR="00E302EC">
        <w:trPr>
          <w:trHeight w:val="314"/>
        </w:trPr>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63"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left"/>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59" w:firstLine="0"/>
              <w:jc w:val="center"/>
            </w:pPr>
            <w:r>
              <w:rPr>
                <w:b/>
              </w:rPr>
              <w:t xml:space="preserve">Importe </w:t>
            </w:r>
          </w:p>
        </w:tc>
      </w:tr>
      <w:tr w:rsidR="00E302EC">
        <w:trPr>
          <w:trHeight w:val="517"/>
        </w:trPr>
        <w:tc>
          <w:tcPr>
            <w:tcW w:w="2407"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0" w:firstLine="0"/>
              <w:jc w:val="center"/>
            </w:pPr>
            <w:r>
              <w:t xml:space="preserve">870.00 </w:t>
            </w:r>
          </w:p>
        </w:tc>
        <w:tc>
          <w:tcPr>
            <w:tcW w:w="4950"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firstLine="0"/>
              <w:jc w:val="left"/>
            </w:pPr>
            <w:r>
              <w:t xml:space="preserve">Remanente de Tesorería para gastos generales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2407"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4950"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946"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64"/>
        <w:ind w:left="279" w:right="184"/>
      </w:pPr>
      <w: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Este Concejal Delegado de Hacienda, PROPONE al Pleno la adopción del siguiente ACUERDO: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0268" name="Group 23026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3570" name="Rectangle 357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3571" name="Rectangle 3571"/>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0268" style="width:12.7031pt;height:273.276pt;position:absolute;mso-position-horizontal-relative:page;mso-position-horizontal:absolute;margin-left:682.278pt;mso-position-vertical-relative:page;margin-top:538.644pt;" coordsize="1613,34706">
                <v:rect id="Rectangle 357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3571"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159 </w:t>
                        </w:r>
                      </w:p>
                    </w:txbxContent>
                  </v:textbox>
                </v:rect>
                <w10:wrap type="square"/>
              </v:group>
            </w:pict>
          </mc:Fallback>
        </mc:AlternateContent>
      </w:r>
      <w:r>
        <w:rPr>
          <w:b/>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 xml:space="preserve">PRIMERO. - </w:t>
      </w:r>
      <w:r>
        <w:t xml:space="preserve">Aprobar expediente de modificación presupuestaria </w:t>
      </w:r>
      <w:r>
        <w:rPr>
          <w:b/>
        </w:rPr>
        <w:t>nº 2655/2022</w:t>
      </w:r>
      <w:r>
        <w:t xml:space="preserve"> de modificación presupuestaria por </w:t>
      </w:r>
      <w:r>
        <w:rPr>
          <w:b/>
        </w:rPr>
        <w:t>Créditos extraordinarios</w:t>
      </w:r>
      <w:r>
        <w:t xml:space="preserve"> financiado con Remanente</w:t>
      </w:r>
      <w:r>
        <w:t xml:space="preserve"> de Tesorería para gastos generales, por una cantidad total de </w:t>
      </w:r>
      <w:r>
        <w:rPr>
          <w:b/>
        </w:rPr>
        <w:t>1.348.216,10 euros</w:t>
      </w:r>
      <w:r>
        <w:t>, de acuerdo al siguiente detalle:</w:t>
      </w:r>
      <w:r>
        <w:rPr>
          <w:rFonts w:ascii="Times New Roman" w:eastAsia="Times New Roman" w:hAnsi="Times New Roman" w:cs="Times New Roman"/>
          <w:sz w:val="24"/>
        </w:rPr>
        <w:t xml:space="preserve"> </w:t>
      </w:r>
    </w:p>
    <w:p w:rsidR="00E302EC" w:rsidRDefault="00FC4F28">
      <w:pPr>
        <w:spacing w:after="2" w:line="259" w:lineRule="auto"/>
        <w:ind w:left="284" w:firstLine="0"/>
        <w:jc w:val="left"/>
      </w:pPr>
      <w:r>
        <w:t xml:space="preserve"> </w:t>
      </w:r>
    </w:p>
    <w:p w:rsidR="00E302EC" w:rsidRDefault="00FC4F28">
      <w:pPr>
        <w:pStyle w:val="Ttulo1"/>
        <w:ind w:left="107" w:right="784"/>
      </w:pPr>
      <w:r>
        <w:t xml:space="preserve">Estados de gastos </w:t>
      </w:r>
    </w:p>
    <w:tbl>
      <w:tblPr>
        <w:tblStyle w:val="TableGrid"/>
        <w:tblW w:w="8645" w:type="dxa"/>
        <w:tblInd w:w="354" w:type="dxa"/>
        <w:tblCellMar>
          <w:top w:w="5" w:type="dxa"/>
          <w:left w:w="71" w:type="dxa"/>
          <w:bottom w:w="0" w:type="dxa"/>
          <w:right w:w="8" w:type="dxa"/>
        </w:tblCellMar>
        <w:tblLook w:val="04A0" w:firstRow="1" w:lastRow="0" w:firstColumn="1" w:lastColumn="0" w:noHBand="0" w:noVBand="1"/>
      </w:tblPr>
      <w:tblGrid>
        <w:gridCol w:w="1199"/>
        <w:gridCol w:w="1208"/>
        <w:gridCol w:w="4950"/>
        <w:gridCol w:w="1288"/>
      </w:tblGrid>
      <w:tr w:rsidR="00E302EC">
        <w:trPr>
          <w:trHeight w:val="514"/>
        </w:trPr>
        <w:tc>
          <w:tcPr>
            <w:tcW w:w="1199"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center"/>
            </w:pPr>
            <w:r>
              <w:rPr>
                <w:b/>
              </w:rPr>
              <w:t xml:space="preserve">Proyecto gasto </w:t>
            </w:r>
          </w:p>
        </w:tc>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2"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58" w:firstLine="0"/>
              <w:jc w:val="center"/>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60" w:firstLine="0"/>
              <w:jc w:val="center"/>
            </w:pPr>
            <w:r>
              <w:rPr>
                <w:b/>
              </w:rPr>
              <w:t xml:space="preserve">Importe </w:t>
            </w:r>
          </w:p>
        </w:tc>
      </w:tr>
      <w:tr w:rsidR="00E302EC">
        <w:trPr>
          <w:trHeight w:val="518"/>
        </w:trPr>
        <w:tc>
          <w:tcPr>
            <w:tcW w:w="1199"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70" w:firstLine="0"/>
              <w:jc w:val="left"/>
            </w:pPr>
            <w:r>
              <w:t xml:space="preserve">P.22.2.16 </w:t>
            </w:r>
          </w:p>
        </w:tc>
        <w:tc>
          <w:tcPr>
            <w:tcW w:w="12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16500.619 00 </w:t>
            </w:r>
          </w:p>
        </w:tc>
        <w:tc>
          <w:tcPr>
            <w:tcW w:w="49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Reforma Alumbrado Público en C/ La Puntita, C/ Batayola y Las Caletillas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1199"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6158" w:type="dxa"/>
            <w:gridSpan w:val="2"/>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2155"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108" w:line="259" w:lineRule="auto"/>
        <w:ind w:left="1484" w:firstLine="0"/>
        <w:jc w:val="left"/>
      </w:pPr>
      <w:r>
        <w:rPr>
          <w:b/>
        </w:rPr>
        <w:t xml:space="preserve"> </w:t>
      </w:r>
      <w:r>
        <w:t xml:space="preserve"> </w:t>
      </w:r>
      <w:r>
        <w:tab/>
        <w:t xml:space="preserve"> </w:t>
      </w:r>
      <w:r>
        <w:tab/>
        <w:t xml:space="preserve"> </w:t>
      </w:r>
    </w:p>
    <w:p w:rsidR="00E302EC" w:rsidRDefault="00FC4F28">
      <w:pPr>
        <w:pStyle w:val="Ttulo1"/>
        <w:ind w:left="107" w:right="786"/>
      </w:pPr>
      <w:r>
        <w:t xml:space="preserve">Estados de Ingresos </w:t>
      </w:r>
    </w:p>
    <w:tbl>
      <w:tblPr>
        <w:tblStyle w:val="TableGrid"/>
        <w:tblW w:w="8645" w:type="dxa"/>
        <w:tblInd w:w="354" w:type="dxa"/>
        <w:tblCellMar>
          <w:top w:w="7" w:type="dxa"/>
          <w:left w:w="71" w:type="dxa"/>
          <w:bottom w:w="0" w:type="dxa"/>
          <w:right w:w="8" w:type="dxa"/>
        </w:tblCellMar>
        <w:tblLook w:val="04A0" w:firstRow="1" w:lastRow="0" w:firstColumn="1" w:lastColumn="0" w:noHBand="0" w:noVBand="1"/>
      </w:tblPr>
      <w:tblGrid>
        <w:gridCol w:w="2407"/>
        <w:gridCol w:w="4950"/>
        <w:gridCol w:w="1288"/>
      </w:tblGrid>
      <w:tr w:rsidR="00E302EC">
        <w:trPr>
          <w:trHeight w:val="314"/>
        </w:trPr>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63"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left"/>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59" w:firstLine="0"/>
              <w:jc w:val="center"/>
            </w:pPr>
            <w:r>
              <w:rPr>
                <w:b/>
              </w:rPr>
              <w:t xml:space="preserve">Importe </w:t>
            </w:r>
          </w:p>
        </w:tc>
      </w:tr>
      <w:tr w:rsidR="00E302EC">
        <w:trPr>
          <w:trHeight w:val="517"/>
        </w:trPr>
        <w:tc>
          <w:tcPr>
            <w:tcW w:w="2407"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0" w:firstLine="0"/>
              <w:jc w:val="center"/>
            </w:pPr>
            <w:r>
              <w:t xml:space="preserve">870.00 </w:t>
            </w:r>
          </w:p>
        </w:tc>
        <w:tc>
          <w:tcPr>
            <w:tcW w:w="4950"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firstLine="0"/>
              <w:jc w:val="left"/>
            </w:pPr>
            <w:r>
              <w:t xml:space="preserve">Remanente de Tesorería para gastos generales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2407"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4950"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946"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0" w:line="259" w:lineRule="auto"/>
        <w:ind w:left="284" w:firstLine="0"/>
        <w:jc w:val="left"/>
      </w:pPr>
      <w:r>
        <w:t xml:space="preserve"> </w:t>
      </w:r>
    </w:p>
    <w:p w:rsidR="00E302EC" w:rsidRDefault="00FC4F28">
      <w:pPr>
        <w:ind w:left="279" w:right="184"/>
      </w:pPr>
      <w:r>
        <w:rPr>
          <w:b/>
        </w:rPr>
        <w:t>SEGUNDO. -</w:t>
      </w:r>
      <w:r>
        <w:t xml:space="preserve"> 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r>
        <w:tab/>
        <w:t xml:space="preserve"> </w:t>
      </w:r>
    </w:p>
    <w:p w:rsidR="00E302EC" w:rsidRDefault="00FC4F28">
      <w:pPr>
        <w:spacing w:line="249" w:lineRule="auto"/>
        <w:ind w:left="279" w:right="184"/>
        <w:jc w:val="left"/>
      </w:pPr>
      <w:r>
        <w:rPr>
          <w:b/>
        </w:rPr>
        <w:t xml:space="preserve">TERCERO. - </w:t>
      </w:r>
      <w:r>
        <w:t xml:space="preserve">El expediente se considerará definitivamente aprobado si durante el citado plazo no se hubiesen presentado reclamaciones, en caso contrario el Pleno dispondrá de un mes para resolverlas. El expediente definitivamente aprobado, será insertado en el boletín </w:t>
      </w:r>
      <w:r>
        <w:t>oficial de la provincia.”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DICTAMEN FAVORABLE DE LA COMISIÓN INFORMATIVA DE HACIENDA, RECURSOS HUMANOS Y SERVICIOS GENERALES DE 28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4. </w:t>
      </w:r>
    </w:p>
    <w:p w:rsidR="00E302EC" w:rsidRDefault="00FC4F28">
      <w:pPr>
        <w:ind w:left="279" w:right="184"/>
      </w:pPr>
      <w:r>
        <w:t xml:space="preserve">Los 4 concejales del Grupo Socialista: Don Airam Pérez Chinea, Don Jorge Baute Delgado, Don José Francisco Pinto Ramos y Don Olegario Francisco Alonso Bello.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spacing w:after="0" w:line="259" w:lineRule="auto"/>
        <w:ind w:left="284" w:firstLine="0"/>
        <w:jc w:val="left"/>
      </w:pPr>
      <w:r>
        <w:t xml:space="preserve"> </w:t>
      </w:r>
    </w:p>
    <w:p w:rsidR="00E302EC" w:rsidRDefault="00FC4F28">
      <w:pPr>
        <w:numPr>
          <w:ilvl w:val="0"/>
          <w:numId w:val="16"/>
        </w:numPr>
        <w:ind w:right="184" w:hanging="184"/>
      </w:pPr>
      <w:r>
        <w:t>de la concejal del Grupo Popular, Doña Raquel Martín</w:t>
      </w:r>
      <w:r>
        <w:t xml:space="preserve"> Castro. </w:t>
      </w:r>
    </w:p>
    <w:p w:rsidR="00E302EC" w:rsidRDefault="00FC4F28">
      <w:pPr>
        <w:spacing w:after="0" w:line="259" w:lineRule="auto"/>
        <w:ind w:left="284" w:firstLine="0"/>
        <w:jc w:val="left"/>
      </w:pPr>
      <w:r>
        <w:t xml:space="preserve"> </w:t>
      </w:r>
    </w:p>
    <w:p w:rsidR="00E302EC" w:rsidRDefault="00FC4F28">
      <w:pPr>
        <w:numPr>
          <w:ilvl w:val="0"/>
          <w:numId w:val="16"/>
        </w:numPr>
        <w:ind w:right="184" w:hanging="184"/>
      </w:pPr>
      <w:r>
        <w:t xml:space="preserve">de los concejales del Grupo Mixto: Doña Lourdes del Carmen Mondéjar Rondón y Doña Alicia Mercedes Marrero Meneses.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2815" name="Group 22281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3702" name="Rectangle 370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3703" name="Rectangle 370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w:t>
                              </w:r>
                              <w:r>
                                <w:rPr>
                                  <w:sz w:val="12"/>
                                </w:rPr>
                                <w:t xml:space="preserve">nicamente desde la plataforma esPublico Gestiona | Página 23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2815" style="width:12.7031pt;height:273.276pt;position:absolute;mso-position-horizontal-relative:page;mso-position-horizontal:absolute;margin-left:682.278pt;mso-position-vertical-relative:page;margin-top:538.644pt;" coordsize="1613,34706">
                <v:rect id="Rectangle 370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370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159 </w:t>
                        </w:r>
                      </w:p>
                    </w:txbxContent>
                  </v:textbox>
                </v:rect>
                <w10:wrap type="square"/>
              </v:group>
            </w:pict>
          </mc:Fallback>
        </mc:AlternateContent>
      </w:r>
      <w: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3131" w:right="183"/>
      </w:pPr>
      <w:r>
        <w:rPr>
          <w:b/>
        </w:rPr>
        <w:t xml:space="preserve">VOTACIÓN EN EL PLENO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15. </w:t>
      </w:r>
    </w:p>
    <w:p w:rsidR="00E302EC" w:rsidRDefault="00FC4F28">
      <w:pPr>
        <w:spacing w:after="112"/>
        <w:ind w:left="279" w:right="184"/>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E302EC" w:rsidRDefault="00FC4F28">
      <w:pPr>
        <w:spacing w:after="111"/>
        <w:ind w:left="279" w:right="184"/>
      </w:pPr>
      <w:r>
        <w:t xml:space="preserve">2 concejales del Grupo Popular: Don Jacobo López Fariña y Doña Raquel Martín Castro. </w:t>
      </w:r>
    </w:p>
    <w:p w:rsidR="00E302EC" w:rsidRDefault="00FC4F28">
      <w:pPr>
        <w:spacing w:after="109"/>
        <w:ind w:left="279" w:right="184"/>
      </w:pPr>
      <w:r>
        <w:t>1 de la concej</w:t>
      </w:r>
      <w:r>
        <w:t xml:space="preserve">al del Grupo Mixto (CC-PNC): Doña Ángela Cruz Perera. </w:t>
      </w:r>
    </w:p>
    <w:p w:rsidR="00E302EC" w:rsidRDefault="00FC4F28">
      <w:pPr>
        <w:numPr>
          <w:ilvl w:val="0"/>
          <w:numId w:val="17"/>
        </w:numPr>
        <w:spacing w:after="111"/>
        <w:ind w:right="184" w:hanging="184"/>
      </w:pPr>
      <w:r>
        <w:t xml:space="preserve">de la concejal del Grupo Mixto (VxC): Doña Alicia Mercedes Marrero Meneses.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2. </w:t>
      </w:r>
    </w:p>
    <w:p w:rsidR="00E302EC" w:rsidRDefault="00FC4F28">
      <w:pPr>
        <w:numPr>
          <w:ilvl w:val="0"/>
          <w:numId w:val="17"/>
        </w:numPr>
        <w:ind w:right="184" w:hanging="184"/>
      </w:pPr>
      <w:r>
        <w:t xml:space="preserve">de los concejales del Grupo Mixto (SSP): Doña Lourdes del Carmen Mondéjar Rondón </w:t>
      </w:r>
      <w:r>
        <w:t xml:space="preserve">y Don Antonio Delgado García. </w:t>
      </w:r>
    </w:p>
    <w:p w:rsidR="00E302EC" w:rsidRDefault="00FC4F28">
      <w:pPr>
        <w:spacing w:after="0" w:line="259" w:lineRule="auto"/>
        <w:ind w:left="284" w:firstLine="0"/>
        <w:jc w:val="left"/>
      </w:pPr>
      <w:r>
        <w:t xml:space="preserve"> </w:t>
      </w:r>
    </w:p>
    <w:p w:rsidR="00E302EC" w:rsidRDefault="00FC4F28">
      <w:pPr>
        <w:pStyle w:val="Ttulo1"/>
        <w:ind w:left="107" w:right="67"/>
      </w:pPr>
      <w:r>
        <w:t xml:space="preserve">ACUERDO DEL PLENO DE 31 DE MARZO DE 2022 </w:t>
      </w:r>
    </w:p>
    <w:p w:rsidR="00E302EC" w:rsidRDefault="00FC4F28">
      <w:pPr>
        <w:spacing w:after="0" w:line="259" w:lineRule="auto"/>
        <w:ind w:left="284" w:firstLine="0"/>
        <w:jc w:val="left"/>
      </w:pPr>
      <w:r>
        <w:rPr>
          <w:b/>
        </w:rPr>
        <w:t xml:space="preserve"> </w:t>
      </w:r>
    </w:p>
    <w:p w:rsidR="00E302EC" w:rsidRDefault="00FC4F28">
      <w:pPr>
        <w:ind w:left="279" w:right="184"/>
      </w:pPr>
      <w:r>
        <w:rPr>
          <w:b/>
        </w:rPr>
        <w:t xml:space="preserve">PRIMERO. - </w:t>
      </w:r>
      <w:r>
        <w:t xml:space="preserve">Aprobar expediente de modificación presupuestaria </w:t>
      </w:r>
      <w:r>
        <w:rPr>
          <w:b/>
        </w:rPr>
        <w:t>nº 2655/2022</w:t>
      </w:r>
      <w:r>
        <w:t xml:space="preserve"> de modificación presupuestaria por </w:t>
      </w:r>
      <w:r>
        <w:rPr>
          <w:b/>
        </w:rPr>
        <w:t>Créditos extraordinarios</w:t>
      </w:r>
      <w:r>
        <w:t xml:space="preserve"> </w:t>
      </w:r>
      <w:r>
        <w:t xml:space="preserve">financiado con Remanente de Tesorería para gastos generales, por una cantidad total de </w:t>
      </w:r>
      <w:r>
        <w:rPr>
          <w:b/>
        </w:rPr>
        <w:t>1.348.216,10 euros</w:t>
      </w:r>
      <w:r>
        <w:t>, de acuerdo al siguiente detalle:</w:t>
      </w:r>
      <w:r>
        <w:rPr>
          <w:rFonts w:ascii="Times New Roman" w:eastAsia="Times New Roman" w:hAnsi="Times New Roman" w:cs="Times New Roman"/>
          <w:sz w:val="24"/>
        </w:rPr>
        <w:t xml:space="preserve"> </w:t>
      </w:r>
    </w:p>
    <w:p w:rsidR="00E302EC" w:rsidRDefault="00FC4F28">
      <w:pPr>
        <w:spacing w:line="259" w:lineRule="auto"/>
        <w:ind w:left="284" w:firstLine="0"/>
        <w:jc w:val="left"/>
      </w:pPr>
      <w:r>
        <w:t xml:space="preserve"> </w:t>
      </w:r>
    </w:p>
    <w:p w:rsidR="00E302EC" w:rsidRDefault="00FC4F28">
      <w:pPr>
        <w:pStyle w:val="Ttulo1"/>
        <w:ind w:left="107" w:right="784"/>
      </w:pPr>
      <w:r>
        <w:t xml:space="preserve">Estados de gastos </w:t>
      </w:r>
    </w:p>
    <w:tbl>
      <w:tblPr>
        <w:tblStyle w:val="TableGrid"/>
        <w:tblW w:w="8645" w:type="dxa"/>
        <w:tblInd w:w="354" w:type="dxa"/>
        <w:tblCellMar>
          <w:top w:w="7" w:type="dxa"/>
          <w:left w:w="71" w:type="dxa"/>
          <w:bottom w:w="0" w:type="dxa"/>
          <w:right w:w="8" w:type="dxa"/>
        </w:tblCellMar>
        <w:tblLook w:val="04A0" w:firstRow="1" w:lastRow="0" w:firstColumn="1" w:lastColumn="0" w:noHBand="0" w:noVBand="1"/>
      </w:tblPr>
      <w:tblGrid>
        <w:gridCol w:w="1199"/>
        <w:gridCol w:w="1208"/>
        <w:gridCol w:w="4950"/>
        <w:gridCol w:w="1288"/>
      </w:tblGrid>
      <w:tr w:rsidR="00E302EC">
        <w:trPr>
          <w:trHeight w:val="512"/>
        </w:trPr>
        <w:tc>
          <w:tcPr>
            <w:tcW w:w="1199"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center"/>
            </w:pPr>
            <w:r>
              <w:rPr>
                <w:b/>
              </w:rPr>
              <w:t xml:space="preserve">Proyecto gasto </w:t>
            </w:r>
          </w:p>
        </w:tc>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2"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58" w:firstLine="0"/>
              <w:jc w:val="center"/>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02EC" w:rsidRDefault="00FC4F28">
            <w:pPr>
              <w:spacing w:after="0" w:line="259" w:lineRule="auto"/>
              <w:ind w:left="0" w:right="60" w:firstLine="0"/>
              <w:jc w:val="center"/>
            </w:pPr>
            <w:r>
              <w:rPr>
                <w:b/>
              </w:rPr>
              <w:t xml:space="preserve">Importe </w:t>
            </w:r>
          </w:p>
        </w:tc>
      </w:tr>
      <w:tr w:rsidR="00E302EC">
        <w:trPr>
          <w:trHeight w:val="517"/>
        </w:trPr>
        <w:tc>
          <w:tcPr>
            <w:tcW w:w="1199"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70" w:firstLine="0"/>
              <w:jc w:val="left"/>
            </w:pPr>
            <w:r>
              <w:t xml:space="preserve">P.22.2.16 </w:t>
            </w:r>
          </w:p>
        </w:tc>
        <w:tc>
          <w:tcPr>
            <w:tcW w:w="12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16500.619 00 </w:t>
            </w:r>
          </w:p>
        </w:tc>
        <w:tc>
          <w:tcPr>
            <w:tcW w:w="49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Reforma Alumbrado Público en C/ La Puntita, C/ Batayola y Las Caletillas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1199"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6158" w:type="dxa"/>
            <w:gridSpan w:val="2"/>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2155"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108" w:line="259" w:lineRule="auto"/>
        <w:ind w:left="1484" w:firstLine="0"/>
        <w:jc w:val="left"/>
      </w:pPr>
      <w:r>
        <w:rPr>
          <w:b/>
        </w:rPr>
        <w:t xml:space="preserve"> </w:t>
      </w:r>
      <w:r>
        <w:t xml:space="preserve"> </w:t>
      </w:r>
      <w:r>
        <w:tab/>
        <w:t xml:space="preserve"> </w:t>
      </w:r>
      <w:r>
        <w:tab/>
        <w:t xml:space="preserve"> </w:t>
      </w:r>
    </w:p>
    <w:p w:rsidR="00E302EC" w:rsidRDefault="00FC4F28">
      <w:pPr>
        <w:pStyle w:val="Ttulo1"/>
        <w:ind w:left="107" w:right="786"/>
      </w:pPr>
      <w:r>
        <w:t xml:space="preserve">Estados de Ingresos </w:t>
      </w:r>
    </w:p>
    <w:tbl>
      <w:tblPr>
        <w:tblStyle w:val="TableGrid"/>
        <w:tblW w:w="8645" w:type="dxa"/>
        <w:tblInd w:w="354" w:type="dxa"/>
        <w:tblCellMar>
          <w:top w:w="7" w:type="dxa"/>
          <w:left w:w="71" w:type="dxa"/>
          <w:bottom w:w="0" w:type="dxa"/>
          <w:right w:w="8" w:type="dxa"/>
        </w:tblCellMar>
        <w:tblLook w:val="04A0" w:firstRow="1" w:lastRow="0" w:firstColumn="1" w:lastColumn="0" w:noHBand="0" w:noVBand="1"/>
      </w:tblPr>
      <w:tblGrid>
        <w:gridCol w:w="2407"/>
        <w:gridCol w:w="4950"/>
        <w:gridCol w:w="1288"/>
      </w:tblGrid>
      <w:tr w:rsidR="00E302EC">
        <w:trPr>
          <w:trHeight w:val="314"/>
        </w:trPr>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63" w:firstLine="0"/>
              <w:jc w:val="center"/>
            </w:pPr>
            <w:r>
              <w:rPr>
                <w:b/>
              </w:rPr>
              <w:t xml:space="preserve">Aplicación </w:t>
            </w:r>
          </w:p>
        </w:tc>
        <w:tc>
          <w:tcPr>
            <w:tcW w:w="4950"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firstLine="0"/>
              <w:jc w:val="left"/>
            </w:pPr>
            <w:r>
              <w:rPr>
                <w:b/>
              </w:rPr>
              <w:t xml:space="preserve">Denominación </w:t>
            </w:r>
          </w:p>
        </w:tc>
        <w:tc>
          <w:tcPr>
            <w:tcW w:w="1288" w:type="dxa"/>
            <w:tcBorders>
              <w:top w:val="single" w:sz="4" w:space="0" w:color="000000"/>
              <w:left w:val="single" w:sz="4" w:space="0" w:color="000000"/>
              <w:bottom w:val="single" w:sz="4" w:space="0" w:color="000000"/>
              <w:right w:val="single" w:sz="4" w:space="0" w:color="000000"/>
            </w:tcBorders>
            <w:shd w:val="clear" w:color="auto" w:fill="D9D9D9"/>
          </w:tcPr>
          <w:p w:rsidR="00E302EC" w:rsidRDefault="00FC4F28">
            <w:pPr>
              <w:spacing w:after="0" w:line="259" w:lineRule="auto"/>
              <w:ind w:left="0" w:right="59" w:firstLine="0"/>
              <w:jc w:val="center"/>
            </w:pPr>
            <w:r>
              <w:rPr>
                <w:b/>
              </w:rPr>
              <w:t xml:space="preserve">Importe </w:t>
            </w:r>
          </w:p>
        </w:tc>
      </w:tr>
      <w:tr w:rsidR="00E302EC">
        <w:trPr>
          <w:trHeight w:val="518"/>
        </w:trPr>
        <w:tc>
          <w:tcPr>
            <w:tcW w:w="2407"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right="60" w:firstLine="0"/>
              <w:jc w:val="center"/>
            </w:pPr>
            <w:r>
              <w:t xml:space="preserve">870.00 </w:t>
            </w:r>
          </w:p>
        </w:tc>
        <w:tc>
          <w:tcPr>
            <w:tcW w:w="4950" w:type="dxa"/>
            <w:tcBorders>
              <w:top w:val="single" w:sz="4" w:space="0" w:color="000000"/>
              <w:left w:val="single" w:sz="4" w:space="0" w:color="000000"/>
              <w:bottom w:val="single" w:sz="4" w:space="0" w:color="000000"/>
              <w:right w:val="single" w:sz="4" w:space="0" w:color="000000"/>
            </w:tcBorders>
            <w:vAlign w:val="center"/>
          </w:tcPr>
          <w:p w:rsidR="00E302EC" w:rsidRDefault="00FC4F28">
            <w:pPr>
              <w:spacing w:after="0" w:line="259" w:lineRule="auto"/>
              <w:ind w:left="0" w:firstLine="0"/>
              <w:jc w:val="left"/>
            </w:pPr>
            <w:r>
              <w:t xml:space="preserve">Remanente de Tesorería para gastos generales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1.348.216,</w:t>
            </w:r>
          </w:p>
          <w:p w:rsidR="00E302EC" w:rsidRDefault="00FC4F28">
            <w:pPr>
              <w:spacing w:after="0" w:line="259" w:lineRule="auto"/>
              <w:ind w:left="0" w:right="61" w:firstLine="0"/>
              <w:jc w:val="right"/>
            </w:pPr>
            <w:r>
              <w:t xml:space="preserve">10 </w:t>
            </w:r>
          </w:p>
        </w:tc>
      </w:tr>
      <w:tr w:rsidR="00E302EC">
        <w:trPr>
          <w:trHeight w:val="516"/>
        </w:trPr>
        <w:tc>
          <w:tcPr>
            <w:tcW w:w="2407" w:type="dxa"/>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4950"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946" w:firstLine="0"/>
              <w:jc w:val="left"/>
            </w:pPr>
            <w:r>
              <w:rPr>
                <w:b/>
              </w:rPr>
              <w:t xml:space="preserve">Total </w:t>
            </w:r>
          </w:p>
        </w:tc>
        <w:tc>
          <w:tcPr>
            <w:tcW w:w="12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1.348.216,</w:t>
            </w:r>
          </w:p>
          <w:p w:rsidR="00E302EC" w:rsidRDefault="00FC4F28">
            <w:pPr>
              <w:spacing w:after="0" w:line="259" w:lineRule="auto"/>
              <w:ind w:left="0" w:right="61" w:firstLine="0"/>
              <w:jc w:val="right"/>
            </w:pPr>
            <w:r>
              <w:rPr>
                <w:b/>
              </w:rPr>
              <w:t xml:space="preserve">10 </w:t>
            </w:r>
          </w:p>
        </w:tc>
      </w:tr>
    </w:tbl>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31070" name="Group 23107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3970" name="Rectangle 397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3971" name="Rectangle 3971"/>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1070" style="width:12.7031pt;height:273.276pt;position:absolute;mso-position-horizontal-relative:page;mso-position-horizontal:absolute;margin-left:682.278pt;mso-position-vertical-relative:page;margin-top:538.644pt;" coordsize="1613,34706">
                <v:rect id="Rectangle 397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3971"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159 </w:t>
                        </w:r>
                      </w:p>
                    </w:txbxContent>
                  </v:textbox>
                </v:rect>
                <w10:wrap type="topAndBottom"/>
              </v:group>
            </w:pict>
          </mc:Fallback>
        </mc:AlternateContent>
      </w:r>
      <w:r>
        <w:rPr>
          <w:b/>
        </w:rPr>
        <w:t>SEGUNDO. -</w:t>
      </w:r>
      <w:r>
        <w:t xml:space="preserve"> </w:t>
      </w:r>
      <w: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r>
        <w:tab/>
        <w:t xml:space="preserve"> </w:t>
      </w:r>
    </w:p>
    <w:p w:rsidR="00E302EC" w:rsidRDefault="00FC4F28">
      <w:pPr>
        <w:ind w:left="279" w:right="184"/>
      </w:pPr>
      <w:r>
        <w:rPr>
          <w:b/>
        </w:rPr>
        <w:t xml:space="preserve">TERCERO. - </w:t>
      </w:r>
      <w:r>
        <w:t xml:space="preserve">El expediente se considerará definitivamente aprobado si durante el citado plazo no se hubiesen presentado reclamaciones, en caso contrario el Pleno dispondrá de un mes para resolverlas. El expediente definitivamente aprobado, será insertado en el boletín </w:t>
      </w:r>
      <w:r>
        <w:t>oficial de la provincia.”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100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117" w:line="259" w:lineRule="auto"/>
        <w:ind w:left="284" w:firstLine="0"/>
        <w:jc w:val="left"/>
      </w:pPr>
      <w:r>
        <w:t xml:space="preserve"> </w:t>
      </w:r>
    </w:p>
    <w:p w:rsidR="00E302EC" w:rsidRDefault="00FC4F28">
      <w:pPr>
        <w:spacing w:after="93" w:line="249" w:lineRule="auto"/>
        <w:ind w:left="279" w:right="183"/>
      </w:pPr>
      <w:r>
        <w:rPr>
          <w:b/>
          <w:sz w:val="24"/>
        </w:rPr>
        <w:t>3.- Expediente 2149/2022. Propuesta del Concejal delegado de Hacienda al Pleno de 18 de marzo de 2022 de dación de cuenta de la Liquidación del Presupuesto General del año 2022.</w:t>
      </w:r>
      <w:r>
        <w:t xml:space="preserve"> </w:t>
      </w:r>
    </w:p>
    <w:p w:rsidR="00E302EC" w:rsidRDefault="00FC4F28">
      <w:pPr>
        <w:spacing w:after="98" w:line="259" w:lineRule="auto"/>
        <w:ind w:left="284" w:firstLine="0"/>
        <w:jc w:val="left"/>
      </w:pPr>
      <w:r>
        <w:rPr>
          <w:b/>
        </w:rPr>
        <w:t xml:space="preserve"> </w:t>
      </w:r>
    </w:p>
    <w:p w:rsidR="00E302EC" w:rsidRDefault="00FC4F28">
      <w:pPr>
        <w:spacing w:after="8" w:line="248" w:lineRule="auto"/>
        <w:ind w:left="279" w:right="183"/>
      </w:pPr>
      <w:r>
        <w:rPr>
          <w:b/>
        </w:rPr>
        <w:t xml:space="preserve">Consta </w:t>
      </w:r>
      <w:r>
        <w:rPr>
          <w:b/>
        </w:rPr>
        <w:t xml:space="preserve">en el expediente propuesta de la Alcaldesa-Presidenta, de fecha 16 de marzo de 2022, cuyo tenor literal es el siguiente: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16" w:line="259" w:lineRule="auto"/>
        <w:ind w:left="284" w:firstLine="0"/>
        <w:jc w:val="left"/>
      </w:pPr>
      <w:r>
        <w:rPr>
          <w:b/>
        </w:rPr>
        <w:t xml:space="preserve"> </w:t>
      </w:r>
    </w:p>
    <w:p w:rsidR="00E302EC" w:rsidRDefault="00FC4F28">
      <w:pPr>
        <w:pStyle w:val="Ttulo1"/>
        <w:spacing w:after="100"/>
        <w:ind w:left="107" w:right="7"/>
      </w:pPr>
      <w:r>
        <w:t>“RESOLUCIÓN DE ALCALDÍA</w:t>
      </w:r>
      <w:r>
        <w:rPr>
          <w:b w:val="0"/>
        </w:rPr>
        <w:t xml:space="preserve"> </w:t>
      </w:r>
    </w:p>
    <w:p w:rsidR="00E302EC" w:rsidRDefault="00FC4F28">
      <w:pPr>
        <w:spacing w:after="100" w:line="259" w:lineRule="auto"/>
        <w:ind w:left="284" w:firstLine="0"/>
        <w:jc w:val="left"/>
      </w:pPr>
      <w:r>
        <w:t xml:space="preserve">   </w:t>
      </w:r>
    </w:p>
    <w:p w:rsidR="00E302EC" w:rsidRDefault="00FC4F28">
      <w:pPr>
        <w:tabs>
          <w:tab w:val="center" w:pos="284"/>
          <w:tab w:val="center" w:pos="5388"/>
        </w:tabs>
        <w:spacing w:after="116"/>
        <w:ind w:left="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29285" name="Group 22928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4304" name="Rectangle 430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7MT23JRFLY7JHEN56D753ZS5Q | Verificación: https://candelaria.sedelectronica.es/</w:t>
                              </w:r>
                              <w:r>
                                <w:rPr>
                                  <w:sz w:val="12"/>
                                </w:rPr>
                                <w:t xml:space="preserve"> </w:t>
                              </w:r>
                            </w:p>
                          </w:txbxContent>
                        </wps:txbx>
                        <wps:bodyPr horzOverflow="overflow" vert="horz" lIns="0" tIns="0" rIns="0" bIns="0" rtlCol="0">
                          <a:noAutofit/>
                        </wps:bodyPr>
                      </wps:wsp>
                      <wps:wsp>
                        <wps:cNvPr id="4305" name="Rectangle 4305"/>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9285" style="width:12.7031pt;height:273.276pt;position:absolute;mso-position-horizontal-relative:page;mso-position-horizontal:absolute;margin-left:682.278pt;mso-position-vertical-relative:page;margin-top:538.644pt;" coordsize="1613,34706">
                <v:rect id="Rectangle 430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4305"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159 </w:t>
                        </w:r>
                      </w:p>
                    </w:txbxContent>
                  </v:textbox>
                </v:rect>
                <w10:wrap type="topAndBottom"/>
              </v:group>
            </w:pict>
          </mc:Fallback>
        </mc:AlternateContent>
      </w:r>
      <w:r>
        <w:rPr>
          <w:rFonts w:ascii="Calibri" w:eastAsia="Calibri" w:hAnsi="Calibri" w:cs="Calibri"/>
        </w:rPr>
        <w:tab/>
      </w:r>
      <w:r>
        <w:t xml:space="preserve">  </w:t>
      </w:r>
      <w:r>
        <w:tab/>
        <w:t xml:space="preserve">Vista la propuesta por parte de la Concejalía Delegada de Hacienda de este Ayuntamiento.  </w:t>
      </w:r>
    </w:p>
    <w:p w:rsidR="00E302EC" w:rsidRDefault="00FC4F28">
      <w:pPr>
        <w:spacing w:after="112"/>
        <w:ind w:left="269" w:right="184" w:firstLine="708"/>
      </w:pPr>
      <w:r>
        <w:t>Vistos los informes de intervención, emitidos de conformidad con el artículo 191.3 del Texto Refundido de la Ley de Haciendas Locales aprobado por Real Decreto Legislativo 2/2004, de 5 de marzo, que, en líneas generales, reflejan una buena situación económ</w:t>
      </w:r>
      <w:r>
        <w:t xml:space="preserve">ica municipal, a través de las siguientes magnitudes relativas a la Liquidación del Presupuesto del ejercicio:  </w:t>
      </w:r>
    </w:p>
    <w:p w:rsidR="00E302EC" w:rsidRDefault="00FC4F28">
      <w:pPr>
        <w:spacing w:after="0" w:line="259" w:lineRule="auto"/>
        <w:ind w:left="992" w:firstLine="0"/>
        <w:jc w:val="left"/>
      </w:pPr>
      <w:r>
        <w:t xml:space="preserve"> </w:t>
      </w:r>
    </w:p>
    <w:p w:rsidR="00E302EC" w:rsidRDefault="00FC4F28">
      <w:pPr>
        <w:tabs>
          <w:tab w:val="center" w:pos="334"/>
          <w:tab w:val="center" w:pos="2872"/>
        </w:tabs>
        <w:spacing w:after="8" w:line="248"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1.- RESULTADO PRESUPUESTARIO </w:t>
      </w:r>
    </w:p>
    <w:p w:rsidR="00E302EC" w:rsidRDefault="00FC4F28">
      <w:pPr>
        <w:spacing w:after="98" w:line="259" w:lineRule="auto"/>
        <w:ind w:left="284" w:firstLine="0"/>
        <w:jc w:val="left"/>
      </w:pPr>
      <w:r>
        <w:t xml:space="preserve"> </w:t>
      </w:r>
    </w:p>
    <w:p w:rsidR="00E302EC" w:rsidRDefault="00FC4F28">
      <w:pPr>
        <w:spacing w:after="100" w:line="259" w:lineRule="auto"/>
        <w:ind w:left="284" w:firstLine="0"/>
        <w:jc w:val="left"/>
      </w:pPr>
      <w:r>
        <w:t xml:space="preserve"> </w:t>
      </w:r>
    </w:p>
    <w:p w:rsidR="00E302EC" w:rsidRDefault="00FC4F28">
      <w:pPr>
        <w:spacing w:after="105" w:line="259" w:lineRule="auto"/>
        <w:ind w:left="284" w:firstLine="0"/>
        <w:jc w:val="left"/>
      </w:pPr>
      <w:r>
        <w:t xml:space="preserve"> </w:t>
      </w:r>
    </w:p>
    <w:p w:rsidR="00E302EC" w:rsidRDefault="00FC4F28">
      <w:pPr>
        <w:pStyle w:val="Ttulo1"/>
        <w:pBdr>
          <w:top w:val="single" w:sz="4" w:space="0" w:color="000000"/>
          <w:left w:val="single" w:sz="4" w:space="0" w:color="000000"/>
          <w:bottom w:val="single" w:sz="4" w:space="0" w:color="000000"/>
          <w:right w:val="single" w:sz="4" w:space="0" w:color="000000"/>
        </w:pBdr>
        <w:spacing w:after="0"/>
        <w:ind w:left="341" w:right="1055"/>
        <w:jc w:val="left"/>
      </w:pPr>
      <w:r>
        <w:t xml:space="preserve">RESULTADO  PRESUPUESTARIO                           PRESUPUESTO 2021               ( Euros )         </w:t>
      </w:r>
      <w:r>
        <w:t xml:space="preserve">                                                                                                                      </w:t>
      </w:r>
    </w:p>
    <w:p w:rsidR="00E302EC" w:rsidRDefault="00FC4F28">
      <w:pPr>
        <w:spacing w:after="0" w:line="259" w:lineRule="auto"/>
        <w:ind w:left="284" w:firstLine="0"/>
        <w:jc w:val="left"/>
      </w:pPr>
      <w:r>
        <w:t xml:space="preserve"> </w:t>
      </w:r>
    </w:p>
    <w:tbl>
      <w:tblPr>
        <w:tblStyle w:val="TableGrid"/>
        <w:tblW w:w="8716" w:type="dxa"/>
        <w:tblInd w:w="291" w:type="dxa"/>
        <w:tblCellMar>
          <w:top w:w="7" w:type="dxa"/>
          <w:left w:w="70" w:type="dxa"/>
          <w:bottom w:w="0" w:type="dxa"/>
          <w:right w:w="8" w:type="dxa"/>
        </w:tblCellMar>
        <w:tblLook w:val="04A0" w:firstRow="1" w:lastRow="0" w:firstColumn="1" w:lastColumn="0" w:noHBand="0" w:noVBand="1"/>
      </w:tblPr>
      <w:tblGrid>
        <w:gridCol w:w="4513"/>
        <w:gridCol w:w="1424"/>
        <w:gridCol w:w="1421"/>
        <w:gridCol w:w="1359"/>
      </w:tblGrid>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1. DERECHOS RECONOCIDOS NETOS</w:t>
            </w:r>
            <w:r>
              <w:rPr>
                <w:rFonts w:ascii="Times New Roman" w:eastAsia="Times New Roman" w:hAnsi="Times New Roman" w:cs="Times New Roman"/>
                <w:sz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29.047.641,</w:t>
            </w:r>
          </w:p>
          <w:p w:rsidR="00E302EC" w:rsidRDefault="00FC4F28">
            <w:pPr>
              <w:spacing w:after="0" w:line="259" w:lineRule="auto"/>
              <w:ind w:left="0" w:firstLine="0"/>
              <w:jc w:val="left"/>
            </w:pPr>
            <w:r>
              <w:rPr>
                <w:b/>
              </w:rPr>
              <w:t>45</w:t>
            </w: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7"/>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Operaciones Corrientes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20" w:firstLine="0"/>
              <w:jc w:val="left"/>
            </w:pPr>
            <w:r>
              <w:t>26.844.541,</w:t>
            </w:r>
          </w:p>
          <w:p w:rsidR="00E302EC" w:rsidRDefault="00FC4F28">
            <w:pPr>
              <w:spacing w:after="0" w:line="259" w:lineRule="auto"/>
              <w:ind w:left="0" w:right="61" w:firstLine="0"/>
              <w:jc w:val="right"/>
            </w:pPr>
            <w:r>
              <w:t xml:space="preserve">72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Otras Operaciones no </w:t>
            </w:r>
          </w:p>
          <w:p w:rsidR="00E302EC" w:rsidRDefault="00FC4F28">
            <w:pPr>
              <w:spacing w:after="0" w:line="259" w:lineRule="auto"/>
              <w:ind w:left="0" w:firstLine="0"/>
              <w:jc w:val="left"/>
            </w:pPr>
            <w:r>
              <w:t xml:space="preserve">Financieras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right"/>
            </w:pPr>
            <w:r>
              <w:t xml:space="preserve">2.203.099,7 3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Activos </w:t>
            </w:r>
          </w:p>
          <w:p w:rsidR="00E302EC" w:rsidRDefault="00FC4F28">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Pasivos </w:t>
            </w:r>
          </w:p>
          <w:p w:rsidR="00E302EC" w:rsidRDefault="00FC4F28">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262"/>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 OBLIGACIONES RECONOCIDAS </w:t>
            </w:r>
          </w:p>
          <w:p w:rsidR="00E302EC" w:rsidRDefault="00FC4F28">
            <w:pPr>
              <w:spacing w:after="0" w:line="259" w:lineRule="auto"/>
              <w:ind w:left="0" w:firstLine="0"/>
              <w:jc w:val="left"/>
            </w:pPr>
            <w:r>
              <w:t>NETAS</w:t>
            </w:r>
            <w:r>
              <w:rPr>
                <w:rFonts w:ascii="Times New Roman" w:eastAsia="Times New Roman" w:hAnsi="Times New Roman" w:cs="Times New Roman"/>
                <w:sz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rPr>
                <w:b/>
              </w:rPr>
              <w:t>24.482.811,5</w:t>
            </w:r>
          </w:p>
          <w:p w:rsidR="00E302EC" w:rsidRDefault="00FC4F28">
            <w:pPr>
              <w:spacing w:after="0" w:line="259" w:lineRule="auto"/>
              <w:ind w:left="0" w:firstLine="0"/>
              <w:jc w:val="left"/>
            </w:pPr>
            <w:r>
              <w:rPr>
                <w:b/>
              </w:rPr>
              <w:t>2</w:t>
            </w: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Operaciones Corrientes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20" w:firstLine="0"/>
              <w:jc w:val="left"/>
            </w:pPr>
            <w:r>
              <w:t>22.681.663,</w:t>
            </w:r>
          </w:p>
          <w:p w:rsidR="00E302EC" w:rsidRDefault="00FC4F28">
            <w:pPr>
              <w:spacing w:after="0" w:line="259" w:lineRule="auto"/>
              <w:ind w:left="0" w:right="61" w:firstLine="0"/>
              <w:jc w:val="right"/>
            </w:pPr>
            <w:r>
              <w:t xml:space="preserve">87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Otras Operaciones no </w:t>
            </w:r>
          </w:p>
          <w:p w:rsidR="00E302EC" w:rsidRDefault="00FC4F28">
            <w:pPr>
              <w:spacing w:after="0" w:line="259" w:lineRule="auto"/>
              <w:ind w:left="0" w:firstLine="0"/>
              <w:jc w:val="left"/>
            </w:pPr>
            <w:r>
              <w:t xml:space="preserve">Financieras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right"/>
            </w:pPr>
            <w:r>
              <w:t xml:space="preserve">1.801.147,6 5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264"/>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r>
              <w:t xml:space="preserve">+ Activos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264"/>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E302EC">
            <w:pPr>
              <w:spacing w:after="160" w:line="259" w:lineRule="auto"/>
              <w:ind w:left="0" w:firstLine="0"/>
              <w:jc w:val="left"/>
            </w:pPr>
          </w:p>
        </w:tc>
        <w:tc>
          <w:tcPr>
            <w:tcW w:w="1421" w:type="dxa"/>
            <w:tcBorders>
              <w:top w:val="single" w:sz="4" w:space="0" w:color="000000"/>
              <w:left w:val="single" w:sz="4" w:space="0" w:color="000000"/>
              <w:bottom w:val="single" w:sz="4" w:space="0" w:color="000000"/>
              <w:right w:val="single" w:sz="4" w:space="0" w:color="000000"/>
            </w:tcBorders>
          </w:tcPr>
          <w:p w:rsidR="00E302EC" w:rsidRDefault="00E302EC">
            <w:pPr>
              <w:spacing w:after="160" w:line="259" w:lineRule="auto"/>
              <w:ind w:left="0" w:firstLine="0"/>
              <w:jc w:val="left"/>
            </w:pPr>
          </w:p>
        </w:tc>
        <w:tc>
          <w:tcPr>
            <w:tcW w:w="1359" w:type="dxa"/>
            <w:tcBorders>
              <w:top w:val="single" w:sz="4" w:space="0" w:color="000000"/>
              <w:left w:val="single" w:sz="4" w:space="0" w:color="000000"/>
              <w:bottom w:val="single" w:sz="4" w:space="0" w:color="000000"/>
              <w:right w:val="single" w:sz="4" w:space="0" w:color="000000"/>
            </w:tcBorders>
          </w:tcPr>
          <w:p w:rsidR="00E302EC" w:rsidRDefault="00E302EC">
            <w:pPr>
              <w:spacing w:after="160" w:line="259" w:lineRule="auto"/>
              <w:ind w:left="0" w:firstLine="0"/>
              <w:jc w:val="left"/>
            </w:pP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Pasivos </w:t>
            </w:r>
          </w:p>
          <w:p w:rsidR="00E302EC" w:rsidRDefault="00FC4F28">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262"/>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117" w:firstLine="0"/>
              <w:jc w:val="left"/>
            </w:pPr>
            <w:r>
              <w:t xml:space="preserve">3. RESULTADO PRESUPUESTARIO ( 1 – 2 )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2" w:firstLine="0"/>
              <w:jc w:val="righ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2" w:firstLine="0"/>
              <w:jc w:val="right"/>
            </w:pPr>
            <w:r>
              <w:t>4.564.829,9 3</w:t>
            </w:r>
            <w:r>
              <w:rPr>
                <w:rFonts w:ascii="Times New Roman" w:eastAsia="Times New Roman" w:hAnsi="Times New Roman" w:cs="Times New Roman"/>
                <w:sz w:val="24"/>
              </w:rPr>
              <w:t xml:space="preserve"> </w:t>
            </w:r>
          </w:p>
        </w:tc>
      </w:tr>
      <w:tr w:rsidR="00E302EC">
        <w:trPr>
          <w:trHeight w:val="517"/>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 DESVIACIONES POSITIVAS  </w:t>
            </w:r>
          </w:p>
          <w:p w:rsidR="00E302EC" w:rsidRDefault="00FC4F28">
            <w:pPr>
              <w:spacing w:after="0" w:line="259" w:lineRule="auto"/>
              <w:ind w:left="0" w:firstLine="0"/>
              <w:jc w:val="left"/>
            </w:pPr>
            <w:r>
              <w:t xml:space="preserve">FINANCIACION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2" w:firstLine="0"/>
              <w:jc w:val="righ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right"/>
            </w:pPr>
            <w:r>
              <w:t xml:space="preserve">2.550.979,9 8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5. </w:t>
            </w:r>
            <w:r>
              <w:t xml:space="preserve">DESVIACIONES NEGATIVAS  </w:t>
            </w:r>
          </w:p>
          <w:p w:rsidR="00E302EC" w:rsidRDefault="00FC4F28">
            <w:pPr>
              <w:spacing w:after="0" w:line="259" w:lineRule="auto"/>
              <w:ind w:left="0" w:firstLine="0"/>
              <w:jc w:val="left"/>
            </w:pPr>
            <w:r>
              <w:t xml:space="preserve">FINANCIACION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4" w:firstLine="0"/>
            </w:pPr>
            <w:r>
              <w:t xml:space="preserve">1.982.118,45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6. GASTOS FINANCIADOS CON RTE </w:t>
            </w:r>
          </w:p>
          <w:p w:rsidR="00E302EC" w:rsidRDefault="00FC4F28">
            <w:pPr>
              <w:spacing w:after="0" w:line="259" w:lineRule="auto"/>
              <w:ind w:left="0" w:firstLine="0"/>
              <w:jc w:val="left"/>
            </w:pPr>
            <w:r>
              <w:t xml:space="preserve">TESORERIA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right"/>
            </w:pPr>
            <w:r>
              <w:t xml:space="preserve">106.807,44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bl>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pStyle w:val="Ttulo2"/>
        <w:ind w:left="341" w:right="1055"/>
      </w:pPr>
      <w:r>
        <w:t>7. RESULTADO PRESUPUESTARIO AJUSTADO                           4.102.775,84    ( 34+5+6 )</w:t>
      </w:r>
      <w:r>
        <w:rPr>
          <w:rFonts w:ascii="Times New Roman" w:eastAsia="Times New Roman" w:hAnsi="Times New Roman" w:cs="Times New Roman"/>
          <w:b w:val="0"/>
          <w:sz w:val="24"/>
        </w:rPr>
        <w:t xml:space="preserve"> </w:t>
      </w:r>
    </w:p>
    <w:p w:rsidR="00E302EC" w:rsidRDefault="00FC4F28">
      <w:pPr>
        <w:spacing w:after="100" w:line="259" w:lineRule="auto"/>
        <w:ind w:left="284" w:firstLine="0"/>
        <w:jc w:val="left"/>
      </w:pPr>
      <w:r>
        <w:t xml:space="preserve"> </w:t>
      </w:r>
    </w:p>
    <w:p w:rsidR="00E302EC" w:rsidRDefault="00FC4F28">
      <w:pPr>
        <w:spacing w:after="111" w:line="259" w:lineRule="auto"/>
        <w:ind w:left="284" w:firstLine="0"/>
        <w:jc w:val="left"/>
      </w:pPr>
      <w:r>
        <w:t xml:space="preserve"> </w:t>
      </w:r>
    </w:p>
    <w:p w:rsidR="00E302EC" w:rsidRDefault="00FC4F28">
      <w:pPr>
        <w:tabs>
          <w:tab w:val="center" w:pos="334"/>
          <w:tab w:val="center" w:pos="3149"/>
        </w:tabs>
        <w:spacing w:after="8" w:line="248"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2.- REMANENTE DE TESORERIA </w:t>
      </w:r>
    </w:p>
    <w:p w:rsidR="00E302EC" w:rsidRDefault="00FC4F28">
      <w:pPr>
        <w:spacing w:after="0" w:line="259" w:lineRule="auto"/>
        <w:ind w:left="284" w:firstLine="0"/>
        <w:jc w:val="left"/>
      </w:pPr>
      <w:r>
        <w:t xml:space="preserve"> </w:t>
      </w:r>
    </w:p>
    <w:tbl>
      <w:tblPr>
        <w:tblStyle w:val="TableGrid"/>
        <w:tblW w:w="9086" w:type="dxa"/>
        <w:tblInd w:w="317" w:type="dxa"/>
        <w:tblCellMar>
          <w:top w:w="21" w:type="dxa"/>
          <w:left w:w="0" w:type="dxa"/>
          <w:bottom w:w="0" w:type="dxa"/>
          <w:right w:w="115" w:type="dxa"/>
        </w:tblCellMar>
        <w:tblLook w:val="04A0" w:firstRow="1" w:lastRow="0" w:firstColumn="1" w:lastColumn="0" w:noHBand="0" w:noVBand="1"/>
      </w:tblPr>
      <w:tblGrid>
        <w:gridCol w:w="646"/>
        <w:gridCol w:w="8440"/>
      </w:tblGrid>
      <w:tr w:rsidR="00E302EC">
        <w:trPr>
          <w:trHeight w:val="278"/>
        </w:trPr>
        <w:tc>
          <w:tcPr>
            <w:tcW w:w="646" w:type="dxa"/>
            <w:tcBorders>
              <w:top w:val="single" w:sz="4" w:space="0" w:color="000000"/>
              <w:left w:val="single" w:sz="4" w:space="0" w:color="000000"/>
              <w:bottom w:val="single" w:sz="4" w:space="0" w:color="000000"/>
              <w:right w:val="nil"/>
            </w:tcBorders>
          </w:tcPr>
          <w:p w:rsidR="00E302EC" w:rsidRDefault="00FC4F28">
            <w:pPr>
              <w:spacing w:after="0" w:line="259" w:lineRule="auto"/>
              <w:ind w:left="70" w:firstLine="0"/>
              <w:jc w:val="left"/>
            </w:pPr>
            <w:r>
              <w:rPr>
                <w:rFonts w:ascii="Segoe UI Symbol" w:eastAsia="Segoe UI Symbol" w:hAnsi="Segoe UI Symbol" w:cs="Segoe UI Symbol"/>
              </w:rPr>
              <w:t></w:t>
            </w:r>
            <w:r>
              <w:t xml:space="preserve"> </w:t>
            </w:r>
          </w:p>
        </w:tc>
        <w:tc>
          <w:tcPr>
            <w:tcW w:w="8440" w:type="dxa"/>
            <w:tcBorders>
              <w:top w:val="single" w:sz="4" w:space="0" w:color="000000"/>
              <w:left w:val="nil"/>
              <w:bottom w:val="single" w:sz="4" w:space="0" w:color="000000"/>
              <w:right w:val="single" w:sz="4" w:space="0" w:color="000000"/>
            </w:tcBorders>
          </w:tcPr>
          <w:p w:rsidR="00E302EC" w:rsidRDefault="00FC4F28">
            <w:pPr>
              <w:spacing w:after="0" w:line="259" w:lineRule="auto"/>
              <w:ind w:left="0" w:firstLine="0"/>
              <w:jc w:val="left"/>
            </w:pPr>
            <w:r>
              <w:rPr>
                <w:b/>
              </w:rPr>
              <w:t xml:space="preserve">REMANENTE DE TESORERIA                             PRESUPUESTO  2021 ( Euros ) </w:t>
            </w:r>
          </w:p>
        </w:tc>
      </w:tr>
    </w:tbl>
    <w:p w:rsidR="00E302EC" w:rsidRDefault="00FC4F28">
      <w:pPr>
        <w:spacing w:after="1" w:line="259" w:lineRule="auto"/>
        <w:ind w:left="284" w:firstLine="0"/>
        <w:jc w:val="left"/>
      </w:pPr>
      <w:r>
        <w:t xml:space="preserve"> </w:t>
      </w:r>
    </w:p>
    <w:p w:rsidR="00E302EC" w:rsidRDefault="00FC4F28">
      <w:pPr>
        <w:numPr>
          <w:ilvl w:val="0"/>
          <w:numId w:val="18"/>
        </w:numPr>
        <w:pBdr>
          <w:top w:val="single" w:sz="4" w:space="0" w:color="000000"/>
          <w:left w:val="single" w:sz="4" w:space="0" w:color="000000"/>
          <w:bottom w:val="single" w:sz="4" w:space="0" w:color="000000"/>
          <w:right w:val="single" w:sz="4" w:space="0" w:color="000000"/>
        </w:pBdr>
        <w:spacing w:after="0" w:line="259" w:lineRule="auto"/>
        <w:ind w:hanging="345"/>
        <w:jc w:val="left"/>
      </w:pPr>
      <w:r>
        <w:t xml:space="preserve">DERECHOS PENDIENTES DE COBRO                                                 </w:t>
      </w:r>
      <w:r>
        <w:rPr>
          <w:b/>
        </w:rPr>
        <w:t>11.205.669,36</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tbl>
      <w:tblPr>
        <w:tblStyle w:val="TableGrid"/>
        <w:tblW w:w="8032" w:type="dxa"/>
        <w:tblInd w:w="833" w:type="dxa"/>
        <w:tblCellMar>
          <w:top w:w="8" w:type="dxa"/>
          <w:left w:w="70" w:type="dxa"/>
          <w:bottom w:w="0" w:type="dxa"/>
          <w:right w:w="12" w:type="dxa"/>
        </w:tblCellMar>
        <w:tblLook w:val="04A0" w:firstRow="1" w:lastRow="0" w:firstColumn="1" w:lastColumn="0" w:noHBand="0" w:noVBand="1"/>
      </w:tblPr>
      <w:tblGrid>
        <w:gridCol w:w="5523"/>
        <w:gridCol w:w="2509"/>
      </w:tblGrid>
      <w:tr w:rsidR="00E302EC">
        <w:trPr>
          <w:trHeight w:val="262"/>
        </w:trPr>
        <w:tc>
          <w:tcPr>
            <w:tcW w:w="552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 DE PRESUPUESTO DE INGRESOS, CORRIENTE  </w:t>
            </w:r>
          </w:p>
        </w:tc>
        <w:tc>
          <w:tcPr>
            <w:tcW w:w="25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right"/>
            </w:pPr>
            <w:r>
              <w:t>430.006,70</w:t>
            </w:r>
            <w:r>
              <w:rPr>
                <w:rFonts w:ascii="Times New Roman" w:eastAsia="Times New Roman" w:hAnsi="Times New Roman" w:cs="Times New Roman"/>
                <w:sz w:val="24"/>
              </w:rPr>
              <w:t xml:space="preserve"> </w:t>
            </w:r>
          </w:p>
        </w:tc>
      </w:tr>
      <w:tr w:rsidR="00E302EC">
        <w:trPr>
          <w:trHeight w:val="264"/>
        </w:trPr>
        <w:tc>
          <w:tcPr>
            <w:tcW w:w="552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PRESUPUESTO DE INGRESOS , CERRADOS </w:t>
            </w:r>
          </w:p>
        </w:tc>
        <w:tc>
          <w:tcPr>
            <w:tcW w:w="25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t>10.232.756,58</w:t>
            </w:r>
            <w:r>
              <w:rPr>
                <w:rFonts w:ascii="Times New Roman" w:eastAsia="Times New Roman" w:hAnsi="Times New Roman" w:cs="Times New Roman"/>
                <w:sz w:val="24"/>
              </w:rPr>
              <w:t xml:space="preserve"> </w:t>
            </w:r>
          </w:p>
        </w:tc>
      </w:tr>
      <w:tr w:rsidR="00E302EC">
        <w:trPr>
          <w:trHeight w:val="516"/>
        </w:trPr>
        <w:tc>
          <w:tcPr>
            <w:tcW w:w="552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OTRAS OPERACIONES NO </w:t>
            </w:r>
          </w:p>
          <w:p w:rsidR="00E302EC" w:rsidRDefault="00FC4F28">
            <w:pPr>
              <w:spacing w:after="0" w:line="259" w:lineRule="auto"/>
              <w:ind w:left="0" w:firstLine="0"/>
              <w:jc w:val="left"/>
            </w:pPr>
            <w:r>
              <w:t xml:space="preserve">PRESUPUESTARIAS </w:t>
            </w:r>
          </w:p>
        </w:tc>
        <w:tc>
          <w:tcPr>
            <w:tcW w:w="25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0" w:firstLine="0"/>
              <w:jc w:val="center"/>
            </w:pPr>
            <w:r>
              <w:t>542.906,08</w:t>
            </w:r>
            <w:r>
              <w:rPr>
                <w:rFonts w:ascii="Times New Roman" w:eastAsia="Times New Roman" w:hAnsi="Times New Roman" w:cs="Times New Roman"/>
                <w:sz w:val="24"/>
              </w:rPr>
              <w:t xml:space="preserve"> </w:t>
            </w:r>
          </w:p>
        </w:tc>
      </w:tr>
    </w:tbl>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7085" name="Group 27708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4752" name="Rectangle 475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4753" name="Rectangle 475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7085" style="width:12.7031pt;height:273.276pt;position:absolute;mso-position-horizontal-relative:page;mso-position-horizontal:absolute;margin-left:682.278pt;mso-position-vertical-relative:page;margin-top:538.644pt;" coordsize="1613,34706">
                <v:rect id="Rectangle 475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475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159 </w:t>
                        </w:r>
                      </w:p>
                    </w:txbxContent>
                  </v:textbox>
                </v:rect>
                <w10:wrap type="square"/>
              </v:group>
            </w:pict>
          </mc:Fallback>
        </mc:AlternateContent>
      </w:r>
      <w:r>
        <w:t xml:space="preserve"> </w:t>
      </w:r>
    </w:p>
    <w:p w:rsidR="00E302EC" w:rsidRDefault="00FC4F28">
      <w:pPr>
        <w:numPr>
          <w:ilvl w:val="0"/>
          <w:numId w:val="18"/>
        </w:numPr>
        <w:pBdr>
          <w:top w:val="single" w:sz="4" w:space="0" w:color="000000"/>
          <w:left w:val="single" w:sz="4" w:space="0" w:color="000000"/>
          <w:bottom w:val="single" w:sz="4" w:space="0" w:color="000000"/>
          <w:right w:val="single" w:sz="4" w:space="0" w:color="000000"/>
        </w:pBdr>
        <w:spacing w:after="0" w:line="259" w:lineRule="auto"/>
        <w:ind w:right="528" w:hanging="345"/>
        <w:jc w:val="left"/>
      </w:pPr>
      <w:r>
        <w:t xml:space="preserve">OBLIGACIONES PENDIENTES DE PAGO                                                      </w:t>
      </w:r>
    </w:p>
    <w:p w:rsidR="00E302EC" w:rsidRDefault="00FC4F28">
      <w:pPr>
        <w:pStyle w:val="Ttulo2"/>
        <w:ind w:left="341" w:right="528"/>
      </w:pPr>
      <w:r>
        <w:t>3.813.018,83</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p>
    <w:tbl>
      <w:tblPr>
        <w:tblStyle w:val="TableGrid"/>
        <w:tblW w:w="8070" w:type="dxa"/>
        <w:tblInd w:w="795" w:type="dxa"/>
        <w:tblCellMar>
          <w:top w:w="8" w:type="dxa"/>
          <w:left w:w="70" w:type="dxa"/>
          <w:bottom w:w="0" w:type="dxa"/>
          <w:right w:w="115" w:type="dxa"/>
        </w:tblCellMar>
        <w:tblLook w:val="04A0" w:firstRow="1" w:lastRow="0" w:firstColumn="1" w:lastColumn="0" w:noHBand="0" w:noVBand="1"/>
      </w:tblPr>
      <w:tblGrid>
        <w:gridCol w:w="5711"/>
        <w:gridCol w:w="2360"/>
      </w:tblGrid>
      <w:tr w:rsidR="00E302EC">
        <w:trPr>
          <w:trHeight w:val="264"/>
        </w:trPr>
        <w:tc>
          <w:tcPr>
            <w:tcW w:w="571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PRESUPUESTO DE GASTOS, CORRIENTE </w:t>
            </w:r>
          </w:p>
        </w:tc>
        <w:tc>
          <w:tcPr>
            <w:tcW w:w="23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8" w:firstLine="0"/>
              <w:jc w:val="center"/>
            </w:pPr>
            <w:r>
              <w:t>1.905.261,12</w:t>
            </w:r>
            <w:r>
              <w:rPr>
                <w:rFonts w:ascii="Times New Roman" w:eastAsia="Times New Roman" w:hAnsi="Times New Roman" w:cs="Times New Roman"/>
                <w:sz w:val="24"/>
              </w:rPr>
              <w:t xml:space="preserve"> </w:t>
            </w:r>
          </w:p>
        </w:tc>
      </w:tr>
      <w:tr w:rsidR="00E302EC">
        <w:trPr>
          <w:trHeight w:val="262"/>
        </w:trPr>
        <w:tc>
          <w:tcPr>
            <w:tcW w:w="571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PRESUPUESTO DE GASTOS , CERRADOS </w:t>
            </w:r>
          </w:p>
        </w:tc>
        <w:tc>
          <w:tcPr>
            <w:tcW w:w="23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8" w:firstLine="0"/>
              <w:jc w:val="center"/>
            </w:pPr>
            <w:r>
              <w:t>497.596,52</w:t>
            </w:r>
            <w:r>
              <w:rPr>
                <w:rFonts w:ascii="Times New Roman" w:eastAsia="Times New Roman" w:hAnsi="Times New Roman" w:cs="Times New Roman"/>
                <w:sz w:val="24"/>
              </w:rPr>
              <w:t xml:space="preserve"> </w:t>
            </w:r>
          </w:p>
        </w:tc>
      </w:tr>
      <w:tr w:rsidR="00E302EC">
        <w:trPr>
          <w:trHeight w:val="264"/>
        </w:trPr>
        <w:tc>
          <w:tcPr>
            <w:tcW w:w="571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OPERACIONES NO PRESUPUESTARIAS </w:t>
            </w:r>
          </w:p>
        </w:tc>
        <w:tc>
          <w:tcPr>
            <w:tcW w:w="23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8" w:firstLine="0"/>
              <w:jc w:val="center"/>
            </w:pPr>
            <w:r>
              <w:t>1.410.161,19</w:t>
            </w:r>
            <w:r>
              <w:rPr>
                <w:rFonts w:ascii="Times New Roman" w:eastAsia="Times New Roman" w:hAnsi="Times New Roman" w:cs="Times New Roman"/>
                <w:sz w:val="24"/>
              </w:rPr>
              <w:t xml:space="preserve"> </w:t>
            </w:r>
          </w:p>
        </w:tc>
      </w:tr>
    </w:tbl>
    <w:p w:rsidR="00E302EC" w:rsidRDefault="00FC4F28">
      <w:pPr>
        <w:spacing w:after="35" w:line="259" w:lineRule="auto"/>
        <w:ind w:left="284" w:firstLine="0"/>
        <w:jc w:val="left"/>
      </w:pPr>
      <w:r>
        <w:t xml:space="preserve"> </w:t>
      </w:r>
    </w:p>
    <w:p w:rsidR="00E302EC" w:rsidRDefault="00FC4F28">
      <w:pPr>
        <w:numPr>
          <w:ilvl w:val="0"/>
          <w:numId w:val="19"/>
        </w:numPr>
        <w:pBdr>
          <w:top w:val="single" w:sz="2" w:space="0" w:color="000000"/>
          <w:left w:val="single" w:sz="2" w:space="0" w:color="000000"/>
          <w:bottom w:val="single" w:sz="2" w:space="0" w:color="000000"/>
          <w:right w:val="single" w:sz="2" w:space="0" w:color="000000"/>
        </w:pBdr>
        <w:spacing w:after="52" w:line="231" w:lineRule="auto"/>
        <w:ind w:left="676" w:right="512" w:hanging="295"/>
        <w:jc w:val="left"/>
      </w:pPr>
      <w:r>
        <w:t>PARTIDAS PENDIENTES DE APLICACIÓN.......................................................</w:t>
      </w:r>
      <w:r>
        <w:rPr>
          <w:b/>
        </w:rPr>
        <w:t>132.750,29</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tbl>
      <w:tblPr>
        <w:tblStyle w:val="TableGrid"/>
        <w:tblW w:w="8051" w:type="dxa"/>
        <w:tblInd w:w="797" w:type="dxa"/>
        <w:tblCellMar>
          <w:top w:w="57" w:type="dxa"/>
          <w:left w:w="0" w:type="dxa"/>
          <w:bottom w:w="0" w:type="dxa"/>
          <w:right w:w="0" w:type="dxa"/>
        </w:tblCellMar>
        <w:tblLook w:val="04A0" w:firstRow="1" w:lastRow="0" w:firstColumn="1" w:lastColumn="0" w:noHBand="0" w:noVBand="1"/>
      </w:tblPr>
      <w:tblGrid>
        <w:gridCol w:w="6171"/>
        <w:gridCol w:w="1702"/>
        <w:gridCol w:w="178"/>
      </w:tblGrid>
      <w:tr w:rsidR="00E302EC">
        <w:trPr>
          <w:trHeight w:val="619"/>
        </w:trPr>
        <w:tc>
          <w:tcPr>
            <w:tcW w:w="6171" w:type="dxa"/>
            <w:tcBorders>
              <w:top w:val="single" w:sz="2" w:space="0" w:color="000000"/>
              <w:left w:val="single" w:sz="2" w:space="0" w:color="000000"/>
              <w:bottom w:val="single" w:sz="2" w:space="0" w:color="000000"/>
              <w:right w:val="single" w:sz="2" w:space="0" w:color="000000"/>
            </w:tcBorders>
          </w:tcPr>
          <w:p w:rsidR="00E302EC" w:rsidRDefault="00FC4F28">
            <w:pPr>
              <w:spacing w:after="0" w:line="259" w:lineRule="auto"/>
              <w:ind w:left="55" w:firstLine="0"/>
              <w:jc w:val="left"/>
            </w:pPr>
            <w:r>
              <w:t xml:space="preserve">- COBROS REALIZADOS PENDIENTES DE APLICACIÓN </w:t>
            </w:r>
          </w:p>
          <w:p w:rsidR="00E302EC" w:rsidRDefault="00FC4F28">
            <w:pPr>
              <w:spacing w:after="0" w:line="259" w:lineRule="auto"/>
              <w:ind w:left="55" w:firstLine="0"/>
              <w:jc w:val="left"/>
            </w:pPr>
            <w:r>
              <w:t xml:space="preserve">DEFINITIVA </w:t>
            </w:r>
          </w:p>
        </w:tc>
        <w:tc>
          <w:tcPr>
            <w:tcW w:w="1702" w:type="dxa"/>
            <w:tcBorders>
              <w:top w:val="single" w:sz="2" w:space="0" w:color="000000"/>
              <w:left w:val="single" w:sz="2" w:space="0" w:color="000000"/>
              <w:bottom w:val="single" w:sz="2" w:space="0" w:color="000000"/>
              <w:right w:val="nil"/>
            </w:tcBorders>
          </w:tcPr>
          <w:p w:rsidR="00E302EC" w:rsidRDefault="00FC4F28">
            <w:pPr>
              <w:spacing w:after="0" w:line="259" w:lineRule="auto"/>
              <w:ind w:left="389" w:firstLine="0"/>
              <w:jc w:val="left"/>
            </w:pPr>
            <w:r>
              <w:t xml:space="preserve">132.750,29 </w:t>
            </w:r>
          </w:p>
        </w:tc>
        <w:tc>
          <w:tcPr>
            <w:tcW w:w="178" w:type="dxa"/>
            <w:tcBorders>
              <w:top w:val="single" w:sz="2" w:space="0" w:color="000000"/>
              <w:left w:val="nil"/>
              <w:bottom w:val="single" w:sz="2" w:space="0" w:color="000000"/>
              <w:right w:val="single" w:sz="2" w:space="0" w:color="000000"/>
            </w:tcBorders>
          </w:tcPr>
          <w:p w:rsidR="00E302EC" w:rsidRDefault="00E302EC">
            <w:pPr>
              <w:spacing w:after="160" w:line="259" w:lineRule="auto"/>
              <w:ind w:left="0" w:firstLine="0"/>
              <w:jc w:val="left"/>
            </w:pPr>
          </w:p>
        </w:tc>
      </w:tr>
      <w:tr w:rsidR="00E302EC">
        <w:trPr>
          <w:trHeight w:val="617"/>
        </w:trPr>
        <w:tc>
          <w:tcPr>
            <w:tcW w:w="6171" w:type="dxa"/>
            <w:tcBorders>
              <w:top w:val="single" w:sz="2" w:space="0" w:color="000000"/>
              <w:left w:val="single" w:sz="2" w:space="0" w:color="000000"/>
              <w:bottom w:val="single" w:sz="2" w:space="0" w:color="000000"/>
              <w:right w:val="single" w:sz="2" w:space="0" w:color="000000"/>
            </w:tcBorders>
          </w:tcPr>
          <w:p w:rsidR="00E302EC" w:rsidRDefault="00FC4F28">
            <w:pPr>
              <w:spacing w:after="0" w:line="259" w:lineRule="auto"/>
              <w:ind w:left="55" w:firstLine="0"/>
              <w:jc w:val="left"/>
            </w:pPr>
            <w:r>
              <w:t xml:space="preserve">+ PAGOS REALIZADOS PENDIENTES DE APLICACIÓN </w:t>
            </w:r>
          </w:p>
          <w:p w:rsidR="00E302EC" w:rsidRDefault="00FC4F28">
            <w:pPr>
              <w:spacing w:after="0" w:line="259" w:lineRule="auto"/>
              <w:ind w:left="55" w:firstLine="0"/>
              <w:jc w:val="left"/>
            </w:pPr>
            <w:r>
              <w:t xml:space="preserve">DEFINITIVA </w:t>
            </w:r>
          </w:p>
        </w:tc>
        <w:tc>
          <w:tcPr>
            <w:tcW w:w="1702" w:type="dxa"/>
            <w:tcBorders>
              <w:top w:val="single" w:sz="2" w:space="0" w:color="000000"/>
              <w:left w:val="single" w:sz="2" w:space="0" w:color="000000"/>
              <w:bottom w:val="single" w:sz="2" w:space="0" w:color="000000"/>
              <w:right w:val="nil"/>
            </w:tcBorders>
          </w:tcPr>
          <w:p w:rsidR="00E302EC" w:rsidRDefault="00E302EC">
            <w:pPr>
              <w:spacing w:after="160" w:line="259" w:lineRule="auto"/>
              <w:ind w:left="0" w:firstLine="0"/>
              <w:jc w:val="left"/>
            </w:pPr>
          </w:p>
        </w:tc>
        <w:tc>
          <w:tcPr>
            <w:tcW w:w="178" w:type="dxa"/>
            <w:tcBorders>
              <w:top w:val="single" w:sz="2" w:space="0" w:color="000000"/>
              <w:left w:val="nil"/>
              <w:bottom w:val="single" w:sz="2" w:space="0" w:color="000000"/>
              <w:right w:val="single" w:sz="2" w:space="0" w:color="000000"/>
            </w:tcBorders>
          </w:tcPr>
          <w:p w:rsidR="00E302EC" w:rsidRDefault="00FC4F28">
            <w:pPr>
              <w:spacing w:after="0" w:line="259" w:lineRule="auto"/>
              <w:ind w:left="0" w:firstLine="0"/>
            </w:pPr>
            <w:r>
              <w:t xml:space="preserve">0 </w:t>
            </w:r>
          </w:p>
        </w:tc>
      </w:tr>
    </w:tbl>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numPr>
          <w:ilvl w:val="0"/>
          <w:numId w:val="19"/>
        </w:numPr>
        <w:pBdr>
          <w:top w:val="single" w:sz="4" w:space="0" w:color="000000"/>
          <w:left w:val="single" w:sz="4" w:space="0" w:color="000000"/>
          <w:bottom w:val="single" w:sz="4" w:space="0" w:color="000000"/>
          <w:right w:val="single" w:sz="4" w:space="0" w:color="000000"/>
        </w:pBdr>
        <w:spacing w:after="0" w:line="259" w:lineRule="auto"/>
        <w:ind w:left="626" w:right="528" w:hanging="295"/>
        <w:jc w:val="left"/>
      </w:pPr>
      <w:r>
        <w:t xml:space="preserve">FONDOS LÍQUIDOS DE TESORERIA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41" w:right="528"/>
        <w:jc w:val="left"/>
      </w:pPr>
      <w:r>
        <w:rPr>
          <w:b/>
        </w:rPr>
        <w:t>25.414.379,08</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pStyle w:val="Ttulo1"/>
        <w:pBdr>
          <w:top w:val="single" w:sz="4" w:space="0" w:color="000000"/>
          <w:left w:val="single" w:sz="4" w:space="0" w:color="000000"/>
          <w:bottom w:val="single" w:sz="4" w:space="0" w:color="000000"/>
          <w:right w:val="single" w:sz="4" w:space="0" w:color="000000"/>
        </w:pBdr>
        <w:spacing w:after="0"/>
        <w:ind w:left="341" w:right="1055"/>
        <w:jc w:val="left"/>
      </w:pPr>
      <w:r>
        <w:t>F) REMANENTE DE TESORERIA  TOTAL                                          32.674.279,29       ( A – B + C+D)</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p>
    <w:tbl>
      <w:tblPr>
        <w:tblStyle w:val="TableGrid"/>
        <w:tblW w:w="8615" w:type="dxa"/>
        <w:tblInd w:w="250" w:type="dxa"/>
        <w:tblCellMar>
          <w:top w:w="26" w:type="dxa"/>
          <w:left w:w="0" w:type="dxa"/>
          <w:bottom w:w="0" w:type="dxa"/>
          <w:right w:w="0" w:type="dxa"/>
        </w:tblCellMar>
        <w:tblLook w:val="04A0" w:firstRow="1" w:lastRow="0" w:firstColumn="1" w:lastColumn="0" w:noHBand="0" w:noVBand="1"/>
      </w:tblPr>
      <w:tblGrid>
        <w:gridCol w:w="406"/>
        <w:gridCol w:w="528"/>
        <w:gridCol w:w="7682"/>
      </w:tblGrid>
      <w:tr w:rsidR="00E302EC">
        <w:trPr>
          <w:trHeight w:val="533"/>
        </w:trPr>
        <w:tc>
          <w:tcPr>
            <w:tcW w:w="406" w:type="dxa"/>
            <w:tcBorders>
              <w:top w:val="single" w:sz="4" w:space="0" w:color="000000"/>
              <w:left w:val="single" w:sz="4" w:space="0" w:color="000000"/>
              <w:bottom w:val="single" w:sz="4" w:space="0" w:color="000000"/>
              <w:right w:val="nil"/>
            </w:tcBorders>
          </w:tcPr>
          <w:p w:rsidR="00E302EC" w:rsidRDefault="00FC4F28">
            <w:pPr>
              <w:spacing w:after="0" w:line="259" w:lineRule="auto"/>
              <w:ind w:left="70" w:firstLine="0"/>
              <w:jc w:val="left"/>
            </w:pPr>
            <w:r>
              <w:rPr>
                <w:rFonts w:ascii="Segoe UI Symbol" w:eastAsia="Segoe UI Symbol" w:hAnsi="Segoe UI Symbol" w:cs="Segoe UI Symbol"/>
                <w:color w:val="2E74B5"/>
              </w:rPr>
              <w:t></w:t>
            </w:r>
            <w:r>
              <w:rPr>
                <w:color w:val="2E74B5"/>
              </w:rPr>
              <w:t xml:space="preserve"> </w:t>
            </w:r>
          </w:p>
        </w:tc>
        <w:tc>
          <w:tcPr>
            <w:tcW w:w="528"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7682" w:type="dxa"/>
            <w:tcBorders>
              <w:top w:val="single" w:sz="4" w:space="0" w:color="000000"/>
              <w:left w:val="nil"/>
              <w:bottom w:val="single" w:sz="4" w:space="0" w:color="000000"/>
              <w:right w:val="single" w:sz="4" w:space="0" w:color="000000"/>
            </w:tcBorders>
          </w:tcPr>
          <w:p w:rsidR="00E302EC" w:rsidRDefault="00FC4F28">
            <w:pPr>
              <w:spacing w:after="0" w:line="259" w:lineRule="auto"/>
              <w:ind w:left="0" w:firstLine="0"/>
            </w:pPr>
            <w:r>
              <w:rPr>
                <w:i/>
                <w:color w:val="2E74B5"/>
              </w:rPr>
              <w:t xml:space="preserve">G) SALDOS DE DUDOSO COBRO                                                                      </w:t>
            </w:r>
          </w:p>
          <w:p w:rsidR="00E302EC" w:rsidRDefault="00FC4F28">
            <w:pPr>
              <w:spacing w:after="0" w:line="259" w:lineRule="auto"/>
              <w:ind w:left="0" w:firstLine="0"/>
              <w:jc w:val="left"/>
            </w:pPr>
            <w:r>
              <w:rPr>
                <w:i/>
                <w:color w:val="2E74B5"/>
              </w:rPr>
              <w:t xml:space="preserve">9.397.675,29 </w:t>
            </w:r>
          </w:p>
        </w:tc>
      </w:tr>
    </w:tbl>
    <w:p w:rsidR="00E302EC" w:rsidRDefault="00FC4F28">
      <w:pPr>
        <w:spacing w:after="0" w:line="259" w:lineRule="auto"/>
        <w:ind w:left="284" w:firstLine="0"/>
        <w:jc w:val="left"/>
      </w:pPr>
      <w:r>
        <w:t xml:space="preserve">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41" w:right="528"/>
        <w:jc w:val="left"/>
      </w:pPr>
      <w:r>
        <w:rPr>
          <w:b/>
        </w:rPr>
        <w:t>H) EXCESO DE FINANCIACION AFECTADA</w:t>
      </w:r>
      <w:r>
        <w:t xml:space="preserve">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41" w:right="528"/>
        <w:jc w:val="left"/>
      </w:pPr>
      <w:r>
        <w:t>4.794.579,85</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pStyle w:val="Ttulo1"/>
        <w:pBdr>
          <w:top w:val="single" w:sz="4" w:space="0" w:color="000000"/>
          <w:left w:val="single" w:sz="4" w:space="0" w:color="000000"/>
          <w:bottom w:val="single" w:sz="4" w:space="0" w:color="000000"/>
          <w:right w:val="single" w:sz="4" w:space="0" w:color="000000"/>
        </w:pBdr>
        <w:spacing w:after="0"/>
        <w:ind w:left="341" w:right="1055"/>
        <w:jc w:val="left"/>
      </w:pPr>
      <w:r>
        <w:t xml:space="preserve">I) REMANENTE DE TESORERÍA PARA GASTOS GENERALES                + </w:t>
      </w:r>
    </w:p>
    <w:p w:rsidR="00E302EC" w:rsidRDefault="00FC4F28">
      <w:pPr>
        <w:pStyle w:val="Ttulo2"/>
        <w:ind w:left="341" w:right="1055"/>
      </w:pPr>
      <w:r>
        <w:t>18.482.024,15   ( F - G - H )</w:t>
      </w:r>
      <w:r>
        <w:rPr>
          <w:rFonts w:ascii="Times New Roman" w:eastAsia="Times New Roman" w:hAnsi="Times New Roman" w:cs="Times New Roman"/>
          <w:b w:val="0"/>
          <w:sz w:val="24"/>
        </w:rPr>
        <w:t xml:space="preserve"> </w:t>
      </w:r>
    </w:p>
    <w:p w:rsidR="00E302EC" w:rsidRDefault="00FC4F28">
      <w:pPr>
        <w:spacing w:after="259"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2284" name="Group 24228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5138" name="Rectangle 513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5139" name="Rectangle 513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2284" style="width:12.7031pt;height:273.276pt;position:absolute;mso-position-horizontal-relative:page;mso-position-horizontal:absolute;margin-left:682.278pt;mso-position-vertical-relative:page;margin-top:538.644pt;" coordsize="1613,34706">
                <v:rect id="Rectangle 513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513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159 </w:t>
                        </w:r>
                      </w:p>
                    </w:txbxContent>
                  </v:textbox>
                </v:rect>
                <w10:wrap type="square"/>
              </v:group>
            </w:pict>
          </mc:Fallback>
        </mc:AlternateContent>
      </w:r>
      <w:r>
        <w:t xml:space="preserve"> Así, de los datos obtenidos de ejercicios cerrados, tenemos d</w:t>
      </w:r>
      <w:r>
        <w:t xml:space="preserve">etallados los importes cobrados en dichos ejercicios, la cantidad que está pendiente de cobro y el saldo de dudoso cobro, de acuerdo con los porcentajes establecidos en las Bases del Presupuesto: </w:t>
      </w:r>
    </w:p>
    <w:tbl>
      <w:tblPr>
        <w:tblStyle w:val="TableGrid"/>
        <w:tblW w:w="8620" w:type="dxa"/>
        <w:tblInd w:w="284" w:type="dxa"/>
        <w:tblCellMar>
          <w:top w:w="6" w:type="dxa"/>
          <w:left w:w="0" w:type="dxa"/>
          <w:bottom w:w="0" w:type="dxa"/>
          <w:right w:w="48" w:type="dxa"/>
        </w:tblCellMar>
        <w:tblLook w:val="04A0" w:firstRow="1" w:lastRow="0" w:firstColumn="1" w:lastColumn="0" w:noHBand="0" w:noVBand="1"/>
      </w:tblPr>
      <w:tblGrid>
        <w:gridCol w:w="2050"/>
        <w:gridCol w:w="2257"/>
        <w:gridCol w:w="2015"/>
        <w:gridCol w:w="256"/>
        <w:gridCol w:w="2043"/>
      </w:tblGrid>
      <w:tr w:rsidR="00E302EC">
        <w:trPr>
          <w:trHeight w:val="768"/>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IMPORTES COBRADOS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rPr>
                <w:b/>
              </w:rPr>
              <w:t xml:space="preserve">IMPORTES </w:t>
            </w:r>
          </w:p>
          <w:p w:rsidR="00E302EC" w:rsidRDefault="00FC4F28">
            <w:pPr>
              <w:spacing w:after="0" w:line="259" w:lineRule="auto"/>
              <w:ind w:left="108" w:firstLine="0"/>
              <w:jc w:val="left"/>
            </w:pPr>
            <w:r>
              <w:rPr>
                <w:b/>
              </w:rPr>
              <w:t xml:space="preserve">PENDIENTES </w:t>
            </w:r>
          </w:p>
          <w:p w:rsidR="00E302EC" w:rsidRDefault="00FC4F28">
            <w:pPr>
              <w:spacing w:after="0" w:line="259" w:lineRule="auto"/>
              <w:ind w:left="108" w:firstLine="0"/>
              <w:jc w:val="left"/>
            </w:pPr>
            <w:r>
              <w:rPr>
                <w:b/>
              </w:rPr>
              <w:t xml:space="preserve">31/12/2021 </w:t>
            </w:r>
          </w:p>
        </w:tc>
        <w:tc>
          <w:tcPr>
            <w:tcW w:w="256"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0" w:firstLine="0"/>
            </w:pPr>
            <w:r>
              <w:rPr>
                <w:b/>
              </w:rPr>
              <w:t xml:space="preserve">A </w:t>
            </w: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rPr>
                <w:b/>
              </w:rPr>
              <w:t>SALDO DUDOSO COBRO</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2020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62.901,90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162.964,06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40.741,02</w:t>
            </w:r>
            <w:r>
              <w:rPr>
                <w:rFonts w:ascii="Times New Roman" w:eastAsia="Times New Roman" w:hAnsi="Times New Roman" w:cs="Times New Roman"/>
                <w:sz w:val="24"/>
              </w:rPr>
              <w:t xml:space="preserve">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52.960,91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375.776,90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93.944,23</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102.762,65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384.248,97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192.124,49</w:t>
            </w:r>
            <w:r>
              <w:rPr>
                <w:rFonts w:ascii="Times New Roman" w:eastAsia="Times New Roman" w:hAnsi="Times New Roman" w:cs="Times New Roman"/>
                <w:sz w:val="24"/>
              </w:rPr>
              <w:t xml:space="preserve">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70.231,84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743.336,24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557.502,18</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2016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16.990,83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212.268,17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159.201,13</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2015-</w:t>
            </w:r>
            <w:r>
              <w:t xml:space="preserve">1991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49.065,97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8.354.162,24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 xml:space="preserve">8.354.162,24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354.914,10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rPr>
                <w:b/>
              </w:rPr>
              <w:t xml:space="preserve">10.232.756,58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rPr>
                <w:b/>
              </w:rPr>
              <w:t>9.397.675,29</w:t>
            </w:r>
            <w:r>
              <w:rPr>
                <w:rFonts w:ascii="Times New Roman" w:eastAsia="Times New Roman" w:hAnsi="Times New Roman" w:cs="Times New Roman"/>
                <w:sz w:val="24"/>
              </w:rPr>
              <w:t xml:space="preserve"> </w:t>
            </w:r>
          </w:p>
        </w:tc>
      </w:tr>
    </w:tbl>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r>
        <w:rPr>
          <w:b/>
        </w:rPr>
        <w:tab/>
      </w:r>
      <w:r>
        <w:rPr>
          <w:rFonts w:ascii="Times New Roman" w:eastAsia="Times New Roman" w:hAnsi="Times New Roman" w:cs="Times New Roman"/>
          <w:sz w:val="24"/>
        </w:rPr>
        <w:t xml:space="preserve"> </w:t>
      </w:r>
    </w:p>
    <w:p w:rsidR="00E302EC" w:rsidRDefault="00FC4F28">
      <w:pPr>
        <w:spacing w:after="8" w:line="248" w:lineRule="auto"/>
        <w:ind w:left="279" w:right="183"/>
      </w:pPr>
      <w:r>
        <w:rPr>
          <w:b/>
        </w:rPr>
        <w:t>3.-</w:t>
      </w:r>
      <w:r>
        <w:rPr>
          <w:b/>
        </w:rPr>
        <w:t>INDICADORES DE SANEAMIENTO Y CONDICIONANTES DE LIBRE DISPOSICIÓN, QUE SE IMPONEN PARA LA DISTRIBUCIÓN DEL FONDO CANARIO DE FINANCIACIÓN MUNICIPAL DEL EJERCICIO 2019</w:t>
      </w:r>
      <w:r>
        <w:rPr>
          <w:rFonts w:ascii="Times New Roman" w:eastAsia="Times New Roman" w:hAnsi="Times New Roman" w:cs="Times New Roman"/>
          <w:sz w:val="24"/>
        </w:rPr>
        <w:t xml:space="preserve"> </w:t>
      </w:r>
    </w:p>
    <w:p w:rsidR="00E302EC" w:rsidRDefault="00FC4F28">
      <w:pPr>
        <w:spacing w:after="0" w:line="259" w:lineRule="auto"/>
        <w:ind w:left="992" w:firstLine="0"/>
        <w:jc w:val="left"/>
      </w:pPr>
      <w:r>
        <w:t xml:space="preserve"> </w:t>
      </w:r>
    </w:p>
    <w:p w:rsidR="00E302EC" w:rsidRDefault="00FC4F28">
      <w:pPr>
        <w:spacing w:after="105" w:line="259" w:lineRule="auto"/>
        <w:ind w:left="567" w:firstLine="0"/>
        <w:jc w:val="left"/>
      </w:pPr>
      <w:r>
        <w:t xml:space="preserve"> </w:t>
      </w:r>
      <w:r>
        <w:tab/>
        <w:t xml:space="preserve"> </w:t>
      </w:r>
      <w:r>
        <w:tab/>
        <w:t xml:space="preserve"> </w:t>
      </w:r>
    </w:p>
    <w:p w:rsidR="00E302EC" w:rsidRDefault="00FC4F28">
      <w:pPr>
        <w:spacing w:after="166"/>
        <w:ind w:left="577" w:right="184"/>
      </w:pPr>
      <w:r>
        <w:t>La Ley 3/1999 de 4 de febrero, del Fondo Canario de Financiación Municipal, regula cinco indicadores de saneamiento y condicionantes de libre disposición, esto es, remanente de tesorería para gastos generales, gestión recaudatoria, endeudamiento a largo pl</w:t>
      </w:r>
      <w:r>
        <w:t xml:space="preserve">azo, esfuerzo fiscal y el ratio de Ahorro Neto. </w:t>
      </w:r>
    </w:p>
    <w:p w:rsidR="00E302EC" w:rsidRDefault="00FC4F28">
      <w:pPr>
        <w:numPr>
          <w:ilvl w:val="0"/>
          <w:numId w:val="20"/>
        </w:numPr>
        <w:ind w:right="184" w:hanging="360"/>
      </w:pPr>
      <w:r>
        <w:t>Remanente de Tesorería para Gastos Generales, que importa la cantidad de 18.482.024,15 Euros, se impone que sea superior al 1 %, de los derechos reconocidos netos por capítulos I al V de Ingresos en la Liqui</w:t>
      </w:r>
      <w:r>
        <w:t>dación del Presupuesto, que asciende a 26.844.541,72 Euros, sale positivo en el 67,84 % frente al 68,8 %, también con signo positivo, del ejercicio anterior.</w:t>
      </w:r>
      <w:r>
        <w:rPr>
          <w:rFonts w:ascii="Times New Roman" w:eastAsia="Times New Roman" w:hAnsi="Times New Roman" w:cs="Times New Roman"/>
          <w:sz w:val="24"/>
        </w:rPr>
        <w:t xml:space="preserve"> </w:t>
      </w:r>
    </w:p>
    <w:p w:rsidR="00E302EC" w:rsidRDefault="00FC4F28">
      <w:pPr>
        <w:spacing w:after="32" w:line="259" w:lineRule="auto"/>
        <w:ind w:left="644" w:firstLine="0"/>
        <w:jc w:val="left"/>
      </w:pPr>
      <w:r>
        <w:t xml:space="preserve"> </w:t>
      </w:r>
    </w:p>
    <w:p w:rsidR="00E302EC" w:rsidRDefault="00FC4F28">
      <w:pPr>
        <w:numPr>
          <w:ilvl w:val="0"/>
          <w:numId w:val="20"/>
        </w:numPr>
        <w:ind w:right="184" w:hanging="360"/>
      </w:pPr>
      <w:r>
        <w:t>Ahorro Neto, es un ratio que, a diferencia del ratio de ahorro bruto que mide la capacidad de autofinanciación de las inversiones, es un ratio que nos indica la capacidad  de endeudamiento de la entidad Local, que se establece que sea superior al 6 por 100</w:t>
      </w:r>
      <w:r>
        <w:t xml:space="preserve">  de los derechos reconocidos netos por capítulos I al V de Ingresos en la Liquidación del presupuesto, viene dado por la diferencia de los derechos reconocidos netos por los capítulos I al V de Ingresos (26.844.541,72 Euros) y las obligaciones reconocidas</w:t>
      </w:r>
      <w:r>
        <w:t xml:space="preserve"> netas por los capítulos I, II y IV, una vez deducidas las obligaciones financiadas con remanente de tesorería para gastos generales, que importaron la cantidad de 106.807,44 Euros (22.535.480,98 Euros) y una anualidad teórica de amortización (39.375,45 Eu</w:t>
      </w:r>
      <w:r>
        <w:t xml:space="preserve">ros), que incluye los capítulos III y IX.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654" w:right="184"/>
      </w:pPr>
      <w:r>
        <w:t xml:space="preserve">Ello nos da un Ahorro Neto positivo de 4.269.684,77 Euros (que fue negativo en 246.223,93 Euros en el año 2020), esto es, un porcentaje positivo del 15,9 %, frente al -0,01 %, de los derechos reconocidos netos </w:t>
      </w:r>
      <w:r>
        <w:t xml:space="preserve">por capítulos I al V de Ingresos en la Liquidación del Presupuesto del ejercicio anterior.  </w:t>
      </w:r>
    </w:p>
    <w:p w:rsidR="00E302EC" w:rsidRDefault="00FC4F28">
      <w:pPr>
        <w:spacing w:after="29" w:line="259" w:lineRule="auto"/>
        <w:ind w:left="644" w:firstLine="0"/>
        <w:jc w:val="left"/>
      </w:pPr>
      <w:r>
        <w:t xml:space="preserve"> </w:t>
      </w:r>
    </w:p>
    <w:p w:rsidR="00E302EC" w:rsidRDefault="00FC4F28">
      <w:pPr>
        <w:numPr>
          <w:ilvl w:val="0"/>
          <w:numId w:val="20"/>
        </w:numPr>
        <w:ind w:right="184" w:hanging="360"/>
      </w:pPr>
      <w:r>
        <w:t>Endeudamiento a Largo Plazo que se impone que sea inferior al 70 por 100 de los derechos reconocidos netos por capítulos I al V de Ingresos en la Liquidación del</w:t>
      </w:r>
      <w:r>
        <w:t xml:space="preserve"> Presupuesto.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654" w:right="184"/>
      </w:pPr>
      <w:r>
        <w:t>La deuda financiera del Ayuntamiento, a 31 de diciembre de 2021, es nula.</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spacing w:after="0" w:line="259" w:lineRule="auto"/>
        <w:ind w:left="644" w:firstLine="0"/>
        <w:jc w:val="left"/>
      </w:pPr>
      <w:r>
        <w:t xml:space="preserve"> </w:t>
      </w:r>
    </w:p>
    <w:p w:rsidR="00E302EC" w:rsidRDefault="00FC4F28">
      <w:pPr>
        <w:ind w:left="654" w:right="184"/>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0396" name="Group 22039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5269" name="Rectangle 526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5270" name="Rectangle 527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0396" style="width:12.7031pt;height:273.276pt;position:absolute;mso-position-horizontal-relative:page;mso-position-horizontal:absolute;margin-left:682.278pt;mso-position-vertical-relative:page;margin-top:538.644pt;" coordsize="1613,34706">
                <v:rect id="Rectangle 526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527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159 </w:t>
                        </w:r>
                      </w:p>
                    </w:txbxContent>
                  </v:textbox>
                </v:rect>
                <w10:wrap type="square"/>
              </v:group>
            </w:pict>
          </mc:Fallback>
        </mc:AlternateContent>
      </w:r>
      <w:r>
        <w:t xml:space="preserve">Dado que los derechos reconocidos netos por los capítulos I al V de Ingresos, asciende a 26.320.724,04 Euros, este Ratio importa un 0 %, igual que el obtenido en </w:t>
      </w:r>
      <w:r>
        <w:t>la Liquidación del presupuesto del ejercicio 2020.</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numPr>
          <w:ilvl w:val="0"/>
          <w:numId w:val="20"/>
        </w:numPr>
        <w:ind w:right="184" w:hanging="360"/>
      </w:pPr>
      <w:r>
        <w:t>Gestión Recaudatoria superior al 75 % de los derechos reconocidos netos por capítulos I al III de Ingresos en la Liquidación del Presupuesto, viene dado por el cociente entre los derechos recaudados por</w:t>
      </w:r>
      <w:r>
        <w:t xml:space="preserve"> esos capítulos de ingresos (14.496.125,14 Euros) y los derechos reconocidos netos por los mismos capítulos I, II y III (14.926.131,84 Euros), llega al 85,6 %, frente al 98,3 % del ejercicio 2020.  </w:t>
      </w:r>
    </w:p>
    <w:p w:rsidR="00E302EC" w:rsidRDefault="00FC4F28">
      <w:pPr>
        <w:spacing w:after="32" w:line="259" w:lineRule="auto"/>
        <w:ind w:left="644" w:firstLine="0"/>
        <w:jc w:val="left"/>
      </w:pPr>
      <w:r>
        <w:t xml:space="preserve"> </w:t>
      </w:r>
    </w:p>
    <w:p w:rsidR="00E302EC" w:rsidRDefault="00FC4F28">
      <w:pPr>
        <w:numPr>
          <w:ilvl w:val="0"/>
          <w:numId w:val="20"/>
        </w:numPr>
        <w:ind w:right="184" w:hanging="360"/>
      </w:pPr>
      <w:r>
        <w:t>Esfuerzo Fiscal, que se exige que sea superior al 70,66</w:t>
      </w:r>
      <w:r>
        <w:t xml:space="preserve"> por 100, se encuentra por encima del ochenta y cinco por ciento, como en el ejercicio del 2020.</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spacing w:after="81" w:line="259" w:lineRule="auto"/>
        <w:ind w:left="284" w:firstLine="0"/>
        <w:jc w:val="left"/>
      </w:pPr>
      <w:r>
        <w:t xml:space="preserve"> </w:t>
      </w:r>
    </w:p>
    <w:p w:rsidR="00E302EC" w:rsidRDefault="00FC4F28">
      <w:pPr>
        <w:spacing w:after="74"/>
        <w:ind w:left="269" w:right="184" w:firstLine="708"/>
      </w:pPr>
      <w:r>
        <w:t>Con respecto al cumplimiento de las Reglas fiscales, esto es, la Estabilidad, Presupuestaria, Regla del Gasto y Deuda Pública, el Congreso de los Diputado</w:t>
      </w:r>
      <w:r>
        <w:t xml:space="preserve">s en su sesión de 20 de octubre de 2020 apreció, por mayoría absoluta de sus miembros, que existe una situación de emergencia extraordinaria </w:t>
      </w:r>
      <w:r>
        <w:rPr>
          <w:b/>
        </w:rPr>
        <w:t>que motiva la suspensión de las reglas fiscales</w:t>
      </w:r>
      <w:r>
        <w:t>, requisito que establece el artículo 11.3 de la Ley Orgánica 2/2012</w:t>
      </w:r>
      <w:r>
        <w:t>, de 27 de abril, de Estabilidad Presupuestaria y Sostenibilidad Financiera (en adelante LOEPSF).</w:t>
      </w:r>
      <w:r>
        <w:rPr>
          <w:rFonts w:ascii="Times New Roman" w:eastAsia="Times New Roman" w:hAnsi="Times New Roman" w:cs="Times New Roman"/>
          <w:sz w:val="24"/>
        </w:rPr>
        <w:t xml:space="preserve"> </w:t>
      </w:r>
    </w:p>
    <w:p w:rsidR="00E302EC" w:rsidRDefault="00FC4F28">
      <w:pPr>
        <w:spacing w:after="79"/>
        <w:ind w:left="269" w:right="184" w:firstLine="708"/>
      </w:pPr>
      <w:r>
        <w:t xml:space="preserve">En base a dicho acuerdo, quedan </w:t>
      </w:r>
      <w:r>
        <w:rPr>
          <w:b/>
        </w:rPr>
        <w:t>suspendidos</w:t>
      </w:r>
      <w:r>
        <w:t xml:space="preserve"> el Acuerdo de Consejo de Ministros de 11 de febrero de 2020, por el que se adecúan los objetivos de estabilidad p</w:t>
      </w:r>
      <w:r>
        <w:t>resupuestaria y de deuda pública para el conjunto de Administraciones Públicas y de cada uno de sus subsectores para el año 2020 para su remisión a las Cortes Generales, así como el Acuerdo de Consejo de Ministros de 11 de febrero de 2020 por el que se fij</w:t>
      </w:r>
      <w:r>
        <w:t>an los objetivos de estabilidad presupuestaria y de deuda pública para el conjunto de Administraciones Públicas y de cada uno de sus subsectores para el período 2021-2023 para su remisión a las Cortes Generales, y el límite de gasto no financiero del presu</w:t>
      </w:r>
      <w:r>
        <w:t>puesto del Estado para 2021.</w:t>
      </w:r>
      <w:r>
        <w:rPr>
          <w:rFonts w:ascii="Times New Roman" w:eastAsia="Times New Roman" w:hAnsi="Times New Roman" w:cs="Times New Roman"/>
          <w:sz w:val="24"/>
        </w:rPr>
        <w:t xml:space="preserve"> </w:t>
      </w:r>
    </w:p>
    <w:p w:rsidR="00E302EC" w:rsidRDefault="00FC4F28">
      <w:pPr>
        <w:spacing w:after="100" w:line="259" w:lineRule="auto"/>
        <w:ind w:left="992" w:firstLine="0"/>
        <w:jc w:val="left"/>
      </w:pPr>
      <w:r>
        <w:rPr>
          <w:b/>
          <w:i/>
        </w:rPr>
        <w:t xml:space="preserve"> </w:t>
      </w:r>
    </w:p>
    <w:p w:rsidR="00E302EC" w:rsidRDefault="00FC4F28">
      <w:pPr>
        <w:spacing w:after="112"/>
        <w:ind w:left="269" w:right="184" w:firstLine="708"/>
      </w:pPr>
      <w:r>
        <w:t xml:space="preserve">Visto los citados informes y variables económicas-financieras obtenidas de la Liquidación, esta Alcaldía Presidencia, en uso de las atribuciones legalmente conferidas </w:t>
      </w:r>
    </w:p>
    <w:p w:rsidR="00E302EC" w:rsidRDefault="00FC4F28">
      <w:pPr>
        <w:spacing w:after="98" w:line="259" w:lineRule="auto"/>
        <w:ind w:left="992" w:firstLine="0"/>
        <w:jc w:val="left"/>
      </w:pPr>
      <w:r>
        <w:t xml:space="preserve"> </w:t>
      </w:r>
    </w:p>
    <w:p w:rsidR="00E302EC" w:rsidRDefault="00FC4F28">
      <w:pPr>
        <w:spacing w:after="111"/>
        <w:ind w:left="1002" w:right="184"/>
      </w:pPr>
      <w:r>
        <w:rPr>
          <w:b/>
        </w:rPr>
        <w:t>PRIMERO:</w:t>
      </w:r>
      <w:r>
        <w:t xml:space="preserve">  </w:t>
      </w:r>
      <w:r>
        <w:t xml:space="preserve">Aprobar la Liquidación del Presupuesto del ejercicio 2021. </w:t>
      </w:r>
    </w:p>
    <w:p w:rsidR="00E302EC" w:rsidRDefault="00FC4F28">
      <w:pPr>
        <w:spacing w:after="98" w:line="259" w:lineRule="auto"/>
        <w:ind w:left="992" w:firstLine="0"/>
        <w:jc w:val="left"/>
      </w:pPr>
      <w:r>
        <w:t xml:space="preserve"> </w:t>
      </w:r>
    </w:p>
    <w:p w:rsidR="00E302EC" w:rsidRDefault="00FC4F28">
      <w:pPr>
        <w:spacing w:after="110"/>
        <w:ind w:left="269" w:right="184" w:firstLine="708"/>
      </w:pPr>
      <w:r>
        <w:rPr>
          <w:b/>
        </w:rPr>
        <w:t xml:space="preserve">SEGUNDO: </w:t>
      </w:r>
      <w:r>
        <w:t>Dar cuenta al Pleno de la presente aprobación en la primera sesión que celebre para su conocimiento a los efectos previstos en el párrafo 4º del art. 174 del Real Decreto Legislativo 2/</w:t>
      </w:r>
      <w:r>
        <w:t xml:space="preserve">2004, de 5 de marzo, por el que se aprueba el Texto Refundido de la Ley Reguladora de las Haciendas Locales” </w:t>
      </w:r>
    </w:p>
    <w:p w:rsidR="00E302EC" w:rsidRDefault="00FC4F28">
      <w:pPr>
        <w:spacing w:after="98" w:line="259" w:lineRule="auto"/>
        <w:ind w:left="992" w:firstLine="0"/>
        <w:jc w:val="left"/>
      </w:pPr>
      <w:r>
        <w:t xml:space="preserve"> </w:t>
      </w:r>
    </w:p>
    <w:p w:rsidR="00E302EC" w:rsidRDefault="00FC4F28">
      <w:pPr>
        <w:spacing w:after="8" w:line="248" w:lineRule="auto"/>
        <w:ind w:left="279" w:right="183"/>
      </w:pPr>
      <w:r>
        <w:rPr>
          <w:b/>
        </w:rPr>
        <w:t>Consta en el expediente Informe de Intervención emitido por Don Nicolás Rojo Garnica, que desempeña el puesto de trabajo de Interventor Municipa</w:t>
      </w:r>
      <w:r>
        <w:rPr>
          <w:b/>
        </w:rPr>
        <w:t xml:space="preserve">l, de 15 de marzo de 2022, del siguiente tenor literal: </w:t>
      </w:r>
    </w:p>
    <w:p w:rsidR="00E302EC" w:rsidRDefault="00FC4F28">
      <w:pPr>
        <w:spacing w:after="98" w:line="259" w:lineRule="auto"/>
        <w:ind w:left="284" w:firstLine="0"/>
        <w:jc w:val="left"/>
      </w:pPr>
      <w:r>
        <w:rPr>
          <w:b/>
        </w:rPr>
        <w:t xml:space="preserve"> </w:t>
      </w:r>
    </w:p>
    <w:p w:rsidR="00E302EC" w:rsidRDefault="00FC4F28">
      <w:pPr>
        <w:spacing w:after="139" w:line="259" w:lineRule="auto"/>
        <w:ind w:left="284" w:firstLine="0"/>
        <w:jc w:val="left"/>
      </w:pPr>
      <w:r>
        <w:rPr>
          <w:b/>
        </w:rPr>
        <w:t xml:space="preserve"> </w:t>
      </w:r>
    </w:p>
    <w:p w:rsidR="00E302EC" w:rsidRDefault="00FC4F28">
      <w:pPr>
        <w:pStyle w:val="Ttulo1"/>
        <w:ind w:left="107"/>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0459" name="Group 22045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5393" name="Rectangle 539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5394" name="Rectangle 539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29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0459" style="width:12.7031pt;height:273.276pt;position:absolute;mso-position-horizontal-relative:page;mso-position-horizontal:absolute;margin-left:682.278pt;mso-position-vertical-relative:page;margin-top:538.644pt;" coordsize="1613,34706">
                <v:rect id="Rectangle 539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539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159 </w:t>
                        </w:r>
                      </w:p>
                    </w:txbxContent>
                  </v:textbox>
                </v:rect>
                <w10:wrap type="square"/>
              </v:group>
            </w:pict>
          </mc:Fallback>
        </mc:AlternateContent>
      </w:r>
      <w:r>
        <w:t xml:space="preserve">“INFORME DE INTERVENCIÓN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ASUNTO: Aprobación de la Liquidación del Presupuesto de 2021 del Ayuntamiento de Candelaria </w:t>
      </w:r>
    </w:p>
    <w:p w:rsidR="00E302EC" w:rsidRDefault="00FC4F28">
      <w:pPr>
        <w:spacing w:after="0" w:line="259" w:lineRule="auto"/>
        <w:ind w:left="79" w:firstLine="0"/>
        <w:jc w:val="center"/>
      </w:pPr>
      <w:r>
        <w:rPr>
          <w:rFonts w:ascii="Calibri" w:eastAsia="Calibri" w:hAnsi="Calibri" w:cs="Calibri"/>
          <w:noProof/>
        </w:rPr>
        <mc:AlternateContent>
          <mc:Choice Requires="wpg">
            <w:drawing>
              <wp:inline distT="0" distB="0" distL="0" distR="0">
                <wp:extent cx="6059170" cy="25908"/>
                <wp:effectExtent l="0" t="0" r="0" b="0"/>
                <wp:docPr id="220458" name="Group 220458"/>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5390" name="Shape 5390"/>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458" style="width:477.1pt;height:2.04pt;mso-position-horizontal-relative:char;mso-position-vertical-relative:line" coordsize="60591,259">
                <v:shape id="Shape 5390" style="position:absolute;width:60591;height:0;left:0;top:0;" coordsize="6059170,0" path="m0,0l6059170,0">
                  <v:stroke weight="2.04pt" endcap="square" joinstyle="miter" miterlimit="10" on="true" color="#993366"/>
                  <v:fill on="false" color="#000000" opacity="0"/>
                </v:shape>
              </v:group>
            </w:pict>
          </mc:Fallback>
        </mc:AlternateConten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Una vez cerrada la liquidación de d</w:t>
      </w:r>
      <w:r>
        <w:t xml:space="preserve">icho ejercicio, se tramita el expediente para la aprobación de la </w:t>
      </w:r>
      <w:r>
        <w:rPr>
          <w:b/>
        </w:rPr>
        <w:t>Liquidación del Presupuesto General del ejercicio 2021 del Ilustre Ayuntamiento de Candelaria</w:t>
      </w:r>
      <w:r>
        <w:t>, que se compone de los Estados de ejecución de los Presupuestos de Gastos e Ingresos previstos p</w:t>
      </w:r>
      <w:r>
        <w:t xml:space="preserve">or la Instrucción del Modelo Normal de Contabilidad de las Corporaciones Locales, así como el Resultado Presupuestario y el Remanente de Tesorería, como magnitudes presupuestarias más importantes derivadas de la Ejecución del Presupuesto.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1.- LEGISLACI</w:t>
      </w:r>
      <w:r>
        <w:rPr>
          <w:b/>
        </w:rPr>
        <w:t xml:space="preserve">ÓN APLICABLE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 La legislación aplicable a este expediente se encuentra recogida en los artículos 191, 192 y 193 del Real Decreto Legislativo 2/2004, de 5 de marzo, por el que se aprueba el Texto Refundido de la Ley Reguladora de las Haciendas Locales, en</w:t>
      </w:r>
      <w:r>
        <w:t xml:space="preserve"> los artículos 89 al 105 del RD 500/90, por el que se desarrollan las disposiciones del TRLRHL en materia de Presupuestos, la Orden HAP/1781/2013 de 20 de septiembre, por el que se aprueba la Instrucción del Modelo Normal de Contabilidad y la Orden EHA/419</w:t>
      </w:r>
      <w:r>
        <w:t>/2014 de 14 de marzo, por la que se aprueba la estructura de los presupuestos de las entidades locales.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Igualmente, son de aplicación el Real Decreto 1463/2007, de 2 de noviembre, por el que se aprueba el reglamento de desarrollo de la Ley 18/2001, de </w:t>
      </w:r>
      <w:r>
        <w:t>12 de diciembre, de Estabilidad Presupuestaria, en su aplicación a las Entidades Locales y la Ley Orgánica 2/2012, de Estabilidad Presupuestaria y Sostenibilidad Financiera.</w:t>
      </w:r>
      <w:r>
        <w:rPr>
          <w:rFonts w:ascii="Courier New" w:eastAsia="Courier New" w:hAnsi="Courier New" w:cs="Courier New"/>
          <w:sz w:val="31"/>
          <w:vertAlign w:val="subscript"/>
        </w:rP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2.- AMBITO TEMPORAL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 El cierre y liquidación del Presupuesto se efectuará, e</w:t>
      </w:r>
      <w:r>
        <w:t>n cuanto a la recaudación de derechos y el pago de obligaciones, el 31 de diciembre del año natural.</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La confección de los Estados Demostrativos de la Liquidación del Presupuesto deberá realizarse antes del día primero de marzo del Ejercicio siguiente. </w:t>
      </w:r>
    </w:p>
    <w:p w:rsidR="00E302EC" w:rsidRDefault="00FC4F28">
      <w:pPr>
        <w:spacing w:after="0" w:line="259" w:lineRule="auto"/>
        <w:ind w:left="284" w:firstLine="0"/>
        <w:jc w:val="left"/>
      </w:pPr>
      <w:r>
        <w:t xml:space="preserve"> </w:t>
      </w:r>
      <w:r>
        <w:tab/>
        <w:t xml:space="preserve"> </w:t>
      </w:r>
    </w:p>
    <w:p w:rsidR="00E302EC" w:rsidRDefault="00FC4F28">
      <w:pPr>
        <w:ind w:left="269" w:right="184" w:firstLine="708"/>
      </w:pPr>
      <w:r>
        <w:t xml:space="preserve">Las Entidades Locales remitirán copia de la Liquidación de sus Presupuestos antes de finalizar el mes de marzo del Ejercicio siguiente al que corresponda, a los órganos competentes de la Comunidad Autónoma y de la Administración del Estado. </w:t>
      </w:r>
    </w:p>
    <w:p w:rsidR="00E302EC" w:rsidRDefault="00FC4F28">
      <w:pPr>
        <w:spacing w:after="0" w:line="259" w:lineRule="auto"/>
        <w:ind w:left="284" w:firstLine="0"/>
        <w:jc w:val="left"/>
      </w:pPr>
      <w:r>
        <w:t xml:space="preserve"> </w:t>
      </w:r>
    </w:p>
    <w:p w:rsidR="00E302EC" w:rsidRDefault="00FC4F28">
      <w:pPr>
        <w:spacing w:after="8" w:line="248" w:lineRule="auto"/>
        <w:ind w:left="1014" w:right="183"/>
      </w:pPr>
      <w:r>
        <w:rPr>
          <w:b/>
        </w:rPr>
        <w:t>3.-</w:t>
      </w:r>
      <w:r>
        <w:t xml:space="preserve"> </w:t>
      </w:r>
      <w:r>
        <w:rPr>
          <w:b/>
        </w:rPr>
        <w:t>RES</w:t>
      </w:r>
      <w:r>
        <w:rPr>
          <w:b/>
        </w:rPr>
        <w:t>ULTADO PRESUPUESTARIO</w:t>
      </w:r>
      <w:r>
        <w:rPr>
          <w:rFonts w:ascii="Calibri" w:eastAsia="Calibri" w:hAnsi="Calibri" w:cs="Calibri"/>
          <w:sz w:val="26"/>
        </w:rPr>
        <w:t xml:space="preserve"> </w:t>
      </w:r>
    </w:p>
    <w:p w:rsidR="00E302EC" w:rsidRDefault="00FC4F28">
      <w:pPr>
        <w:spacing w:after="93" w:line="259" w:lineRule="auto"/>
        <w:ind w:left="284"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8675" name="Group 22867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5461" name="Rectangle 546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5462" name="Rectangle 546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30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8675" style="width:12.7031pt;height:273.276pt;position:absolute;mso-position-horizontal-relative:page;mso-position-horizontal:absolute;margin-left:682.278pt;mso-position-vertical-relative:page;margin-top:538.644pt;" coordsize="1613,34706">
                <v:rect id="Rectangle 546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546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159 </w:t>
                        </w:r>
                      </w:p>
                    </w:txbxContent>
                  </v:textbox>
                </v:rect>
                <w10:wrap type="square"/>
              </v:group>
            </w:pict>
          </mc:Fallback>
        </mc:AlternateContent>
      </w:r>
      <w:r>
        <w:t xml:space="preserve"> </w:t>
      </w:r>
    </w:p>
    <w:p w:rsidR="00E302EC" w:rsidRDefault="00FC4F28">
      <w:pPr>
        <w:spacing w:after="50" w:line="259" w:lineRule="auto"/>
        <w:ind w:left="0" w:right="487" w:firstLine="0"/>
        <w:jc w:val="right"/>
      </w:pPr>
      <w:r>
        <w:rPr>
          <w:noProof/>
        </w:rPr>
        <w:drawing>
          <wp:inline distT="0" distB="0" distL="0" distR="0">
            <wp:extent cx="5844540" cy="3017520"/>
            <wp:effectExtent l="0" t="0" r="0" b="0"/>
            <wp:docPr id="5458" name="Picture 5458"/>
            <wp:cNvGraphicFramePr/>
            <a:graphic xmlns:a="http://schemas.openxmlformats.org/drawingml/2006/main">
              <a:graphicData uri="http://schemas.openxmlformats.org/drawingml/2006/picture">
                <pic:pic xmlns:pic="http://schemas.openxmlformats.org/drawingml/2006/picture">
                  <pic:nvPicPr>
                    <pic:cNvPr id="5458" name="Picture 5458"/>
                    <pic:cNvPicPr/>
                  </pic:nvPicPr>
                  <pic:blipFill>
                    <a:blip r:embed="rId9"/>
                    <a:stretch>
                      <a:fillRect/>
                    </a:stretch>
                  </pic:blipFill>
                  <pic:spPr>
                    <a:xfrm>
                      <a:off x="0" y="0"/>
                      <a:ext cx="5844540" cy="3017520"/>
                    </a:xfrm>
                    <a:prstGeom prst="rect">
                      <a:avLst/>
                    </a:prstGeom>
                  </pic:spPr>
                </pic:pic>
              </a:graphicData>
            </a:graphic>
          </wp:inline>
        </w:drawing>
      </w:r>
      <w:r>
        <w:t xml:space="preserve"> </w:t>
      </w:r>
    </w:p>
    <w:p w:rsidR="00E302EC" w:rsidRDefault="00FC4F28">
      <w:pPr>
        <w:spacing w:after="98" w:line="259" w:lineRule="auto"/>
        <w:ind w:left="284" w:firstLine="0"/>
        <w:jc w:val="left"/>
      </w:pPr>
      <w:r>
        <w:t xml:space="preserve"> </w:t>
      </w:r>
    </w:p>
    <w:p w:rsidR="00E302EC" w:rsidRDefault="00FC4F28">
      <w:pPr>
        <w:spacing w:after="8" w:line="248" w:lineRule="auto"/>
        <w:ind w:left="1446" w:right="183"/>
      </w:pPr>
      <w:r>
        <w:rPr>
          <w:b/>
        </w:rPr>
        <w:t xml:space="preserve">4.-REMANENTE DE TESORERIA </w:t>
      </w:r>
    </w:p>
    <w:p w:rsidR="00E302EC" w:rsidRDefault="00FC4F28">
      <w:pPr>
        <w:spacing w:after="0" w:line="259" w:lineRule="auto"/>
        <w:ind w:left="284" w:firstLine="0"/>
        <w:jc w:val="left"/>
      </w:pPr>
      <w:r>
        <w:t xml:space="preserve"> </w:t>
      </w:r>
    </w:p>
    <w:p w:rsidR="00E302EC" w:rsidRDefault="00FC4F28">
      <w:pPr>
        <w:spacing w:after="185" w:line="259" w:lineRule="auto"/>
        <w:ind w:left="0" w:right="488" w:firstLine="0"/>
        <w:jc w:val="right"/>
      </w:pPr>
      <w:r>
        <w:rPr>
          <w:noProof/>
        </w:rPr>
        <w:drawing>
          <wp:inline distT="0" distB="0" distL="0" distR="0">
            <wp:extent cx="5843016" cy="3177540"/>
            <wp:effectExtent l="0" t="0" r="0" b="0"/>
            <wp:docPr id="5535" name="Picture 5535"/>
            <wp:cNvGraphicFramePr/>
            <a:graphic xmlns:a="http://schemas.openxmlformats.org/drawingml/2006/main">
              <a:graphicData uri="http://schemas.openxmlformats.org/drawingml/2006/picture">
                <pic:pic xmlns:pic="http://schemas.openxmlformats.org/drawingml/2006/picture">
                  <pic:nvPicPr>
                    <pic:cNvPr id="5535" name="Picture 5535"/>
                    <pic:cNvPicPr/>
                  </pic:nvPicPr>
                  <pic:blipFill>
                    <a:blip r:embed="rId10"/>
                    <a:stretch>
                      <a:fillRect/>
                    </a:stretch>
                  </pic:blipFill>
                  <pic:spPr>
                    <a:xfrm>
                      <a:off x="0" y="0"/>
                      <a:ext cx="5843016" cy="3177540"/>
                    </a:xfrm>
                    <a:prstGeom prst="rect">
                      <a:avLst/>
                    </a:prstGeom>
                  </pic:spPr>
                </pic:pic>
              </a:graphicData>
            </a:graphic>
          </wp:inline>
        </w:drawing>
      </w:r>
      <w:r>
        <w:rPr>
          <w:rFonts w:ascii="Times New Roman" w:eastAsia="Times New Roman" w:hAnsi="Times New Roman" w:cs="Times New Roman"/>
          <w:sz w:val="24"/>
        </w:rPr>
        <w:t xml:space="preserve"> </w:t>
      </w:r>
    </w:p>
    <w:p w:rsidR="00E302EC" w:rsidRDefault="00FC4F28">
      <w:pPr>
        <w:spacing w:after="254"/>
        <w:ind w:left="269" w:right="184" w:firstLine="708"/>
      </w:pPr>
      <w:r>
        <w:t>Hay que señalar que con la entrada en vigor de la Ley 27/2013, de 27 de diciembre, de racionalización y sostenibilidad de la Administración Local, se incluye un nuevo artículo 193 bis, en el Texto Refundido de la Ley reguladora de las Haciendas Locales,</w:t>
      </w:r>
      <w:r>
        <w:t xml:space="preserve"> aprobado mediante </w:t>
      </w:r>
      <w:r>
        <w:rPr>
          <w:color w:val="0000FF"/>
          <w:u w:val="single" w:color="0000FF"/>
        </w:rPr>
        <w:t>Real</w:t>
      </w:r>
      <w:r>
        <w:rPr>
          <w:color w:val="0000FF"/>
        </w:rPr>
        <w:t xml:space="preserve"> </w:t>
      </w:r>
      <w:r>
        <w:rPr>
          <w:color w:val="0000FF"/>
          <w:u w:val="single" w:color="0000FF"/>
        </w:rPr>
        <w:t>Decreto Legislativo 2/2004, de 5 de marzo</w:t>
      </w:r>
      <w:r>
        <w:t>, establece un nuevo criterio de cálculo de los derechos de difícil o imposible recaudación, para su aplicación a partir del ejercicio 2014, quedando con la siguiente redacción:</w:t>
      </w:r>
      <w:r>
        <w:rPr>
          <w:rFonts w:ascii="Times New Roman" w:eastAsia="Times New Roman" w:hAnsi="Times New Roman" w:cs="Times New Roman"/>
          <w:sz w:val="24"/>
        </w:rPr>
        <w:t xml:space="preserve"> </w:t>
      </w:r>
    </w:p>
    <w:p w:rsidR="00E302EC" w:rsidRDefault="00FC4F28">
      <w:pPr>
        <w:ind w:left="279" w:right="184"/>
      </w:pPr>
      <w:r>
        <w:t>«Artículo 19</w:t>
      </w:r>
      <w:r>
        <w:t xml:space="preserve">3 bis Derechos de difícil o imposible recaudación  </w:t>
      </w:r>
    </w:p>
    <w:p w:rsidR="00E302EC" w:rsidRDefault="00FC4F28">
      <w:pPr>
        <w:spacing w:after="0" w:line="259" w:lineRule="auto"/>
        <w:ind w:left="284" w:firstLine="0"/>
        <w:jc w:val="left"/>
      </w:pPr>
      <w:r>
        <w:t xml:space="preserve"> </w:t>
      </w:r>
    </w:p>
    <w:p w:rsidR="00E302EC" w:rsidRDefault="00FC4F28">
      <w:pPr>
        <w:ind w:left="269" w:right="184" w:firstLine="708"/>
      </w:pPr>
      <w:r>
        <w:t>Las Entidades Locales deberán informar al Ministerio de Hacienda y Administraciones Públicas y a su Pleno, u órgano equivalente, del resultado de la aplicación de los criterios determinantes de los dere</w:t>
      </w:r>
      <w:r>
        <w:t xml:space="preserve">chos de difícil o imposible recaudación con los siguientes límites mínimos: </w:t>
      </w:r>
    </w:p>
    <w:p w:rsidR="00E302EC" w:rsidRDefault="00FC4F28">
      <w:pPr>
        <w:spacing w:after="0" w:line="259" w:lineRule="auto"/>
        <w:ind w:left="992"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8490" name="Group 22849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5538" name="Rectangle 553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5539" name="Rectangle 553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31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8490" style="width:12.7031pt;height:273.276pt;position:absolute;mso-position-horizontal-relative:page;mso-position-horizontal:absolute;margin-left:682.278pt;mso-position-vertical-relative:page;margin-top:538.644pt;" coordsize="1613,34706">
                <v:rect id="Rectangle 553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553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159 </w:t>
                        </w:r>
                      </w:p>
                    </w:txbxContent>
                  </v:textbox>
                </v:rect>
                <w10:wrap type="square"/>
              </v:group>
            </w:pict>
          </mc:Fallback>
        </mc:AlternateContent>
      </w:r>
      <w:r>
        <w:rPr>
          <w:b/>
        </w:rPr>
        <w:t xml:space="preserve"> </w:t>
      </w:r>
    </w:p>
    <w:p w:rsidR="00E302EC" w:rsidRDefault="00FC4F28">
      <w:pPr>
        <w:numPr>
          <w:ilvl w:val="0"/>
          <w:numId w:val="21"/>
        </w:numPr>
        <w:ind w:right="184"/>
      </w:pPr>
      <w:r>
        <w:t>Los derechos pendientes de cobro liquidados dentro de los presupuestos de los dos ejercicios anteriores al que corresponde la liquidación, se minorarán, como mí</w:t>
      </w:r>
      <w:r>
        <w:t>nimo, en un 25 por ciento.</w:t>
      </w:r>
      <w:r>
        <w:rPr>
          <w:rFonts w:ascii="Times New Roman" w:eastAsia="Times New Roman" w:hAnsi="Times New Roman" w:cs="Times New Roman"/>
          <w:sz w:val="24"/>
        </w:rPr>
        <w:t xml:space="preserve"> </w:t>
      </w:r>
    </w:p>
    <w:p w:rsidR="00E302EC" w:rsidRDefault="00FC4F28">
      <w:pPr>
        <w:numPr>
          <w:ilvl w:val="0"/>
          <w:numId w:val="21"/>
        </w:numPr>
        <w:ind w:right="184"/>
      </w:pPr>
      <w:r>
        <w:t>Los derechos pendientes de cobro liquidados dentro de los presupuestos del ejercicio tercero anterior al que corresponde la liquidación, se minorarán, como mínimo, en un 50 por ciento.</w:t>
      </w:r>
      <w:r>
        <w:rPr>
          <w:rFonts w:ascii="Times New Roman" w:eastAsia="Times New Roman" w:hAnsi="Times New Roman" w:cs="Times New Roman"/>
          <w:sz w:val="24"/>
        </w:rPr>
        <w:t xml:space="preserve"> </w:t>
      </w:r>
    </w:p>
    <w:p w:rsidR="00E302EC" w:rsidRDefault="00FC4F28">
      <w:pPr>
        <w:numPr>
          <w:ilvl w:val="0"/>
          <w:numId w:val="21"/>
        </w:numPr>
        <w:ind w:right="184"/>
      </w:pPr>
      <w:r>
        <w:t>Los derechos pendientes de cobro liquidado</w:t>
      </w:r>
      <w:r>
        <w:t>s dentro de los presupuestos de los ejercicios cuarto a quinto anteriores al que corresponde la liquidación, se minorarán, como mínimo, en un 75 por ciento.</w:t>
      </w:r>
      <w:r>
        <w:rPr>
          <w:rFonts w:ascii="Times New Roman" w:eastAsia="Times New Roman" w:hAnsi="Times New Roman" w:cs="Times New Roman"/>
          <w:sz w:val="24"/>
        </w:rPr>
        <w:t xml:space="preserve"> </w:t>
      </w:r>
    </w:p>
    <w:p w:rsidR="00E302EC" w:rsidRDefault="00FC4F28">
      <w:pPr>
        <w:numPr>
          <w:ilvl w:val="0"/>
          <w:numId w:val="21"/>
        </w:numPr>
        <w:ind w:right="184"/>
      </w:pPr>
      <w:r>
        <w:t>Los derechos pendientes de cobro liquidados dentro de los presupuestos de los restantes ejercicios</w:t>
      </w:r>
      <w:r>
        <w:t xml:space="preserve"> anteriores al que corresponde la liquidación, se minorarán en un 100 por ciento.»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69" w:right="184" w:firstLine="708"/>
      </w:pPr>
      <w:r>
        <w:t>Este artículo modificado del Texto Refundido de la Ley Reguladora de las Haciendas Locales, ha dado lugar a su reflejo en las Bases de Ejecución del Presupuesto General v</w:t>
      </w:r>
      <w:r>
        <w:t xml:space="preserve">igente. </w:t>
      </w:r>
    </w:p>
    <w:p w:rsidR="00E302EC" w:rsidRDefault="00FC4F28">
      <w:pPr>
        <w:spacing w:after="0" w:line="259" w:lineRule="auto"/>
        <w:ind w:left="992" w:firstLine="0"/>
        <w:jc w:val="left"/>
      </w:pPr>
      <w:r>
        <w:t xml:space="preserve"> </w:t>
      </w:r>
    </w:p>
    <w:p w:rsidR="00E302EC" w:rsidRDefault="00FC4F28">
      <w:pPr>
        <w:spacing w:after="4" w:line="250" w:lineRule="auto"/>
        <w:ind w:left="10" w:right="181"/>
        <w:jc w:val="right"/>
      </w:pPr>
      <w:r>
        <w:t>Así, de los datos obtenidos de ejercicios cerrados, tenemos detallados los importes cobrados en dichos ejercicios, la cantidad que está pendiente de cobro y el saldo de dudoso cobro, de acuerdo con los porcentajes establecidos en las Bases del P</w:t>
      </w:r>
      <w:r>
        <w:t xml:space="preserve">resupuesto: </w:t>
      </w:r>
    </w:p>
    <w:p w:rsidR="00E302EC" w:rsidRDefault="00FC4F28">
      <w:pPr>
        <w:spacing w:after="0" w:line="259" w:lineRule="auto"/>
        <w:ind w:left="992" w:firstLine="0"/>
        <w:jc w:val="left"/>
      </w:pPr>
      <w:r>
        <w:t xml:space="preserve"> </w:t>
      </w:r>
    </w:p>
    <w:tbl>
      <w:tblPr>
        <w:tblStyle w:val="TableGrid"/>
        <w:tblW w:w="9165" w:type="dxa"/>
        <w:tblInd w:w="284" w:type="dxa"/>
        <w:tblCellMar>
          <w:top w:w="6" w:type="dxa"/>
          <w:left w:w="0" w:type="dxa"/>
          <w:bottom w:w="0" w:type="dxa"/>
          <w:right w:w="48" w:type="dxa"/>
        </w:tblCellMar>
        <w:tblLook w:val="04A0" w:firstRow="1" w:lastRow="0" w:firstColumn="1" w:lastColumn="0" w:noHBand="0" w:noVBand="1"/>
      </w:tblPr>
      <w:tblGrid>
        <w:gridCol w:w="2050"/>
        <w:gridCol w:w="2257"/>
        <w:gridCol w:w="2015"/>
        <w:gridCol w:w="256"/>
        <w:gridCol w:w="2588"/>
      </w:tblGrid>
      <w:tr w:rsidR="00E302EC">
        <w:trPr>
          <w:trHeight w:val="770"/>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IMPORTES COBRADOS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rPr>
                <w:b/>
              </w:rPr>
              <w:t xml:space="preserve">IMPORTES </w:t>
            </w:r>
          </w:p>
          <w:p w:rsidR="00E302EC" w:rsidRDefault="00FC4F28">
            <w:pPr>
              <w:spacing w:after="0" w:line="259" w:lineRule="auto"/>
              <w:ind w:left="108" w:firstLine="0"/>
              <w:jc w:val="left"/>
            </w:pPr>
            <w:r>
              <w:rPr>
                <w:b/>
              </w:rPr>
              <w:t xml:space="preserve">PENDIENTES </w:t>
            </w:r>
          </w:p>
          <w:p w:rsidR="00E302EC" w:rsidRDefault="00FC4F28">
            <w:pPr>
              <w:spacing w:after="0" w:line="259" w:lineRule="auto"/>
              <w:ind w:left="108" w:firstLine="0"/>
              <w:jc w:val="left"/>
            </w:pPr>
            <w:r>
              <w:rPr>
                <w:b/>
              </w:rPr>
              <w:t xml:space="preserve">31/12/2021 </w:t>
            </w:r>
          </w:p>
        </w:tc>
        <w:tc>
          <w:tcPr>
            <w:tcW w:w="256"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0" w:firstLine="0"/>
            </w:pPr>
            <w:r>
              <w:rPr>
                <w:b/>
              </w:rPr>
              <w:t xml:space="preserve">A </w:t>
            </w:r>
          </w:p>
        </w:tc>
        <w:tc>
          <w:tcPr>
            <w:tcW w:w="2588" w:type="dxa"/>
            <w:tcBorders>
              <w:top w:val="single" w:sz="4" w:space="0" w:color="000000"/>
              <w:left w:val="single" w:sz="4" w:space="0" w:color="000000"/>
              <w:bottom w:val="single" w:sz="4" w:space="0" w:color="000000"/>
              <w:right w:val="single" w:sz="4" w:space="0" w:color="000000"/>
            </w:tcBorders>
          </w:tcPr>
          <w:p w:rsidR="00E302EC" w:rsidRDefault="00FC4F28">
            <w:pPr>
              <w:tabs>
                <w:tab w:val="right" w:pos="2540"/>
              </w:tabs>
              <w:spacing w:after="0" w:line="259" w:lineRule="auto"/>
              <w:ind w:left="0" w:firstLine="0"/>
              <w:jc w:val="left"/>
            </w:pPr>
            <w:r>
              <w:rPr>
                <w:b/>
              </w:rPr>
              <w:t xml:space="preserve">SALDO </w:t>
            </w:r>
            <w:r>
              <w:rPr>
                <w:b/>
              </w:rPr>
              <w:tab/>
              <w:t xml:space="preserve">DUDOSO </w:t>
            </w:r>
          </w:p>
          <w:p w:rsidR="00E302EC" w:rsidRDefault="00FC4F28">
            <w:pPr>
              <w:spacing w:after="0" w:line="259" w:lineRule="auto"/>
              <w:ind w:left="106" w:firstLine="0"/>
              <w:jc w:val="left"/>
            </w:pPr>
            <w:r>
              <w:rPr>
                <w:b/>
              </w:rPr>
              <w:t>COBRO</w:t>
            </w:r>
            <w:r>
              <w:rPr>
                <w:rFonts w:ascii="Times New Roman" w:eastAsia="Times New Roman" w:hAnsi="Times New Roman" w:cs="Times New Roman"/>
                <w:sz w:val="24"/>
              </w:rPr>
              <w:t xml:space="preserve">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2020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62.901,90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162.964,06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40.741,02</w:t>
            </w:r>
            <w:r>
              <w:rPr>
                <w:rFonts w:ascii="Times New Roman" w:eastAsia="Times New Roman" w:hAnsi="Times New Roman" w:cs="Times New Roman"/>
                <w:sz w:val="24"/>
              </w:rPr>
              <w:t xml:space="preserve"> </w:t>
            </w:r>
          </w:p>
        </w:tc>
      </w:tr>
      <w:tr w:rsidR="00E302EC">
        <w:trPr>
          <w:trHeight w:val="265"/>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52.960,91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375.776,90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93.944,23</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102.762,65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384.248,97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192.124,49</w:t>
            </w:r>
            <w:r>
              <w:rPr>
                <w:rFonts w:ascii="Times New Roman" w:eastAsia="Times New Roman" w:hAnsi="Times New Roman" w:cs="Times New Roman"/>
                <w:sz w:val="24"/>
              </w:rPr>
              <w:t xml:space="preserve">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70.231,84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743.336,24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557.502,18</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2016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16.990,83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212.268,17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159.201,13</w:t>
            </w:r>
            <w:r>
              <w:rPr>
                <w:rFonts w:ascii="Times New Roman" w:eastAsia="Times New Roman" w:hAnsi="Times New Roman" w:cs="Times New Roman"/>
                <w:sz w:val="24"/>
              </w:rPr>
              <w:t xml:space="preserve">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2015-1991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49.065,97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8.354.162,24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 xml:space="preserve">8.354.162,24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354.914,10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rPr>
                <w:b/>
              </w:rPr>
              <w:t xml:space="preserve">10.232.756,58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rPr>
                <w:b/>
              </w:rPr>
              <w:t>9.397.675,29</w:t>
            </w:r>
            <w:r>
              <w:rPr>
                <w:rFonts w:ascii="Times New Roman" w:eastAsia="Times New Roman" w:hAnsi="Times New Roman" w:cs="Times New Roman"/>
                <w:sz w:val="24"/>
              </w:rPr>
              <w:t xml:space="preserve"> </w:t>
            </w:r>
          </w:p>
        </w:tc>
      </w:tr>
    </w:tbl>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5.- ORGANO COMPETENTE </w:t>
      </w:r>
    </w:p>
    <w:p w:rsidR="00E302EC" w:rsidRDefault="00FC4F28">
      <w:pPr>
        <w:spacing w:after="0" w:line="259" w:lineRule="auto"/>
        <w:ind w:left="284" w:firstLine="0"/>
        <w:jc w:val="left"/>
      </w:pPr>
      <w:r>
        <w:rPr>
          <w:b/>
        </w:rPr>
        <w:t xml:space="preserve"> </w:t>
      </w:r>
    </w:p>
    <w:p w:rsidR="00E302EC" w:rsidRDefault="00FC4F28">
      <w:pPr>
        <w:ind w:left="279" w:right="184"/>
      </w:pPr>
      <w:r>
        <w:rPr>
          <w:b/>
        </w:rPr>
        <w:t xml:space="preserve"> </w:t>
      </w:r>
      <w:r>
        <w:t>La competencia para la elaboración de la liquidación de los Presupuestos no está definida por la legislación citada (que utiliza expresiones tales como “se liquidará“, “se efectuará”, “deberá realizarse antes del 1 de marzo” pero en ningún caso señala el s</w:t>
      </w:r>
      <w:r>
        <w:t>ujeto activo) y la aprobación de la liquidación del Presupuesto es competencia del Alcalde- Presidente, previo informe de la Intervención.</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5293" name="Group 22529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5845" name="Rectangle 584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5846" name="Rectangle 5846"/>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w:t>
                              </w:r>
                              <w:r>
                                <w:rPr>
                                  <w:sz w:val="12"/>
                                </w:rPr>
                                <w:t xml:space="preserve">mado electrónicamente desde la plataforma esPublico Gestiona | Página 32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5293" style="width:12.7031pt;height:273.276pt;position:absolute;mso-position-horizontal-relative:page;mso-position-horizontal:absolute;margin-left:682.278pt;mso-position-vertical-relative:page;margin-top:538.644pt;" coordsize="1613,34706">
                <v:rect id="Rectangle 584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5846"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159 </w:t>
                        </w:r>
                      </w:p>
                    </w:txbxContent>
                  </v:textbox>
                </v:rect>
                <w10:wrap type="square"/>
              </v:group>
            </w:pict>
          </mc:Fallback>
        </mc:AlternateContent>
      </w:r>
      <w:r>
        <w:t xml:space="preserve"> </w:t>
      </w:r>
    </w:p>
    <w:p w:rsidR="00E302EC" w:rsidRDefault="00FC4F28">
      <w:pPr>
        <w:ind w:left="269" w:right="184" w:firstLine="708"/>
      </w:pPr>
      <w:r>
        <w:t>La liquidación aprobada ha de remitirse a la Comunidad Autónoma y al Ministerio de Economía y Hacienda, así como dar cuenta al Pleno.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6.- COMPOSICIÓN  </w:t>
      </w:r>
    </w:p>
    <w:p w:rsidR="00E302EC" w:rsidRDefault="00FC4F28">
      <w:pPr>
        <w:spacing w:after="0" w:line="259" w:lineRule="auto"/>
        <w:ind w:left="284" w:firstLine="0"/>
        <w:jc w:val="left"/>
      </w:pPr>
      <w:r>
        <w:rPr>
          <w:b/>
        </w:rPr>
        <w:t xml:space="preserve"> </w:t>
      </w:r>
    </w:p>
    <w:p w:rsidR="00E302EC" w:rsidRDefault="00FC4F28">
      <w:pPr>
        <w:tabs>
          <w:tab w:val="center" w:pos="284"/>
          <w:tab w:val="center" w:pos="4906"/>
        </w:tabs>
        <w:ind w:left="0" w:firstLine="0"/>
        <w:jc w:val="left"/>
      </w:pPr>
      <w:r>
        <w:rPr>
          <w:rFonts w:ascii="Calibri" w:eastAsia="Calibri" w:hAnsi="Calibri" w:cs="Calibri"/>
        </w:rPr>
        <w:tab/>
      </w:r>
      <w:r>
        <w:t xml:space="preserve"> </w:t>
      </w:r>
      <w:r>
        <w:tab/>
      </w:r>
      <w:r>
        <w:t xml:space="preserve">El Estado de liquidación del Presupuesto, se estructura en las siguientes partes: </w:t>
      </w:r>
    </w:p>
    <w:p w:rsidR="00E302EC" w:rsidRDefault="00FC4F28">
      <w:pPr>
        <w:spacing w:after="0" w:line="259" w:lineRule="auto"/>
        <w:ind w:left="284" w:firstLine="0"/>
        <w:jc w:val="left"/>
      </w:pPr>
      <w:r>
        <w:t xml:space="preserve"> </w:t>
      </w:r>
    </w:p>
    <w:p w:rsidR="00E302EC" w:rsidRDefault="00FC4F28">
      <w:pPr>
        <w:ind w:left="279" w:right="184"/>
      </w:pPr>
      <w:r>
        <w:t xml:space="preserve">PRIMERA: La liquidación del Presupuestos de Gastos, presenta la siguiente información:  </w:t>
      </w:r>
    </w:p>
    <w:p w:rsidR="00E302EC" w:rsidRDefault="00FC4F28">
      <w:pPr>
        <w:ind w:left="279" w:right="184"/>
      </w:pPr>
      <w:r>
        <w:t xml:space="preserve">1.- Liquidación del Estado de Gastos </w:t>
      </w:r>
    </w:p>
    <w:p w:rsidR="00E302EC" w:rsidRDefault="00FC4F28">
      <w:pPr>
        <w:ind w:left="279" w:right="184"/>
      </w:pPr>
      <w:r>
        <w:t xml:space="preserve">2.- Desarrollo de los pagos presupuestos </w:t>
      </w:r>
    </w:p>
    <w:p w:rsidR="00E302EC" w:rsidRDefault="00FC4F28">
      <w:pPr>
        <w:spacing w:after="0" w:line="259" w:lineRule="auto"/>
        <w:ind w:left="284" w:firstLine="0"/>
        <w:jc w:val="left"/>
      </w:pPr>
      <w:r>
        <w:t xml:space="preserve"> </w:t>
      </w:r>
    </w:p>
    <w:p w:rsidR="00E302EC" w:rsidRDefault="00FC4F28">
      <w:pPr>
        <w:ind w:left="654" w:right="184"/>
      </w:pPr>
      <w:r>
        <w:t xml:space="preserve">SEGUNDA: Liquidación del Presupuesto de Ingresos, que recoge: </w:t>
      </w:r>
    </w:p>
    <w:p w:rsidR="00E302EC" w:rsidRDefault="00FC4F28">
      <w:pPr>
        <w:ind w:left="279" w:right="184"/>
      </w:pPr>
      <w:r>
        <w:t xml:space="preserve">1.- Liquidación del estado de ingresos </w:t>
      </w:r>
    </w:p>
    <w:p w:rsidR="00E302EC" w:rsidRDefault="00FC4F28">
      <w:pPr>
        <w:ind w:left="279" w:right="184"/>
      </w:pPr>
      <w:r>
        <w:t xml:space="preserve">2.- Desarrollo de los compromisos de ingresos </w:t>
      </w:r>
    </w:p>
    <w:p w:rsidR="00E302EC" w:rsidRDefault="00FC4F28">
      <w:pPr>
        <w:ind w:left="279" w:right="184"/>
      </w:pPr>
      <w:r>
        <w:t xml:space="preserve">3.- Desarrollo del proceso de gestión  </w:t>
      </w:r>
    </w:p>
    <w:p w:rsidR="00E302EC" w:rsidRDefault="00FC4F28">
      <w:pPr>
        <w:ind w:left="279" w:right="184"/>
      </w:pPr>
      <w:r>
        <w:t>4.- Desarrollo del reconocimiento y pago de las devoluciones de in</w:t>
      </w:r>
      <w:r>
        <w:t xml:space="preserve">gresos presupuestarios </w:t>
      </w:r>
    </w:p>
    <w:p w:rsidR="00E302EC" w:rsidRDefault="00FC4F28">
      <w:pPr>
        <w:spacing w:after="0" w:line="259" w:lineRule="auto"/>
        <w:ind w:left="284" w:firstLine="0"/>
        <w:jc w:val="left"/>
      </w:pPr>
      <w:r>
        <w:t xml:space="preserve"> </w:t>
      </w:r>
    </w:p>
    <w:p w:rsidR="00E302EC" w:rsidRDefault="00FC4F28">
      <w:pPr>
        <w:ind w:left="654" w:right="184"/>
      </w:pPr>
      <w:r>
        <w:t>TERCERA: El Resultado Presupuestario obtenido en el ejercicio.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7.- INFORME</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El objeto de la Liquidación del Presupuesto es, en síntesis, obtener un análisis del grado de realización del presupuesto, por comparación entre l</w:t>
      </w:r>
      <w:r>
        <w:t xml:space="preserve">os créditos asignados y los realmente gastados y los ingresos previstos y los realizados.  </w:t>
      </w:r>
    </w:p>
    <w:p w:rsidR="00E302EC" w:rsidRDefault="00FC4F28">
      <w:pPr>
        <w:spacing w:after="0" w:line="259" w:lineRule="auto"/>
        <w:ind w:left="992" w:firstLine="0"/>
        <w:jc w:val="left"/>
      </w:pPr>
      <w:r>
        <w:t xml:space="preserve"> </w:t>
      </w:r>
    </w:p>
    <w:p w:rsidR="00E302EC" w:rsidRDefault="00FC4F28">
      <w:pPr>
        <w:ind w:left="1002" w:right="184"/>
      </w:pPr>
      <w:r>
        <w:t xml:space="preserve">Nos da una estimación cifrada del resultado de la gestión económica del Ayuntamiento. </w:t>
      </w:r>
    </w:p>
    <w:p w:rsidR="00E302EC" w:rsidRDefault="00FC4F28">
      <w:pPr>
        <w:spacing w:after="0" w:line="259" w:lineRule="auto"/>
        <w:ind w:left="992" w:firstLine="0"/>
        <w:jc w:val="left"/>
      </w:pPr>
      <w:r>
        <w:t xml:space="preserve"> </w:t>
      </w:r>
    </w:p>
    <w:p w:rsidR="00E302EC" w:rsidRDefault="00FC4F28">
      <w:pPr>
        <w:ind w:left="269" w:right="184" w:firstLine="708"/>
      </w:pPr>
      <w:r>
        <w:t xml:space="preserve"> En virtud del principio de anualidad en la ejecución del gasto al final </w:t>
      </w:r>
      <w:r>
        <w:t>de cada ejercicio económico es necesario cerrar definitivamente las operaciones en que dicha ejecución consiste, con lo cual puede obtenerse el resultado económico del ejercicio, el Balance de Situación que refleje la estructura patrimonial de la Entidad y</w:t>
      </w:r>
      <w:r>
        <w:t xml:space="preserve"> unas magnitudes presupuestarias básicas para la medición del saneamiento financiero de la Entidad. </w:t>
      </w:r>
    </w:p>
    <w:p w:rsidR="00E302EC" w:rsidRDefault="00FC4F28">
      <w:pPr>
        <w:spacing w:after="0" w:line="259" w:lineRule="auto"/>
        <w:ind w:left="284" w:firstLine="0"/>
        <w:jc w:val="left"/>
      </w:pPr>
      <w:r>
        <w:t xml:space="preserve"> </w:t>
      </w:r>
    </w:p>
    <w:p w:rsidR="00E302EC" w:rsidRDefault="00FC4F28">
      <w:pPr>
        <w:tabs>
          <w:tab w:val="center" w:pos="284"/>
          <w:tab w:val="center" w:pos="4839"/>
        </w:tabs>
        <w:ind w:left="0" w:firstLine="0"/>
        <w:jc w:val="left"/>
      </w:pPr>
      <w:r>
        <w:rPr>
          <w:rFonts w:ascii="Calibri" w:eastAsia="Calibri" w:hAnsi="Calibri" w:cs="Calibri"/>
        </w:rPr>
        <w:tab/>
      </w:r>
      <w:r>
        <w:t xml:space="preserve"> </w:t>
      </w:r>
      <w:r>
        <w:tab/>
        <w:t xml:space="preserve">Como consecuencia de la Liquidación del Presupuesto, deberán determinarse: </w:t>
      </w:r>
    </w:p>
    <w:p w:rsidR="00E302EC" w:rsidRDefault="00FC4F28">
      <w:pPr>
        <w:spacing w:after="0" w:line="259" w:lineRule="auto"/>
        <w:ind w:left="284" w:firstLine="0"/>
        <w:jc w:val="left"/>
      </w:pPr>
      <w:r>
        <w:t xml:space="preserve"> </w:t>
      </w:r>
    </w:p>
    <w:p w:rsidR="00E302EC" w:rsidRDefault="00FC4F28">
      <w:pPr>
        <w:numPr>
          <w:ilvl w:val="0"/>
          <w:numId w:val="22"/>
        </w:numPr>
        <w:ind w:right="184" w:hanging="360"/>
      </w:pPr>
      <w:r>
        <w:t>los derechos pendientes de cobro (por diferencia entre los derechos reconocidos netos menos los cobros realizados) y las obligaciones pendientes de pago (por diferencia entre las obligaciones reconocidas netas menos los pagos realizados) a 31 de diciembre,</w:t>
      </w:r>
      <w:r>
        <w:t xml:space="preserve"> que a partir del 1 de enero del ejercicio siguiente integran la agrupación de presupuestos cerrados y tendrán la consideración de operaciones de tesorería. </w:t>
      </w:r>
    </w:p>
    <w:p w:rsidR="00E302EC" w:rsidRDefault="00FC4F28">
      <w:pPr>
        <w:numPr>
          <w:ilvl w:val="0"/>
          <w:numId w:val="22"/>
        </w:numPr>
        <w:ind w:right="184" w:hanging="360"/>
      </w:pPr>
      <w:r>
        <w:t xml:space="preserve">El resultado presupuestario del ejercicio. </w:t>
      </w:r>
    </w:p>
    <w:p w:rsidR="00E302EC" w:rsidRDefault="00FC4F28">
      <w:pPr>
        <w:numPr>
          <w:ilvl w:val="0"/>
          <w:numId w:val="22"/>
        </w:numPr>
        <w:ind w:right="184" w:hanging="360"/>
      </w:pPr>
      <w:r>
        <w:t xml:space="preserve">Los remanentes de crédito. </w:t>
      </w:r>
    </w:p>
    <w:p w:rsidR="00E302EC" w:rsidRDefault="00FC4F28">
      <w:pPr>
        <w:numPr>
          <w:ilvl w:val="0"/>
          <w:numId w:val="22"/>
        </w:numPr>
        <w:ind w:right="184" w:hanging="360"/>
      </w:pPr>
      <w:r>
        <w:t>El remanente de tesorería.</w:t>
      </w:r>
      <w:r>
        <w:t xml:space="preserve"> </w:t>
      </w:r>
    </w:p>
    <w:p w:rsidR="00E302EC" w:rsidRDefault="00FC4F28">
      <w:pPr>
        <w:spacing w:after="98" w:line="259" w:lineRule="auto"/>
        <w:ind w:left="567" w:firstLine="0"/>
        <w:jc w:val="left"/>
      </w:pPr>
      <w:r>
        <w:t xml:space="preserve"> </w:t>
      </w:r>
    </w:p>
    <w:p w:rsidR="00E302EC" w:rsidRDefault="00FC4F28">
      <w:pPr>
        <w:spacing w:after="111"/>
        <w:ind w:left="567" w:right="184" w:firstLine="18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8763" name="Group 22876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5954" name="Rectangle 595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5955" name="Rectangle 5955"/>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33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8763" style="width:12.7031pt;height:273.276pt;position:absolute;mso-position-horizontal-relative:page;mso-position-horizontal:absolute;margin-left:682.278pt;mso-position-vertical-relative:page;margin-top:538.644pt;" coordsize="1613,34706">
                <v:rect id="Rectangle 595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5955"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159 </w:t>
                        </w:r>
                      </w:p>
                    </w:txbxContent>
                  </v:textbox>
                </v:rect>
                <w10:wrap type="square"/>
              </v:group>
            </w:pict>
          </mc:Fallback>
        </mc:AlternateContent>
      </w:r>
      <w:r>
        <w:t xml:space="preserve">Los datos oficiales de la Liquidación del Presupuesto reflejan un buen comportamiento de las variables económico financieras en el ejercicio 2021. </w:t>
      </w:r>
    </w:p>
    <w:p w:rsidR="00E302EC" w:rsidRDefault="00FC4F28">
      <w:pPr>
        <w:spacing w:after="100" w:line="259" w:lineRule="auto"/>
        <w:ind w:left="284" w:firstLine="0"/>
        <w:jc w:val="left"/>
      </w:pPr>
      <w:r>
        <w:t xml:space="preserve"> </w:t>
      </w:r>
    </w:p>
    <w:p w:rsidR="00E302EC" w:rsidRDefault="00FC4F28">
      <w:pPr>
        <w:ind w:left="269" w:right="184" w:firstLine="360"/>
      </w:pPr>
      <w:r>
        <w:t xml:space="preserve">En el </w:t>
      </w:r>
      <w:r>
        <w:rPr>
          <w:b/>
          <w:i/>
        </w:rPr>
        <w:t>Resultado Presupuestario</w:t>
      </w:r>
      <w:r>
        <w:t>, que se determina por la diferencia entre los derechos liquidados y las obligaciones presupuestarias reconocidas, ambos en términos netos, revela en qué medida los ingresos reconocidos en el ejercicio corriente han sido suficientes o no para financiar los</w:t>
      </w:r>
      <w:r>
        <w:t xml:space="preserve"> gastos realizados con cargo a los mismos, es decir, recoge el superávit (o exceso de recursos que incrementará el Remanente de Tesorería) o déficit (que dará lugar a un Remanente de Tesorería negativo a compensar de acuerdo con lo previsto en el artículo </w:t>
      </w:r>
      <w:r>
        <w:t xml:space="preserve">193 del TRLRHL) obtenido en el ejercicio por operaciones derivadas de la ejecución del presupuesto y que </w:t>
      </w:r>
      <w:r>
        <w:rPr>
          <w:b/>
        </w:rPr>
        <w:t>nos va a decir si hay capacidad o necesidad de financiación</w:t>
      </w:r>
      <w:r>
        <w:t xml:space="preserve">.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269" w:right="184" w:firstLine="360"/>
      </w:pPr>
      <w:r>
        <w:t>En dicha magnitud, deberán realizarse una serie de ajustes recogidos en el artículo 97</w:t>
      </w:r>
      <w:r>
        <w:t xml:space="preserve"> del Real Decreto 500/90, de 20 de abril y Regla 347 de la Instrucción de Contabilidad, motivada por la existencia de desviaciones de financiación imputables en el ejercicio, bien por un exceso de recursos afectados contabilizados en el propio ejercicio, p</w:t>
      </w:r>
      <w:r>
        <w:t>ero que financieramente, amparan obligaciones no reconocidas en el ejercicio corriente, sino otras que se han realizados en ejercicios anteriores o que se devengarán con cargo a presupuestos de ejercicios posteriores, es decir, gastos realizados en el ejer</w:t>
      </w:r>
      <w:r>
        <w:t>cicio financiados con ingresos liquidados en ejercicios distintos (desviaciones de financiación de gastos con financiación afectada positivas), bien un déficit de financiación en el año que o bien ha sido compensado en ejercicios anteriores o bien se solve</w:t>
      </w:r>
      <w:r>
        <w:t>ntará en ejercicios posteriores, es decir, ingresos realizados en el ejercicio que financia gastos de otros ejercicios (desviaciones de financiación de gastos con financiación afectada negativas). En definitiva, se trata de recoger los gastos e ingresos qu</w:t>
      </w:r>
      <w:r>
        <w:t xml:space="preserve">e se corresponden con el ejercicio sin usar financiación de años anteriores. </w:t>
      </w:r>
    </w:p>
    <w:p w:rsidR="00E302EC" w:rsidRDefault="00FC4F28">
      <w:pPr>
        <w:spacing w:after="0" w:line="259" w:lineRule="auto"/>
        <w:ind w:left="644" w:firstLine="0"/>
        <w:jc w:val="left"/>
      </w:pPr>
      <w:r>
        <w:t xml:space="preserve"> </w:t>
      </w:r>
    </w:p>
    <w:p w:rsidR="00E302EC" w:rsidRDefault="00FC4F28">
      <w:pPr>
        <w:ind w:left="269" w:right="184" w:firstLine="360"/>
      </w:pPr>
      <w:r>
        <w:t>Pues bien, este Resultado Presupuestario sin ajustar es positivo en 4.564.829,93 Euros, frente al resultado negativo en 2.905.494,92 Euros obtenido en el año 2020, mientras que</w:t>
      </w:r>
      <w:r>
        <w:t xml:space="preserve"> el Resultado Presupuestario ajustado asciende a un importe positivo de más de 4.102.775,84</w:t>
      </w:r>
      <w:r>
        <w:rPr>
          <w:b/>
        </w:rPr>
        <w:t xml:space="preserve"> </w:t>
      </w:r>
      <w:r>
        <w:t>Euros (frente al resultado también positivo de 3.094.889,37</w:t>
      </w:r>
      <w:r>
        <w:rPr>
          <w:b/>
        </w:rPr>
        <w:t xml:space="preserve"> </w:t>
      </w:r>
      <w:r>
        <w:t>Euros, obtenido en el ejercicio precedente), lo cual implica que se ha gastado menos que lo ingresado, y</w:t>
      </w:r>
      <w:r>
        <w:t xml:space="preserve"> que tras los ajustes realizados para eliminar los gastos e ingresos que han tenido una financiación específica, han motivado un superávit que ha determinado que haya una </w:t>
      </w:r>
      <w:r>
        <w:rPr>
          <w:b/>
        </w:rPr>
        <w:t>capacidad de financiación</w:t>
      </w:r>
      <w:r>
        <w:t xml:space="preserve"> en el propio ejercicio.</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269" w:right="184" w:firstLine="360"/>
      </w:pPr>
      <w:r>
        <w:t>Destacar en este ejercicio, al i</w:t>
      </w:r>
      <w:r>
        <w:t>gual que en los ejercicios anteriores, del ajuste realizado, por importe de 106.807,44 Euros (frente a los 5.177.644,00 Euros del año anterior), en concepto de Créditos Gastados financiados con Remanente de Tesorería para Gastos Generales, es decir, gastos</w:t>
      </w:r>
      <w:r>
        <w:t xml:space="preserve"> realizados en el año 2021, mediante el uso del Remanente de Tesorería, tramitado a través de créditos extraordinarios y suplementos de crédito, (en el ejercicio 2020, fue un importe tan elevado por la amortización anticipada de préstamos, por importe de 1</w:t>
      </w:r>
      <w:r>
        <w:t>.905.093,65 Euros, la compra de una parcela UA-CO, denominada Empaquetadora de D. Sixto, por importe de 2.270.150,00 Euros y el abono de una indemnización por sentencia judicial, por el terreno de la calle Pasacola, por un importe total de 585.291,32 Euros</w:t>
      </w:r>
      <w:r>
        <w:t>). Es un ajuste positivo, ya que se ha generado gastos a través de esta fuente de financiación, que no genera derechos liquidados.</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269" w:right="184" w:firstLine="360"/>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4342" name="Group 23434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6074" name="Rectangle 607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6075" name="Rectangle 6075"/>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w:t>
                              </w:r>
                              <w:r>
                                <w:rPr>
                                  <w:sz w:val="12"/>
                                </w:rPr>
                                <w:t xml:space="preserve">lectrónicamente desde la plataforma esPublico Gestiona | Página 34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4342" style="width:12.7031pt;height:273.276pt;position:absolute;mso-position-horizontal-relative:page;mso-position-horizontal:absolute;margin-left:682.278pt;mso-position-vertical-relative:page;margin-top:538.644pt;" coordsize="1613,34706">
                <v:rect id="Rectangle 607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6075"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159 </w:t>
                        </w:r>
                      </w:p>
                    </w:txbxContent>
                  </v:textbox>
                </v:rect>
                <w10:wrap type="square"/>
              </v:group>
            </w:pict>
          </mc:Fallback>
        </mc:AlternateContent>
      </w:r>
      <w:r>
        <w:t>Otros ajustes son los relativos a las Desviaciones de Financiación positivas y negativas, por un importe, respectivamente, de 2.550.979,98 Euros y 1.982.118,45 Euros. Las primeras i</w:t>
      </w:r>
      <w:r>
        <w:t>nciden negativamente sobre el Resultado Presupuestario y se refieren a que lo ingresos liquidados han tenido un ritmo de ejecución superior a los gastos que financian esos ingresos. Como ejemplos tenemos las subvenciones del Servicio Canario de Empleo para</w:t>
      </w:r>
      <w:r>
        <w:t xml:space="preserve"> financiar proyectos de empleo (Pfae, Pees, Pld,..), por importe de 1.413.215 Euros; subvención del Gobierno de Canarias para el comedor de punta larga, por importe de 432.513,59 euros y la subvención del Cabildo Insular para Situaciones de vulnerabilidad </w:t>
      </w:r>
      <w:r>
        <w:t xml:space="preserve">por la pandemia, por importe de 186.205,56 Euros. </w:t>
      </w:r>
    </w:p>
    <w:p w:rsidR="00E302EC" w:rsidRDefault="00FC4F28">
      <w:pPr>
        <w:spacing w:after="0" w:line="259" w:lineRule="auto"/>
        <w:ind w:left="644" w:firstLine="0"/>
        <w:jc w:val="left"/>
      </w:pPr>
      <w:r>
        <w:t xml:space="preserve"> </w:t>
      </w:r>
    </w:p>
    <w:p w:rsidR="00E302EC" w:rsidRDefault="00FC4F28">
      <w:pPr>
        <w:ind w:left="269" w:right="184" w:firstLine="360"/>
      </w:pPr>
      <w:r>
        <w:t xml:space="preserve">Por el contrario, en las Desviaciones negativas, los gastos liquidados han tenido un ritmo de ejecución superior a los ingresos liquidados que han financiado con subvenciones los citados gastos (destaca </w:t>
      </w:r>
      <w:r>
        <w:t xml:space="preserve">el paseo de san blas por importe de 750.878,33 Euros, subvenciones del Servicio Canario de Empleo, por importe de 723.813,66 Euros o del Instituto Canario de Desarrollo, por importe de 380.337,05 Euros. </w:t>
      </w:r>
    </w:p>
    <w:p w:rsidR="00E302EC" w:rsidRDefault="00FC4F28">
      <w:pPr>
        <w:spacing w:after="0" w:line="259" w:lineRule="auto"/>
        <w:ind w:left="644" w:firstLine="0"/>
        <w:jc w:val="left"/>
      </w:pPr>
      <w:r>
        <w:t xml:space="preserve"> </w:t>
      </w:r>
    </w:p>
    <w:p w:rsidR="00E302EC" w:rsidRDefault="00FC4F28">
      <w:pPr>
        <w:ind w:left="269" w:right="184" w:firstLine="360"/>
      </w:pPr>
      <w:r>
        <w:t>Por tanto, en el ejercicio 2021, el Ayuntamiento d</w:t>
      </w:r>
      <w:r>
        <w:t xml:space="preserve">e Candelaria ha generado recursos suficientes para hacer frente a los gastos del presente ejercicio, ya que aproximadamente, los ingresos subieron en un 17 % y los gastos cayeron en un 12 % y que ha sido motivado por: </w:t>
      </w:r>
    </w:p>
    <w:p w:rsidR="00E302EC" w:rsidRDefault="00FC4F28">
      <w:pPr>
        <w:spacing w:after="0" w:line="259" w:lineRule="auto"/>
        <w:ind w:left="644" w:firstLine="0"/>
        <w:jc w:val="left"/>
      </w:pPr>
      <w:r>
        <w:t xml:space="preserve"> </w:t>
      </w:r>
    </w:p>
    <w:p w:rsidR="00E302EC" w:rsidRDefault="00FC4F28">
      <w:pPr>
        <w:ind w:left="654" w:right="184"/>
      </w:pPr>
      <w:r>
        <w:t xml:space="preserve">A) En materia de Gastos: </w:t>
      </w:r>
    </w:p>
    <w:p w:rsidR="00E302EC" w:rsidRDefault="00FC4F28">
      <w:pPr>
        <w:spacing w:after="0" w:line="259" w:lineRule="auto"/>
        <w:ind w:left="644" w:firstLine="0"/>
        <w:jc w:val="left"/>
      </w:pPr>
      <w:r>
        <w:t xml:space="preserve"> </w:t>
      </w:r>
    </w:p>
    <w:p w:rsidR="00E302EC" w:rsidRDefault="00FC4F28">
      <w:pPr>
        <w:numPr>
          <w:ilvl w:val="0"/>
          <w:numId w:val="23"/>
        </w:numPr>
        <w:ind w:right="184" w:hanging="360"/>
      </w:pPr>
      <w:r>
        <w:t xml:space="preserve">En el 2020, los gastos de amortización de deuda, ascendió a 2.407.309,41 Euros, cancelando la totalidad de la deuda financiera. </w:t>
      </w:r>
    </w:p>
    <w:p w:rsidR="00E302EC" w:rsidRDefault="00FC4F28">
      <w:pPr>
        <w:spacing w:after="0" w:line="259" w:lineRule="auto"/>
        <w:ind w:left="644" w:firstLine="0"/>
        <w:jc w:val="left"/>
      </w:pPr>
      <w:r>
        <w:t xml:space="preserve"> </w:t>
      </w:r>
    </w:p>
    <w:p w:rsidR="00E302EC" w:rsidRDefault="00FC4F28">
      <w:pPr>
        <w:numPr>
          <w:ilvl w:val="0"/>
          <w:numId w:val="23"/>
        </w:numPr>
        <w:ind w:right="184" w:hanging="360"/>
      </w:pPr>
      <w:r>
        <w:t>Caída de un 54 % las inversiones reales, aproximadamente, dos millones de euros. Hay que señalar que en 2020, se efectuó la c</w:t>
      </w:r>
      <w:r>
        <w:t xml:space="preserve">ompra de la parcela UA-CO, denominada Empaquetadora de D. Sixto, por importe de 2.270.150,00 Euros. </w:t>
      </w:r>
    </w:p>
    <w:p w:rsidR="00E302EC" w:rsidRDefault="00FC4F28">
      <w:pPr>
        <w:spacing w:after="0" w:line="259" w:lineRule="auto"/>
        <w:ind w:left="1004" w:firstLine="0"/>
        <w:jc w:val="left"/>
      </w:pPr>
      <w:r>
        <w:t xml:space="preserve"> </w:t>
      </w:r>
    </w:p>
    <w:p w:rsidR="00E302EC" w:rsidRDefault="00FC4F28">
      <w:pPr>
        <w:numPr>
          <w:ilvl w:val="0"/>
          <w:numId w:val="23"/>
        </w:numPr>
        <w:ind w:right="184" w:hanging="360"/>
      </w:pPr>
      <w:r>
        <w:t xml:space="preserve">Aumento en un 14,9 % los gastos en bienes corrientes y de servicios, esto es, una subida de alrededor de un millón doscientos cincuenta mil euros. </w:t>
      </w:r>
    </w:p>
    <w:p w:rsidR="00E302EC" w:rsidRDefault="00FC4F28">
      <w:pPr>
        <w:spacing w:after="0" w:line="259" w:lineRule="auto"/>
        <w:ind w:left="1004" w:firstLine="0"/>
        <w:jc w:val="left"/>
      </w:pPr>
      <w:r>
        <w:t xml:space="preserve"> </w:t>
      </w:r>
    </w:p>
    <w:p w:rsidR="00E302EC" w:rsidRDefault="00FC4F28">
      <w:pPr>
        <w:numPr>
          <w:ilvl w:val="0"/>
          <w:numId w:val="23"/>
        </w:numPr>
        <w:ind w:right="184" w:hanging="360"/>
      </w:pPr>
      <w:r>
        <w:t xml:space="preserve">Descenso de un 88,10 % del capítulo de gastos financieros (casi unos trescientos mil euros). </w:t>
      </w:r>
    </w:p>
    <w:p w:rsidR="00E302EC" w:rsidRDefault="00FC4F28">
      <w:pPr>
        <w:spacing w:after="0" w:line="259" w:lineRule="auto"/>
        <w:ind w:left="100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654" w:right="184"/>
      </w:pPr>
      <w:r>
        <w:t xml:space="preserve">B) En materia de Ingresos: </w:t>
      </w:r>
    </w:p>
    <w:p w:rsidR="00E302EC" w:rsidRDefault="00FC4F28">
      <w:pPr>
        <w:spacing w:after="0" w:line="259" w:lineRule="auto"/>
        <w:ind w:left="284" w:firstLine="0"/>
        <w:jc w:val="left"/>
      </w:pPr>
      <w:r>
        <w:t xml:space="preserve"> </w:t>
      </w:r>
    </w:p>
    <w:p w:rsidR="00E302EC" w:rsidRDefault="00FC4F28">
      <w:pPr>
        <w:numPr>
          <w:ilvl w:val="0"/>
          <w:numId w:val="24"/>
        </w:numPr>
        <w:ind w:right="184" w:hanging="360"/>
      </w:pPr>
      <w:r>
        <w:t>Subida de un 37,40 %, un millón doscientos mil euros, aproximadamente, el capítulo de impuestos indirectos, que recoge el impues</w:t>
      </w:r>
      <w:r>
        <w:t xml:space="preserve">to de construcciones y las aportaciones del REF (impuesto matriculación, IGIC y Aiem). </w:t>
      </w:r>
    </w:p>
    <w:p w:rsidR="00E302EC" w:rsidRDefault="00FC4F28">
      <w:pPr>
        <w:spacing w:after="0" w:line="259" w:lineRule="auto"/>
        <w:ind w:left="284" w:firstLine="0"/>
        <w:jc w:val="left"/>
      </w:pPr>
      <w:r>
        <w:t xml:space="preserve"> </w:t>
      </w:r>
    </w:p>
    <w:p w:rsidR="00E302EC" w:rsidRDefault="00FC4F28">
      <w:pPr>
        <w:numPr>
          <w:ilvl w:val="0"/>
          <w:numId w:val="24"/>
        </w:numPr>
        <w:ind w:right="184" w:hanging="360"/>
      </w:pPr>
      <w:r>
        <w:t xml:space="preserve">Sube un 20 % los ingresos por transferencias corrientes, tanto de la Administración del </w:t>
      </w:r>
    </w:p>
    <w:p w:rsidR="00E302EC" w:rsidRDefault="00FC4F28">
      <w:pPr>
        <w:ind w:left="1014" w:right="184"/>
      </w:pPr>
      <w:r>
        <w:t>Estado a través de la Participación de los Tributos del Estado (unos trescien</w:t>
      </w:r>
      <w:r>
        <w:t xml:space="preserve">tos mil euros); Gobierno de la Comunidad Autónoma (un millón de euros, principalmente a través Servicio Canario de Empleo) y Cabildo Insular (quinientos mil euros a través de proyectos de empleo y para paliar situaciones de vulnerabilidad). </w:t>
      </w:r>
    </w:p>
    <w:p w:rsidR="00E302EC" w:rsidRDefault="00FC4F28">
      <w:pPr>
        <w:spacing w:after="0" w:line="259" w:lineRule="auto"/>
        <w:ind w:left="1004" w:firstLine="0"/>
        <w:jc w:val="left"/>
      </w:pPr>
      <w:r>
        <w:t xml:space="preserve"> </w:t>
      </w:r>
    </w:p>
    <w:p w:rsidR="00E302EC" w:rsidRDefault="00FC4F28">
      <w:pPr>
        <w:numPr>
          <w:ilvl w:val="0"/>
          <w:numId w:val="24"/>
        </w:numPr>
        <w:ind w:right="184" w:hanging="360"/>
      </w:pPr>
      <w:r>
        <w:t>Aumentan los</w:t>
      </w:r>
      <w:r>
        <w:t xml:space="preserve"> ingresos por transferencias de capital un 84 % (un millón de euros), por subvenciones del Cabildo para el paseo de san blas y la Comunidad Autónoma para comedor escolar en colegio Punta Larga. </w:t>
      </w:r>
    </w:p>
    <w:p w:rsidR="00E302EC" w:rsidRDefault="00FC4F28">
      <w:pPr>
        <w:spacing w:after="0" w:line="259" w:lineRule="auto"/>
        <w:ind w:left="284" w:firstLine="0"/>
        <w:jc w:val="left"/>
      </w:pPr>
      <w:r>
        <w:t xml:space="preserve"> </w:t>
      </w:r>
    </w:p>
    <w:p w:rsidR="00E302EC" w:rsidRDefault="00FC4F28">
      <w:pPr>
        <w:numPr>
          <w:ilvl w:val="0"/>
          <w:numId w:val="24"/>
        </w:numPr>
        <w:ind w:right="184" w:hanging="360"/>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0269" name="Group 23026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6208" name="Rectangle 620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6209" name="Rectangle 620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35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0269" style="width:12.7031pt;height:273.276pt;position:absolute;mso-position-horizontal-relative:page;mso-position-horizontal:absolute;margin-left:682.278pt;mso-position-vertical-relative:page;margin-top:538.644pt;" coordsize="1613,34706">
                <v:rect id="Rectangle 620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620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159 </w:t>
                        </w:r>
                      </w:p>
                    </w:txbxContent>
                  </v:textbox>
                </v:rect>
                <w10:wrap type="square"/>
              </v:group>
            </w:pict>
          </mc:Fallback>
        </mc:AlternateContent>
      </w:r>
      <w:r>
        <w:t>Suben las tasas un 15 %, por la mayor recaudación en servicios</w:t>
      </w:r>
      <w:r>
        <w:t xml:space="preserve"> de enseñanza, multas por infracción de tráfico y de empresas que explotan servicios de suministros, por utilización privativa del dominio público. </w:t>
      </w:r>
    </w:p>
    <w:p w:rsidR="00E302EC" w:rsidRDefault="00FC4F28">
      <w:pPr>
        <w:spacing w:after="0" w:line="259" w:lineRule="auto"/>
        <w:ind w:left="284" w:firstLine="0"/>
        <w:jc w:val="left"/>
      </w:pPr>
      <w:r>
        <w:t xml:space="preserve"> </w:t>
      </w:r>
    </w:p>
    <w:p w:rsidR="00E302EC" w:rsidRDefault="00FC4F28">
      <w:pPr>
        <w:ind w:left="279" w:right="184"/>
      </w:pPr>
      <w:r>
        <w:t xml:space="preserve">        Lo anterior ha supuesto un superávit, sin ajustar, que asciende a 4.564.829,93 Euros, frente a lo</w:t>
      </w:r>
      <w:r>
        <w:t>s 2.905.494,92 Euros de déficit del año anterior, experimentando, por tanto, un crecimiento de 7.470.324,85 Euros, respecto al resultado presupuestario sin ajustar del ejercicio anterior.</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69" w:right="184" w:firstLine="360"/>
      </w:pPr>
      <w:r>
        <w:t xml:space="preserve">Asimismo, el </w:t>
      </w:r>
      <w:r>
        <w:rPr>
          <w:b/>
          <w:i/>
        </w:rPr>
        <w:t>Remanente de Tesorería</w:t>
      </w:r>
      <w:r>
        <w:t xml:space="preserve">, </w:t>
      </w:r>
      <w:r>
        <w:rPr>
          <w:b/>
        </w:rPr>
        <w:t>que es el indicador que mide</w:t>
      </w:r>
      <w:r>
        <w:rPr>
          <w:b/>
        </w:rPr>
        <w:t xml:space="preserve"> la buena o mala salud de la economía del Ayuntamiento</w:t>
      </w:r>
      <w:r>
        <w:t xml:space="preserve">, </w:t>
      </w:r>
      <w:r>
        <w:rPr>
          <w:b/>
        </w:rPr>
        <w:t>representa la posición de liquidez o iliquidez de un Ayuntamiento o posición financiera a corto plazo</w:t>
      </w:r>
      <w:r>
        <w:t xml:space="preserve">, bajo la hipótesis que a 31 de diciembre, se recaudan todos los derechos liquidados pendientes de </w:t>
      </w:r>
      <w:r>
        <w:t>cobrar y se pagan todos los gastos realizados pendientes de pago, ha sido positivo en 18.482.024,15 Euros (frente a los 16.083.268,34 Euros obtenidos en la Liquidación del ejercicio 2020), generando una subida de 2.398.755,81 Euros, respecto al remanente d</w:t>
      </w:r>
      <w:r>
        <w:t xml:space="preserve">e tesorería obtenido de la liquidación anterior.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269" w:right="184" w:firstLine="360"/>
      </w:pPr>
      <w:r>
        <w:t>A través de esta magnitud, se observa que los derechos pendientes de cobro, una vez descontados los saldos de dudoso cobro de esos derechos, es inferior en 2.005.024,76 Euros a las obligaciones pendiente</w:t>
      </w:r>
      <w:r>
        <w:t>s de pago (en el ejercicio 2020, fue inferior en 1.056.643,92 Euros). No obstante, dado que los fondos líquidos importan la cantidad de 25.414.379,05 Euros (en 2020, se elevó a 20.083.947,03 Euros), más dichos derechos pendientes de cobro, permiten hacer f</w:t>
      </w:r>
      <w:r>
        <w:t xml:space="preserve">rente a los 3.813.018,83 Euros de las obligaciones pendientes de pago y los 4.794.579,85 Euros de gastos de excesos de financiación afectada, que hay que ejecutar en los próximos ejercicios, ya que los ingresos vinculados a esos gastos afectados ya se han </w:t>
      </w:r>
      <w:r>
        <w:t xml:space="preserve">obtenido. </w:t>
      </w:r>
    </w:p>
    <w:p w:rsidR="00E302EC" w:rsidRDefault="00FC4F28">
      <w:pPr>
        <w:spacing w:after="0" w:line="259" w:lineRule="auto"/>
        <w:ind w:left="644" w:firstLine="0"/>
        <w:jc w:val="left"/>
      </w:pPr>
      <w:r>
        <w:t xml:space="preserve"> </w:t>
      </w:r>
    </w:p>
    <w:p w:rsidR="00E302EC" w:rsidRDefault="00FC4F28">
      <w:pPr>
        <w:ind w:left="269" w:right="184" w:firstLine="360"/>
      </w:pPr>
      <w:r>
        <w:t xml:space="preserve">Esta </w:t>
      </w:r>
      <w:r>
        <w:rPr>
          <w:b/>
        </w:rPr>
        <w:t>situación de liquidez</w:t>
      </w:r>
      <w:r>
        <w:t xml:space="preserve"> obtenida en la liquidación de este ejercicio 2021, va a permitir al Ayuntamiento generar efectivo suficiente para hacer frente a todas las obligaciones de pago que vencerán en los ejercicios siguientes plasmados en d</w:t>
      </w:r>
      <w:r>
        <w:t>icha magnitud, y que viene motivado por:</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numPr>
          <w:ilvl w:val="0"/>
          <w:numId w:val="25"/>
        </w:numPr>
        <w:ind w:right="184" w:hanging="360"/>
      </w:pPr>
      <w:r>
        <w:t xml:space="preserve">Subida de los derechos pendientes de cobro, un 4,3 %. </w:t>
      </w:r>
    </w:p>
    <w:p w:rsidR="00E302EC" w:rsidRDefault="00FC4F28">
      <w:pPr>
        <w:spacing w:after="0" w:line="259" w:lineRule="auto"/>
        <w:ind w:left="1004" w:firstLine="0"/>
        <w:jc w:val="left"/>
      </w:pPr>
      <w:r>
        <w:t xml:space="preserve"> </w:t>
      </w:r>
    </w:p>
    <w:p w:rsidR="00E302EC" w:rsidRDefault="00FC4F28">
      <w:pPr>
        <w:numPr>
          <w:ilvl w:val="0"/>
          <w:numId w:val="25"/>
        </w:numPr>
        <w:ind w:right="184" w:hanging="360"/>
      </w:pPr>
      <w:r>
        <w:t xml:space="preserve">Subida de un 44,75 % de las obligaciones pendientes de pago. </w:t>
      </w:r>
    </w:p>
    <w:p w:rsidR="00E302EC" w:rsidRDefault="00FC4F28">
      <w:pPr>
        <w:spacing w:after="0" w:line="259" w:lineRule="auto"/>
        <w:ind w:left="284" w:firstLine="0"/>
        <w:jc w:val="left"/>
      </w:pPr>
      <w:r>
        <w:t xml:space="preserve"> </w:t>
      </w:r>
    </w:p>
    <w:p w:rsidR="00E302EC" w:rsidRDefault="00FC4F28">
      <w:pPr>
        <w:numPr>
          <w:ilvl w:val="0"/>
          <w:numId w:val="25"/>
        </w:numPr>
        <w:ind w:right="184" w:hanging="360"/>
      </w:pPr>
      <w:r>
        <w:t xml:space="preserve">Subida de un 26,5 %, de los fondos líquidos del ayuntamiento.  </w:t>
      </w:r>
    </w:p>
    <w:p w:rsidR="00E302EC" w:rsidRDefault="00FC4F28">
      <w:pPr>
        <w:spacing w:after="261" w:line="259" w:lineRule="auto"/>
        <w:ind w:left="284" w:firstLine="0"/>
        <w:jc w:val="left"/>
      </w:pPr>
      <w:r>
        <w:t xml:space="preserve"> </w:t>
      </w:r>
    </w:p>
    <w:p w:rsidR="00E302EC" w:rsidRDefault="00FC4F28">
      <w:pPr>
        <w:spacing w:after="254"/>
        <w:ind w:left="279" w:right="184"/>
      </w:pPr>
      <w:r>
        <w:t xml:space="preserve"> </w:t>
      </w:r>
      <w:r>
        <w:t>Cabe Destacar que, de acuerdo a los datos obtenidos en la liquidación del ejercicio 2021, el Ayuntamiento de Candelaria, cumple los niveles de endeudamiento y superávit en términos de contabilidad nacional y remanente de tesorería positivo para gastos gene</w:t>
      </w:r>
      <w:r>
        <w:t>rales, por lo que es posible la incorporación de remanentes de crédito en el ejercicio 2022.</w:t>
      </w:r>
      <w:r>
        <w:rPr>
          <w:rFonts w:ascii="Times New Roman" w:eastAsia="Times New Roman" w:hAnsi="Times New Roman" w:cs="Times New Roman"/>
          <w:sz w:val="24"/>
        </w:rPr>
        <w:t xml:space="preserve"> </w:t>
      </w:r>
    </w:p>
    <w:p w:rsidR="00E302EC" w:rsidRDefault="00FC4F28">
      <w:pPr>
        <w:spacing w:after="112"/>
        <w:ind w:left="283" w:right="184" w:hanging="360"/>
      </w:pPr>
      <w:r>
        <w:t xml:space="preserve">  En la Liquidación de este ejercicio 2021, se han obtenido unas variables económicas financieras que han tenido una buena evolución y que se refleja en el cumpli</w:t>
      </w:r>
      <w:r>
        <w:t>miento de los cinco indicadores de saneamiento y condicionantes de libre disposición, que se imponen para la distribución del Fondo Canario de Financiación Municipal, esto es, remanente de tesorería para gastos generales, gestión recaudatoria, endeudamient</w:t>
      </w:r>
      <w:r>
        <w:t xml:space="preserve">o a largo plazo, esfuerzo fiscal y el ratio de Ahorro Neto.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1248" name="Group 23124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6342" name="Rectangle 634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6343" name="Rectangle 634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Gestiona | Página 36 de 159</w:t>
                              </w: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1248" style="width:12.7031pt;height:273.276pt;position:absolute;mso-position-horizontal-relative:page;mso-position-horizontal:absolute;margin-left:682.278pt;mso-position-vertical-relative:page;margin-top:538.644pt;" coordsize="1613,34706">
                <v:rect id="Rectangle 634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634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159 </w:t>
                        </w:r>
                      </w:p>
                    </w:txbxContent>
                  </v:textbox>
                </v:rect>
                <w10:wrap type="square"/>
              </v:group>
            </w:pict>
          </mc:Fallback>
        </mc:AlternateContent>
      </w:r>
      <w:r>
        <w:t xml:space="preserve"> </w:t>
      </w:r>
    </w:p>
    <w:p w:rsidR="00E302EC" w:rsidRDefault="00FC4F28">
      <w:pPr>
        <w:ind w:left="279" w:right="184"/>
      </w:pPr>
      <w:r>
        <w:t xml:space="preserve">  Para el cálculo de los citados ratios, hay que determinar los derechos liquidados corrientes, que importa la cantidad de 26.844.541,72 Euros, con el siguiente detalle: </w:t>
      </w:r>
    </w:p>
    <w:p w:rsidR="00E302EC" w:rsidRDefault="00FC4F28">
      <w:pPr>
        <w:spacing w:after="32" w:line="259" w:lineRule="auto"/>
        <w:ind w:left="284" w:firstLine="0"/>
        <w:jc w:val="left"/>
      </w:pPr>
      <w:r>
        <w:t xml:space="preserve"> </w:t>
      </w:r>
    </w:p>
    <w:p w:rsidR="00E302EC" w:rsidRDefault="00FC4F28">
      <w:pPr>
        <w:numPr>
          <w:ilvl w:val="0"/>
          <w:numId w:val="26"/>
        </w:numPr>
        <w:ind w:right="184" w:hanging="360"/>
      </w:pPr>
      <w:r>
        <w:t xml:space="preserve">Capítulo I de Impuestos Directos: 8.088.125,11 Euros. </w:t>
      </w:r>
    </w:p>
    <w:p w:rsidR="00E302EC" w:rsidRDefault="00FC4F28">
      <w:pPr>
        <w:numPr>
          <w:ilvl w:val="0"/>
          <w:numId w:val="26"/>
        </w:numPr>
        <w:ind w:right="184" w:hanging="360"/>
      </w:pPr>
      <w:r>
        <w:t xml:space="preserve">Capítulo II de Impuestos Indirectos: 4.354.013,91 Euros. </w:t>
      </w:r>
    </w:p>
    <w:p w:rsidR="00E302EC" w:rsidRDefault="00FC4F28">
      <w:pPr>
        <w:numPr>
          <w:ilvl w:val="0"/>
          <w:numId w:val="26"/>
        </w:numPr>
        <w:ind w:right="184" w:hanging="360"/>
      </w:pPr>
      <w:r>
        <w:t xml:space="preserve">Capítulo III de Tasas, Precios Públicos y Otros Ingresos: 2.483.992,82 Euros. </w:t>
      </w:r>
    </w:p>
    <w:p w:rsidR="00E302EC" w:rsidRDefault="00FC4F28">
      <w:pPr>
        <w:numPr>
          <w:ilvl w:val="0"/>
          <w:numId w:val="26"/>
        </w:numPr>
        <w:ind w:right="184" w:hanging="360"/>
      </w:pPr>
      <w:r>
        <w:t xml:space="preserve">Capítulo IV de Transferencias Corrientes: 11.911.285,91 Euros. </w:t>
      </w:r>
    </w:p>
    <w:p w:rsidR="00E302EC" w:rsidRDefault="00FC4F28">
      <w:pPr>
        <w:numPr>
          <w:ilvl w:val="0"/>
          <w:numId w:val="26"/>
        </w:numPr>
        <w:ind w:right="184" w:hanging="360"/>
      </w:pPr>
      <w:r>
        <w:t xml:space="preserve">Capítulo V de Ingresos Patrimoniales: 7.123,97 Euros. </w:t>
      </w:r>
    </w:p>
    <w:p w:rsidR="00E302EC" w:rsidRDefault="00FC4F28">
      <w:pPr>
        <w:spacing w:after="98" w:line="259" w:lineRule="auto"/>
        <w:ind w:left="567" w:firstLine="0"/>
        <w:jc w:val="left"/>
      </w:pPr>
      <w:r>
        <w:t xml:space="preserve"> </w:t>
      </w:r>
    </w:p>
    <w:p w:rsidR="00E302EC" w:rsidRDefault="00FC4F28">
      <w:pPr>
        <w:ind w:left="279" w:right="184"/>
      </w:pPr>
      <w:r>
        <w:t xml:space="preserve"> Para el cálculo de los Ratios del Ahorro Neto y Endeudamiento a Largo Plazo hay que tener en cuenta la Disposición final trigésima tercera de la Ley 17/2012, de 27 de junio, de Presupuestos Generales del Estado para el año 2013, que modifica el Real Dec</w:t>
      </w:r>
      <w:r>
        <w:t>reto-ley 20/2011, de 30 de diciembre, de medidas urgentes en materia presupuestaria, tributaria y financiera para la corrección del déficit público”, recoge un nuevo marco normativo en materia de límite de deuda, modificando el Real Decreto-ley 20/2011, de</w:t>
      </w:r>
      <w:r>
        <w:t xml:space="preserve"> 30 de diciembre, de medidas urgentes en materia presupuestaria, tributaria y financiera para la corrección del déficit público, que se mantiene en el momento presente:</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48" w:lineRule="auto"/>
        <w:ind w:left="279" w:right="180"/>
      </w:pPr>
      <w:r>
        <w:t>“</w:t>
      </w:r>
      <w:r>
        <w:rPr>
          <w:i/>
        </w:rPr>
        <w:t>Con efectos de la entrada en vigor de esta Ley y vigencia indefinida, la disposició</w:t>
      </w:r>
      <w:r>
        <w:rPr>
          <w:i/>
        </w:rPr>
        <w:t>n adicional decimocuarta del Real Decreto-ley 20/2011, de 30 de diciembre, de medidas urgentes en materia presupuestaria, tributaria y financiera para la corrección del déficit público, queda redactada como sigue:</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37" w:lineRule="auto"/>
        <w:ind w:left="279"/>
        <w:jc w:val="left"/>
      </w:pPr>
      <w:r>
        <w:rPr>
          <w:i/>
        </w:rPr>
        <w:t xml:space="preserve"> </w:t>
      </w:r>
      <w:r>
        <w:rPr>
          <w:i/>
        </w:rPr>
        <w:tab/>
        <w:t>Las Entidades Locales y sus entidades</w:t>
      </w:r>
      <w:r>
        <w:rPr>
          <w:i/>
        </w:rPr>
        <w:t xml:space="preserve"> dependientes clasificadas en el sector Administraciones Públicas, de acuerdo con la definición y delimitación del Sistema Europeo de Cuentas, que liquiden el ejercicio inmediato anterior con ahorro neto positivo, calculado en la forma que establece </w:t>
      </w:r>
      <w:r>
        <w:t xml:space="preserve">el </w:t>
      </w:r>
      <w:r>
        <w:rPr>
          <w:color w:val="0000FF"/>
          <w:u w:val="single" w:color="0000FF"/>
        </w:rPr>
        <w:t>art</w:t>
      </w:r>
      <w:r>
        <w:rPr>
          <w:color w:val="0000FF"/>
          <w:u w:val="single" w:color="0000FF"/>
        </w:rPr>
        <w:t>ículo 53 del Texto Refundido de la Ley Reguladora de las Haciendas Locales,</w:t>
      </w:r>
      <w:r>
        <w:rPr>
          <w:color w:val="0000FF"/>
        </w:rPr>
        <w:t xml:space="preserve"> </w:t>
      </w:r>
      <w:r>
        <w:rPr>
          <w:color w:val="0000FF"/>
          <w:u w:val="single" w:color="0000FF"/>
        </w:rPr>
        <w:t>aprobado por Real Decreto Legislativo 2/2004, de 5 de marzo</w:t>
      </w:r>
      <w:r>
        <w:rPr>
          <w:i/>
        </w:rPr>
        <w:t xml:space="preserve">, </w:t>
      </w:r>
      <w:r>
        <w:rPr>
          <w:b/>
          <w:i/>
        </w:rPr>
        <w:t>podrán concertar nuevas operaciones de crédito a largo plazo para la financiación de inversiones, cuando el volumen tot</w:t>
      </w:r>
      <w:r>
        <w:rPr>
          <w:b/>
          <w:i/>
        </w:rPr>
        <w:t>al del capital vivo no exceda del 75 % de los ingresos corrientes liquidados o devengados</w:t>
      </w:r>
      <w:r>
        <w:rPr>
          <w:i/>
        </w:rPr>
        <w:t xml:space="preserve"> según las cifras deducidas de los estados contables consolidados, con sujeción, en su caso, al Texto Refundido de la Ley Reguladora de las Haciendas Locales y a la No</w:t>
      </w:r>
      <w:r>
        <w:rPr>
          <w:i/>
        </w:rPr>
        <w:t>rmativa de Estabilidad Presupuestaria.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11" w:line="248" w:lineRule="auto"/>
        <w:ind w:left="279" w:right="180"/>
      </w:pPr>
      <w:r>
        <w:rPr>
          <w:i/>
        </w:rPr>
        <w:t xml:space="preserve"> Las Entidades Locales que tengan un </w:t>
      </w:r>
      <w:r>
        <w:rPr>
          <w:b/>
          <w:i/>
        </w:rPr>
        <w:t xml:space="preserve">volumen de endeudamiento que, excediendo al citado en el párrafo anterior, no supere al establecido (que asciende al 110 por 100) en el </w:t>
      </w:r>
      <w:r>
        <w:rPr>
          <w:b/>
          <w:i/>
          <w:color w:val="0000FF"/>
          <w:u w:val="single" w:color="0000FF"/>
        </w:rPr>
        <w:t>artículo 53 del Texto Refundido de la Ley</w:t>
      </w:r>
      <w:r>
        <w:rPr>
          <w:b/>
          <w:i/>
          <w:color w:val="0000FF"/>
          <w:u w:val="single" w:color="0000FF"/>
        </w:rPr>
        <w:t xml:space="preserve"> Reguladora de las Haciendas Locales, aprobado</w:t>
      </w:r>
      <w:r>
        <w:rPr>
          <w:b/>
          <w:i/>
          <w:color w:val="0000FF"/>
        </w:rPr>
        <w:t xml:space="preserve"> </w:t>
      </w:r>
      <w:r>
        <w:rPr>
          <w:b/>
          <w:i/>
          <w:color w:val="0000FF"/>
          <w:u w:val="single" w:color="0000FF"/>
        </w:rPr>
        <w:t>por Real Decreto Legislativo 2/2004, de 5 de marzo</w:t>
      </w:r>
      <w:r>
        <w:rPr>
          <w:b/>
          <w:i/>
        </w:rPr>
        <w:t>, podrán concertar operaciones de endeudamiento previa autorización del órgano competente que tenga atribuida la tutela financiera de las entidades locales</w:t>
      </w:r>
      <w:r>
        <w:rPr>
          <w:i/>
        </w:rPr>
        <w:t>.</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i/>
        </w:rPr>
        <w:t xml:space="preserve"> </w:t>
      </w:r>
    </w:p>
    <w:p w:rsidR="00E302EC" w:rsidRDefault="00FC4F28">
      <w:pPr>
        <w:spacing w:after="11" w:line="248" w:lineRule="auto"/>
        <w:ind w:left="279" w:right="180"/>
      </w:pPr>
      <w:r>
        <w:rPr>
          <w:i/>
        </w:rPr>
        <w:t xml:space="preserve"> Las entidades que presenten </w:t>
      </w:r>
      <w:r>
        <w:rPr>
          <w:b/>
          <w:i/>
        </w:rPr>
        <w:t xml:space="preserve">ahorro neto negativo o un volumen de endeudamiento vivo superior al recogido en el </w:t>
      </w:r>
      <w:r>
        <w:rPr>
          <w:b/>
          <w:i/>
          <w:color w:val="0000FF"/>
          <w:u w:val="single" w:color="0000FF"/>
        </w:rPr>
        <w:t>artículo 53 del Texto Refundido de la Ley Reguladora de las</w:t>
      </w:r>
      <w:r>
        <w:rPr>
          <w:b/>
          <w:i/>
          <w:color w:val="0000FF"/>
        </w:rPr>
        <w:t xml:space="preserve"> </w:t>
      </w:r>
      <w:r>
        <w:rPr>
          <w:b/>
          <w:i/>
          <w:color w:val="0000FF"/>
          <w:u w:val="single" w:color="0000FF"/>
        </w:rPr>
        <w:t>Haciendas Locales, aprobado por Real Decreto Legislativo 2/2004, de 5 de marzo</w:t>
      </w:r>
      <w:r>
        <w:rPr>
          <w:b/>
          <w:i/>
        </w:rPr>
        <w:t>, no podrán concertar operaciones de crédito a largo plazo</w:t>
      </w:r>
      <w:r>
        <w:rPr>
          <w:i/>
        </w:rPr>
        <w:t>.</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0855" name="Group 23085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6463" name="Rectangle 646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6464" name="Rectangle 646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Gestiona | Página 37 de 1</w:t>
                              </w:r>
                              <w:r>
                                <w:rPr>
                                  <w:sz w:val="12"/>
                                </w:rPr>
                                <w:t xml:space="preserve">59 </w:t>
                              </w:r>
                            </w:p>
                          </w:txbxContent>
                        </wps:txbx>
                        <wps:bodyPr horzOverflow="overflow" vert="horz" lIns="0" tIns="0" rIns="0" bIns="0" rtlCol="0">
                          <a:noAutofit/>
                        </wps:bodyPr>
                      </wps:wsp>
                    </wpg:wgp>
                  </a:graphicData>
                </a:graphic>
              </wp:anchor>
            </w:drawing>
          </mc:Choice>
          <mc:Fallback xmlns:a="http://schemas.openxmlformats.org/drawingml/2006/main">
            <w:pict>
              <v:group id="Group 230855" style="width:12.7031pt;height:273.276pt;position:absolute;mso-position-horizontal-relative:page;mso-position-horizontal:absolute;margin-left:682.278pt;mso-position-vertical-relative:page;margin-top:538.644pt;" coordsize="1613,34706">
                <v:rect id="Rectangle 646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646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159 </w:t>
                        </w:r>
                      </w:p>
                    </w:txbxContent>
                  </v:textbox>
                </v:rect>
                <w10:wrap type="square"/>
              </v:group>
            </w:pict>
          </mc:Fallback>
        </mc:AlternateContent>
      </w:r>
      <w:r>
        <w:t xml:space="preserve"> Para la determinación de los ingresos corrientes a computar en el cálculo del ahorro neto y del nivel de endeudamiento, se deducirá el importe de los ingresos afectados a operaciones de capital y cualesquiera otros ingresos extraordinarios aplicados a</w:t>
      </w:r>
      <w:r>
        <w:t xml:space="preserve"> los capítulos 1 a 5 que, por su afectación legal y/o carácter no recurrente, no tienen la consideración de ingresos ordinarios. </w:t>
      </w:r>
    </w:p>
    <w:p w:rsidR="00E302EC" w:rsidRDefault="00FC4F28">
      <w:pPr>
        <w:spacing w:after="0" w:line="259" w:lineRule="auto"/>
        <w:ind w:left="284" w:firstLine="0"/>
        <w:jc w:val="left"/>
      </w:pPr>
      <w:r>
        <w:t xml:space="preserve"> </w:t>
      </w:r>
    </w:p>
    <w:p w:rsidR="00E302EC" w:rsidRDefault="00FC4F28">
      <w:pPr>
        <w:spacing w:after="11" w:line="248" w:lineRule="auto"/>
        <w:ind w:left="279" w:right="180"/>
      </w:pPr>
      <w:r>
        <w:rPr>
          <w:b/>
          <w:i/>
        </w:rPr>
        <w:t xml:space="preserve"> A efectos del cálculo del capital vivo, se considerarán todas las operaciones vigentes a 31 de diciembre del año anterior, </w:t>
      </w:r>
      <w:r>
        <w:rPr>
          <w:b/>
          <w:i/>
        </w:rPr>
        <w:t>incluido el riesgo deducido de avales, incrementado, en su caso, en los saldos de operaciones formalizadas no dispuestos y en el importe de la operación proyectada. En ese importe no se incluirán los saldos que deban reintegrar las Entidades Locales deriva</w:t>
      </w:r>
      <w:r>
        <w:rPr>
          <w:b/>
          <w:i/>
        </w:rPr>
        <w:t>dos de las liquidaciones definitivas de la participación en tributos del Estado</w:t>
      </w:r>
      <w:r>
        <w:rPr>
          <w:i/>
        </w:rPr>
        <w:t>.</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48" w:lineRule="auto"/>
        <w:ind w:left="269" w:right="180" w:firstLine="360"/>
      </w:pPr>
      <w:r>
        <w:t xml:space="preserve">Las Entidades Locales pondrán a disposición de las entidades financieras que </w:t>
      </w:r>
      <w:r>
        <w:rPr>
          <w:i/>
        </w:rPr>
        <w:t xml:space="preserve">participen en sus procedimientos para la concertación de operaciones de crédito, el informe de </w:t>
      </w:r>
      <w:r>
        <w:rPr>
          <w:i/>
        </w:rPr>
        <w:t>la Intervención local regulado en el apartado 2 del artículo 52 del Texto Refundido de la Ley reguladora de las Haciendas Locales, en el que se incluirán los cálculos que acrediten el cumplimiento de los límites citados en los párrafos anteriores y cualesq</w:t>
      </w:r>
      <w:r>
        <w:rPr>
          <w:i/>
        </w:rPr>
        <w:t xml:space="preserve">uiera otros ajustes que afecten a la medición de la capacidad de pago, así como el cumplimiento, en los casos que resulte de aplicación, de la autorización preceptiva regulada en el artículo 53.5 de la citada norma y en el </w:t>
      </w:r>
      <w:r>
        <w:rPr>
          <w:i/>
          <w:color w:val="0000FF"/>
          <w:u w:val="single" w:color="0000FF"/>
        </w:rPr>
        <w:t>artículo 20 de la Ley</w:t>
      </w:r>
      <w:r>
        <w:rPr>
          <w:i/>
          <w:color w:val="0000FF"/>
        </w:rPr>
        <w:t xml:space="preserve"> </w:t>
      </w:r>
      <w:r>
        <w:rPr>
          <w:i/>
          <w:color w:val="0000FF"/>
          <w:u w:val="single" w:color="0000FF"/>
        </w:rPr>
        <w:t>Orgánica 2/</w:t>
      </w:r>
      <w:r>
        <w:rPr>
          <w:i/>
          <w:color w:val="0000FF"/>
          <w:u w:val="single" w:color="0000FF"/>
        </w:rPr>
        <w:t>2012, de 27 de abril, de Estabilidad Presupuestaria y Sostenibilidad Financiera</w:t>
      </w:r>
      <w:r>
        <w:rPr>
          <w:i/>
        </w:rPr>
        <w:t>, pudiendo las entidades financieras, en su caso, modificar o retirar sus ofertas, una vez conocido el contenido del informe.</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269" w:right="184" w:firstLine="360"/>
      </w:pPr>
      <w:r>
        <w:t>En el cálculo de las ratios de ahorro neto y nivel de deuda viva, habrán de descontarse, al menos, los INGRESOS AFECTADOS A OPERACIONES DE CAPITAL que se citan a continuación, sin perjuicio, de otras correcciones o ajustes que, según la percepción de la In</w:t>
      </w:r>
      <w:r>
        <w:t xml:space="preserve">tervención local, en su condición de órgano de control, afecten a la capacidad de devolución futura de la deuda viva, incluida la operación u operaciones proyectadas: </w:t>
      </w:r>
    </w:p>
    <w:p w:rsidR="00E302EC" w:rsidRDefault="00FC4F28">
      <w:pPr>
        <w:spacing w:after="0" w:line="259" w:lineRule="auto"/>
        <w:ind w:left="284" w:firstLine="0"/>
        <w:jc w:val="left"/>
      </w:pPr>
      <w:r>
        <w:t xml:space="preserve"> </w:t>
      </w:r>
    </w:p>
    <w:p w:rsidR="00E302EC" w:rsidRDefault="00FC4F28">
      <w:pPr>
        <w:ind w:left="279" w:right="184"/>
      </w:pPr>
      <w:r>
        <w:t xml:space="preserve">1.- </w:t>
      </w:r>
      <w:r>
        <w:t>Ingresos por multas coercitivas, o derivados de convenios urbanísticos de planeamiento, o cualesquiera otros, que expresamente hayan sido declarados como integrantes del Patrimonio Público del Suelo. No consta en la liquidación presupuestaria, derecho liqu</w:t>
      </w:r>
      <w:r>
        <w:t xml:space="preserve">idado alguno de este concepto. </w:t>
      </w:r>
    </w:p>
    <w:p w:rsidR="00E302EC" w:rsidRDefault="00FC4F28">
      <w:pPr>
        <w:spacing w:after="0" w:line="259" w:lineRule="auto"/>
        <w:ind w:left="284" w:firstLine="0"/>
        <w:jc w:val="left"/>
      </w:pPr>
      <w:r>
        <w:t xml:space="preserve"> </w:t>
      </w:r>
    </w:p>
    <w:p w:rsidR="00E302EC" w:rsidRDefault="00FC4F28">
      <w:pPr>
        <w:ind w:left="279" w:right="184"/>
      </w:pPr>
      <w:r>
        <w:t xml:space="preserve">2.- Ingresos por actuaciones de urbanización, tales como el canon de urbanización, cuotas de urbanización, o cualquier otro de este carácter. No consta en la liquidación. </w:t>
      </w:r>
    </w:p>
    <w:p w:rsidR="00E302EC" w:rsidRDefault="00FC4F28">
      <w:pPr>
        <w:spacing w:after="0" w:line="259" w:lineRule="auto"/>
        <w:ind w:left="284" w:firstLine="0"/>
        <w:jc w:val="left"/>
      </w:pPr>
      <w:r>
        <w:t xml:space="preserve"> </w:t>
      </w:r>
    </w:p>
    <w:p w:rsidR="00E302EC" w:rsidRDefault="00FC4F28">
      <w:pPr>
        <w:ind w:left="279" w:right="184"/>
      </w:pPr>
      <w:r>
        <w:t>3.- Aprovechamientos urbanísticos, y otros ingre</w:t>
      </w:r>
      <w:r>
        <w:t>sos por aprovechamientos edificatorios distintos de los anteriores (entre otros, los aprovechamientos edificatorios en suelo rústico, regulados en el artículo 62.3 del texto refundido de las Leyes de ordenación del territorio de Canarias y Espacios Natural</w:t>
      </w:r>
      <w:r>
        <w:t xml:space="preserve">es de Canarias). Consta en la liquidación presupuestaria, derechos liquidados de este concepto, por importe de 9.642,69 Euros, se corresponde con el canon por aprovechamiento en suelo rústico, pero no ha supuesto la obligatoria modificación presupuestaria </w:t>
      </w:r>
      <w:r>
        <w:t xml:space="preserve">para su afectación a gastos concretos y específico, generalmente de capital, pero que al no realizarse, no procede ajuste alguno. </w:t>
      </w:r>
    </w:p>
    <w:p w:rsidR="00E302EC" w:rsidRDefault="00FC4F28">
      <w:pPr>
        <w:spacing w:after="0" w:line="259" w:lineRule="auto"/>
        <w:ind w:left="284" w:firstLine="0"/>
        <w:jc w:val="left"/>
      </w:pPr>
      <w:r>
        <w:t xml:space="preserve"> </w:t>
      </w:r>
    </w:p>
    <w:p w:rsidR="00E302EC" w:rsidRDefault="00FC4F28">
      <w:pPr>
        <w:ind w:left="279" w:right="184"/>
      </w:pPr>
      <w:r>
        <w:t>4.- Ingresos por multas impuestas por infracciones urbanísticas, expresamente afectados a operaciones de igual carácter, qu</w:t>
      </w:r>
      <w:r>
        <w:t xml:space="preserve">e no hayan de integrarse en el Patrimonio Público del Suelo. No consta en la liquidación presupuestaria, derecho liquidado alguno de este concepto.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21186" name="Group 22118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6591" name="Rectangle 659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6592" name="Rectangle 659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w:t>
                              </w:r>
                              <w:r>
                                <w:rPr>
                                  <w:sz w:val="12"/>
                                </w:rPr>
                                <w:t xml:space="preserve">cumento firmado electrónicamente desde la plataforma esPublico Gestiona | Página 38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21186" style="width:12.7031pt;height:273.276pt;position:absolute;mso-position-horizontal-relative:page;mso-position-horizontal:absolute;margin-left:682.278pt;mso-position-vertical-relative:page;margin-top:538.644pt;" coordsize="1613,34706">
                <v:rect id="Rectangle 659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659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159 </w:t>
                        </w:r>
                      </w:p>
                    </w:txbxContent>
                  </v:textbox>
                </v:rect>
                <w10:wrap type="square"/>
              </v:group>
            </w:pict>
          </mc:Fallback>
        </mc:AlternateContent>
      </w:r>
      <w:r>
        <w:t xml:space="preserve">5.- Contribuciones especiales afectadas a operaciones de capital. No consta en la liquidación presupuestaria, derecho liquidado alguno de este concepto. </w:t>
      </w:r>
    </w:p>
    <w:p w:rsidR="00E302EC" w:rsidRDefault="00FC4F28">
      <w:pPr>
        <w:spacing w:after="0" w:line="259" w:lineRule="auto"/>
        <w:ind w:left="284" w:firstLine="0"/>
        <w:jc w:val="left"/>
      </w:pPr>
      <w:r>
        <w:t xml:space="preserve"> </w:t>
      </w:r>
    </w:p>
    <w:p w:rsidR="00E302EC" w:rsidRDefault="00FC4F28">
      <w:pPr>
        <w:ind w:left="279" w:right="184"/>
      </w:pPr>
      <w:r>
        <w:t>6.- Ingr</w:t>
      </w:r>
      <w:r>
        <w:t>esos por el canon de mejora del servicio de agua o canon de saneamiento cuando esté afectado, por la normativa sectorial, a la financiación de inversiones de capital relacionadas con el servicio prestado, tales como infraestructuras hidráulicas, o redes de</w:t>
      </w:r>
      <w:r>
        <w:t xml:space="preserve"> saneamiento y depuración, entre otras. No consta en la liquidación presupuestaria, derecho liquidado alguno de este concepto. </w:t>
      </w:r>
    </w:p>
    <w:p w:rsidR="00E302EC" w:rsidRDefault="00FC4F28">
      <w:pPr>
        <w:spacing w:after="0" w:line="259" w:lineRule="auto"/>
        <w:ind w:left="284" w:firstLine="0"/>
        <w:jc w:val="left"/>
      </w:pPr>
      <w:r>
        <w:t xml:space="preserve"> </w:t>
      </w:r>
    </w:p>
    <w:p w:rsidR="00E302EC" w:rsidRDefault="00FC4F28">
      <w:pPr>
        <w:ind w:left="279" w:right="184"/>
      </w:pPr>
      <w:r>
        <w:t>7.- Aprovechamientos agrícolas y forestales de carácter afectado; en particular el Fondo de Mejora de Montes cuando esté afect</w:t>
      </w:r>
      <w:r>
        <w:t>ado a la realización de inversiones, tales como la ejecución de mejoras en los montes de titularidad municipal, o la realización de mejoras de interés forestal general de la provincia. No consta en la liquidación presupuestaria, derecho liquidado alguno de</w:t>
      </w:r>
      <w:r>
        <w:t xml:space="preserve"> este concepto. </w:t>
      </w:r>
    </w:p>
    <w:p w:rsidR="00E302EC" w:rsidRDefault="00FC4F28">
      <w:pPr>
        <w:spacing w:after="0" w:line="259" w:lineRule="auto"/>
        <w:ind w:left="284" w:firstLine="0"/>
        <w:jc w:val="left"/>
      </w:pPr>
      <w:r>
        <w:t xml:space="preserve"> </w:t>
      </w:r>
    </w:p>
    <w:p w:rsidR="00E302EC" w:rsidRDefault="00FC4F28">
      <w:pPr>
        <w:ind w:left="279" w:right="184"/>
      </w:pPr>
      <w:r>
        <w:t xml:space="preserve">8.- Otras concesiones y aprovechamientos, afectados por la normativa aplicable a la financiación de operaciones de capital. No consta en la liquidación presupuestaria, derecho liquidado alguno de este concepto. </w:t>
      </w:r>
    </w:p>
    <w:p w:rsidR="00E302EC" w:rsidRDefault="00FC4F28">
      <w:pPr>
        <w:spacing w:after="0" w:line="259" w:lineRule="auto"/>
        <w:ind w:left="284" w:firstLine="0"/>
        <w:jc w:val="left"/>
      </w:pPr>
      <w:r>
        <w:t xml:space="preserve"> </w:t>
      </w:r>
    </w:p>
    <w:p w:rsidR="00E302EC" w:rsidRDefault="00FC4F28">
      <w:pPr>
        <w:ind w:left="279" w:right="184"/>
      </w:pPr>
      <w:r>
        <w:t>9.- Otros ingresos afec</w:t>
      </w:r>
      <w:r>
        <w:t xml:space="preserve">tados a operaciones de capital distintos de los anteriores. A diferencia del año anterior, no consta ingreso alguno. </w:t>
      </w:r>
    </w:p>
    <w:p w:rsidR="00E302EC" w:rsidRDefault="00FC4F28">
      <w:pPr>
        <w:spacing w:after="149" w:line="259" w:lineRule="auto"/>
        <w:ind w:left="567" w:firstLine="0"/>
        <w:jc w:val="left"/>
      </w:pPr>
      <w:r>
        <w:t xml:space="preserve"> </w:t>
      </w:r>
    </w:p>
    <w:p w:rsidR="00E302EC" w:rsidRDefault="00FC4F28">
      <w:pPr>
        <w:numPr>
          <w:ilvl w:val="0"/>
          <w:numId w:val="27"/>
        </w:numPr>
        <w:ind w:right="184" w:hanging="360"/>
      </w:pPr>
      <w:r>
        <w:rPr>
          <w:b/>
          <w:i/>
        </w:rPr>
        <w:t>Remanente de Tesorería para Gastos Generales</w:t>
      </w:r>
      <w:r>
        <w:t xml:space="preserve">, que importa la cantidad de 18.482.024,15 </w:t>
      </w:r>
      <w:r>
        <w:t>Euros, se impone que sea superior al 1 %, de los derechos reconocidos netos por capítulos I al V de Ingresos en la Liquidación del Presupuesto, que asciende a 26.844.541,72 Euros, sale positivo en el 67,84 % frente al 68,8 %, también con signo positivo, de</w:t>
      </w:r>
      <w:r>
        <w:t>l ejercicio anterior.</w:t>
      </w:r>
      <w:r>
        <w:rPr>
          <w:rFonts w:ascii="Times New Roman" w:eastAsia="Times New Roman" w:hAnsi="Times New Roman" w:cs="Times New Roman"/>
          <w:sz w:val="24"/>
        </w:rPr>
        <w:t xml:space="preserve"> </w:t>
      </w:r>
    </w:p>
    <w:p w:rsidR="00E302EC" w:rsidRDefault="00FC4F28">
      <w:pPr>
        <w:spacing w:after="32" w:line="259" w:lineRule="auto"/>
        <w:ind w:left="284" w:firstLine="0"/>
        <w:jc w:val="left"/>
      </w:pPr>
      <w:r>
        <w:t xml:space="preserve"> </w:t>
      </w:r>
    </w:p>
    <w:p w:rsidR="00E302EC" w:rsidRDefault="00FC4F28">
      <w:pPr>
        <w:numPr>
          <w:ilvl w:val="0"/>
          <w:numId w:val="27"/>
        </w:numPr>
        <w:ind w:right="184" w:hanging="360"/>
      </w:pPr>
      <w:r>
        <w:rPr>
          <w:b/>
          <w:i/>
        </w:rPr>
        <w:t>Ahorro Neto,</w:t>
      </w:r>
      <w:r>
        <w:t xml:space="preserve"> es un ratio que, a diferencia del ratio de ahorro bruto que mide la capacidad de autofinanciación de las inversiones, es un ratio que nos indica la capacidad  de</w:t>
      </w:r>
      <w:r>
        <w:rPr>
          <w:b/>
          <w:i/>
        </w:rPr>
        <w:t xml:space="preserve"> </w:t>
      </w:r>
      <w:r>
        <w:t xml:space="preserve">endeudamiento de la entidad Local, que se establece que </w:t>
      </w:r>
      <w:r>
        <w:t>sea superior al 6 por 100  de los derechos reconocidos netos por capítulos I al V de Ingresos en la Liquidación del presupuesto, viene dado por la diferencia de los derechos reconocidos netos por los capítulos I al V de Ingresos (26.844.541,72 Euros) y las</w:t>
      </w:r>
      <w:r>
        <w:t xml:space="preserve"> obligaciones reconocidas netas por los capítulos I, II y IV, una vez deducidas las obligaciones financiadas con remanente de tesorería para gastos generales, que importaron la cantidad de 106.807,44 Euros (22.535.480,98 Euros) y una anualidad teórica de a</w:t>
      </w:r>
      <w:r>
        <w:t xml:space="preserve">mortización (39.375,45 Euros), que incluye los capítulos III y IX. </w:t>
      </w:r>
      <w:r>
        <w:rPr>
          <w:rFonts w:ascii="Times New Roman" w:eastAsia="Times New Roman" w:hAnsi="Times New Roman" w:cs="Times New Roman"/>
          <w:sz w:val="24"/>
        </w:rPr>
        <w:t xml:space="preserve"> </w:t>
      </w:r>
    </w:p>
    <w:p w:rsidR="00E302EC" w:rsidRDefault="00FC4F28">
      <w:pPr>
        <w:spacing w:after="98" w:line="259" w:lineRule="auto"/>
        <w:ind w:left="567" w:firstLine="0"/>
        <w:jc w:val="left"/>
      </w:pPr>
      <w:r>
        <w:t xml:space="preserve"> </w:t>
      </w:r>
    </w:p>
    <w:p w:rsidR="00E302EC" w:rsidRDefault="00FC4F28">
      <w:pPr>
        <w:ind w:left="644" w:right="184" w:firstLine="348"/>
      </w:pPr>
      <w:r>
        <w:t>Ello nos da un Ahorro Neto positivo de 4.269.684,77 Euros (que fue negativo en 246.223,93 Euros en el año 2020), esto es, un porcentaje positivo del 15,9 %, frente al -0,01 %, de los de</w:t>
      </w:r>
      <w:r>
        <w:t xml:space="preserve">rechos reconocidos netos por capítulos I al V de Ingresos en la Liquidación del Presupuesto del ejercicio anterior.  </w:t>
      </w:r>
    </w:p>
    <w:p w:rsidR="00E302EC" w:rsidRDefault="00FC4F28">
      <w:pPr>
        <w:spacing w:after="29" w:line="259" w:lineRule="auto"/>
        <w:ind w:left="284" w:firstLine="0"/>
        <w:jc w:val="left"/>
      </w:pPr>
      <w:r>
        <w:t xml:space="preserve"> </w:t>
      </w:r>
    </w:p>
    <w:p w:rsidR="00E302EC" w:rsidRDefault="00FC4F28">
      <w:pPr>
        <w:numPr>
          <w:ilvl w:val="0"/>
          <w:numId w:val="27"/>
        </w:numPr>
        <w:ind w:right="184" w:hanging="360"/>
      </w:pPr>
      <w:r>
        <w:rPr>
          <w:b/>
          <w:i/>
        </w:rPr>
        <w:t>Endeudamiento a Largo Plazo</w:t>
      </w:r>
      <w:r>
        <w:t xml:space="preserve"> que se impone que sea inferior al 70 por 100 de los derechos reconocidos netos por capítulos I al V de Ingre</w:t>
      </w:r>
      <w:r>
        <w:t xml:space="preserve">sos en la Liquidación del Presupuesto. </w:t>
      </w:r>
      <w:r>
        <w:rPr>
          <w:rFonts w:ascii="Times New Roman" w:eastAsia="Times New Roman" w:hAnsi="Times New Roman" w:cs="Times New Roman"/>
          <w:sz w:val="24"/>
        </w:rPr>
        <w:t xml:space="preserve"> </w:t>
      </w:r>
    </w:p>
    <w:p w:rsidR="00E302EC" w:rsidRDefault="00FC4F28">
      <w:pPr>
        <w:spacing w:after="0" w:line="259" w:lineRule="auto"/>
        <w:ind w:left="992" w:firstLine="0"/>
        <w:jc w:val="left"/>
      </w:pPr>
      <w:r>
        <w:t xml:space="preserve"> </w:t>
      </w:r>
    </w:p>
    <w:p w:rsidR="00E302EC" w:rsidRDefault="00FC4F28">
      <w:pPr>
        <w:ind w:left="1002" w:right="184"/>
      </w:pPr>
      <w:r>
        <w:t>La deuda financiera del Ayuntamiento, a 31 de diciembre de 2021, es nula.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2943" name="Group 23294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6752" name="Rectangle 675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6753" name="Rectangle 675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39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2943" style="width:12.7031pt;height:273.276pt;position:absolute;mso-position-horizontal-relative:page;mso-position-horizontal:absolute;margin-left:682.278pt;mso-position-vertical-relative:page;margin-top:538.644pt;" coordsize="1613,34706">
                <v:rect id="Rectangle 675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675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159 </w:t>
                        </w:r>
                      </w:p>
                    </w:txbxContent>
                  </v:textbox>
                </v:rect>
                <w10:wrap type="square"/>
              </v:group>
            </w:pict>
          </mc:Fallback>
        </mc:AlternateContent>
      </w:r>
      <w:r>
        <w:t xml:space="preserve"> </w:t>
      </w:r>
    </w:p>
    <w:p w:rsidR="00E302EC" w:rsidRDefault="00FC4F28">
      <w:pPr>
        <w:spacing w:after="0" w:line="259" w:lineRule="auto"/>
        <w:ind w:left="644" w:firstLine="0"/>
        <w:jc w:val="left"/>
      </w:pPr>
      <w:r>
        <w:t xml:space="preserve"> </w:t>
      </w:r>
    </w:p>
    <w:p w:rsidR="00E302EC" w:rsidRDefault="00FC4F28">
      <w:pPr>
        <w:ind w:left="269" w:right="184" w:firstLine="360"/>
      </w:pPr>
      <w:r>
        <w:t>Dado que los derechos reconocidos netos por los capítulos I al V de Ingresos, asciende a 26.320.724,04 Euros, este Ratio importa un 0 %, igual que el obtenido</w:t>
      </w:r>
      <w:r>
        <w:t xml:space="preserve"> en la Liquidación del presupuesto del ejercicio 2020.</w:t>
      </w:r>
      <w:r>
        <w:rPr>
          <w:rFonts w:ascii="Times New Roman" w:eastAsia="Times New Roman" w:hAnsi="Times New Roman" w:cs="Times New Roman"/>
          <w:sz w:val="24"/>
        </w:rPr>
        <w:t xml:space="preserve"> </w:t>
      </w:r>
    </w:p>
    <w:p w:rsidR="00E302EC" w:rsidRDefault="00FC4F28">
      <w:pPr>
        <w:spacing w:after="29" w:line="259" w:lineRule="auto"/>
        <w:ind w:left="644" w:firstLine="0"/>
        <w:jc w:val="left"/>
      </w:pPr>
      <w:r>
        <w:t xml:space="preserve"> </w:t>
      </w:r>
    </w:p>
    <w:p w:rsidR="00E302EC" w:rsidRDefault="00FC4F28">
      <w:pPr>
        <w:numPr>
          <w:ilvl w:val="0"/>
          <w:numId w:val="27"/>
        </w:numPr>
        <w:ind w:right="184" w:hanging="360"/>
      </w:pPr>
      <w:r>
        <w:rPr>
          <w:b/>
          <w:i/>
        </w:rPr>
        <w:t>Gestión Recaudatoria</w:t>
      </w:r>
      <w:r>
        <w:t xml:space="preserve"> superior al 75 % de los derechos reconocidos netos por capítulos I al III de Ingresos en la Liquidación del Presupuesto, viene dado por el cociente entre los derechos recaudados</w:t>
      </w:r>
      <w:r>
        <w:t xml:space="preserve"> por esos capítulos de ingresos (14.496.125,14 Euros) y los derechos reconocidos netos por los mismos capítulos I, II y III (14.926.131,84 Euros), llega al 85,6 %, frente al 98,3 % del ejercicio 2020. </w:t>
      </w:r>
      <w:r>
        <w:rPr>
          <w:rFonts w:ascii="Times New Roman" w:eastAsia="Times New Roman" w:hAnsi="Times New Roman" w:cs="Times New Roman"/>
          <w:sz w:val="24"/>
        </w:rPr>
        <w:t xml:space="preserve"> </w:t>
      </w:r>
    </w:p>
    <w:p w:rsidR="00E302EC" w:rsidRDefault="00FC4F28">
      <w:pPr>
        <w:spacing w:after="30" w:line="259" w:lineRule="auto"/>
        <w:ind w:left="284" w:firstLine="0"/>
        <w:jc w:val="left"/>
      </w:pPr>
      <w:r>
        <w:t xml:space="preserve"> </w:t>
      </w:r>
    </w:p>
    <w:p w:rsidR="00E302EC" w:rsidRDefault="00FC4F28">
      <w:pPr>
        <w:numPr>
          <w:ilvl w:val="0"/>
          <w:numId w:val="27"/>
        </w:numPr>
        <w:ind w:right="184" w:hanging="360"/>
      </w:pPr>
      <w:r>
        <w:rPr>
          <w:b/>
          <w:i/>
        </w:rPr>
        <w:t>Esfuerzo Fiscal</w:t>
      </w:r>
      <w:r>
        <w:t>, que se exige que sea superior al 7</w:t>
      </w:r>
      <w:r>
        <w:t>0,66 por 100, se encuentra por encima del ochenta y cinco por ciento, como en el ejercicio del 2020.</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11" w:line="248" w:lineRule="auto"/>
        <w:ind w:left="279" w:right="180"/>
      </w:pPr>
      <w:r>
        <w:rPr>
          <w:b/>
          <w:i/>
        </w:rPr>
        <w:t>1.- LIQUIDACIÓN DEL PRESUPUESTO DE INGRESOS</w:t>
      </w:r>
      <w:r>
        <w:rPr>
          <w:rFonts w:ascii="Times New Roman" w:eastAsia="Times New Roman" w:hAnsi="Times New Roman" w:cs="Times New Roman"/>
          <w:sz w:val="24"/>
        </w:rPr>
        <w:t xml:space="preserve"> </w:t>
      </w:r>
    </w:p>
    <w:p w:rsidR="00E302EC" w:rsidRDefault="00FC4F28">
      <w:pPr>
        <w:spacing w:after="95" w:line="259" w:lineRule="auto"/>
        <w:ind w:left="567" w:firstLine="0"/>
        <w:jc w:val="left"/>
      </w:pPr>
      <w:r>
        <w:t xml:space="preserve"> </w:t>
      </w:r>
    </w:p>
    <w:p w:rsidR="00E302EC" w:rsidRDefault="00FC4F28">
      <w:pPr>
        <w:spacing w:after="114"/>
        <w:ind w:left="567" w:right="184" w:firstLine="180"/>
      </w:pPr>
      <w:r>
        <w:t xml:space="preserve">El estado de ejecución de </w:t>
      </w:r>
      <w:r>
        <w:rPr>
          <w:b/>
        </w:rPr>
        <w:t>ingresos</w:t>
      </w:r>
      <w:r>
        <w:t xml:space="preserve"> </w:t>
      </w:r>
      <w:r>
        <w:t xml:space="preserve">en el 2020 y 2021, así como la comparativa con las previsiones presupuestarias de esos ejercicios, da lugar a los siguientes importes: </w:t>
      </w:r>
    </w:p>
    <w:p w:rsidR="00E302EC" w:rsidRDefault="00FC4F28">
      <w:pPr>
        <w:spacing w:after="0" w:line="259" w:lineRule="auto"/>
        <w:ind w:left="567" w:firstLine="0"/>
        <w:jc w:val="left"/>
      </w:pPr>
      <w:r>
        <w:t xml:space="preserve"> </w:t>
      </w:r>
    </w:p>
    <w:tbl>
      <w:tblPr>
        <w:tblStyle w:val="TableGrid"/>
        <w:tblW w:w="8790" w:type="dxa"/>
        <w:tblInd w:w="358" w:type="dxa"/>
        <w:tblCellMar>
          <w:top w:w="7" w:type="dxa"/>
          <w:left w:w="70" w:type="dxa"/>
          <w:bottom w:w="0" w:type="dxa"/>
          <w:right w:w="12" w:type="dxa"/>
        </w:tblCellMar>
        <w:tblLook w:val="04A0" w:firstRow="1" w:lastRow="0" w:firstColumn="1" w:lastColumn="0" w:noHBand="0" w:noVBand="1"/>
      </w:tblPr>
      <w:tblGrid>
        <w:gridCol w:w="3121"/>
        <w:gridCol w:w="2552"/>
        <w:gridCol w:w="1985"/>
        <w:gridCol w:w="1133"/>
      </w:tblGrid>
      <w:tr w:rsidR="00E302EC">
        <w:trPr>
          <w:trHeight w:val="1277"/>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03" w:right="342" w:firstLine="0"/>
              <w:jc w:val="center"/>
            </w:pPr>
            <w:r>
              <w:t xml:space="preserve">Liquidación 2020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648" w:hanging="283"/>
              <w:jc w:val="left"/>
            </w:pPr>
            <w:r>
              <w:t xml:space="preserve">Liquidación  2021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40" w:lineRule="auto"/>
              <w:ind w:left="0" w:firstLine="0"/>
              <w:jc w:val="left"/>
            </w:pPr>
            <w:r>
              <w:t>Variación Liquidació n 2021/202</w:t>
            </w:r>
          </w:p>
          <w:p w:rsidR="00E302EC" w:rsidRDefault="00FC4F28">
            <w:pPr>
              <w:spacing w:after="0" w:line="259" w:lineRule="auto"/>
              <w:ind w:left="0" w:firstLine="0"/>
              <w:jc w:val="left"/>
            </w:pPr>
            <w:r>
              <w:t xml:space="preserve">0 </w:t>
            </w:r>
          </w:p>
        </w:tc>
      </w:tr>
      <w:tr w:rsidR="00E302EC">
        <w:trPr>
          <w:trHeight w:val="516"/>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1.-Impuestos Directos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8.384.666,14 Euros.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8.088.125,11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- 3,5 % </w:t>
            </w:r>
          </w:p>
        </w:tc>
      </w:tr>
      <w:tr w:rsidR="00E302EC">
        <w:trPr>
          <w:trHeight w:val="516"/>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2.-Impuestos Indirectos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3.168.588,53 Euros.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4.354.013,91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t xml:space="preserve">37,4 % </w:t>
            </w:r>
          </w:p>
        </w:tc>
      </w:tr>
      <w:tr w:rsidR="00E302EC">
        <w:trPr>
          <w:trHeight w:val="516"/>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 Tasas y Otros Ingresos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2.154.494,58 Euros.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2.483.992,82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15  % </w:t>
            </w:r>
          </w:p>
        </w:tc>
      </w:tr>
      <w:tr w:rsidR="00E302EC">
        <w:trPr>
          <w:trHeight w:val="517"/>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4.-Transferencias Corrientes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9.915.782,65 Euros.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11.911.285,91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t xml:space="preserve">20 % </w:t>
            </w:r>
          </w:p>
        </w:tc>
      </w:tr>
      <w:tr w:rsidR="00E302EC">
        <w:trPr>
          <w:trHeight w:val="264"/>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5.- Ingresos Patrimoniales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12.021,00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7.123,97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86" w:firstLine="0"/>
              <w:jc w:val="left"/>
            </w:pPr>
            <w:r>
              <w:t xml:space="preserve">- 40,7 % </w:t>
            </w:r>
          </w:p>
        </w:tc>
      </w:tr>
      <w:tr w:rsidR="00E302EC">
        <w:trPr>
          <w:trHeight w:val="516"/>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6.-Enajenación de Inversión </w:t>
            </w:r>
          </w:p>
          <w:p w:rsidR="00E302EC" w:rsidRDefault="00FC4F28">
            <w:pPr>
              <w:spacing w:after="0" w:line="259" w:lineRule="auto"/>
              <w:ind w:left="0" w:firstLine="0"/>
              <w:jc w:val="left"/>
            </w:pPr>
            <w:r>
              <w:t>Real</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7" w:firstLine="0"/>
              <w:jc w:val="center"/>
            </w:pPr>
            <w:r>
              <w:t>0,00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7" w:firstLine="0"/>
              <w:jc w:val="center"/>
            </w:pPr>
            <w: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t xml:space="preserve">-- </w:t>
            </w:r>
          </w:p>
        </w:tc>
      </w:tr>
      <w:tr w:rsidR="00E302EC">
        <w:trPr>
          <w:trHeight w:val="516"/>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7.-Transferencias de Capital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t xml:space="preserve">1.197.236,95 Euros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2.203.099,73 Euros</w:t>
            </w: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84  % </w:t>
            </w:r>
          </w:p>
        </w:tc>
      </w:tr>
      <w:tr w:rsidR="00E302EC">
        <w:trPr>
          <w:trHeight w:val="262"/>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8.-Activos Financieros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0,00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t xml:space="preserve">-- </w:t>
            </w:r>
          </w:p>
        </w:tc>
      </w:tr>
      <w:tr w:rsidR="00E302EC">
        <w:trPr>
          <w:trHeight w:val="264"/>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9.-Pasivos Financieros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0,00 Euros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t xml:space="preserve">-- </w:t>
            </w:r>
          </w:p>
        </w:tc>
      </w:tr>
      <w:tr w:rsidR="00E302EC">
        <w:trPr>
          <w:trHeight w:val="516"/>
        </w:trPr>
        <w:tc>
          <w:tcPr>
            <w:tcW w:w="31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32" w:firstLine="0"/>
              <w:jc w:val="left"/>
            </w:pPr>
            <w:r>
              <w:rPr>
                <w:b/>
              </w:rPr>
              <w:t xml:space="preserve">TOTAL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7" w:firstLine="0"/>
              <w:jc w:val="center"/>
            </w:pPr>
            <w:r>
              <w:rPr>
                <w:b/>
              </w:rPr>
              <w:t xml:space="preserve">24.832.789,85 Euros </w:t>
            </w:r>
          </w:p>
        </w:tc>
        <w:tc>
          <w:tcPr>
            <w:tcW w:w="198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rPr>
                <w:b/>
              </w:rPr>
              <w:t xml:space="preserve">29.047.641,45 Euros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94" w:firstLine="0"/>
              <w:jc w:val="left"/>
            </w:pPr>
            <w:r>
              <w:rPr>
                <w:b/>
              </w:rPr>
              <w:t xml:space="preserve">16,97 % </w:t>
            </w:r>
          </w:p>
        </w:tc>
      </w:tr>
    </w:tbl>
    <w:p w:rsidR="00E302EC" w:rsidRDefault="00FC4F28">
      <w:pPr>
        <w:spacing w:after="0" w:line="259" w:lineRule="auto"/>
        <w:ind w:left="284" w:firstLine="0"/>
        <w:jc w:val="left"/>
      </w:pPr>
      <w:r>
        <w:t xml:space="preserve"> </w:t>
      </w:r>
    </w:p>
    <w:p w:rsidR="00E302EC" w:rsidRDefault="00FC4F28">
      <w:pPr>
        <w:spacing w:after="0" w:line="259" w:lineRule="auto"/>
        <w:ind w:left="644" w:firstLine="0"/>
        <w:jc w:val="left"/>
      </w:pPr>
      <w:r>
        <w:t xml:space="preserve"> </w:t>
      </w:r>
    </w:p>
    <w:p w:rsidR="00E302EC" w:rsidRDefault="00FC4F28">
      <w:pPr>
        <w:ind w:left="269" w:right="184" w:firstLine="360"/>
      </w:pPr>
      <w:r>
        <w:t xml:space="preserve">Del cuadro anterior, se observan algunas variaciones en los capítulos de ingresos, destacando una subida importante de los impuestos indirectos, tasas y transferencias corrientes y de capital, mientras que disminuyen los demás capítulos de ingresos.  </w:t>
      </w:r>
    </w:p>
    <w:p w:rsidR="00E302EC" w:rsidRDefault="00FC4F28">
      <w:pPr>
        <w:spacing w:after="0" w:line="259" w:lineRule="auto"/>
        <w:ind w:left="644" w:firstLine="0"/>
        <w:jc w:val="left"/>
      </w:pPr>
      <w:r>
        <w:t xml:space="preserve"> </w:t>
      </w:r>
    </w:p>
    <w:p w:rsidR="00E302EC" w:rsidRDefault="00FC4F28">
      <w:pPr>
        <w:spacing w:after="0" w:line="259" w:lineRule="auto"/>
        <w:ind w:left="644" w:firstLine="0"/>
        <w:jc w:val="left"/>
      </w:pPr>
      <w:r>
        <w:t xml:space="preserve"> </w:t>
      </w:r>
    </w:p>
    <w:p w:rsidR="00E302EC" w:rsidRDefault="00FC4F28">
      <w:pPr>
        <w:spacing w:after="8" w:line="248" w:lineRule="auto"/>
        <w:ind w:left="654" w:right="183"/>
      </w:pPr>
      <w:r>
        <w:rPr>
          <w:b/>
        </w:rPr>
        <w:t xml:space="preserve">A) IMPUESTOS DIRECTOS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269" w:right="184" w:firstLine="360"/>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81583" name="Group 28158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7382" name="Rectangle 738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7383" name="Rectangle 738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40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81583" style="width:12.7031pt;height:273.276pt;position:absolute;mso-position-horizontal-relative:page;mso-position-horizontal:absolute;margin-left:682.278pt;mso-position-vertical-relative:page;margin-top:538.644pt;" coordsize="1613,34706">
                <v:rect id="Rectangle 738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738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159 </w:t>
                        </w:r>
                      </w:p>
                    </w:txbxContent>
                  </v:textbox>
                </v:rect>
                <w10:wrap type="square"/>
              </v:group>
            </w:pict>
          </mc:Fallback>
        </mc:AlternateContent>
      </w:r>
      <w:r>
        <w:t>Así, en materia de Impuestos directos, disminuye un 3,5 % frente a la caída leve del 1% del año anterior, motivado por la gestión al Consorcio, del Impuesto de Vehículos de Tracción Mecánica, por lo que solamente se puede contabilizar el contraído de derec</w:t>
      </w:r>
      <w:r>
        <w:t xml:space="preserve">hos reconocidos, por la cantidad recaudada, tal como dispone la Instrucción de Contabilidad Normal de las Entidades Locales. Es el mismo criterio que se aplica al Impuesto de Bienes Inmuebles y de Actividades Económicas. </w:t>
      </w:r>
    </w:p>
    <w:p w:rsidR="00E302EC" w:rsidRDefault="00FC4F28">
      <w:pPr>
        <w:spacing w:after="0" w:line="259" w:lineRule="auto"/>
        <w:ind w:left="644" w:firstLine="0"/>
        <w:jc w:val="left"/>
      </w:pPr>
      <w:r>
        <w:t xml:space="preserve"> </w:t>
      </w:r>
    </w:p>
    <w:p w:rsidR="00E302EC" w:rsidRDefault="00FC4F28">
      <w:pPr>
        <w:ind w:left="269" w:right="184" w:firstLine="360"/>
      </w:pPr>
      <w:r>
        <w:t>Por su cuantía, destaca el Impue</w:t>
      </w:r>
      <w:r>
        <w:t xml:space="preserve">sto de Bienes Inmuebles, que representa el 91,7 % de las cantidades liquidadas en este capítulo.  </w:t>
      </w:r>
    </w:p>
    <w:p w:rsidR="00E302EC" w:rsidRDefault="00FC4F28">
      <w:pPr>
        <w:spacing w:after="0" w:line="259" w:lineRule="auto"/>
        <w:ind w:left="284" w:firstLine="0"/>
        <w:jc w:val="left"/>
      </w:pPr>
      <w:r>
        <w:t xml:space="preserve"> </w:t>
      </w:r>
    </w:p>
    <w:p w:rsidR="00E302EC" w:rsidRDefault="00FC4F28">
      <w:pPr>
        <w:spacing w:after="1" w:line="259" w:lineRule="auto"/>
        <w:ind w:left="279"/>
        <w:jc w:val="left"/>
      </w:pPr>
      <w:r>
        <w:rPr>
          <w:i/>
          <w:u w:val="single" w:color="000000"/>
        </w:rPr>
        <w:t>IBI URBANA (incluida los bienes de características especiales)</w:t>
      </w:r>
      <w:r>
        <w:rPr>
          <w:i/>
        </w:rPr>
        <w:t xml:space="preserve"> </w:t>
      </w:r>
    </w:p>
    <w:p w:rsidR="00E302EC" w:rsidRDefault="00FC4F28">
      <w:pPr>
        <w:spacing w:after="0" w:line="259" w:lineRule="auto"/>
        <w:ind w:left="284" w:firstLine="0"/>
        <w:jc w:val="left"/>
      </w:pPr>
      <w:r>
        <w:rPr>
          <w:i/>
        </w:rPr>
        <w:t xml:space="preserve"> </w:t>
      </w:r>
    </w:p>
    <w:tbl>
      <w:tblPr>
        <w:tblStyle w:val="TableGrid"/>
        <w:tblW w:w="9259" w:type="dxa"/>
        <w:tblInd w:w="173" w:type="dxa"/>
        <w:tblCellMar>
          <w:top w:w="4" w:type="dxa"/>
          <w:left w:w="67" w:type="dxa"/>
          <w:bottom w:w="0" w:type="dxa"/>
          <w:right w:w="42" w:type="dxa"/>
        </w:tblCellMar>
        <w:tblLook w:val="04A0" w:firstRow="1" w:lastRow="0" w:firstColumn="1" w:lastColumn="0" w:noHBand="0" w:noVBand="1"/>
      </w:tblPr>
      <w:tblGrid>
        <w:gridCol w:w="521"/>
        <w:gridCol w:w="1097"/>
        <w:gridCol w:w="494"/>
        <w:gridCol w:w="769"/>
        <w:gridCol w:w="394"/>
        <w:gridCol w:w="1022"/>
        <w:gridCol w:w="1136"/>
        <w:gridCol w:w="425"/>
        <w:gridCol w:w="1133"/>
        <w:gridCol w:w="427"/>
        <w:gridCol w:w="1417"/>
        <w:gridCol w:w="425"/>
      </w:tblGrid>
      <w:tr w:rsidR="00E302EC">
        <w:trPr>
          <w:trHeight w:val="1022"/>
        </w:trPr>
        <w:tc>
          <w:tcPr>
            <w:tcW w:w="5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pPr>
            <w:r>
              <w:t>AÑ</w:t>
            </w:r>
          </w:p>
          <w:p w:rsidR="00E302EC" w:rsidRDefault="00FC4F28">
            <w:pPr>
              <w:spacing w:after="0" w:line="259" w:lineRule="auto"/>
              <w:ind w:left="3" w:firstLine="0"/>
              <w:jc w:val="left"/>
            </w:pPr>
            <w:r>
              <w:t xml:space="preserve">O </w:t>
            </w:r>
          </w:p>
        </w:tc>
        <w:tc>
          <w:tcPr>
            <w:tcW w:w="109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PADRON </w:t>
            </w:r>
          </w:p>
        </w:tc>
        <w:tc>
          <w:tcPr>
            <w:tcW w:w="4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7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Nº </w:t>
            </w:r>
          </w:p>
          <w:p w:rsidR="00E302EC" w:rsidRDefault="00FC4F28">
            <w:pPr>
              <w:spacing w:after="0" w:line="259" w:lineRule="auto"/>
              <w:ind w:left="2" w:firstLine="0"/>
              <w:jc w:val="left"/>
            </w:pPr>
            <w:r>
              <w:t>RECI</w:t>
            </w:r>
          </w:p>
          <w:p w:rsidR="00E302EC" w:rsidRDefault="00FC4F28">
            <w:pPr>
              <w:spacing w:after="0" w:line="259" w:lineRule="auto"/>
              <w:ind w:left="2" w:firstLine="0"/>
              <w:jc w:val="left"/>
            </w:pPr>
            <w:r>
              <w:t xml:space="preserve">BOS </w:t>
            </w:r>
          </w:p>
        </w:tc>
        <w:tc>
          <w:tcPr>
            <w:tcW w:w="3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102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TIPO </w:t>
            </w:r>
          </w:p>
          <w:p w:rsidR="00E302EC" w:rsidRDefault="00FC4F28">
            <w:pPr>
              <w:spacing w:after="0" w:line="259" w:lineRule="auto"/>
              <w:ind w:left="2" w:firstLine="0"/>
              <w:jc w:val="left"/>
            </w:pPr>
            <w:r>
              <w:t>GRAVA</w:t>
            </w:r>
          </w:p>
          <w:p w:rsidR="00E302EC" w:rsidRDefault="00FC4F28">
            <w:pPr>
              <w:spacing w:after="0" w:line="259" w:lineRule="auto"/>
              <w:ind w:left="2" w:firstLine="0"/>
              <w:jc w:val="left"/>
            </w:pPr>
            <w:r>
              <w:t xml:space="preserve">MEN </w:t>
            </w:r>
          </w:p>
        </w:tc>
        <w:tc>
          <w:tcPr>
            <w:tcW w:w="113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PRESUP UESTO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INGRES</w:t>
            </w:r>
          </w:p>
          <w:p w:rsidR="00E302EC" w:rsidRDefault="00FC4F28">
            <w:pPr>
              <w:spacing w:after="0" w:line="259" w:lineRule="auto"/>
              <w:ind w:left="2" w:firstLine="0"/>
              <w:jc w:val="left"/>
            </w:pPr>
            <w:r>
              <w:t xml:space="preserve">OS </w:t>
            </w:r>
          </w:p>
          <w:p w:rsidR="00E302EC" w:rsidRDefault="00FC4F28">
            <w:pPr>
              <w:spacing w:after="0" w:line="259" w:lineRule="auto"/>
              <w:ind w:left="2" w:firstLine="0"/>
              <w:jc w:val="left"/>
            </w:pPr>
            <w:r>
              <w:t>LIQUIDA</w:t>
            </w:r>
          </w:p>
          <w:p w:rsidR="00E302EC" w:rsidRDefault="00FC4F28">
            <w:pPr>
              <w:spacing w:after="0" w:line="259" w:lineRule="auto"/>
              <w:ind w:left="2" w:firstLine="0"/>
              <w:jc w:val="left"/>
            </w:pPr>
            <w:r>
              <w:t xml:space="preserve">DOS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RECAUDAC</w:t>
            </w:r>
          </w:p>
          <w:p w:rsidR="00E302EC" w:rsidRDefault="00FC4F28">
            <w:pPr>
              <w:spacing w:after="0" w:line="259" w:lineRule="auto"/>
              <w:ind w:left="2" w:firstLine="0"/>
              <w:jc w:val="left"/>
            </w:pPr>
            <w:r>
              <w:t xml:space="preserve">IÓN </w:t>
            </w:r>
          </w:p>
          <w:p w:rsidR="00E302EC" w:rsidRDefault="00FC4F28">
            <w:pPr>
              <w:spacing w:after="0" w:line="259" w:lineRule="auto"/>
              <w:ind w:left="2" w:firstLine="0"/>
              <w:jc w:val="left"/>
            </w:pPr>
            <w:r>
              <w:t xml:space="preserve">LÍQUIDA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r>
      <w:tr w:rsidR="00E302EC">
        <w:trPr>
          <w:trHeight w:val="768"/>
        </w:trPr>
        <w:tc>
          <w:tcPr>
            <w:tcW w:w="5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pPr>
            <w:r>
              <w:t>202</w:t>
            </w:r>
          </w:p>
          <w:p w:rsidR="00E302EC" w:rsidRDefault="00FC4F28">
            <w:pPr>
              <w:spacing w:after="0" w:line="259" w:lineRule="auto"/>
              <w:ind w:left="3" w:firstLine="0"/>
              <w:jc w:val="left"/>
            </w:pPr>
            <w: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6.552.62</w:t>
            </w:r>
          </w:p>
          <w:p w:rsidR="00E302EC" w:rsidRDefault="00FC4F28">
            <w:pPr>
              <w:spacing w:after="0" w:line="259" w:lineRule="auto"/>
              <w:ind w:left="2" w:firstLine="0"/>
              <w:jc w:val="left"/>
            </w:pPr>
            <w:r>
              <w:t xml:space="preserve">0,17 </w:t>
            </w:r>
          </w:p>
        </w:tc>
        <w:tc>
          <w:tcPr>
            <w:tcW w:w="4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0,0</w:t>
            </w:r>
          </w:p>
          <w:p w:rsidR="00E302EC" w:rsidRDefault="00FC4F28">
            <w:pPr>
              <w:spacing w:after="0" w:line="259" w:lineRule="auto"/>
              <w:ind w:left="0" w:firstLine="0"/>
              <w:jc w:val="left"/>
            </w:pPr>
            <w:r>
              <w:t xml:space="preserve">8 </w:t>
            </w:r>
          </w:p>
        </w:tc>
        <w:tc>
          <w:tcPr>
            <w:tcW w:w="7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22.17</w:t>
            </w:r>
          </w:p>
          <w:p w:rsidR="00E302EC" w:rsidRDefault="00FC4F28">
            <w:pPr>
              <w:spacing w:after="0" w:line="259" w:lineRule="auto"/>
              <w:ind w:left="2" w:firstLine="0"/>
              <w:jc w:val="left"/>
            </w:pPr>
            <w:r>
              <w:t xml:space="preserve">3 </w:t>
            </w:r>
          </w:p>
        </w:tc>
        <w:tc>
          <w:tcPr>
            <w:tcW w:w="3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0,</w:t>
            </w:r>
          </w:p>
          <w:p w:rsidR="00E302EC" w:rsidRDefault="00FC4F28">
            <w:pPr>
              <w:spacing w:after="0" w:line="259" w:lineRule="auto"/>
              <w:ind w:left="2" w:firstLine="0"/>
              <w:jc w:val="left"/>
            </w:pPr>
            <w:r>
              <w:t xml:space="preserve">3 </w:t>
            </w:r>
          </w:p>
        </w:tc>
        <w:tc>
          <w:tcPr>
            <w:tcW w:w="102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6.350.000</w:t>
            </w:r>
          </w:p>
          <w:p w:rsidR="00E302EC" w:rsidRDefault="00FC4F28">
            <w:pPr>
              <w:spacing w:after="0" w:line="259" w:lineRule="auto"/>
              <w:ind w:left="2" w:firstLine="0"/>
              <w:jc w:val="left"/>
            </w:pPr>
            <w: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5.955.574</w:t>
            </w:r>
          </w:p>
          <w:p w:rsidR="00E302EC" w:rsidRDefault="00FC4F28">
            <w:pPr>
              <w:spacing w:after="0" w:line="259" w:lineRule="auto"/>
              <w:ind w:left="2" w:firstLine="0"/>
              <w:jc w:val="left"/>
            </w:pPr>
            <w:r>
              <w:t xml:space="preserve">,29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40" w:lineRule="auto"/>
              <w:ind w:left="2" w:right="58" w:firstLine="0"/>
              <w:jc w:val="left"/>
            </w:pPr>
            <w:r>
              <w:t>6,</w:t>
            </w:r>
          </w:p>
          <w:p w:rsidR="00E302EC" w:rsidRDefault="00FC4F28">
            <w:pPr>
              <w:spacing w:after="0" w:line="259" w:lineRule="auto"/>
              <w:ind w:left="2" w:firstLine="0"/>
              <w:jc w:val="left"/>
            </w:pPr>
            <w: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5.955.574,2</w:t>
            </w:r>
          </w:p>
          <w:p w:rsidR="00E302EC" w:rsidRDefault="00FC4F28">
            <w:pPr>
              <w:spacing w:after="0" w:line="259" w:lineRule="auto"/>
              <w:ind w:left="2" w:firstLine="0"/>
              <w:jc w:val="left"/>
            </w:pPr>
            <w:r>
              <w:t xml:space="preserve">9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40" w:lineRule="auto"/>
              <w:ind w:left="2" w:right="56" w:firstLine="0"/>
              <w:jc w:val="left"/>
            </w:pPr>
            <w:r>
              <w:t>6,</w:t>
            </w:r>
          </w:p>
          <w:p w:rsidR="00E302EC" w:rsidRDefault="00FC4F28">
            <w:pPr>
              <w:spacing w:after="0" w:line="259" w:lineRule="auto"/>
              <w:ind w:left="2" w:firstLine="0"/>
              <w:jc w:val="left"/>
            </w:pPr>
            <w:r>
              <w:t xml:space="preserve">3 </w:t>
            </w:r>
          </w:p>
        </w:tc>
      </w:tr>
      <w:tr w:rsidR="00E302EC">
        <w:trPr>
          <w:trHeight w:val="771"/>
        </w:trPr>
        <w:tc>
          <w:tcPr>
            <w:tcW w:w="5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pPr>
            <w:r>
              <w:t>202</w:t>
            </w:r>
          </w:p>
          <w:p w:rsidR="00E302EC" w:rsidRDefault="00FC4F28">
            <w:pPr>
              <w:spacing w:after="0" w:line="259" w:lineRule="auto"/>
              <w:ind w:left="3" w:firstLine="0"/>
              <w:jc w:val="left"/>
            </w:pPr>
            <w:r>
              <w:t xml:space="preserve">0 </w:t>
            </w:r>
          </w:p>
        </w:tc>
        <w:tc>
          <w:tcPr>
            <w:tcW w:w="109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6.546.84</w:t>
            </w:r>
          </w:p>
          <w:p w:rsidR="00E302EC" w:rsidRDefault="00FC4F28">
            <w:pPr>
              <w:spacing w:after="0" w:line="259" w:lineRule="auto"/>
              <w:ind w:left="2" w:firstLine="0"/>
              <w:jc w:val="left"/>
            </w:pPr>
            <w:r>
              <w:t xml:space="preserve">9,75 </w:t>
            </w:r>
          </w:p>
        </w:tc>
        <w:tc>
          <w:tcPr>
            <w:tcW w:w="4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0,3 </w:t>
            </w:r>
          </w:p>
        </w:tc>
        <w:tc>
          <w:tcPr>
            <w:tcW w:w="7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22.10</w:t>
            </w:r>
          </w:p>
          <w:p w:rsidR="00E302EC" w:rsidRDefault="00FC4F28">
            <w:pPr>
              <w:spacing w:after="0" w:line="259" w:lineRule="auto"/>
              <w:ind w:left="2" w:firstLine="0"/>
              <w:jc w:val="left"/>
            </w:pPr>
            <w:r>
              <w:t xml:space="preserve">2 </w:t>
            </w:r>
          </w:p>
        </w:tc>
        <w:tc>
          <w:tcPr>
            <w:tcW w:w="3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0,</w:t>
            </w:r>
          </w:p>
          <w:p w:rsidR="00E302EC" w:rsidRDefault="00FC4F28">
            <w:pPr>
              <w:spacing w:after="0" w:line="259" w:lineRule="auto"/>
              <w:ind w:left="2" w:firstLine="0"/>
              <w:jc w:val="left"/>
            </w:pPr>
            <w:r>
              <w:t xml:space="preserve">6 </w:t>
            </w:r>
          </w:p>
        </w:tc>
        <w:tc>
          <w:tcPr>
            <w:tcW w:w="102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6.069.385</w:t>
            </w:r>
          </w:p>
          <w:p w:rsidR="00E302EC" w:rsidRDefault="00FC4F28">
            <w:pPr>
              <w:spacing w:after="0" w:line="259" w:lineRule="auto"/>
              <w:ind w:left="2" w:firstLine="0"/>
              <w:jc w:val="left"/>
            </w:pPr>
            <w: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39" w:lineRule="auto"/>
              <w:ind w:left="2" w:right="56" w:firstLine="0"/>
              <w:jc w:val="left"/>
            </w:pPr>
            <w:r>
              <w:t>1,</w:t>
            </w:r>
          </w:p>
          <w:p w:rsidR="00E302EC" w:rsidRDefault="00FC4F28">
            <w:pPr>
              <w:spacing w:after="0" w:line="259" w:lineRule="auto"/>
              <w:ind w:left="2" w:firstLine="0"/>
              <w:jc w:val="left"/>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6.353.574</w:t>
            </w:r>
          </w:p>
          <w:p w:rsidR="00E302EC" w:rsidRDefault="00FC4F28">
            <w:pPr>
              <w:spacing w:after="0" w:line="259" w:lineRule="auto"/>
              <w:ind w:left="2" w:firstLine="0"/>
              <w:jc w:val="left"/>
            </w:pPr>
            <w:r>
              <w:t xml:space="preserve">,18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3,</w:t>
            </w:r>
          </w:p>
          <w:p w:rsidR="00E302EC" w:rsidRDefault="00FC4F28">
            <w:pPr>
              <w:spacing w:after="0" w:line="259" w:lineRule="auto"/>
              <w:ind w:left="2" w:firstLine="0"/>
              <w:jc w:val="left"/>
            </w:pPr>
            <w:r>
              <w:t xml:space="preserve">5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6.353.574,1</w:t>
            </w:r>
          </w:p>
          <w:p w:rsidR="00E302EC" w:rsidRDefault="00FC4F28">
            <w:pPr>
              <w:spacing w:after="0" w:line="259" w:lineRule="auto"/>
              <w:ind w:left="2" w:firstLine="0"/>
              <w:jc w:val="left"/>
            </w:pPr>
            <w:r>
              <w:t xml:space="preserve">8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3,</w:t>
            </w:r>
          </w:p>
          <w:p w:rsidR="00E302EC" w:rsidRDefault="00FC4F28">
            <w:pPr>
              <w:spacing w:after="0" w:line="259" w:lineRule="auto"/>
              <w:ind w:left="2" w:firstLine="0"/>
              <w:jc w:val="left"/>
            </w:pPr>
            <w:r>
              <w:t xml:space="preserve">5 </w:t>
            </w:r>
          </w:p>
        </w:tc>
      </w:tr>
      <w:tr w:rsidR="00E302EC">
        <w:trPr>
          <w:trHeight w:val="262"/>
        </w:trPr>
        <w:tc>
          <w:tcPr>
            <w:tcW w:w="5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pPr>
            <w:r>
              <w:t>201</w:t>
            </w:r>
          </w:p>
        </w:tc>
        <w:tc>
          <w:tcPr>
            <w:tcW w:w="109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6.523.38</w:t>
            </w:r>
          </w:p>
        </w:tc>
        <w:tc>
          <w:tcPr>
            <w:tcW w:w="4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w:t>
            </w:r>
          </w:p>
        </w:tc>
        <w:tc>
          <w:tcPr>
            <w:tcW w:w="7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21.96</w:t>
            </w:r>
          </w:p>
        </w:tc>
        <w:tc>
          <w:tcPr>
            <w:tcW w:w="3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0,</w:t>
            </w:r>
          </w:p>
        </w:tc>
        <w:tc>
          <w:tcPr>
            <w:tcW w:w="102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6.159.385</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6.135.598</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7,</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6.135.598,3</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5,</w:t>
            </w:r>
          </w:p>
        </w:tc>
      </w:tr>
      <w:tr w:rsidR="00E302EC">
        <w:trPr>
          <w:trHeight w:val="259"/>
        </w:trPr>
        <w:tc>
          <w:tcPr>
            <w:tcW w:w="521" w:type="dxa"/>
            <w:tcBorders>
              <w:top w:val="nil"/>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 xml:space="preserve">9 </w:t>
            </w:r>
          </w:p>
        </w:tc>
        <w:tc>
          <w:tcPr>
            <w:tcW w:w="1097" w:type="dxa"/>
            <w:tcBorders>
              <w:top w:val="nil"/>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9,94 </w:t>
            </w:r>
          </w:p>
        </w:tc>
        <w:tc>
          <w:tcPr>
            <w:tcW w:w="494" w:type="dxa"/>
            <w:tcBorders>
              <w:top w:val="nil"/>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2,2 </w:t>
            </w:r>
          </w:p>
        </w:tc>
        <w:tc>
          <w:tcPr>
            <w:tcW w:w="769" w:type="dxa"/>
            <w:tcBorders>
              <w:top w:val="nil"/>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 </w:t>
            </w:r>
          </w:p>
        </w:tc>
        <w:tc>
          <w:tcPr>
            <w:tcW w:w="394" w:type="dxa"/>
            <w:tcBorders>
              <w:top w:val="nil"/>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 </w:t>
            </w:r>
          </w:p>
        </w:tc>
        <w:tc>
          <w:tcPr>
            <w:tcW w:w="1022" w:type="dxa"/>
            <w:tcBorders>
              <w:top w:val="nil"/>
              <w:left w:val="single" w:sz="4" w:space="0" w:color="000000"/>
              <w:bottom w:val="single" w:sz="4" w:space="0" w:color="000000"/>
              <w:right w:val="single" w:sz="4" w:space="0" w:color="000000"/>
            </w:tcBorders>
          </w:tcPr>
          <w:p w:rsidR="00E302EC" w:rsidRDefault="00E302EC">
            <w:pPr>
              <w:spacing w:after="160" w:line="259" w:lineRule="auto"/>
              <w:ind w:left="0" w:firstLine="0"/>
              <w:jc w:val="left"/>
            </w:pPr>
          </w:p>
        </w:tc>
        <w:tc>
          <w:tcPr>
            <w:tcW w:w="1136" w:type="dxa"/>
            <w:tcBorders>
              <w:top w:val="nil"/>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,00 </w:t>
            </w:r>
          </w:p>
        </w:tc>
        <w:tc>
          <w:tcPr>
            <w:tcW w:w="425" w:type="dxa"/>
            <w:tcBorders>
              <w:top w:val="nil"/>
              <w:left w:val="single" w:sz="4" w:space="0" w:color="000000"/>
              <w:bottom w:val="single" w:sz="4" w:space="0" w:color="000000"/>
              <w:right w:val="single" w:sz="4" w:space="0" w:color="000000"/>
            </w:tcBorders>
          </w:tcPr>
          <w:p w:rsidR="00E302EC" w:rsidRDefault="00E302EC">
            <w:pPr>
              <w:spacing w:after="160" w:line="259" w:lineRule="auto"/>
              <w:ind w:left="0" w:firstLine="0"/>
              <w:jc w:val="left"/>
            </w:pPr>
          </w:p>
        </w:tc>
        <w:tc>
          <w:tcPr>
            <w:tcW w:w="1133" w:type="dxa"/>
            <w:tcBorders>
              <w:top w:val="nil"/>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,34 </w:t>
            </w:r>
          </w:p>
        </w:tc>
        <w:tc>
          <w:tcPr>
            <w:tcW w:w="427" w:type="dxa"/>
            <w:tcBorders>
              <w:top w:val="nil"/>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 </w:t>
            </w:r>
          </w:p>
        </w:tc>
        <w:tc>
          <w:tcPr>
            <w:tcW w:w="1417" w:type="dxa"/>
            <w:tcBorders>
              <w:top w:val="nil"/>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4 </w:t>
            </w:r>
          </w:p>
        </w:tc>
        <w:tc>
          <w:tcPr>
            <w:tcW w:w="425" w:type="dxa"/>
            <w:tcBorders>
              <w:top w:val="nil"/>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8 </w:t>
            </w:r>
          </w:p>
        </w:tc>
      </w:tr>
      <w:tr w:rsidR="00E302EC">
        <w:trPr>
          <w:trHeight w:val="516"/>
        </w:trPr>
        <w:tc>
          <w:tcPr>
            <w:tcW w:w="5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pPr>
            <w:r>
              <w:t>201</w:t>
            </w:r>
          </w:p>
          <w:p w:rsidR="00E302EC" w:rsidRDefault="00FC4F28">
            <w:pPr>
              <w:spacing w:after="0" w:line="259" w:lineRule="auto"/>
              <w:ind w:left="3" w:firstLine="0"/>
              <w:jc w:val="left"/>
            </w:pPr>
            <w:r>
              <w:t xml:space="preserve">8 </w:t>
            </w:r>
          </w:p>
        </w:tc>
        <w:tc>
          <w:tcPr>
            <w:tcW w:w="109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6.669.91</w:t>
            </w:r>
          </w:p>
          <w:p w:rsidR="00E302EC" w:rsidRDefault="00FC4F28">
            <w:pPr>
              <w:spacing w:after="0" w:line="259" w:lineRule="auto"/>
              <w:ind w:left="2" w:firstLine="0"/>
              <w:jc w:val="left"/>
            </w:pPr>
            <w:r>
              <w:t xml:space="preserve">6,29 </w:t>
            </w:r>
          </w:p>
        </w:tc>
        <w:tc>
          <w:tcPr>
            <w:tcW w:w="4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3,4 </w:t>
            </w:r>
          </w:p>
        </w:tc>
        <w:tc>
          <w:tcPr>
            <w:tcW w:w="7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21.88</w:t>
            </w:r>
          </w:p>
          <w:p w:rsidR="00E302EC" w:rsidRDefault="00FC4F28">
            <w:pPr>
              <w:spacing w:after="0" w:line="259" w:lineRule="auto"/>
              <w:ind w:left="2" w:firstLine="0"/>
              <w:jc w:val="left"/>
            </w:pPr>
            <w:r>
              <w:t xml:space="preserve">3 </w:t>
            </w:r>
          </w:p>
        </w:tc>
        <w:tc>
          <w:tcPr>
            <w:tcW w:w="3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w:t>
            </w:r>
          </w:p>
          <w:p w:rsidR="00E302EC" w:rsidRDefault="00FC4F28">
            <w:pPr>
              <w:spacing w:after="0" w:line="259" w:lineRule="auto"/>
              <w:ind w:left="2" w:firstLine="0"/>
              <w:jc w:val="left"/>
            </w:pPr>
            <w:r>
              <w:t xml:space="preserve">3 </w:t>
            </w:r>
          </w:p>
        </w:tc>
        <w:tc>
          <w:tcPr>
            <w:tcW w:w="102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6.159.385</w:t>
            </w:r>
          </w:p>
          <w:p w:rsidR="00E302EC" w:rsidRDefault="00FC4F28">
            <w:pPr>
              <w:spacing w:after="0" w:line="259" w:lineRule="auto"/>
              <w:ind w:left="2" w:firstLine="0"/>
              <w:jc w:val="left"/>
            </w:pPr>
            <w: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w:t>
            </w:r>
          </w:p>
          <w:p w:rsidR="00E302EC" w:rsidRDefault="00FC4F28">
            <w:pPr>
              <w:spacing w:after="0" w:line="259" w:lineRule="auto"/>
              <w:ind w:left="2" w:firstLine="0"/>
              <w:jc w:val="left"/>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5.725.984</w:t>
            </w:r>
          </w:p>
          <w:p w:rsidR="00E302EC" w:rsidRDefault="00FC4F28">
            <w:pPr>
              <w:spacing w:after="0" w:line="259" w:lineRule="auto"/>
              <w:ind w:left="2" w:firstLine="0"/>
              <w:jc w:val="left"/>
            </w:pPr>
            <w:r>
              <w:t xml:space="preserve">,36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-7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5.725.984,3</w:t>
            </w:r>
          </w:p>
          <w:p w:rsidR="00E302EC" w:rsidRDefault="00FC4F28">
            <w:pPr>
              <w:spacing w:after="0" w:line="259" w:lineRule="auto"/>
              <w:ind w:left="2" w:firstLine="0"/>
              <w:jc w:val="left"/>
            </w:pPr>
            <w:r>
              <w:t xml:space="preserve">6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-7 </w:t>
            </w:r>
          </w:p>
        </w:tc>
      </w:tr>
    </w:tbl>
    <w:p w:rsidR="00E302EC" w:rsidRDefault="00FC4F28">
      <w:pPr>
        <w:spacing w:after="0" w:line="259" w:lineRule="auto"/>
        <w:ind w:left="284" w:firstLine="0"/>
        <w:jc w:val="left"/>
      </w:pPr>
      <w:r>
        <w:t xml:space="preserve"> </w:t>
      </w:r>
      <w:r>
        <w:tab/>
        <w:t xml:space="preserve"> </w:t>
      </w:r>
    </w:p>
    <w:p w:rsidR="00E302EC" w:rsidRDefault="00FC4F28">
      <w:pPr>
        <w:ind w:left="269" w:right="184" w:firstLine="708"/>
      </w:pPr>
      <w:r>
        <w:t xml:space="preserve">Decrece un 6,3 %, respecto al año anterior, las cantidades liquidadas por este impuesto siendo éstas inferiores en un 4,6 % respecto las previsiones reflejadas para el año 2021, pese a un aumento del padrón y recibos (71 recibos).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i/>
        </w:rPr>
        <w:t xml:space="preserve"> </w:t>
      </w:r>
    </w:p>
    <w:p w:rsidR="00E302EC" w:rsidRDefault="00FC4F28">
      <w:pPr>
        <w:spacing w:after="1" w:line="259" w:lineRule="auto"/>
        <w:ind w:left="279"/>
        <w:jc w:val="left"/>
      </w:pPr>
      <w:r>
        <w:rPr>
          <w:i/>
          <w:u w:val="single" w:color="000000"/>
        </w:rPr>
        <w:t>IBI RUSTICA</w:t>
      </w:r>
      <w:r>
        <w:rPr>
          <w:i/>
        </w:rPr>
        <w:t xml:space="preserve"> </w:t>
      </w:r>
    </w:p>
    <w:p w:rsidR="00E302EC" w:rsidRDefault="00FC4F28">
      <w:pPr>
        <w:spacing w:after="0" w:line="259" w:lineRule="auto"/>
        <w:ind w:left="284" w:firstLine="0"/>
        <w:jc w:val="left"/>
      </w:pPr>
      <w:r>
        <w:rPr>
          <w:i/>
        </w:rPr>
        <w:t xml:space="preserve"> </w:t>
      </w:r>
    </w:p>
    <w:p w:rsidR="00E302EC" w:rsidRDefault="00FC4F28">
      <w:pPr>
        <w:tabs>
          <w:tab w:val="center" w:pos="284"/>
          <w:tab w:val="center" w:pos="4299"/>
        </w:tabs>
        <w:ind w:left="0" w:firstLine="0"/>
        <w:jc w:val="left"/>
      </w:pPr>
      <w:r>
        <w:rPr>
          <w:rFonts w:ascii="Calibri" w:eastAsia="Calibri" w:hAnsi="Calibri" w:cs="Calibri"/>
        </w:rPr>
        <w:tab/>
      </w:r>
      <w:r>
        <w:t xml:space="preserve"> </w:t>
      </w:r>
      <w:r>
        <w:tab/>
        <w:t xml:space="preserve"> </w:t>
      </w:r>
      <w:r>
        <w:t xml:space="preserve">A continuación, se refleja en cuadro, la evolución de este impuesto: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82270" name="Group 28227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8416" name="Rectangle 841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8417" name="Rectangle 841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w:t>
                              </w:r>
                              <w:r>
                                <w:rPr>
                                  <w:sz w:val="12"/>
                                </w:rPr>
                                <w:t xml:space="preserve">41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82270" style="width:12.7031pt;height:273.276pt;position:absolute;mso-position-horizontal-relative:page;mso-position-horizontal:absolute;margin-left:682.278pt;mso-position-vertical-relative:page;margin-top:538.644pt;" coordsize="1613,34706">
                <v:rect id="Rectangle 841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841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159 </w:t>
                        </w:r>
                      </w:p>
                    </w:txbxContent>
                  </v:textbox>
                </v:rect>
                <w10:wrap type="square"/>
              </v:group>
            </w:pict>
          </mc:Fallback>
        </mc:AlternateContent>
      </w:r>
      <w:r>
        <w:t xml:space="preserve"> </w:t>
      </w:r>
    </w:p>
    <w:tbl>
      <w:tblPr>
        <w:tblStyle w:val="TableGrid"/>
        <w:tblW w:w="9357" w:type="dxa"/>
        <w:tblInd w:w="74" w:type="dxa"/>
        <w:tblCellMar>
          <w:top w:w="9" w:type="dxa"/>
          <w:left w:w="67" w:type="dxa"/>
          <w:bottom w:w="0" w:type="dxa"/>
          <w:right w:w="23" w:type="dxa"/>
        </w:tblCellMar>
        <w:tblLook w:val="04A0" w:firstRow="1" w:lastRow="0" w:firstColumn="1" w:lastColumn="0" w:noHBand="0" w:noVBand="1"/>
      </w:tblPr>
      <w:tblGrid>
        <w:gridCol w:w="569"/>
        <w:gridCol w:w="991"/>
        <w:gridCol w:w="425"/>
        <w:gridCol w:w="853"/>
        <w:gridCol w:w="425"/>
        <w:gridCol w:w="991"/>
        <w:gridCol w:w="1135"/>
        <w:gridCol w:w="425"/>
        <w:gridCol w:w="1135"/>
        <w:gridCol w:w="566"/>
        <w:gridCol w:w="1275"/>
        <w:gridCol w:w="566"/>
      </w:tblGrid>
      <w:tr w:rsidR="00E302EC">
        <w:trPr>
          <w:trHeight w:val="1022"/>
        </w:trPr>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AÑ</w:t>
            </w:r>
          </w:p>
          <w:p w:rsidR="00E302EC" w:rsidRDefault="00FC4F28">
            <w:pPr>
              <w:spacing w:after="0" w:line="259" w:lineRule="auto"/>
              <w:ind w:left="2" w:firstLine="0"/>
              <w:jc w:val="left"/>
            </w:pPr>
            <w:r>
              <w:t xml:space="preserve">O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PADRO</w:t>
            </w:r>
          </w:p>
          <w:p w:rsidR="00E302EC" w:rsidRDefault="00FC4F28">
            <w:pPr>
              <w:spacing w:after="0" w:line="259" w:lineRule="auto"/>
              <w:ind w:left="2" w:firstLine="0"/>
              <w:jc w:val="left"/>
            </w:pPr>
            <w:r>
              <w:t xml:space="preserve">N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Nº </w:t>
            </w:r>
          </w:p>
          <w:p w:rsidR="00E302EC" w:rsidRDefault="00FC4F28">
            <w:pPr>
              <w:spacing w:after="0" w:line="259" w:lineRule="auto"/>
              <w:ind w:left="2" w:firstLine="0"/>
            </w:pPr>
            <w:r>
              <w:t>RECIB</w:t>
            </w:r>
          </w:p>
          <w:p w:rsidR="00E302EC" w:rsidRDefault="00FC4F28">
            <w:pPr>
              <w:spacing w:after="0" w:line="259" w:lineRule="auto"/>
              <w:ind w:left="2" w:firstLine="0"/>
              <w:jc w:val="left"/>
            </w:pPr>
            <w:r>
              <w:t xml:space="preserve">OS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TIPO </w:t>
            </w:r>
          </w:p>
          <w:p w:rsidR="00E302EC" w:rsidRDefault="00FC4F28">
            <w:pPr>
              <w:spacing w:after="0" w:line="259" w:lineRule="auto"/>
              <w:ind w:left="2" w:firstLine="0"/>
              <w:jc w:val="left"/>
            </w:pPr>
            <w:r>
              <w:t>GRAVA</w:t>
            </w:r>
          </w:p>
          <w:p w:rsidR="00E302EC" w:rsidRDefault="00FC4F28">
            <w:pPr>
              <w:spacing w:after="0" w:line="259" w:lineRule="auto"/>
              <w:ind w:left="2" w:firstLine="0"/>
              <w:jc w:val="left"/>
            </w:pPr>
            <w:r>
              <w:t xml:space="preserve">MEN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PRESUP UESTO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INGRES</w:t>
            </w:r>
          </w:p>
          <w:p w:rsidR="00E302EC" w:rsidRDefault="00FC4F28">
            <w:pPr>
              <w:spacing w:after="0" w:line="259" w:lineRule="auto"/>
              <w:ind w:left="2" w:firstLine="0"/>
              <w:jc w:val="left"/>
            </w:pPr>
            <w:r>
              <w:t xml:space="preserve">OS </w:t>
            </w:r>
          </w:p>
          <w:p w:rsidR="00E302EC" w:rsidRDefault="00FC4F28">
            <w:pPr>
              <w:spacing w:after="0" w:line="259" w:lineRule="auto"/>
              <w:ind w:left="2" w:firstLine="0"/>
              <w:jc w:val="left"/>
            </w:pPr>
            <w:r>
              <w:t>LIQUIDA</w:t>
            </w:r>
          </w:p>
          <w:p w:rsidR="00E302EC" w:rsidRDefault="00FC4F28">
            <w:pPr>
              <w:spacing w:after="0" w:line="259" w:lineRule="auto"/>
              <w:ind w:left="2" w:firstLine="0"/>
              <w:jc w:val="left"/>
            </w:pPr>
            <w:r>
              <w:t xml:space="preserve">DOS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RECAUDA</w:t>
            </w:r>
          </w:p>
          <w:p w:rsidR="00E302EC" w:rsidRDefault="00FC4F28">
            <w:pPr>
              <w:spacing w:after="0" w:line="259" w:lineRule="auto"/>
              <w:ind w:left="2" w:firstLine="0"/>
              <w:jc w:val="left"/>
            </w:pPr>
            <w:r>
              <w:t xml:space="preserve">CIÓN </w:t>
            </w:r>
          </w:p>
          <w:p w:rsidR="00E302EC" w:rsidRDefault="00FC4F28">
            <w:pPr>
              <w:spacing w:after="0" w:line="259" w:lineRule="auto"/>
              <w:ind w:left="2" w:firstLine="0"/>
              <w:jc w:val="left"/>
            </w:pPr>
            <w:r>
              <w:t xml:space="preserve">LÍQUIDA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r>
      <w:tr w:rsidR="00E302EC">
        <w:trPr>
          <w:trHeight w:val="516"/>
        </w:trPr>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202</w:t>
            </w:r>
          </w:p>
          <w:p w:rsidR="00E302EC" w:rsidRDefault="00FC4F28">
            <w:pPr>
              <w:spacing w:after="0" w:line="259" w:lineRule="auto"/>
              <w:ind w:left="2" w:firstLine="0"/>
              <w:jc w:val="left"/>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129.040</w:t>
            </w:r>
          </w:p>
          <w:p w:rsidR="00E302EC" w:rsidRDefault="00FC4F28">
            <w:pPr>
              <w:spacing w:after="0" w:line="259" w:lineRule="auto"/>
              <w:ind w:left="2" w:firstLine="0"/>
              <w:jc w:val="left"/>
            </w:pPr>
            <w:r>
              <w:t xml:space="preserve">,36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0,</w:t>
            </w:r>
          </w:p>
          <w:p w:rsidR="00E302EC" w:rsidRDefault="00FC4F28">
            <w:pPr>
              <w:spacing w:after="0" w:line="259" w:lineRule="auto"/>
              <w:ind w:left="2" w:firstLine="0"/>
              <w:jc w:val="left"/>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930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118.000,0</w:t>
            </w:r>
          </w:p>
          <w:p w:rsidR="00E302EC" w:rsidRDefault="00FC4F28">
            <w:pPr>
              <w:spacing w:after="0" w:line="259" w:lineRule="auto"/>
              <w:ind w:left="2" w:firstLine="0"/>
              <w:jc w:val="left"/>
            </w:pPr>
            <w: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18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104.899,6</w:t>
            </w:r>
          </w:p>
          <w:p w:rsidR="00E302EC" w:rsidRDefault="00FC4F28">
            <w:pPr>
              <w:spacing w:after="0" w:line="259" w:lineRule="auto"/>
              <w:ind w:left="2" w:firstLine="0"/>
              <w:jc w:val="left"/>
            </w:pPr>
            <w:r>
              <w:t xml:space="preserve">3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-11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104.899,63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p>
          <w:p w:rsidR="00E302EC" w:rsidRDefault="00FC4F28">
            <w:pPr>
              <w:spacing w:after="0" w:line="259" w:lineRule="auto"/>
              <w:ind w:left="2" w:firstLine="0"/>
            </w:pPr>
            <w:r>
              <w:t xml:space="preserve">11,3 </w:t>
            </w:r>
          </w:p>
        </w:tc>
      </w:tr>
      <w:tr w:rsidR="00E302EC">
        <w:trPr>
          <w:trHeight w:val="516"/>
        </w:trPr>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202</w:t>
            </w:r>
          </w:p>
          <w:p w:rsidR="00E302EC" w:rsidRDefault="00FC4F28">
            <w:pPr>
              <w:spacing w:after="0" w:line="259" w:lineRule="auto"/>
              <w:ind w:left="2" w:firstLine="0"/>
              <w:jc w:val="left"/>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129.737</w:t>
            </w:r>
          </w:p>
          <w:p w:rsidR="00E302EC" w:rsidRDefault="00FC4F28">
            <w:pPr>
              <w:spacing w:after="0" w:line="259" w:lineRule="auto"/>
              <w:ind w:left="2" w:firstLine="0"/>
              <w:jc w:val="left"/>
            </w:pPr>
            <w:r>
              <w:t xml:space="preserve">,82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w:t>
            </w:r>
          </w:p>
          <w:p w:rsidR="00E302EC" w:rsidRDefault="00FC4F28">
            <w:pPr>
              <w:spacing w:after="0" w:line="259" w:lineRule="auto"/>
              <w:ind w:left="2" w:firstLine="0"/>
              <w:jc w:val="left"/>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937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w:t>
            </w:r>
          </w:p>
          <w:p w:rsidR="00E302EC" w:rsidRDefault="00FC4F28">
            <w:pPr>
              <w:spacing w:after="0" w:line="259" w:lineRule="auto"/>
              <w:ind w:left="2" w:firstLine="0"/>
              <w:jc w:val="left"/>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100.000,0</w:t>
            </w:r>
          </w:p>
          <w:p w:rsidR="00E302EC" w:rsidRDefault="00FC4F28">
            <w:pPr>
              <w:spacing w:after="0" w:line="259" w:lineRule="auto"/>
              <w:ind w:left="2" w:firstLine="0"/>
              <w:jc w:val="left"/>
            </w:pPr>
            <w: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118.196,6</w:t>
            </w:r>
          </w:p>
          <w:p w:rsidR="00E302EC" w:rsidRDefault="00FC4F28">
            <w:pPr>
              <w:spacing w:after="0" w:line="259" w:lineRule="auto"/>
              <w:ind w:left="2" w:firstLine="0"/>
              <w:jc w:val="left"/>
            </w:pPr>
            <w:r>
              <w:t xml:space="preserve">9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7,8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118.196,69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7,8 </w:t>
            </w:r>
          </w:p>
        </w:tc>
      </w:tr>
      <w:tr w:rsidR="00E302EC">
        <w:trPr>
          <w:trHeight w:val="516"/>
        </w:trPr>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201</w:t>
            </w:r>
          </w:p>
          <w:p w:rsidR="00E302EC" w:rsidRDefault="00FC4F28">
            <w:pPr>
              <w:spacing w:after="0" w:line="259" w:lineRule="auto"/>
              <w:ind w:left="2" w:firstLine="0"/>
              <w:jc w:val="left"/>
            </w:pPr>
            <w:r>
              <w:t xml:space="preserve">9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126.837</w:t>
            </w:r>
          </w:p>
          <w:p w:rsidR="00E302EC" w:rsidRDefault="00FC4F28">
            <w:pPr>
              <w:spacing w:after="0" w:line="259" w:lineRule="auto"/>
              <w:ind w:left="2" w:firstLine="0"/>
              <w:jc w:val="left"/>
            </w:pPr>
            <w:r>
              <w:t xml:space="preserve">,52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5,</w:t>
            </w:r>
          </w:p>
          <w:p w:rsidR="00E302EC" w:rsidRDefault="00FC4F28">
            <w:pPr>
              <w:spacing w:after="0" w:line="259" w:lineRule="auto"/>
              <w:ind w:left="2" w:firstLine="0"/>
              <w:jc w:val="left"/>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917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0,</w:t>
            </w:r>
          </w:p>
          <w:p w:rsidR="00E302EC" w:rsidRDefault="00FC4F28">
            <w:pPr>
              <w:spacing w:after="0" w:line="259" w:lineRule="auto"/>
              <w:ind w:left="2" w:firstLine="0"/>
              <w:jc w:val="left"/>
            </w:pPr>
            <w:r>
              <w:t xml:space="preserve">7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108.000,0</w:t>
            </w:r>
          </w:p>
          <w:p w:rsidR="00E302EC" w:rsidRDefault="00FC4F28">
            <w:pPr>
              <w:spacing w:after="0" w:line="259" w:lineRule="auto"/>
              <w:ind w:left="2" w:firstLine="0"/>
              <w:jc w:val="left"/>
            </w:pPr>
            <w: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109.546,3</w:t>
            </w:r>
          </w:p>
          <w:p w:rsidR="00E302EC" w:rsidRDefault="00FC4F28">
            <w:pPr>
              <w:spacing w:after="0" w:line="259" w:lineRule="auto"/>
              <w:ind w:left="2" w:firstLine="0"/>
              <w:jc w:val="left"/>
            </w:pPr>
            <w:r>
              <w:t xml:space="preserve">9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30,</w:t>
            </w:r>
          </w:p>
          <w:p w:rsidR="00E302EC" w:rsidRDefault="00FC4F28">
            <w:pPr>
              <w:spacing w:after="0" w:line="259" w:lineRule="auto"/>
              <w:ind w:left="0" w:firstLine="0"/>
              <w:jc w:val="left"/>
            </w:pPr>
            <w:r>
              <w:t xml:space="preserve">6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109.546,39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30,</w:t>
            </w:r>
          </w:p>
          <w:p w:rsidR="00E302EC" w:rsidRDefault="00FC4F28">
            <w:pPr>
              <w:spacing w:after="0" w:line="259" w:lineRule="auto"/>
              <w:ind w:left="2" w:firstLine="0"/>
              <w:jc w:val="left"/>
            </w:pPr>
            <w:r>
              <w:t xml:space="preserve">6 </w:t>
            </w:r>
          </w:p>
        </w:tc>
      </w:tr>
      <w:tr w:rsidR="00E302EC">
        <w:trPr>
          <w:trHeight w:val="768"/>
        </w:trPr>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201</w:t>
            </w:r>
          </w:p>
          <w:p w:rsidR="00E302EC" w:rsidRDefault="00FC4F28">
            <w:pPr>
              <w:spacing w:after="0" w:line="259" w:lineRule="auto"/>
              <w:ind w:left="2" w:firstLine="0"/>
              <w:jc w:val="left"/>
            </w:pPr>
            <w:r>
              <w:t xml:space="preserve">8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120.613</w:t>
            </w:r>
          </w:p>
          <w:p w:rsidR="00E302EC" w:rsidRDefault="00FC4F28">
            <w:pPr>
              <w:spacing w:after="0" w:line="259" w:lineRule="auto"/>
              <w:ind w:left="2" w:firstLine="0"/>
              <w:jc w:val="left"/>
            </w:pPr>
            <w:r>
              <w:t xml:space="preserve">,08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910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p>
          <w:p w:rsidR="00E302EC" w:rsidRDefault="00FC4F28">
            <w:pPr>
              <w:spacing w:after="0" w:line="259" w:lineRule="auto"/>
              <w:ind w:left="2" w:firstLine="0"/>
            </w:pPr>
            <w:r>
              <w:t xml:space="preserve">14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108.000,0</w:t>
            </w:r>
          </w:p>
          <w:p w:rsidR="00E302EC" w:rsidRDefault="00FC4F28">
            <w:pPr>
              <w:spacing w:after="0" w:line="259" w:lineRule="auto"/>
              <w:ind w:left="2" w:firstLine="0"/>
              <w:jc w:val="left"/>
            </w:pPr>
            <w: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42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p w:rsidR="00E302EC" w:rsidRDefault="00FC4F28">
            <w:pPr>
              <w:spacing w:after="0" w:line="259" w:lineRule="auto"/>
              <w:ind w:left="2" w:firstLine="0"/>
            </w:pPr>
            <w:r>
              <w:t xml:space="preserve">82.512,08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w:t>
            </w:r>
          </w:p>
          <w:p w:rsidR="00E302EC" w:rsidRDefault="00FC4F28">
            <w:pPr>
              <w:spacing w:after="0" w:line="259" w:lineRule="auto"/>
              <w:ind w:left="0" w:firstLine="0"/>
              <w:jc w:val="left"/>
            </w:pPr>
            <w:r>
              <w:t>23,</w:t>
            </w:r>
          </w:p>
          <w:p w:rsidR="00E302EC" w:rsidRDefault="00FC4F28">
            <w:pPr>
              <w:spacing w:after="0" w:line="259" w:lineRule="auto"/>
              <w:ind w:left="0" w:firstLine="0"/>
              <w:jc w:val="left"/>
            </w:pPr>
            <w:r>
              <w:t xml:space="preserve">5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p w:rsidR="00E302EC" w:rsidRDefault="00FC4F28">
            <w:pPr>
              <w:spacing w:after="0" w:line="259" w:lineRule="auto"/>
              <w:ind w:left="2" w:firstLine="0"/>
              <w:jc w:val="left"/>
            </w:pPr>
            <w:r>
              <w:t xml:space="preserve">82.512,08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p>
          <w:p w:rsidR="00E302EC" w:rsidRDefault="00FC4F28">
            <w:pPr>
              <w:spacing w:after="0" w:line="259" w:lineRule="auto"/>
              <w:ind w:left="2" w:firstLine="0"/>
              <w:jc w:val="left"/>
            </w:pPr>
            <w:r>
              <w:t>23,</w:t>
            </w:r>
          </w:p>
          <w:p w:rsidR="00E302EC" w:rsidRDefault="00FC4F28">
            <w:pPr>
              <w:spacing w:after="0" w:line="259" w:lineRule="auto"/>
              <w:ind w:left="2" w:firstLine="0"/>
              <w:jc w:val="left"/>
            </w:pPr>
            <w:r>
              <w:t xml:space="preserve">5 </w:t>
            </w:r>
          </w:p>
        </w:tc>
      </w:tr>
    </w:tbl>
    <w:p w:rsidR="00E302EC" w:rsidRDefault="00FC4F28">
      <w:pPr>
        <w:spacing w:after="0" w:line="259" w:lineRule="auto"/>
        <w:ind w:left="284" w:firstLine="0"/>
        <w:jc w:val="left"/>
      </w:pPr>
      <w:r>
        <w:t xml:space="preserve"> </w:t>
      </w:r>
    </w:p>
    <w:p w:rsidR="00E302EC" w:rsidRDefault="00FC4F28">
      <w:pPr>
        <w:ind w:left="269" w:right="184" w:firstLine="708"/>
      </w:pPr>
      <w:r>
        <w:t xml:space="preserve">Disminuye un 11,3 % las cantidades liquidadas e ingresadas, siendo superiores en un 4,9 % respecto a las previsiones del año 2021, al caer el padrón en 7 recibos. </w:t>
      </w:r>
    </w:p>
    <w:p w:rsidR="00E302EC" w:rsidRDefault="00FC4F28">
      <w:pPr>
        <w:spacing w:after="0" w:line="259" w:lineRule="auto"/>
        <w:ind w:left="284" w:firstLine="0"/>
        <w:jc w:val="left"/>
      </w:pPr>
      <w:r>
        <w:t xml:space="preserve"> </w:t>
      </w:r>
    </w:p>
    <w:p w:rsidR="00E302EC" w:rsidRDefault="00FC4F28">
      <w:pPr>
        <w:spacing w:after="1" w:line="259" w:lineRule="auto"/>
        <w:ind w:left="279"/>
        <w:jc w:val="left"/>
      </w:pPr>
      <w:r>
        <w:rPr>
          <w:i/>
          <w:u w:val="single" w:color="000000"/>
        </w:rPr>
        <w:t>IVTM</w:t>
      </w:r>
      <w:r>
        <w:rPr>
          <w:i/>
        </w:rPr>
        <w:t xml:space="preserve"> </w:t>
      </w:r>
    </w:p>
    <w:p w:rsidR="00E302EC" w:rsidRDefault="00FC4F28">
      <w:pPr>
        <w:spacing w:after="0" w:line="259" w:lineRule="auto"/>
        <w:ind w:left="992" w:firstLine="0"/>
        <w:jc w:val="left"/>
      </w:pPr>
      <w:r>
        <w:rPr>
          <w:i/>
        </w:rPr>
        <w:t xml:space="preserve"> </w:t>
      </w:r>
    </w:p>
    <w:p w:rsidR="00E302EC" w:rsidRDefault="00FC4F28">
      <w:pPr>
        <w:ind w:left="1002" w:right="184"/>
      </w:pPr>
      <w:r>
        <w:t xml:space="preserve"> </w:t>
      </w:r>
      <w:r>
        <w:t xml:space="preserve">A continuación, se refleja en cuadro, la evolución de este impuesto: </w:t>
      </w:r>
    </w:p>
    <w:p w:rsidR="00E302EC" w:rsidRDefault="00FC4F28">
      <w:pPr>
        <w:spacing w:after="0" w:line="259" w:lineRule="auto"/>
        <w:ind w:left="992" w:firstLine="0"/>
        <w:jc w:val="left"/>
      </w:pPr>
      <w:r>
        <w:t xml:space="preserve"> </w:t>
      </w:r>
    </w:p>
    <w:tbl>
      <w:tblPr>
        <w:tblStyle w:val="TableGrid"/>
        <w:tblW w:w="9499" w:type="dxa"/>
        <w:tblInd w:w="-67" w:type="dxa"/>
        <w:tblCellMar>
          <w:top w:w="9" w:type="dxa"/>
          <w:left w:w="67" w:type="dxa"/>
          <w:bottom w:w="0" w:type="dxa"/>
          <w:right w:w="25" w:type="dxa"/>
        </w:tblCellMar>
        <w:tblLook w:val="04A0" w:firstRow="1" w:lastRow="0" w:firstColumn="1" w:lastColumn="0" w:noHBand="0" w:noVBand="1"/>
      </w:tblPr>
      <w:tblGrid>
        <w:gridCol w:w="567"/>
        <w:gridCol w:w="1186"/>
        <w:gridCol w:w="374"/>
        <w:gridCol w:w="853"/>
        <w:gridCol w:w="425"/>
        <w:gridCol w:w="991"/>
        <w:gridCol w:w="1135"/>
        <w:gridCol w:w="425"/>
        <w:gridCol w:w="1274"/>
        <w:gridCol w:w="569"/>
        <w:gridCol w:w="1275"/>
        <w:gridCol w:w="425"/>
      </w:tblGrid>
      <w:tr w:rsidR="00E302EC">
        <w:trPr>
          <w:trHeight w:val="1022"/>
        </w:trPr>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AÑ</w:t>
            </w:r>
          </w:p>
          <w:p w:rsidR="00E302EC" w:rsidRDefault="00FC4F28">
            <w:pPr>
              <w:spacing w:after="0" w:line="259" w:lineRule="auto"/>
              <w:ind w:left="2" w:firstLine="0"/>
              <w:jc w:val="left"/>
            </w:pPr>
            <w:r>
              <w:t xml:space="preserve">O </w:t>
            </w:r>
          </w:p>
        </w:tc>
        <w:tc>
          <w:tcPr>
            <w:tcW w:w="118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PADRON </w:t>
            </w:r>
          </w:p>
        </w:tc>
        <w:tc>
          <w:tcPr>
            <w:tcW w:w="3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Nº </w:t>
            </w:r>
          </w:p>
          <w:p w:rsidR="00E302EC" w:rsidRDefault="00FC4F28">
            <w:pPr>
              <w:spacing w:after="0" w:line="259" w:lineRule="auto"/>
              <w:ind w:left="2" w:firstLine="0"/>
            </w:pPr>
            <w:r>
              <w:t>RECIB</w:t>
            </w:r>
          </w:p>
          <w:p w:rsidR="00E302EC" w:rsidRDefault="00FC4F28">
            <w:pPr>
              <w:spacing w:after="0" w:line="259" w:lineRule="auto"/>
              <w:ind w:left="2" w:firstLine="0"/>
              <w:jc w:val="left"/>
            </w:pPr>
            <w:r>
              <w:t xml:space="preserve">OS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TIPO </w:t>
            </w:r>
          </w:p>
          <w:p w:rsidR="00E302EC" w:rsidRDefault="00FC4F28">
            <w:pPr>
              <w:spacing w:after="0" w:line="259" w:lineRule="auto"/>
              <w:ind w:left="2" w:firstLine="0"/>
              <w:jc w:val="left"/>
            </w:pPr>
            <w:r>
              <w:t>GRAVA</w:t>
            </w:r>
          </w:p>
          <w:p w:rsidR="00E302EC" w:rsidRDefault="00FC4F28">
            <w:pPr>
              <w:spacing w:after="0" w:line="259" w:lineRule="auto"/>
              <w:ind w:left="2" w:firstLine="0"/>
              <w:jc w:val="left"/>
            </w:pPr>
            <w:r>
              <w:t xml:space="preserve">MEN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PRESUP UESTO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INGRESO</w:t>
            </w:r>
          </w:p>
          <w:p w:rsidR="00E302EC" w:rsidRDefault="00FC4F28">
            <w:pPr>
              <w:spacing w:after="0" w:line="259" w:lineRule="auto"/>
              <w:ind w:left="2" w:firstLine="0"/>
              <w:jc w:val="left"/>
            </w:pPr>
            <w:r>
              <w:t xml:space="preserve">S </w:t>
            </w:r>
          </w:p>
          <w:p w:rsidR="00E302EC" w:rsidRDefault="00FC4F28">
            <w:pPr>
              <w:spacing w:after="0" w:line="259" w:lineRule="auto"/>
              <w:ind w:left="2" w:firstLine="0"/>
              <w:jc w:val="left"/>
            </w:pPr>
            <w:r>
              <w:t>LIQUIDAD</w:t>
            </w:r>
          </w:p>
          <w:p w:rsidR="00E302EC" w:rsidRDefault="00FC4F28">
            <w:pPr>
              <w:spacing w:after="0" w:line="259" w:lineRule="auto"/>
              <w:ind w:left="2" w:firstLine="0"/>
              <w:jc w:val="left"/>
            </w:pPr>
            <w:r>
              <w:t xml:space="preserve">OS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RECAUDA</w:t>
            </w:r>
          </w:p>
          <w:p w:rsidR="00E302EC" w:rsidRDefault="00FC4F28">
            <w:pPr>
              <w:spacing w:after="0" w:line="259" w:lineRule="auto"/>
              <w:ind w:left="0" w:firstLine="0"/>
              <w:jc w:val="left"/>
            </w:pPr>
            <w:r>
              <w:t xml:space="preserve">CIÓN </w:t>
            </w:r>
          </w:p>
          <w:p w:rsidR="00E302EC" w:rsidRDefault="00FC4F28">
            <w:pPr>
              <w:spacing w:after="0" w:line="259" w:lineRule="auto"/>
              <w:ind w:left="0" w:firstLine="0"/>
              <w:jc w:val="left"/>
            </w:pPr>
            <w:r>
              <w:t xml:space="preserve">LÍQUIDA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r>
      <w:tr w:rsidR="00E302EC">
        <w:trPr>
          <w:trHeight w:val="516"/>
        </w:trPr>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202</w:t>
            </w:r>
          </w:p>
          <w:p w:rsidR="00E302EC" w:rsidRDefault="00FC4F28">
            <w:pPr>
              <w:spacing w:after="0" w:line="259" w:lineRule="auto"/>
              <w:ind w:left="2" w:firstLine="0"/>
              <w:jc w:val="left"/>
            </w:pPr>
            <w:r>
              <w:t xml:space="preserve">1 </w:t>
            </w:r>
          </w:p>
        </w:tc>
        <w:tc>
          <w:tcPr>
            <w:tcW w:w="118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1.052.535,</w:t>
            </w:r>
          </w:p>
          <w:p w:rsidR="00E302EC" w:rsidRDefault="00FC4F28">
            <w:pPr>
              <w:spacing w:after="0" w:line="259" w:lineRule="auto"/>
              <w:ind w:left="2" w:firstLine="0"/>
              <w:jc w:val="left"/>
            </w:pPr>
            <w:r>
              <w:t xml:space="preserve">41 </w:t>
            </w:r>
          </w:p>
        </w:tc>
        <w:tc>
          <w:tcPr>
            <w:tcW w:w="3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-3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17.948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0,</w:t>
            </w:r>
          </w:p>
          <w:p w:rsidR="00E302EC" w:rsidRDefault="00FC4F28">
            <w:pPr>
              <w:spacing w:after="0" w:line="259" w:lineRule="auto"/>
              <w:ind w:left="2" w:firstLine="0"/>
              <w:jc w:val="left"/>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777.000,0</w:t>
            </w:r>
          </w:p>
          <w:p w:rsidR="00E302EC" w:rsidRDefault="00FC4F28">
            <w:pPr>
              <w:spacing w:after="0" w:line="259" w:lineRule="auto"/>
              <w:ind w:left="2" w:firstLine="0"/>
              <w:jc w:val="left"/>
            </w:pPr>
            <w: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3,</w:t>
            </w:r>
          </w:p>
          <w:p w:rsidR="00E302EC" w:rsidRDefault="00FC4F28">
            <w:pPr>
              <w:spacing w:after="0" w:line="259" w:lineRule="auto"/>
              <w:ind w:left="0" w:firstLine="0"/>
              <w:jc w:val="left"/>
            </w:pPr>
            <w: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814.747,50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4,8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814.747,50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4,</w:t>
            </w:r>
          </w:p>
          <w:p w:rsidR="00E302EC" w:rsidRDefault="00FC4F28">
            <w:pPr>
              <w:spacing w:after="0" w:line="259" w:lineRule="auto"/>
              <w:ind w:left="2" w:firstLine="0"/>
              <w:jc w:val="left"/>
            </w:pPr>
            <w:r>
              <w:t xml:space="preserve">8 </w:t>
            </w:r>
          </w:p>
        </w:tc>
      </w:tr>
      <w:tr w:rsidR="00E302EC">
        <w:trPr>
          <w:trHeight w:val="770"/>
        </w:trPr>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202</w:t>
            </w:r>
          </w:p>
          <w:p w:rsidR="00E302EC" w:rsidRDefault="00FC4F28">
            <w:pPr>
              <w:spacing w:after="0" w:line="259" w:lineRule="auto"/>
              <w:ind w:left="2" w:firstLine="0"/>
              <w:jc w:val="left"/>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1.086.398,</w:t>
            </w:r>
          </w:p>
          <w:p w:rsidR="00E302EC" w:rsidRDefault="00FC4F28">
            <w:pPr>
              <w:spacing w:after="0" w:line="259" w:lineRule="auto"/>
              <w:ind w:left="2" w:firstLine="0"/>
              <w:jc w:val="left"/>
            </w:pPr>
            <w:r>
              <w:t xml:space="preserve">99 </w:t>
            </w:r>
          </w:p>
        </w:tc>
        <w:tc>
          <w:tcPr>
            <w:tcW w:w="3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0,</w:t>
            </w:r>
          </w:p>
          <w:p w:rsidR="00E302EC" w:rsidRDefault="00FC4F28">
            <w:pPr>
              <w:spacing w:after="0" w:line="259" w:lineRule="auto"/>
              <w:ind w:left="2" w:firstLine="0"/>
              <w:jc w:val="left"/>
            </w:pPr>
            <w:r>
              <w:t xml:space="preserve">9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17.868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750.00,00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777.712,42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p>
          <w:p w:rsidR="00E302EC" w:rsidRDefault="00FC4F28">
            <w:pPr>
              <w:spacing w:after="0" w:line="259" w:lineRule="auto"/>
              <w:ind w:left="2" w:firstLine="0"/>
              <w:jc w:val="left"/>
            </w:pPr>
            <w:r>
              <w:t>28,</w:t>
            </w:r>
          </w:p>
          <w:p w:rsidR="00E302EC" w:rsidRDefault="00FC4F28">
            <w:pPr>
              <w:spacing w:after="0" w:line="259" w:lineRule="auto"/>
              <w:ind w:left="2" w:firstLine="0"/>
              <w:jc w:val="left"/>
            </w:pPr>
            <w:r>
              <w:t xml:space="preserve">7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777.712,42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r>
      <w:tr w:rsidR="00E302EC">
        <w:trPr>
          <w:trHeight w:val="516"/>
        </w:trPr>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201</w:t>
            </w:r>
          </w:p>
          <w:p w:rsidR="00E302EC" w:rsidRDefault="00FC4F28">
            <w:pPr>
              <w:spacing w:after="0" w:line="259" w:lineRule="auto"/>
              <w:ind w:left="2" w:firstLine="0"/>
              <w:jc w:val="left"/>
            </w:pPr>
            <w:r>
              <w:t xml:space="preserve">9 </w:t>
            </w:r>
          </w:p>
        </w:tc>
        <w:tc>
          <w:tcPr>
            <w:tcW w:w="118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1.075.922,</w:t>
            </w:r>
          </w:p>
          <w:p w:rsidR="00E302EC" w:rsidRDefault="00FC4F28">
            <w:pPr>
              <w:spacing w:after="0" w:line="259" w:lineRule="auto"/>
              <w:ind w:left="2" w:firstLine="0"/>
              <w:jc w:val="left"/>
            </w:pPr>
            <w:r>
              <w:t xml:space="preserve">73 </w:t>
            </w:r>
          </w:p>
        </w:tc>
        <w:tc>
          <w:tcPr>
            <w:tcW w:w="3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w:t>
            </w:r>
          </w:p>
          <w:p w:rsidR="00E302EC" w:rsidRDefault="00FC4F28">
            <w:pPr>
              <w:spacing w:after="0" w:line="259" w:lineRule="auto"/>
              <w:ind w:left="2" w:firstLine="0"/>
              <w:jc w:val="left"/>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800.000,0</w:t>
            </w:r>
          </w:p>
          <w:p w:rsidR="00E302EC" w:rsidRDefault="00FC4F28">
            <w:pPr>
              <w:spacing w:after="0" w:line="259" w:lineRule="auto"/>
              <w:ind w:left="2" w:firstLine="0"/>
              <w:jc w:val="left"/>
            </w:pPr>
            <w: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1.090.533,</w:t>
            </w:r>
          </w:p>
          <w:p w:rsidR="00E302EC" w:rsidRDefault="00FC4F28">
            <w:pPr>
              <w:spacing w:after="0" w:line="259" w:lineRule="auto"/>
              <w:ind w:left="2" w:firstLine="0"/>
              <w:jc w:val="left"/>
            </w:pPr>
            <w:r>
              <w:t xml:space="preserve">30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1,4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777.288,09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r>
      <w:tr w:rsidR="00E302EC">
        <w:trPr>
          <w:trHeight w:val="516"/>
        </w:trPr>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201</w:t>
            </w:r>
          </w:p>
          <w:p w:rsidR="00E302EC" w:rsidRDefault="00FC4F28">
            <w:pPr>
              <w:spacing w:after="0" w:line="259" w:lineRule="auto"/>
              <w:ind w:left="2" w:firstLine="0"/>
              <w:jc w:val="left"/>
            </w:pPr>
            <w:r>
              <w:t xml:space="preserve">8 </w:t>
            </w:r>
          </w:p>
        </w:tc>
        <w:tc>
          <w:tcPr>
            <w:tcW w:w="118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1.053.218,</w:t>
            </w:r>
          </w:p>
          <w:p w:rsidR="00E302EC" w:rsidRDefault="00FC4F28">
            <w:pPr>
              <w:spacing w:after="0" w:line="259" w:lineRule="auto"/>
              <w:ind w:left="2" w:firstLine="0"/>
              <w:jc w:val="left"/>
            </w:pPr>
            <w:r>
              <w:t xml:space="preserve">27 </w:t>
            </w:r>
          </w:p>
        </w:tc>
        <w:tc>
          <w:tcPr>
            <w:tcW w:w="3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w:t>
            </w:r>
          </w:p>
          <w:p w:rsidR="00E302EC" w:rsidRDefault="00FC4F28">
            <w:pPr>
              <w:spacing w:after="0" w:line="259" w:lineRule="auto"/>
              <w:ind w:left="2" w:firstLine="0"/>
              <w:jc w:val="left"/>
            </w:pPr>
            <w:r>
              <w:t xml:space="preserve">5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16.763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w:t>
            </w:r>
          </w:p>
          <w:p w:rsidR="00E302EC" w:rsidRDefault="00FC4F28">
            <w:pPr>
              <w:spacing w:after="0" w:line="259" w:lineRule="auto"/>
              <w:ind w:left="2" w:firstLine="0"/>
              <w:jc w:val="left"/>
            </w:pPr>
            <w:r>
              <w:t xml:space="preserve">5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800.000,0</w:t>
            </w:r>
          </w:p>
          <w:p w:rsidR="00E302EC" w:rsidRDefault="00FC4F28">
            <w:pPr>
              <w:spacing w:after="0" w:line="259" w:lineRule="auto"/>
              <w:ind w:left="2" w:firstLine="0"/>
              <w:jc w:val="left"/>
            </w:pPr>
            <w:r>
              <w:t xml:space="preserve">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1.075.389,</w:t>
            </w:r>
          </w:p>
          <w:p w:rsidR="00E302EC" w:rsidRDefault="00FC4F28">
            <w:pPr>
              <w:spacing w:after="0" w:line="259" w:lineRule="auto"/>
              <w:ind w:left="2" w:firstLine="0"/>
              <w:jc w:val="left"/>
            </w:pPr>
            <w:r>
              <w:t xml:space="preserve">38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2,2 </w:t>
            </w:r>
          </w:p>
        </w:tc>
        <w:tc>
          <w:tcPr>
            <w:tcW w:w="127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776.982,02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 </w:t>
            </w:r>
          </w:p>
        </w:tc>
      </w:tr>
    </w:tbl>
    <w:p w:rsidR="00E302EC" w:rsidRDefault="00FC4F28">
      <w:pPr>
        <w:spacing w:after="0" w:line="259" w:lineRule="auto"/>
        <w:ind w:left="284" w:firstLine="0"/>
        <w:jc w:val="left"/>
      </w:pPr>
      <w:r>
        <w:t xml:space="preserve"> </w:t>
      </w:r>
    </w:p>
    <w:p w:rsidR="00E302EC" w:rsidRDefault="00FC4F28">
      <w:pPr>
        <w:ind w:left="142" w:right="184" w:firstLine="142"/>
      </w:pPr>
      <w:r>
        <w:t xml:space="preserve"> Suben los ingresos liquidados en este impuesto en un 4,8 %, así como un 4,9 %, respecto a las cantidades presupuestadas, con un aumento de los recibos en 80 unidades. </w:t>
      </w:r>
    </w:p>
    <w:p w:rsidR="00E302EC" w:rsidRDefault="00FC4F28">
      <w:pPr>
        <w:spacing w:after="0" w:line="259" w:lineRule="auto"/>
        <w:ind w:left="284" w:firstLine="0"/>
        <w:jc w:val="left"/>
      </w:pPr>
      <w:r>
        <w:t xml:space="preserve"> </w:t>
      </w:r>
    </w:p>
    <w:p w:rsidR="00E302EC" w:rsidRDefault="00FC4F28">
      <w:pPr>
        <w:spacing w:after="1" w:line="259" w:lineRule="auto"/>
        <w:ind w:left="279"/>
        <w:jc w:val="left"/>
      </w:pPr>
      <w:r>
        <w:rPr>
          <w:i/>
          <w:u w:val="single" w:color="000000"/>
        </w:rPr>
        <w:t>IIVTNU</w:t>
      </w:r>
      <w:r>
        <w:rPr>
          <w:rFonts w:ascii="Times New Roman" w:eastAsia="Times New Roman" w:hAnsi="Times New Roman" w:cs="Times New Roman"/>
          <w:sz w:val="24"/>
        </w:rPr>
        <w:t xml:space="preserve"> </w:t>
      </w:r>
    </w:p>
    <w:p w:rsidR="00E302EC" w:rsidRDefault="00FC4F28">
      <w:pPr>
        <w:spacing w:after="0" w:line="259" w:lineRule="auto"/>
        <w:ind w:left="992" w:firstLine="0"/>
        <w:jc w:val="left"/>
      </w:pPr>
      <w:r>
        <w:t xml:space="preserve">  </w:t>
      </w:r>
    </w:p>
    <w:p w:rsidR="00E302EC" w:rsidRDefault="00FC4F28">
      <w:pPr>
        <w:ind w:left="279" w:right="184"/>
      </w:pPr>
      <w:r>
        <w:t xml:space="preserve">A continuación, se refleja en cuadro, la evolución de este impuesto de plusvalías: </w:t>
      </w:r>
    </w:p>
    <w:p w:rsidR="00E302EC" w:rsidRDefault="00FC4F28">
      <w:pPr>
        <w:spacing w:after="0" w:line="259" w:lineRule="auto"/>
        <w:ind w:left="992" w:firstLine="0"/>
        <w:jc w:val="left"/>
      </w:pPr>
      <w:r>
        <w:t xml:space="preserve"> </w:t>
      </w:r>
    </w:p>
    <w:tbl>
      <w:tblPr>
        <w:tblStyle w:val="TableGrid"/>
        <w:tblW w:w="7684" w:type="dxa"/>
        <w:tblInd w:w="190" w:type="dxa"/>
        <w:tblCellMar>
          <w:top w:w="9" w:type="dxa"/>
          <w:left w:w="67" w:type="dxa"/>
          <w:bottom w:w="0" w:type="dxa"/>
          <w:right w:w="42" w:type="dxa"/>
        </w:tblCellMar>
        <w:tblLook w:val="04A0" w:firstRow="1" w:lastRow="0" w:firstColumn="1" w:lastColumn="0" w:noHBand="0" w:noVBand="1"/>
      </w:tblPr>
      <w:tblGrid>
        <w:gridCol w:w="576"/>
        <w:gridCol w:w="1013"/>
        <w:gridCol w:w="1417"/>
        <w:gridCol w:w="566"/>
        <w:gridCol w:w="1560"/>
        <w:gridCol w:w="567"/>
        <w:gridCol w:w="1274"/>
        <w:gridCol w:w="710"/>
      </w:tblGrid>
      <w:tr w:rsidR="00E302EC">
        <w:trPr>
          <w:trHeight w:val="769"/>
        </w:trPr>
        <w:tc>
          <w:tcPr>
            <w:tcW w:w="57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AÑ</w:t>
            </w:r>
          </w:p>
          <w:p w:rsidR="00E302EC" w:rsidRDefault="00FC4F28">
            <w:pPr>
              <w:spacing w:after="0" w:line="259" w:lineRule="auto"/>
              <w:ind w:left="3" w:firstLine="0"/>
              <w:jc w:val="left"/>
            </w:pPr>
            <w:r>
              <w:t xml:space="preserve">O </w:t>
            </w:r>
          </w:p>
        </w:tc>
        <w:tc>
          <w:tcPr>
            <w:tcW w:w="10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TIPO </w:t>
            </w:r>
          </w:p>
          <w:p w:rsidR="00E302EC" w:rsidRDefault="00FC4F28">
            <w:pPr>
              <w:spacing w:after="0" w:line="259" w:lineRule="auto"/>
              <w:ind w:left="2" w:firstLine="0"/>
              <w:jc w:val="left"/>
            </w:pPr>
            <w:r>
              <w:t>GRAVA</w:t>
            </w:r>
          </w:p>
          <w:p w:rsidR="00E302EC" w:rsidRDefault="00FC4F28">
            <w:pPr>
              <w:spacing w:after="0" w:line="259" w:lineRule="auto"/>
              <w:ind w:left="2" w:firstLine="0"/>
              <w:jc w:val="left"/>
            </w:pPr>
            <w:r>
              <w:t xml:space="preserve">MEN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PRESUPUE</w:t>
            </w:r>
          </w:p>
          <w:p w:rsidR="00E302EC" w:rsidRDefault="00FC4F28">
            <w:pPr>
              <w:spacing w:after="0" w:line="259" w:lineRule="auto"/>
              <w:ind w:left="2" w:firstLine="0"/>
              <w:jc w:val="left"/>
            </w:pPr>
            <w:r>
              <w:t xml:space="preserve">STO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INGRESOS LIQUIDADOS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RECAUDA</w:t>
            </w:r>
          </w:p>
          <w:p w:rsidR="00E302EC" w:rsidRDefault="00FC4F28">
            <w:pPr>
              <w:spacing w:after="0" w:line="259" w:lineRule="auto"/>
              <w:ind w:left="2" w:firstLine="0"/>
              <w:jc w:val="left"/>
            </w:pPr>
            <w:r>
              <w:t xml:space="preserve">CIÓN </w:t>
            </w:r>
          </w:p>
          <w:p w:rsidR="00E302EC" w:rsidRDefault="00FC4F28">
            <w:pPr>
              <w:spacing w:after="0" w:line="259" w:lineRule="auto"/>
              <w:ind w:left="2" w:firstLine="0"/>
              <w:jc w:val="left"/>
            </w:pPr>
            <w:r>
              <w:t xml:space="preserve">LÍQUIDA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r>
      <w:tr w:rsidR="00E302EC">
        <w:trPr>
          <w:trHeight w:val="770"/>
        </w:trPr>
        <w:tc>
          <w:tcPr>
            <w:tcW w:w="57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202</w:t>
            </w:r>
          </w:p>
          <w:p w:rsidR="00E302EC" w:rsidRDefault="00FC4F28">
            <w:pPr>
              <w:spacing w:after="0" w:line="259" w:lineRule="auto"/>
              <w:ind w:left="3" w:firstLine="0"/>
              <w:jc w:val="left"/>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27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300.000,00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9" w:firstLine="0"/>
            </w:pPr>
            <w:r>
              <w:t xml:space="preserve">200 </w:t>
            </w:r>
          </w:p>
        </w:tc>
        <w:tc>
          <w:tcPr>
            <w:tcW w:w="15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341.261,55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p>
          <w:p w:rsidR="00E302EC" w:rsidRDefault="00FC4F28">
            <w:pPr>
              <w:spacing w:after="0" w:line="259" w:lineRule="auto"/>
              <w:ind w:left="2" w:firstLine="0"/>
              <w:jc w:val="left"/>
            </w:pPr>
            <w:r>
              <w:t>23,</w:t>
            </w:r>
          </w:p>
          <w:p w:rsidR="00E302EC" w:rsidRDefault="00FC4F28">
            <w:pPr>
              <w:spacing w:after="0" w:line="259" w:lineRule="auto"/>
              <w:ind w:left="2" w:firstLine="0"/>
              <w:jc w:val="left"/>
            </w:pPr>
            <w: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279.953,33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-27 </w:t>
            </w:r>
          </w:p>
        </w:tc>
      </w:tr>
      <w:tr w:rsidR="00E302EC">
        <w:trPr>
          <w:trHeight w:val="768"/>
        </w:trPr>
        <w:tc>
          <w:tcPr>
            <w:tcW w:w="57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202</w:t>
            </w:r>
          </w:p>
          <w:p w:rsidR="00E302EC" w:rsidRDefault="00FC4F28">
            <w:pPr>
              <w:spacing w:after="0" w:line="259" w:lineRule="auto"/>
              <w:ind w:left="3" w:firstLine="0"/>
              <w:jc w:val="left"/>
            </w:pPr>
            <w:r>
              <w:t xml:space="preserve">0 </w:t>
            </w:r>
          </w:p>
        </w:tc>
        <w:tc>
          <w:tcPr>
            <w:tcW w:w="10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27</w:t>
            </w: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150.000,00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3" w:firstLine="0"/>
              <w:jc w:val="center"/>
            </w:pPr>
            <w:r>
              <w:t>-</w:t>
            </w:r>
          </w:p>
          <w:p w:rsidR="00E302EC" w:rsidRDefault="00FC4F28">
            <w:pPr>
              <w:spacing w:after="0" w:line="259" w:lineRule="auto"/>
              <w:ind w:left="60" w:firstLine="0"/>
              <w:jc w:val="left"/>
            </w:pPr>
            <w:r>
              <w:t>72,</w:t>
            </w:r>
          </w:p>
          <w:p w:rsidR="00E302EC" w:rsidRDefault="00FC4F28">
            <w:pPr>
              <w:spacing w:after="0" w:line="259" w:lineRule="auto"/>
              <w:ind w:left="0" w:right="32" w:firstLine="0"/>
              <w:jc w:val="center"/>
            </w:pPr>
            <w: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447.215,65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29,</w:t>
            </w:r>
          </w:p>
          <w:p w:rsidR="00E302EC" w:rsidRDefault="00FC4F28">
            <w:pPr>
              <w:spacing w:after="0" w:line="259" w:lineRule="auto"/>
              <w:ind w:left="2" w:firstLine="0"/>
              <w:jc w:val="left"/>
            </w:pPr>
            <w: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378.513,77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53,6 </w:t>
            </w:r>
          </w:p>
        </w:tc>
      </w:tr>
      <w:tr w:rsidR="00E302EC">
        <w:trPr>
          <w:trHeight w:val="516"/>
        </w:trPr>
        <w:tc>
          <w:tcPr>
            <w:tcW w:w="57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201</w:t>
            </w:r>
          </w:p>
          <w:p w:rsidR="00E302EC" w:rsidRDefault="00FC4F28">
            <w:pPr>
              <w:spacing w:after="0" w:line="259" w:lineRule="auto"/>
              <w:ind w:left="3" w:firstLine="0"/>
              <w:jc w:val="left"/>
            </w:pPr>
            <w:r>
              <w:t xml:space="preserve">9 </w:t>
            </w:r>
          </w:p>
        </w:tc>
        <w:tc>
          <w:tcPr>
            <w:tcW w:w="10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27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542.000,00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1"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345.114,33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-63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246.391,33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-57 </w:t>
            </w:r>
          </w:p>
        </w:tc>
      </w:tr>
      <w:tr w:rsidR="00E302EC">
        <w:trPr>
          <w:trHeight w:val="516"/>
        </w:trPr>
        <w:tc>
          <w:tcPr>
            <w:tcW w:w="57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201</w:t>
            </w:r>
          </w:p>
          <w:p w:rsidR="00E302EC" w:rsidRDefault="00FC4F28">
            <w:pPr>
              <w:spacing w:after="0" w:line="259" w:lineRule="auto"/>
              <w:ind w:left="3" w:firstLine="0"/>
              <w:jc w:val="left"/>
            </w:pPr>
            <w:r>
              <w:t xml:space="preserve">8 </w:t>
            </w:r>
          </w:p>
        </w:tc>
        <w:tc>
          <w:tcPr>
            <w:tcW w:w="10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27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542.000,00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1"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932.586,12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16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570.377,67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3,6 </w:t>
            </w:r>
          </w:p>
        </w:tc>
      </w:tr>
    </w:tbl>
    <w:p w:rsidR="00E302EC" w:rsidRDefault="00FC4F28">
      <w:pPr>
        <w:spacing w:after="0" w:line="259" w:lineRule="auto"/>
        <w:ind w:left="992" w:firstLine="0"/>
        <w:jc w:val="left"/>
      </w:pPr>
      <w:r>
        <w:t xml:space="preserve"> </w:t>
      </w:r>
    </w:p>
    <w:p w:rsidR="00E302EC" w:rsidRDefault="00FC4F28">
      <w:pPr>
        <w:ind w:left="269" w:right="184" w:firstLine="708"/>
      </w:pPr>
      <w:r>
        <w:t xml:space="preserve">Destaca un importante decrecimiento del 23,7 </w:t>
      </w:r>
      <w:r>
        <w:t xml:space="preserve">%, de las cantidades liquidadas, mientras que supera las presupuestadas en un 13,7 %. </w:t>
      </w:r>
    </w:p>
    <w:p w:rsidR="00E302EC" w:rsidRDefault="00FC4F28">
      <w:pPr>
        <w:spacing w:after="0" w:line="259" w:lineRule="auto"/>
        <w:ind w:left="992"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80567" name="Group 28056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9176" name="Rectangle 917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9177" name="Rectangle 917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w:t>
                              </w:r>
                              <w:r>
                                <w:rPr>
                                  <w:sz w:val="12"/>
                                </w:rPr>
                                <w:t xml:space="preserve">estiona | Página 42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80567" style="width:12.7031pt;height:273.276pt;position:absolute;mso-position-horizontal-relative:page;mso-position-horizontal:absolute;margin-left:682.278pt;mso-position-vertical-relative:page;margin-top:538.644pt;" coordsize="1613,34706">
                <v:rect id="Rectangle 917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917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159 </w:t>
                        </w:r>
                      </w:p>
                    </w:txbxContent>
                  </v:textbox>
                </v:rect>
                <w10:wrap type="square"/>
              </v:group>
            </w:pict>
          </mc:Fallback>
        </mc:AlternateContent>
      </w:r>
      <w:r>
        <w:t xml:space="preserve"> </w:t>
      </w:r>
    </w:p>
    <w:p w:rsidR="00E302EC" w:rsidRDefault="00FC4F28">
      <w:pPr>
        <w:spacing w:after="0" w:line="259" w:lineRule="auto"/>
        <w:ind w:left="992" w:firstLine="0"/>
        <w:jc w:val="left"/>
      </w:pPr>
      <w:r>
        <w:t xml:space="preserve"> </w:t>
      </w:r>
    </w:p>
    <w:p w:rsidR="00E302EC" w:rsidRDefault="00FC4F28">
      <w:pPr>
        <w:spacing w:after="1" w:line="259" w:lineRule="auto"/>
        <w:ind w:left="279"/>
        <w:jc w:val="left"/>
      </w:pPr>
      <w:r>
        <w:rPr>
          <w:i/>
          <w:u w:val="single" w:color="000000"/>
        </w:rPr>
        <w:t>IAE</w:t>
      </w:r>
      <w:r>
        <w:rPr>
          <w:i/>
        </w:rPr>
        <w:t xml:space="preserve"> </w:t>
      </w:r>
    </w:p>
    <w:p w:rsidR="00E302EC" w:rsidRDefault="00FC4F28">
      <w:pPr>
        <w:spacing w:after="0" w:line="259" w:lineRule="auto"/>
        <w:ind w:left="284" w:firstLine="0"/>
        <w:jc w:val="left"/>
      </w:pPr>
      <w:r>
        <w:rPr>
          <w:i/>
        </w:rPr>
        <w:t xml:space="preserve"> </w:t>
      </w:r>
    </w:p>
    <w:p w:rsidR="00E302EC" w:rsidRDefault="00FC4F28">
      <w:pPr>
        <w:ind w:left="1002" w:right="184"/>
      </w:pPr>
      <w:r>
        <w:t xml:space="preserve">A continuación, se refleja en cuadro, la evolución de este impuesto: </w:t>
      </w:r>
    </w:p>
    <w:p w:rsidR="00E302EC" w:rsidRDefault="00FC4F28">
      <w:pPr>
        <w:spacing w:after="0" w:line="259" w:lineRule="auto"/>
        <w:ind w:left="992" w:firstLine="0"/>
        <w:jc w:val="left"/>
      </w:pPr>
      <w:r>
        <w:t xml:space="preserve"> </w:t>
      </w:r>
    </w:p>
    <w:tbl>
      <w:tblPr>
        <w:tblStyle w:val="TableGrid"/>
        <w:tblW w:w="8784" w:type="dxa"/>
        <w:tblInd w:w="161" w:type="dxa"/>
        <w:tblCellMar>
          <w:top w:w="9" w:type="dxa"/>
          <w:left w:w="67" w:type="dxa"/>
          <w:bottom w:w="0" w:type="dxa"/>
          <w:right w:w="15" w:type="dxa"/>
        </w:tblCellMar>
        <w:tblLook w:val="04A0" w:firstRow="1" w:lastRow="0" w:firstColumn="1" w:lastColumn="0" w:noHBand="0" w:noVBand="1"/>
      </w:tblPr>
      <w:tblGrid>
        <w:gridCol w:w="624"/>
        <w:gridCol w:w="1133"/>
        <w:gridCol w:w="425"/>
        <w:gridCol w:w="853"/>
        <w:gridCol w:w="425"/>
        <w:gridCol w:w="1274"/>
        <w:gridCol w:w="427"/>
        <w:gridCol w:w="1133"/>
        <w:gridCol w:w="569"/>
        <w:gridCol w:w="1417"/>
        <w:gridCol w:w="504"/>
      </w:tblGrid>
      <w:tr w:rsidR="00E302EC">
        <w:trPr>
          <w:trHeight w:val="1022"/>
        </w:trPr>
        <w:tc>
          <w:tcPr>
            <w:tcW w:w="6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pPr>
            <w:r>
              <w:t xml:space="preserve">AÑO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MATRÍCU</w:t>
            </w:r>
          </w:p>
          <w:p w:rsidR="00E302EC" w:rsidRDefault="00FC4F28">
            <w:pPr>
              <w:spacing w:after="0" w:line="259" w:lineRule="auto"/>
              <w:ind w:left="2" w:firstLine="0"/>
              <w:jc w:val="left"/>
            </w:pPr>
            <w:r>
              <w:t xml:space="preserve">LA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Nº </w:t>
            </w:r>
          </w:p>
          <w:p w:rsidR="00E302EC" w:rsidRDefault="00FC4F28">
            <w:pPr>
              <w:spacing w:after="0" w:line="259" w:lineRule="auto"/>
              <w:ind w:left="2" w:firstLine="0"/>
            </w:pPr>
            <w:r>
              <w:t>RECIB</w:t>
            </w:r>
          </w:p>
          <w:p w:rsidR="00E302EC" w:rsidRDefault="00FC4F28">
            <w:pPr>
              <w:spacing w:after="0" w:line="259" w:lineRule="auto"/>
              <w:ind w:left="2" w:firstLine="0"/>
              <w:jc w:val="left"/>
            </w:pPr>
            <w:r>
              <w:t xml:space="preserve">OS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PRESUPU ESTO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INGRES</w:t>
            </w:r>
          </w:p>
          <w:p w:rsidR="00E302EC" w:rsidRDefault="00FC4F28">
            <w:pPr>
              <w:spacing w:after="0" w:line="259" w:lineRule="auto"/>
              <w:ind w:left="2" w:firstLine="0"/>
              <w:jc w:val="left"/>
            </w:pPr>
            <w:r>
              <w:t xml:space="preserve">OS </w:t>
            </w:r>
          </w:p>
          <w:p w:rsidR="00E302EC" w:rsidRDefault="00FC4F28">
            <w:pPr>
              <w:spacing w:after="0" w:line="259" w:lineRule="auto"/>
              <w:ind w:left="2" w:firstLine="0"/>
              <w:jc w:val="left"/>
            </w:pPr>
            <w:r>
              <w:t>LIQUIDA</w:t>
            </w:r>
          </w:p>
          <w:p w:rsidR="00E302EC" w:rsidRDefault="00FC4F28">
            <w:pPr>
              <w:spacing w:after="0" w:line="259" w:lineRule="auto"/>
              <w:ind w:left="2" w:firstLine="0"/>
              <w:jc w:val="left"/>
            </w:pPr>
            <w:r>
              <w:t xml:space="preserve">DOS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RECAUDAC</w:t>
            </w:r>
          </w:p>
          <w:p w:rsidR="00E302EC" w:rsidRDefault="00FC4F28">
            <w:pPr>
              <w:spacing w:after="0" w:line="259" w:lineRule="auto"/>
              <w:ind w:left="0" w:firstLine="0"/>
              <w:jc w:val="left"/>
            </w:pPr>
            <w:r>
              <w:t xml:space="preserve">IÓN </w:t>
            </w:r>
          </w:p>
          <w:p w:rsidR="00E302EC" w:rsidRDefault="00FC4F28">
            <w:pPr>
              <w:spacing w:after="0" w:line="259" w:lineRule="auto"/>
              <w:ind w:left="0" w:firstLine="0"/>
              <w:jc w:val="left"/>
            </w:pPr>
            <w:r>
              <w:t xml:space="preserve">LÍQUIDA </w:t>
            </w:r>
          </w:p>
        </w:tc>
        <w:tc>
          <w:tcPr>
            <w:tcW w:w="5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r>
      <w:tr w:rsidR="00E302EC">
        <w:trPr>
          <w:trHeight w:val="517"/>
        </w:trPr>
        <w:tc>
          <w:tcPr>
            <w:tcW w:w="6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202</w:t>
            </w:r>
          </w:p>
          <w:p w:rsidR="00E302EC" w:rsidRDefault="00FC4F28">
            <w:pPr>
              <w:spacing w:after="0" w:line="259" w:lineRule="auto"/>
              <w:ind w:left="3" w:firstLine="0"/>
              <w:jc w:val="left"/>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472.611,8</w:t>
            </w:r>
          </w:p>
          <w:p w:rsidR="00E302EC" w:rsidRDefault="00FC4F28">
            <w:pPr>
              <w:spacing w:after="0" w:line="259" w:lineRule="auto"/>
              <w:ind w:left="2" w:firstLine="0"/>
              <w:jc w:val="left"/>
            </w:pPr>
            <w:r>
              <w:t xml:space="preserve">5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6,</w:t>
            </w:r>
          </w:p>
          <w:p w:rsidR="00E302EC" w:rsidRDefault="00FC4F28">
            <w:pPr>
              <w:spacing w:after="0" w:line="259" w:lineRule="auto"/>
              <w:ind w:left="2" w:firstLine="0"/>
              <w:jc w:val="left"/>
            </w:pPr>
            <w:r>
              <w:t xml:space="preserve">5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220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w:t>
            </w:r>
          </w:p>
          <w:p w:rsidR="00E302EC" w:rsidRDefault="00FC4F28">
            <w:pPr>
              <w:spacing w:after="0" w:line="259" w:lineRule="auto"/>
              <w:ind w:left="0" w:firstLine="0"/>
            </w:pPr>
            <w:r>
              <w:t xml:space="preserve">11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687.000,00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871.642,1</w:t>
            </w:r>
          </w:p>
          <w:p w:rsidR="00E302EC" w:rsidRDefault="00FC4F28">
            <w:pPr>
              <w:spacing w:after="0" w:line="259" w:lineRule="auto"/>
              <w:ind w:left="2" w:firstLine="0"/>
              <w:jc w:val="left"/>
            </w:pPr>
            <w:r>
              <w:t xml:space="preserve">4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26,</w:t>
            </w:r>
          </w:p>
          <w:p w:rsidR="00E302EC" w:rsidRDefault="00FC4F28">
            <w:pPr>
              <w:spacing w:after="0" w:line="259" w:lineRule="auto"/>
              <w:ind w:left="2" w:firstLine="0"/>
              <w:jc w:val="left"/>
            </w:pPr>
            <w:r>
              <w:t xml:space="preserve">7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871.642,14 </w:t>
            </w:r>
          </w:p>
        </w:tc>
        <w:tc>
          <w:tcPr>
            <w:tcW w:w="5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26,</w:t>
            </w:r>
          </w:p>
          <w:p w:rsidR="00E302EC" w:rsidRDefault="00FC4F28">
            <w:pPr>
              <w:spacing w:after="0" w:line="259" w:lineRule="auto"/>
              <w:ind w:left="2" w:firstLine="0"/>
              <w:jc w:val="left"/>
            </w:pPr>
            <w:r>
              <w:t xml:space="preserve">7 </w:t>
            </w:r>
          </w:p>
        </w:tc>
      </w:tr>
      <w:tr w:rsidR="00E302EC">
        <w:trPr>
          <w:trHeight w:val="516"/>
        </w:trPr>
        <w:tc>
          <w:tcPr>
            <w:tcW w:w="6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202</w:t>
            </w:r>
          </w:p>
          <w:p w:rsidR="00E302EC" w:rsidRDefault="00FC4F28">
            <w:pPr>
              <w:spacing w:after="0" w:line="259" w:lineRule="auto"/>
              <w:ind w:left="3" w:firstLine="0"/>
              <w:jc w:val="left"/>
            </w:pPr>
            <w: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443.556,5</w:t>
            </w:r>
          </w:p>
          <w:p w:rsidR="00E302EC" w:rsidRDefault="00FC4F28">
            <w:pPr>
              <w:spacing w:after="0" w:line="259" w:lineRule="auto"/>
              <w:ind w:left="2" w:firstLine="0"/>
              <w:jc w:val="left"/>
            </w:pPr>
            <w:r>
              <w:t xml:space="preserve">2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p>
          <w:p w:rsidR="00E302EC" w:rsidRDefault="00FC4F28">
            <w:pPr>
              <w:spacing w:after="0" w:line="259" w:lineRule="auto"/>
              <w:ind w:left="2" w:firstLine="0"/>
            </w:pPr>
            <w:r>
              <w:t xml:space="preserve">22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228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w:t>
            </w:r>
          </w:p>
          <w:p w:rsidR="00E302EC" w:rsidRDefault="00FC4F28">
            <w:pPr>
              <w:spacing w:after="0" w:line="259" w:lineRule="auto"/>
              <w:ind w:left="0" w:firstLine="0"/>
            </w:pPr>
            <w:r>
              <w:t xml:space="preserve">49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770.000,00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687.967,2</w:t>
            </w:r>
          </w:p>
          <w:p w:rsidR="00E302EC" w:rsidRDefault="00FC4F28">
            <w:pPr>
              <w:spacing w:after="0" w:line="259" w:lineRule="auto"/>
              <w:ind w:left="2" w:firstLine="0"/>
              <w:jc w:val="left"/>
            </w:pPr>
            <w:r>
              <w:t xml:space="preserve">0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687.967,20 </w:t>
            </w:r>
          </w:p>
        </w:tc>
        <w:tc>
          <w:tcPr>
            <w:tcW w:w="5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-9 </w:t>
            </w:r>
          </w:p>
        </w:tc>
      </w:tr>
      <w:tr w:rsidR="00E302EC">
        <w:trPr>
          <w:trHeight w:val="768"/>
        </w:trPr>
        <w:tc>
          <w:tcPr>
            <w:tcW w:w="6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201</w:t>
            </w:r>
          </w:p>
          <w:p w:rsidR="00E302EC" w:rsidRDefault="00FC4F28">
            <w:pPr>
              <w:spacing w:after="0" w:line="259" w:lineRule="auto"/>
              <w:ind w:left="3" w:firstLine="0"/>
              <w:jc w:val="left"/>
            </w:pPr>
            <w: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567.262,3</w:t>
            </w:r>
          </w:p>
          <w:p w:rsidR="00E302EC" w:rsidRDefault="00FC4F28">
            <w:pPr>
              <w:spacing w:after="0" w:line="259" w:lineRule="auto"/>
              <w:ind w:left="2" w:firstLine="0"/>
              <w:jc w:val="left"/>
            </w:pPr>
            <w:r>
              <w:t xml:space="preserve">8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2" w:line="238" w:lineRule="auto"/>
              <w:ind w:left="2" w:right="82" w:firstLine="0"/>
              <w:jc w:val="left"/>
            </w:pPr>
            <w:r>
              <w:t>1,</w:t>
            </w:r>
          </w:p>
          <w:p w:rsidR="00E302EC" w:rsidRDefault="00FC4F28">
            <w:pPr>
              <w:spacing w:after="0" w:line="259" w:lineRule="auto"/>
              <w:ind w:left="2" w:firstLine="0"/>
              <w:jc w:val="left"/>
            </w:pPr>
            <w:r>
              <w:t xml:space="preserve">5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448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770.000,00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757.544,4</w:t>
            </w:r>
          </w:p>
          <w:p w:rsidR="00E302EC" w:rsidRDefault="00FC4F28">
            <w:pPr>
              <w:spacing w:after="0" w:line="259" w:lineRule="auto"/>
              <w:ind w:left="2" w:firstLine="0"/>
              <w:jc w:val="left"/>
            </w:pPr>
            <w:r>
              <w:t xml:space="preserve">2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757.544,42 </w:t>
            </w:r>
          </w:p>
        </w:tc>
        <w:tc>
          <w:tcPr>
            <w:tcW w:w="5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1,1 </w:t>
            </w:r>
          </w:p>
        </w:tc>
      </w:tr>
      <w:tr w:rsidR="00E302EC">
        <w:trPr>
          <w:trHeight w:val="516"/>
        </w:trPr>
        <w:tc>
          <w:tcPr>
            <w:tcW w:w="6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 w:firstLine="0"/>
              <w:jc w:val="left"/>
            </w:pPr>
            <w:r>
              <w:t>201</w:t>
            </w:r>
          </w:p>
          <w:p w:rsidR="00E302EC" w:rsidRDefault="00FC4F28">
            <w:pPr>
              <w:spacing w:after="0" w:line="259" w:lineRule="auto"/>
              <w:ind w:left="3" w:firstLine="0"/>
              <w:jc w:val="left"/>
            </w:pPr>
            <w: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575.530,6</w:t>
            </w:r>
          </w:p>
          <w:p w:rsidR="00E302EC" w:rsidRDefault="00FC4F28">
            <w:pPr>
              <w:spacing w:after="0" w:line="259" w:lineRule="auto"/>
              <w:ind w:left="2"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430 </w:t>
            </w:r>
          </w:p>
        </w:tc>
        <w:tc>
          <w:tcPr>
            <w:tcW w:w="4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770.000,00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p>
          <w:p w:rsidR="00E302EC" w:rsidRDefault="00FC4F28">
            <w:pPr>
              <w:spacing w:after="0" w:line="259" w:lineRule="auto"/>
              <w:ind w:left="2" w:firstLine="0"/>
            </w:pPr>
            <w: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693.229,6</w:t>
            </w:r>
          </w:p>
          <w:p w:rsidR="00E302EC" w:rsidRDefault="00FC4F28">
            <w:pPr>
              <w:spacing w:after="0" w:line="259" w:lineRule="auto"/>
              <w:ind w:left="2" w:firstLine="0"/>
              <w:jc w:val="left"/>
            </w:pPr>
            <w:r>
              <w:t xml:space="preserve">8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693.229,68 </w:t>
            </w:r>
          </w:p>
        </w:tc>
        <w:tc>
          <w:tcPr>
            <w:tcW w:w="5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-10 </w:t>
            </w:r>
          </w:p>
        </w:tc>
      </w:tr>
    </w:tbl>
    <w:p w:rsidR="00E302EC" w:rsidRDefault="00FC4F28">
      <w:pPr>
        <w:spacing w:after="0" w:line="259" w:lineRule="auto"/>
        <w:ind w:left="284" w:firstLine="0"/>
        <w:jc w:val="left"/>
      </w:pPr>
      <w:r>
        <w:t xml:space="preserve"> </w:t>
      </w:r>
    </w:p>
    <w:p w:rsidR="00E302EC" w:rsidRDefault="00FC4F28">
      <w:pPr>
        <w:ind w:left="269" w:right="184" w:firstLine="708"/>
      </w:pPr>
      <w:r>
        <w:t>Hay que destacar que, en este concepto, se incluyen los ingresos que realiza la Hacienda estatal en concepto de compensación por la eliminación en el pago de la cuota del impuesto a los contribuyentes que tengan un importe neto de la cifra de negocios infe</w:t>
      </w:r>
      <w:r>
        <w:t>rior a un millón de euros, y que en el ejercicio 2021, ascendió a 236.674,20 Euros (232.723,56 Euros en el año anterior). Igualmente hay que incluir las cuotas nacionales y provinciales, que, en el ejercicio anterior, ascendió a 97.398,39 euros (100.341,18</w:t>
      </w:r>
      <w:r>
        <w:t xml:space="preserve"> Euros en 2020). La recaudación del Consorcio de Tributos de este impuesto fue de 524.171,30 Euros (421.199,11 Euros en 2019). También se ha incluido un total de 13.398,25 Euros, de liquidación positiva del ejercicio 2019. </w:t>
      </w:r>
    </w:p>
    <w:p w:rsidR="00E302EC" w:rsidRDefault="00FC4F28">
      <w:pPr>
        <w:spacing w:after="0" w:line="259" w:lineRule="auto"/>
        <w:ind w:left="992" w:firstLine="0"/>
        <w:jc w:val="left"/>
      </w:pPr>
      <w:r>
        <w:t xml:space="preserve"> </w:t>
      </w:r>
    </w:p>
    <w:p w:rsidR="00E302EC" w:rsidRDefault="00FC4F28">
      <w:pPr>
        <w:ind w:left="269" w:right="184" w:firstLine="708"/>
      </w:pPr>
      <w:r>
        <w:t>Ha aumentado las cantidades li</w:t>
      </w:r>
      <w:r>
        <w:t xml:space="preserve">quidadas en un 26,7 % y un 84,4 % las previsiones del año 2021. </w:t>
      </w:r>
    </w:p>
    <w:p w:rsidR="00E302EC" w:rsidRDefault="00FC4F28">
      <w:pPr>
        <w:spacing w:after="0" w:line="259" w:lineRule="auto"/>
        <w:ind w:left="992" w:firstLine="0"/>
        <w:jc w:val="left"/>
      </w:pPr>
      <w:r>
        <w:rPr>
          <w:i/>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B) IMPUESTOS INDIRECTOS </w:t>
      </w:r>
    </w:p>
    <w:p w:rsidR="00E302EC" w:rsidRDefault="00FC4F28">
      <w:pPr>
        <w:spacing w:after="0" w:line="259" w:lineRule="auto"/>
        <w:ind w:left="644" w:firstLine="0"/>
        <w:jc w:val="left"/>
      </w:pPr>
      <w:r>
        <w:rPr>
          <w:b/>
        </w:rPr>
        <w:t xml:space="preserve"> </w:t>
      </w:r>
    </w:p>
    <w:p w:rsidR="00E302EC" w:rsidRDefault="00FC4F28">
      <w:pPr>
        <w:ind w:left="279" w:right="184"/>
      </w:pPr>
      <w:r>
        <w:t xml:space="preserve"> </w:t>
      </w:r>
      <w:r>
        <w:t>Este capítulo experimenta una subida del 37,4 %, frente a la caída del 33,5 %, del año 2020, e incluye, además del Impuesto de Construcciones, Instalaciones y Obras, los recursos del Régimen Económico Fiscal: Arbitrios sobre la Importación y Entregas de Me</w:t>
      </w:r>
      <w:r>
        <w:t>rcancías en Canarias (AIEM), el Impuesto de Matriculación y el Impuesto General Indirecto Canario (IGIC).</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69" w:right="184" w:firstLine="708"/>
      </w:pPr>
      <w:r>
        <w:t xml:space="preserve"> Los recursos del REF se reparten los municipios en los siguientes porcentajes: un sesenta por ciento los Cabildos y un cuarenta por ciento, los Ay</w:t>
      </w:r>
      <w:r>
        <w:t>untamientos, distribuyéndose, de conformidad con los porcentajes de reparto establecidos por el Cabildo Insular de Tenerife: un 89,31 por 100 para el Impuesto General Indirecto Canario (IGIC); un 9,92 por 100 para los Arbitrios sobre la Importación y Entre</w:t>
      </w:r>
      <w:r>
        <w:t>gas de Mercancías en Canarias (AIEM) y un 0,77 por 100, para el Impuesto de Matriculación. Estos recursos han generado unos ingresos en el año 2021, de 4.063.069,17 Euros, frente a los 2.925.457,93 Euros del ejercicio anterior, un 38,9 % más, respecto al a</w:t>
      </w:r>
      <w:r>
        <w:t>ño anterior, con una subida del 8,4 % respecto a las previsiones presupuestarias.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8316" name="Group 25831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9532" name="Rectangle 953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9533" name="Rectangle 953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43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8316" style="width:12.7031pt;height:273.276pt;position:absolute;mso-position-horizontal-relative:page;mso-position-horizontal:absolute;margin-left:682.278pt;mso-position-vertical-relative:page;margin-top:538.644pt;" coordsize="1613,34706">
                <v:rect id="Rectangle 953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953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159 </w:t>
                        </w:r>
                      </w:p>
                    </w:txbxContent>
                  </v:textbox>
                </v:rect>
                <w10:wrap type="square"/>
              </v:group>
            </w:pict>
          </mc:Fallback>
        </mc:AlternateContent>
      </w:r>
      <w:r>
        <w:t xml:space="preserve"> </w:t>
      </w:r>
    </w:p>
    <w:p w:rsidR="00E302EC" w:rsidRDefault="00FC4F28">
      <w:pPr>
        <w:spacing w:after="0" w:line="259" w:lineRule="auto"/>
        <w:ind w:left="284" w:firstLine="0"/>
        <w:jc w:val="left"/>
      </w:pPr>
      <w:r>
        <w:t xml:space="preserve"> </w:t>
      </w:r>
    </w:p>
    <w:p w:rsidR="00E302EC" w:rsidRDefault="00FC4F28">
      <w:pPr>
        <w:spacing w:after="1" w:line="259" w:lineRule="auto"/>
        <w:ind w:left="279"/>
        <w:jc w:val="left"/>
      </w:pPr>
      <w:r>
        <w:rPr>
          <w:i/>
          <w:u w:val="single" w:color="000000"/>
        </w:rPr>
        <w:t>ICIO</w:t>
      </w:r>
      <w:r>
        <w:rPr>
          <w:i/>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992" w:firstLine="0"/>
        <w:jc w:val="left"/>
      </w:pPr>
      <w:r>
        <w:t xml:space="preserve"> </w:t>
      </w:r>
    </w:p>
    <w:tbl>
      <w:tblPr>
        <w:tblStyle w:val="TableGrid"/>
        <w:tblW w:w="8646" w:type="dxa"/>
        <w:tblInd w:w="785" w:type="dxa"/>
        <w:tblCellMar>
          <w:top w:w="9" w:type="dxa"/>
          <w:left w:w="67" w:type="dxa"/>
          <w:bottom w:w="0" w:type="dxa"/>
          <w:right w:w="51" w:type="dxa"/>
        </w:tblCellMar>
        <w:tblLook w:val="04A0" w:firstRow="1" w:lastRow="0" w:firstColumn="1" w:lastColumn="0" w:noHBand="0" w:noVBand="1"/>
      </w:tblPr>
      <w:tblGrid>
        <w:gridCol w:w="566"/>
        <w:gridCol w:w="1416"/>
        <w:gridCol w:w="1561"/>
        <w:gridCol w:w="427"/>
        <w:gridCol w:w="1558"/>
        <w:gridCol w:w="566"/>
        <w:gridCol w:w="1561"/>
        <w:gridCol w:w="991"/>
      </w:tblGrid>
      <w:tr w:rsidR="00E302EC">
        <w:trPr>
          <w:trHeight w:val="516"/>
        </w:trPr>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AÑ</w:t>
            </w:r>
          </w:p>
          <w:p w:rsidR="00E302EC" w:rsidRDefault="00FC4F28">
            <w:pPr>
              <w:spacing w:after="0" w:line="259" w:lineRule="auto"/>
              <w:ind w:left="2" w:firstLine="0"/>
              <w:jc w:val="left"/>
            </w:pPr>
            <w:r>
              <w:t xml:space="preserve">O </w:t>
            </w:r>
          </w:p>
        </w:tc>
        <w:tc>
          <w:tcPr>
            <w:tcW w:w="141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TIPO </w:t>
            </w:r>
          </w:p>
          <w:p w:rsidR="00E302EC" w:rsidRDefault="00FC4F28">
            <w:pPr>
              <w:spacing w:after="0" w:line="259" w:lineRule="auto"/>
              <w:ind w:left="2" w:firstLine="0"/>
            </w:pPr>
            <w:r>
              <w:t xml:space="preserve">GRAVAMEN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PRESUPUES</w:t>
            </w:r>
          </w:p>
          <w:p w:rsidR="00E302EC" w:rsidRDefault="00FC4F28">
            <w:pPr>
              <w:spacing w:after="0" w:line="259" w:lineRule="auto"/>
              <w:ind w:left="2" w:firstLine="0"/>
              <w:jc w:val="left"/>
            </w:pPr>
            <w:r>
              <w:t xml:space="preserve">TO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INGRESOS LIQUIDADOS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RECAUDACI ÓN LÍQUIDA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r>
      <w:tr w:rsidR="00E302EC">
        <w:trPr>
          <w:trHeight w:val="516"/>
        </w:trPr>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202</w:t>
            </w:r>
          </w:p>
          <w:p w:rsidR="00E302EC" w:rsidRDefault="00FC4F28">
            <w:pPr>
              <w:spacing w:after="0" w:line="259" w:lineRule="auto"/>
              <w:ind w:left="2" w:firstLine="0"/>
              <w:jc w:val="left"/>
            </w:pPr>
            <w:r>
              <w:t xml:space="preserve">1 </w:t>
            </w:r>
          </w:p>
        </w:tc>
        <w:tc>
          <w:tcPr>
            <w:tcW w:w="141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242.000,00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51 </w:t>
            </w:r>
          </w:p>
        </w:tc>
        <w:tc>
          <w:tcPr>
            <w:tcW w:w="15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290.944,74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19,</w:t>
            </w:r>
          </w:p>
          <w:p w:rsidR="00E302EC" w:rsidRDefault="00FC4F28">
            <w:pPr>
              <w:spacing w:after="0" w:line="259" w:lineRule="auto"/>
              <w:ind w:left="2" w:firstLine="0"/>
              <w:jc w:val="left"/>
            </w:pPr>
            <w:r>
              <w:t xml:space="preserve">7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169.921,25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-30,5 </w:t>
            </w:r>
          </w:p>
        </w:tc>
      </w:tr>
      <w:tr w:rsidR="00E302EC">
        <w:trPr>
          <w:trHeight w:val="517"/>
        </w:trPr>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202</w:t>
            </w:r>
          </w:p>
          <w:p w:rsidR="00E302EC" w:rsidRDefault="00FC4F28">
            <w:pPr>
              <w:spacing w:after="0" w:line="259" w:lineRule="auto"/>
              <w:ind w:left="2" w:firstLine="0"/>
              <w:jc w:val="left"/>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160.000,00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243.130,60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w:t>
            </w:r>
          </w:p>
          <w:p w:rsidR="00E302EC" w:rsidRDefault="00FC4F28">
            <w:pPr>
              <w:spacing w:after="0" w:line="259" w:lineRule="auto"/>
              <w:ind w:left="2" w:firstLine="0"/>
              <w:jc w:val="left"/>
            </w:pPr>
            <w:r>
              <w:t xml:space="preserve">7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242.908,77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25,7 </w:t>
            </w:r>
          </w:p>
        </w:tc>
      </w:tr>
      <w:tr w:rsidR="00E302EC">
        <w:trPr>
          <w:trHeight w:val="516"/>
        </w:trPr>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201</w:t>
            </w:r>
          </w:p>
          <w:p w:rsidR="00E302EC" w:rsidRDefault="00FC4F28">
            <w:pPr>
              <w:spacing w:after="0" w:line="259" w:lineRule="auto"/>
              <w:ind w:left="2" w:firstLine="0"/>
              <w:jc w:val="left"/>
            </w:pPr>
            <w:r>
              <w:t xml:space="preserve">9 </w:t>
            </w:r>
          </w:p>
        </w:tc>
        <w:tc>
          <w:tcPr>
            <w:tcW w:w="141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160.000,00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201.118,61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-21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193.274,47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-21 </w:t>
            </w:r>
          </w:p>
        </w:tc>
      </w:tr>
      <w:tr w:rsidR="00E302EC">
        <w:trPr>
          <w:trHeight w:val="516"/>
        </w:trPr>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201</w:t>
            </w:r>
          </w:p>
          <w:p w:rsidR="00E302EC" w:rsidRDefault="00FC4F28">
            <w:pPr>
              <w:spacing w:after="0" w:line="259" w:lineRule="auto"/>
              <w:ind w:left="2" w:firstLine="0"/>
              <w:jc w:val="left"/>
            </w:pPr>
            <w:r>
              <w:t xml:space="preserve">8 </w:t>
            </w:r>
          </w:p>
        </w:tc>
        <w:tc>
          <w:tcPr>
            <w:tcW w:w="141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160.000,00 </w:t>
            </w:r>
          </w:p>
        </w:tc>
        <w:tc>
          <w:tcPr>
            <w:tcW w:w="4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60 </w:t>
            </w:r>
          </w:p>
        </w:tc>
        <w:tc>
          <w:tcPr>
            <w:tcW w:w="15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253.724,70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50,</w:t>
            </w:r>
          </w:p>
          <w:p w:rsidR="00E302EC" w:rsidRDefault="00FC4F28">
            <w:pPr>
              <w:spacing w:after="0" w:line="259" w:lineRule="auto"/>
              <w:ind w:left="2" w:firstLine="0"/>
              <w:jc w:val="left"/>
            </w:pPr>
            <w:r>
              <w:t xml:space="preserve">7 </w:t>
            </w:r>
          </w:p>
        </w:tc>
        <w:tc>
          <w:tcPr>
            <w:tcW w:w="156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243.631,68 </w:t>
            </w:r>
          </w:p>
        </w:tc>
        <w:tc>
          <w:tcPr>
            <w:tcW w:w="99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51 </w:t>
            </w:r>
          </w:p>
        </w:tc>
      </w:tr>
    </w:tbl>
    <w:p w:rsidR="00E302EC" w:rsidRDefault="00FC4F28">
      <w:pPr>
        <w:spacing w:after="0" w:line="259" w:lineRule="auto"/>
        <w:ind w:left="1056" w:firstLine="0"/>
        <w:jc w:val="left"/>
      </w:pPr>
      <w:r>
        <w:t xml:space="preserve"> </w:t>
      </w:r>
    </w:p>
    <w:p w:rsidR="00E302EC" w:rsidRDefault="00FC4F28">
      <w:pPr>
        <w:ind w:left="348" w:right="184" w:firstLine="708"/>
      </w:pPr>
      <w:r>
        <w:t xml:space="preserve">Destaca una subida del 19,4 %, respecto al año anterior de los ingresos liquidados y un 20,2 %, respecto a lo previsto en el Presupuesto general. </w:t>
      </w:r>
    </w:p>
    <w:p w:rsidR="00E302EC" w:rsidRDefault="00FC4F28">
      <w:pPr>
        <w:spacing w:after="0" w:line="259" w:lineRule="auto"/>
        <w:ind w:left="284" w:firstLine="0"/>
        <w:jc w:val="left"/>
      </w:pPr>
      <w:r>
        <w:t xml:space="preserve"> </w:t>
      </w:r>
      <w:r>
        <w:tab/>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C) TASAS, PRECIOS PÚBLICOS Y OTROS INGRESOS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 xml:space="preserve"> </w:t>
      </w:r>
      <w:r>
        <w:rPr>
          <w:b/>
        </w:rPr>
        <w:tab/>
      </w:r>
      <w:r>
        <w:t xml:space="preserve">A continuación, se refleja en cuadro, la evolución de </w:t>
      </w:r>
      <w:r>
        <w:t>este capítulo de Tasas, que disminuye un 16 %, frente a la subida de un 10 %, en el ejercicio anterior:</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tbl>
      <w:tblPr>
        <w:tblStyle w:val="TableGrid"/>
        <w:tblW w:w="8675" w:type="dxa"/>
        <w:tblInd w:w="332" w:type="dxa"/>
        <w:tblCellMar>
          <w:top w:w="9" w:type="dxa"/>
          <w:left w:w="70" w:type="dxa"/>
          <w:bottom w:w="0" w:type="dxa"/>
          <w:right w:w="56" w:type="dxa"/>
        </w:tblCellMar>
        <w:tblLook w:val="04A0" w:firstRow="1" w:lastRow="0" w:firstColumn="1" w:lastColumn="0" w:noHBand="0" w:noVBand="1"/>
      </w:tblPr>
      <w:tblGrid>
        <w:gridCol w:w="737"/>
        <w:gridCol w:w="1418"/>
        <w:gridCol w:w="567"/>
        <w:gridCol w:w="2268"/>
        <w:gridCol w:w="708"/>
        <w:gridCol w:w="2269"/>
        <w:gridCol w:w="708"/>
      </w:tblGrid>
      <w:tr w:rsidR="00E302EC">
        <w:trPr>
          <w:trHeight w:val="768"/>
        </w:trPr>
        <w:tc>
          <w:tcPr>
            <w:tcW w:w="73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AÑO </w:t>
            </w:r>
          </w:p>
        </w:tc>
        <w:tc>
          <w:tcPr>
            <w:tcW w:w="14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PRESUPUE</w:t>
            </w:r>
          </w:p>
          <w:p w:rsidR="00E302EC" w:rsidRDefault="00FC4F28">
            <w:pPr>
              <w:spacing w:after="0" w:line="259" w:lineRule="auto"/>
              <w:ind w:left="0" w:firstLine="0"/>
              <w:jc w:val="left"/>
            </w:pPr>
            <w:r>
              <w:t xml:space="preserve">STO </w:t>
            </w:r>
          </w:p>
          <w:p w:rsidR="00E302EC" w:rsidRDefault="00FC4F28">
            <w:pPr>
              <w:spacing w:after="0" w:line="259" w:lineRule="auto"/>
              <w:ind w:lef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INGRESOS LIQUIDADOS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RECAUDACIÓN LÍQUIDA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73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2021 </w:t>
            </w:r>
          </w:p>
        </w:tc>
        <w:tc>
          <w:tcPr>
            <w:tcW w:w="14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1.845.100,0</w:t>
            </w:r>
          </w:p>
          <w:p w:rsidR="00E302EC" w:rsidRDefault="00FC4F28">
            <w:pPr>
              <w:spacing w:after="0" w:line="259" w:lineRule="auto"/>
              <w:ind w:left="0" w:firstLine="0"/>
              <w:jc w:val="left"/>
            </w:pPr>
            <w:r>
              <w:t xml:space="preserve">0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-6,7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2.483.992,82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15 </w:t>
            </w:r>
          </w:p>
        </w:tc>
        <w:tc>
          <w:tcPr>
            <w:tcW w:w="22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2.236.317,83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12,2 </w:t>
            </w:r>
          </w:p>
        </w:tc>
      </w:tr>
      <w:tr w:rsidR="00E302EC">
        <w:trPr>
          <w:trHeight w:val="517"/>
        </w:trPr>
        <w:tc>
          <w:tcPr>
            <w:tcW w:w="73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2020 </w:t>
            </w:r>
          </w:p>
        </w:tc>
        <w:tc>
          <w:tcPr>
            <w:tcW w:w="14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1.975.450,0</w:t>
            </w:r>
          </w:p>
          <w:p w:rsidR="00E302EC" w:rsidRDefault="00FC4F28">
            <w:pPr>
              <w:spacing w:after="0" w:line="259" w:lineRule="auto"/>
              <w:ind w:left="0" w:firstLine="0"/>
              <w:jc w:val="left"/>
            </w:pPr>
            <w:r>
              <w:t xml:space="preserve">0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-16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2.154.494,58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-14 </w:t>
            </w:r>
          </w:p>
        </w:tc>
        <w:tc>
          <w:tcPr>
            <w:tcW w:w="22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1.993.404,36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-11,5 </w:t>
            </w:r>
          </w:p>
        </w:tc>
      </w:tr>
      <w:tr w:rsidR="00E302EC">
        <w:trPr>
          <w:trHeight w:val="516"/>
        </w:trPr>
        <w:tc>
          <w:tcPr>
            <w:tcW w:w="73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2019 </w:t>
            </w:r>
          </w:p>
        </w:tc>
        <w:tc>
          <w:tcPr>
            <w:tcW w:w="14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2.345.324,0</w:t>
            </w:r>
          </w:p>
          <w:p w:rsidR="00E302EC" w:rsidRDefault="00FC4F28">
            <w:pPr>
              <w:spacing w:after="0" w:line="259" w:lineRule="auto"/>
              <w:ind w:left="0" w:firstLine="0"/>
              <w:jc w:val="left"/>
            </w:pPr>
            <w:r>
              <w:t xml:space="preserve">0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2.497.963,94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9,8 </w:t>
            </w:r>
          </w:p>
        </w:tc>
        <w:tc>
          <w:tcPr>
            <w:tcW w:w="22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2.248.778,71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9,9 </w:t>
            </w:r>
          </w:p>
        </w:tc>
      </w:tr>
      <w:tr w:rsidR="00E302EC">
        <w:trPr>
          <w:trHeight w:val="516"/>
        </w:trPr>
        <w:tc>
          <w:tcPr>
            <w:tcW w:w="73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2018 </w:t>
            </w:r>
          </w:p>
        </w:tc>
        <w:tc>
          <w:tcPr>
            <w:tcW w:w="14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2.391.159,5</w:t>
            </w:r>
          </w:p>
          <w:p w:rsidR="00E302EC" w:rsidRDefault="00FC4F28">
            <w:pPr>
              <w:spacing w:after="0" w:line="259" w:lineRule="auto"/>
              <w:ind w:left="0" w:firstLine="0"/>
              <w:jc w:val="left"/>
            </w:pPr>
            <w:r>
              <w:t xml:space="preserve">7 </w:t>
            </w:r>
          </w:p>
        </w:tc>
        <w:tc>
          <w:tcPr>
            <w:tcW w:w="56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7,4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2.274.712,15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-36,4 </w:t>
            </w:r>
          </w:p>
        </w:tc>
        <w:tc>
          <w:tcPr>
            <w:tcW w:w="22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2.045.681,99 </w:t>
            </w:r>
          </w:p>
        </w:tc>
        <w:tc>
          <w:tcPr>
            <w:tcW w:w="70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-26 </w:t>
            </w:r>
          </w:p>
        </w:tc>
      </w:tr>
    </w:tbl>
    <w:p w:rsidR="00E302EC" w:rsidRDefault="00FC4F28">
      <w:pPr>
        <w:spacing w:after="0" w:line="259" w:lineRule="auto"/>
        <w:ind w:left="284" w:firstLine="0"/>
        <w:jc w:val="left"/>
      </w:pPr>
      <w:r>
        <w:t xml:space="preserve"> </w:t>
      </w:r>
      <w:r>
        <w:tab/>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w:t>
      </w:r>
      <w:r>
        <w:t>En el lado de las Tasas por prestación de servicios o realización de actividades de competencia municipal, destaca el aumento de la liquidación de la tasa por recogida de residuos, en un 0,9 % (subió un 9,2 % en el año anterior), hasta llegar a los 1.185.1</w:t>
      </w:r>
      <w:r>
        <w:t xml:space="preserve">37,53 Euros (representa esta tasa el 48,2 %, frente 55,7 %, en el ejercicio anterior, de este capítulo de ingresos). Aumenta un 7,7 % respecto a las previsiones. </w:t>
      </w:r>
    </w:p>
    <w:p w:rsidR="00E302EC" w:rsidRDefault="00FC4F28">
      <w:pPr>
        <w:spacing w:after="0" w:line="259" w:lineRule="auto"/>
        <w:ind w:left="284" w:firstLine="0"/>
        <w:jc w:val="left"/>
      </w:pPr>
      <w:r>
        <w:t xml:space="preserve"> </w:t>
      </w:r>
    </w:p>
    <w:p w:rsidR="00E302EC" w:rsidRDefault="00FC4F28">
      <w:pPr>
        <w:ind w:left="279" w:right="184"/>
      </w:pPr>
      <w:r>
        <w:t xml:space="preserve"> En servicios deportivos, aumenta un 50,5 % respecto del año anterior y un 50,2 % respecto </w:t>
      </w:r>
      <w:r>
        <w:t xml:space="preserve">las previsiones.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2531" name="Group 23253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9868" name="Rectangle 986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9869" name="Rectangle 986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44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2531" style="width:12.7031pt;height:273.276pt;position:absolute;mso-position-horizontal-relative:page;mso-position-horizontal:absolute;margin-left:682.278pt;mso-position-vertical-relative:page;margin-top:538.644pt;" coordsize="1613,34706">
                <v:rect id="Rectangle 986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986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159 </w:t>
                        </w:r>
                      </w:p>
                    </w:txbxContent>
                  </v:textbox>
                </v:rect>
                <w10:wrap type="square"/>
              </v:group>
            </w:pict>
          </mc:Fallback>
        </mc:AlternateContent>
      </w:r>
      <w:r>
        <w:t xml:space="preserve"> </w:t>
      </w:r>
      <w:r>
        <w:tab/>
        <w:t>En la tasa por entrada de vehículos a</w:t>
      </w:r>
      <w:r>
        <w:t xml:space="preserve"> través de las aceras, el aumento fue del 21,3 % y un 22 % respecto las previsiones. </w:t>
      </w:r>
    </w:p>
    <w:p w:rsidR="00E302EC" w:rsidRDefault="00FC4F28">
      <w:pPr>
        <w:spacing w:after="0" w:line="259" w:lineRule="auto"/>
        <w:ind w:left="284" w:firstLine="0"/>
        <w:jc w:val="left"/>
      </w:pPr>
      <w:r>
        <w:t xml:space="preserve"> </w:t>
      </w:r>
    </w:p>
    <w:p w:rsidR="00E302EC" w:rsidRDefault="00FC4F28">
      <w:pPr>
        <w:ind w:left="279" w:right="184"/>
      </w:pPr>
      <w:r>
        <w:t xml:space="preserve"> La tasa que paga Endesa por ocupación dominio público local, se incrementó un 16,5 % y un 52,8 %, en relación a las previsiones del año 2020. En cuanto a Telefónica, l</w:t>
      </w:r>
      <w:r>
        <w:t xml:space="preserve">a subida fue del 90 % y mismo porcentaje en relación a las previsiones. </w:t>
      </w:r>
    </w:p>
    <w:p w:rsidR="00E302EC" w:rsidRDefault="00FC4F28">
      <w:pPr>
        <w:spacing w:after="0" w:line="259" w:lineRule="auto"/>
        <w:ind w:left="284" w:firstLine="0"/>
        <w:jc w:val="left"/>
      </w:pPr>
      <w:r>
        <w:t xml:space="preserve"> </w:t>
      </w:r>
    </w:p>
    <w:p w:rsidR="00E302EC" w:rsidRDefault="00FC4F28">
      <w:pPr>
        <w:ind w:left="279" w:right="184"/>
      </w:pPr>
      <w:r>
        <w:t xml:space="preserve"> En Mesa y Sillas, hay una leve caía del 3 %, pero un incremento del 1.673 %, en relación a las previsiones. </w:t>
      </w:r>
    </w:p>
    <w:p w:rsidR="00E302EC" w:rsidRDefault="00FC4F28">
      <w:pPr>
        <w:spacing w:after="0" w:line="259" w:lineRule="auto"/>
        <w:ind w:left="284" w:firstLine="0"/>
        <w:jc w:val="left"/>
      </w:pPr>
      <w:r>
        <w:t xml:space="preserve"> </w:t>
      </w:r>
    </w:p>
    <w:p w:rsidR="00E302EC" w:rsidRDefault="00FC4F28">
      <w:pPr>
        <w:ind w:left="279" w:right="184"/>
      </w:pPr>
      <w:r>
        <w:t xml:space="preserve"> En la tasa por servicios prestados a través de la UPCAN, se obtuvier</w:t>
      </w:r>
      <w:r>
        <w:t xml:space="preserve">on unos ingresos liquidados de 114.230 Euros, frente al año anterior, que fue nulo. </w:t>
      </w:r>
    </w:p>
    <w:p w:rsidR="00E302EC" w:rsidRDefault="00FC4F28">
      <w:pPr>
        <w:spacing w:after="0" w:line="259" w:lineRule="auto"/>
        <w:ind w:left="284" w:firstLine="0"/>
        <w:jc w:val="left"/>
      </w:pPr>
      <w:r>
        <w:t xml:space="preserve"> </w:t>
      </w:r>
    </w:p>
    <w:p w:rsidR="00E302EC" w:rsidRDefault="00FC4F28">
      <w:pPr>
        <w:ind w:left="279" w:right="184"/>
      </w:pPr>
      <w:r>
        <w:t xml:space="preserve"> Sube la liquidación de multas por infracción de la ordenanza de tráfico en un 180,2 %, frente a la caía en el ejercicio anterior, que descendió un 50 %. Aumenta un 212 </w:t>
      </w:r>
      <w:r>
        <w:t xml:space="preserve">% respecto las previsiones. </w:t>
      </w:r>
    </w:p>
    <w:p w:rsidR="00E302EC" w:rsidRDefault="00FC4F28">
      <w:pPr>
        <w:spacing w:after="0" w:line="259" w:lineRule="auto"/>
        <w:ind w:left="284" w:firstLine="0"/>
        <w:jc w:val="left"/>
      </w:pPr>
      <w:r>
        <w:t xml:space="preserve"> </w:t>
      </w:r>
    </w:p>
    <w:p w:rsidR="00E302EC" w:rsidRDefault="00FC4F28">
      <w:pPr>
        <w:spacing w:line="249" w:lineRule="auto"/>
        <w:ind w:left="279" w:right="184"/>
        <w:jc w:val="left"/>
      </w:pPr>
      <w:r>
        <w:t xml:space="preserve"> </w:t>
      </w:r>
      <w:r>
        <w:tab/>
      </w:r>
      <w:r>
        <w:t>Crece las liquidaciones en el recargo de apremio en un 23 % y los intereses de demora, en un 60,5 %, de los recursos tributarios y no tributarios municipales (y también el mismo porcentaje respecto las previsiones), que gestiona el Consorcio de tributos de</w:t>
      </w:r>
      <w:r>
        <w:t xml:space="preserve"> Tenerife, si bien es un recurso que corresponde a dicho ente, respecto del primero y un 50 % en relación al segundo.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D) TRANSFERENCIAS CORRIENTES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w:t>
      </w:r>
      <w:r>
        <w:tab/>
      </w:r>
      <w:r>
        <w:t xml:space="preserve">En materia de Transferencias Corrientes, cae un 8,7 %, frente a la subida de un 22,4 % en año anterior. </w:t>
      </w:r>
    </w:p>
    <w:p w:rsidR="00E302EC" w:rsidRDefault="00FC4F28">
      <w:pPr>
        <w:spacing w:after="0" w:line="259" w:lineRule="auto"/>
        <w:ind w:left="284" w:firstLine="0"/>
        <w:jc w:val="left"/>
      </w:pPr>
      <w:r>
        <w:t xml:space="preserve"> </w:t>
      </w:r>
    </w:p>
    <w:tbl>
      <w:tblPr>
        <w:tblStyle w:val="TableGrid"/>
        <w:tblW w:w="8973" w:type="dxa"/>
        <w:tblInd w:w="320" w:type="dxa"/>
        <w:tblCellMar>
          <w:top w:w="11" w:type="dxa"/>
          <w:left w:w="70" w:type="dxa"/>
          <w:bottom w:w="0" w:type="dxa"/>
          <w:right w:w="56" w:type="dxa"/>
        </w:tblCellMar>
        <w:tblLook w:val="04A0" w:firstRow="1" w:lastRow="0" w:firstColumn="1" w:lastColumn="0" w:noHBand="0" w:noVBand="1"/>
      </w:tblPr>
      <w:tblGrid>
        <w:gridCol w:w="600"/>
        <w:gridCol w:w="1848"/>
        <w:gridCol w:w="569"/>
        <w:gridCol w:w="2268"/>
        <w:gridCol w:w="566"/>
        <w:gridCol w:w="2410"/>
        <w:gridCol w:w="710"/>
      </w:tblGrid>
      <w:tr w:rsidR="00E302EC">
        <w:trPr>
          <w:trHeight w:val="516"/>
        </w:trPr>
        <w:tc>
          <w:tcPr>
            <w:tcW w:w="6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AÑ</w:t>
            </w:r>
          </w:p>
          <w:p w:rsidR="00E302EC" w:rsidRDefault="00FC4F28">
            <w:pPr>
              <w:spacing w:after="0" w:line="259" w:lineRule="auto"/>
              <w:ind w:left="0" w:firstLine="0"/>
              <w:jc w:val="left"/>
            </w:pPr>
            <w:r>
              <w:t xml:space="preserve">O </w:t>
            </w:r>
          </w:p>
        </w:tc>
        <w:tc>
          <w:tcPr>
            <w:tcW w:w="184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PRESUPUESTO </w:t>
            </w:r>
          </w:p>
          <w:p w:rsidR="00E302EC" w:rsidRDefault="00FC4F28">
            <w:pPr>
              <w:spacing w:after="0" w:line="259" w:lineRule="auto"/>
              <w:ind w:left="0" w:firstLine="0"/>
              <w:jc w:val="left"/>
            </w:pP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INGRESOS LIQUIDADOS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RECAUDACIÓN LÍQUIDA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6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202</w:t>
            </w:r>
          </w:p>
          <w:p w:rsidR="00E302EC" w:rsidRDefault="00FC4F28">
            <w:pPr>
              <w:spacing w:after="0" w:line="259" w:lineRule="auto"/>
              <w:ind w:left="0" w:firstLine="0"/>
              <w:jc w:val="left"/>
            </w:pPr>
            <w:r>
              <w:t xml:space="preserve">1 </w:t>
            </w:r>
          </w:p>
        </w:tc>
        <w:tc>
          <w:tcPr>
            <w:tcW w:w="184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7.739.526,30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10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11.911.285,91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 </w:t>
            </w:r>
          </w:p>
        </w:tc>
        <w:tc>
          <w:tcPr>
            <w:tcW w:w="24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11.911.285,91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 </w:t>
            </w:r>
          </w:p>
        </w:tc>
      </w:tr>
      <w:tr w:rsidR="00E302EC">
        <w:trPr>
          <w:trHeight w:val="517"/>
        </w:trPr>
        <w:tc>
          <w:tcPr>
            <w:tcW w:w="6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202</w:t>
            </w:r>
          </w:p>
          <w:p w:rsidR="00E302EC" w:rsidRDefault="00FC4F28">
            <w:pPr>
              <w:spacing w:after="0" w:line="259" w:lineRule="auto"/>
              <w:ind w:left="0" w:firstLine="0"/>
              <w:jc w:val="left"/>
            </w:pPr>
            <w:r>
              <w:t xml:space="preserve">0 </w:t>
            </w:r>
          </w:p>
        </w:tc>
        <w:tc>
          <w:tcPr>
            <w:tcW w:w="184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7.022.228,63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-28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9.915.782,65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-8,3 </w:t>
            </w:r>
          </w:p>
        </w:tc>
        <w:tc>
          <w:tcPr>
            <w:tcW w:w="24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9.915.782,65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-8,3 </w:t>
            </w:r>
          </w:p>
        </w:tc>
      </w:tr>
      <w:tr w:rsidR="00E302EC">
        <w:trPr>
          <w:trHeight w:val="516"/>
        </w:trPr>
        <w:tc>
          <w:tcPr>
            <w:tcW w:w="6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201</w:t>
            </w:r>
          </w:p>
          <w:p w:rsidR="00E302EC" w:rsidRDefault="00FC4F28">
            <w:pPr>
              <w:spacing w:after="0" w:line="259" w:lineRule="auto"/>
              <w:ind w:left="0" w:firstLine="0"/>
              <w:jc w:val="left"/>
            </w:pPr>
            <w:r>
              <w:t xml:space="preserve">9 </w:t>
            </w:r>
          </w:p>
        </w:tc>
        <w:tc>
          <w:tcPr>
            <w:tcW w:w="184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9.780.509,42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10.804.057,40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22,</w:t>
            </w:r>
          </w:p>
          <w:p w:rsidR="00E302EC" w:rsidRDefault="00FC4F28">
            <w:pPr>
              <w:spacing w:after="0" w:line="259" w:lineRule="auto"/>
              <w:ind w:left="0" w:firstLine="0"/>
              <w:jc w:val="left"/>
            </w:pPr>
            <w: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10.804.057,40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22,4 </w:t>
            </w:r>
          </w:p>
        </w:tc>
      </w:tr>
      <w:tr w:rsidR="00E302EC">
        <w:trPr>
          <w:trHeight w:val="518"/>
        </w:trPr>
        <w:tc>
          <w:tcPr>
            <w:tcW w:w="6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201</w:t>
            </w:r>
          </w:p>
          <w:p w:rsidR="00E302EC" w:rsidRDefault="00FC4F28">
            <w:pPr>
              <w:spacing w:after="0" w:line="259" w:lineRule="auto"/>
              <w:ind w:left="0" w:firstLine="0"/>
              <w:jc w:val="left"/>
            </w:pPr>
            <w:r>
              <w:t xml:space="preserve">8 </w:t>
            </w:r>
          </w:p>
        </w:tc>
        <w:tc>
          <w:tcPr>
            <w:tcW w:w="184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10.201.686,33 </w:t>
            </w:r>
          </w:p>
        </w:tc>
        <w:tc>
          <w:tcPr>
            <w:tcW w:w="56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38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8.824.131,12 </w:t>
            </w:r>
          </w:p>
        </w:tc>
        <w:tc>
          <w:tcPr>
            <w:tcW w:w="5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1,7 </w:t>
            </w:r>
          </w:p>
        </w:tc>
        <w:tc>
          <w:tcPr>
            <w:tcW w:w="24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8.824.131,12 </w:t>
            </w:r>
          </w:p>
        </w:tc>
        <w:tc>
          <w:tcPr>
            <w:tcW w:w="7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1,7 </w:t>
            </w:r>
          </w:p>
        </w:tc>
      </w:tr>
    </w:tbl>
    <w:p w:rsidR="00E302EC" w:rsidRDefault="00FC4F28">
      <w:pPr>
        <w:spacing w:after="0" w:line="259" w:lineRule="auto"/>
        <w:ind w:left="284" w:firstLine="0"/>
        <w:jc w:val="left"/>
      </w:pPr>
      <w:r>
        <w:rPr>
          <w:b/>
        </w:rPr>
        <w:t xml:space="preserve"> </w:t>
      </w:r>
    </w:p>
    <w:p w:rsidR="00E302EC" w:rsidRDefault="00FC4F28">
      <w:pPr>
        <w:ind w:left="279" w:right="184"/>
      </w:pPr>
      <w:r>
        <w:rPr>
          <w:b/>
        </w:rPr>
        <w:t xml:space="preserve"> </w:t>
      </w:r>
      <w:r>
        <w:t xml:space="preserve">En este capítulo se han liquidado a 20 % más, que asciende al 54 % si lo comparamos con las previsiones del presupuesto general, destacando la subida de las transferencias del Estado, de las que la Participación de los Tributos del Estado representa el 97 </w:t>
      </w:r>
      <w:r>
        <w:t>% del total estatal, creciendo un 6 % en relación al año anterior y las previsiones (un 7 % creció en 2020).</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69" w:right="184" w:firstLine="708"/>
      </w:pPr>
      <w:r>
        <w:t>En relación a las transferencias de la Comunidad Autónoma, crece un 30 % respecto al año 2020 y un 160 % en relación a las previsiones, de las q</w:t>
      </w:r>
      <w:r>
        <w:t xml:space="preserve">ue el Fondo Canario de Financiación Municipal, representa el 32,5 %. La aportación del Servicio Canario de Empleo, subió un 136 %.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9445" name="Group 26944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0397" name="Rectangle 1039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0398" name="Rectangle 10398"/>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45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9445" style="width:12.7031pt;height:273.276pt;position:absolute;mso-position-horizontal-relative:page;mso-position-horizontal:absolute;margin-left:682.278pt;mso-position-vertical-relative:page;margin-top:538.644pt;" coordsize="1613,34706">
                <v:rect id="Rectangle 1039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0398"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159 </w:t>
                        </w:r>
                      </w:p>
                    </w:txbxContent>
                  </v:textbox>
                </v:rect>
                <w10:wrap type="square"/>
              </v:group>
            </w:pict>
          </mc:Fallback>
        </mc:AlternateContent>
      </w:r>
      <w:r>
        <w:t xml:space="preserve"> Los ingresos del Cabildo Insular, subió un 217 % motivado por las subvenciones para Candelaria por el Empleo y para paliar situaciones de vulnerabilidad por el c</w:t>
      </w:r>
      <w:r>
        <w:t xml:space="preserve">ovid. </w:t>
      </w:r>
    </w:p>
    <w:p w:rsidR="00E302EC" w:rsidRDefault="00FC4F28">
      <w:pPr>
        <w:spacing w:after="0" w:line="259" w:lineRule="auto"/>
        <w:ind w:left="284" w:firstLine="0"/>
        <w:jc w:val="left"/>
      </w:pPr>
      <w:r>
        <w:t xml:space="preserve"> </w:t>
      </w:r>
    </w:p>
    <w:p w:rsidR="00E302EC" w:rsidRDefault="00FC4F28">
      <w:pPr>
        <w:ind w:left="279" w:right="184"/>
      </w:pPr>
      <w:r>
        <w:t xml:space="preserve"> Las transferencias de empresas cayeron un 5 %, y recoge la aportación de una empresa por la recogida selectiva.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numPr>
          <w:ilvl w:val="0"/>
          <w:numId w:val="28"/>
        </w:numPr>
        <w:spacing w:after="8" w:line="248" w:lineRule="auto"/>
        <w:ind w:right="183" w:hanging="302"/>
      </w:pPr>
      <w:r>
        <w:rPr>
          <w:b/>
        </w:rPr>
        <w:t>INGRESOS PATRIMONIALES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Los ingresos Patrimoniales han experimentado una caída del 40,7 %, pero representa un porcentaje muy</w:t>
      </w:r>
      <w:r>
        <w:t xml:space="preserve"> pequeño en relación a los ingresos totales. </w:t>
      </w:r>
    </w:p>
    <w:p w:rsidR="00E302EC" w:rsidRDefault="00FC4F28">
      <w:pPr>
        <w:spacing w:after="0" w:line="259" w:lineRule="auto"/>
        <w:ind w:left="284" w:firstLine="0"/>
        <w:jc w:val="left"/>
      </w:pPr>
      <w:r>
        <w:t xml:space="preserve"> </w:t>
      </w:r>
    </w:p>
    <w:tbl>
      <w:tblPr>
        <w:tblStyle w:val="TableGrid"/>
        <w:tblW w:w="6843" w:type="dxa"/>
        <w:tblInd w:w="336" w:type="dxa"/>
        <w:tblCellMar>
          <w:top w:w="9" w:type="dxa"/>
          <w:left w:w="67" w:type="dxa"/>
          <w:bottom w:w="0" w:type="dxa"/>
          <w:right w:w="15" w:type="dxa"/>
        </w:tblCellMar>
        <w:tblLook w:val="04A0" w:firstRow="1" w:lastRow="0" w:firstColumn="1" w:lastColumn="0" w:noHBand="0" w:noVBand="1"/>
      </w:tblPr>
      <w:tblGrid>
        <w:gridCol w:w="910"/>
        <w:gridCol w:w="1217"/>
        <w:gridCol w:w="574"/>
        <w:gridCol w:w="1109"/>
        <w:gridCol w:w="574"/>
        <w:gridCol w:w="1572"/>
        <w:gridCol w:w="888"/>
      </w:tblGrid>
      <w:tr w:rsidR="00E302EC">
        <w:trPr>
          <w:trHeight w:val="1022"/>
        </w:trPr>
        <w:tc>
          <w:tcPr>
            <w:tcW w:w="9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AÑO </w:t>
            </w:r>
          </w:p>
        </w:tc>
        <w:tc>
          <w:tcPr>
            <w:tcW w:w="12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PRESUPU</w:t>
            </w:r>
          </w:p>
          <w:p w:rsidR="00E302EC" w:rsidRDefault="00FC4F28">
            <w:pPr>
              <w:spacing w:after="0" w:line="259" w:lineRule="auto"/>
              <w:ind w:left="2" w:firstLine="0"/>
              <w:jc w:val="left"/>
            </w:pPr>
            <w:r>
              <w:t xml:space="preserve">ESTO </w:t>
            </w:r>
          </w:p>
          <w:p w:rsidR="00E302EC" w:rsidRDefault="00FC4F28">
            <w:pPr>
              <w:spacing w:after="0" w:line="259" w:lineRule="auto"/>
              <w:ind w:left="2" w:firstLine="0"/>
              <w:jc w:val="left"/>
            </w:pPr>
            <w:r>
              <w:t xml:space="preserve">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INGRES</w:t>
            </w:r>
          </w:p>
          <w:p w:rsidR="00E302EC" w:rsidRDefault="00FC4F28">
            <w:pPr>
              <w:spacing w:after="0" w:line="259" w:lineRule="auto"/>
              <w:ind w:left="2" w:firstLine="0"/>
              <w:jc w:val="left"/>
            </w:pPr>
            <w:r>
              <w:t xml:space="preserve">OS </w:t>
            </w:r>
          </w:p>
          <w:p w:rsidR="00E302EC" w:rsidRDefault="00FC4F28">
            <w:pPr>
              <w:spacing w:after="0" w:line="259" w:lineRule="auto"/>
              <w:ind w:left="2" w:firstLine="0"/>
              <w:jc w:val="left"/>
            </w:pPr>
            <w:r>
              <w:t>LIQUIDA</w:t>
            </w:r>
          </w:p>
          <w:p w:rsidR="00E302EC" w:rsidRDefault="00FC4F28">
            <w:pPr>
              <w:spacing w:after="0" w:line="259" w:lineRule="auto"/>
              <w:ind w:left="2" w:firstLine="0"/>
              <w:jc w:val="left"/>
            </w:pPr>
            <w:r>
              <w:t xml:space="preserve">DOS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c>
          <w:tcPr>
            <w:tcW w:w="15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RECAUDACI ÓN LÍQUIDA </w:t>
            </w:r>
          </w:p>
        </w:tc>
        <w:tc>
          <w:tcPr>
            <w:tcW w:w="8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tc>
      </w:tr>
      <w:tr w:rsidR="00E302EC">
        <w:trPr>
          <w:trHeight w:val="516"/>
        </w:trPr>
        <w:tc>
          <w:tcPr>
            <w:tcW w:w="9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2021 </w:t>
            </w:r>
          </w:p>
        </w:tc>
        <w:tc>
          <w:tcPr>
            <w:tcW w:w="12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12.000,00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7.123,97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p>
          <w:p w:rsidR="00E302EC" w:rsidRDefault="00FC4F28">
            <w:pPr>
              <w:spacing w:after="0" w:line="259" w:lineRule="auto"/>
              <w:ind w:left="2" w:firstLine="0"/>
            </w:pPr>
            <w:r>
              <w:t xml:space="preserve">40,7 </w:t>
            </w:r>
          </w:p>
        </w:tc>
        <w:tc>
          <w:tcPr>
            <w:tcW w:w="15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7.123,97 </w:t>
            </w:r>
          </w:p>
        </w:tc>
        <w:tc>
          <w:tcPr>
            <w:tcW w:w="8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-40,7 </w:t>
            </w:r>
          </w:p>
        </w:tc>
      </w:tr>
      <w:tr w:rsidR="00E302EC">
        <w:trPr>
          <w:trHeight w:val="516"/>
        </w:trPr>
        <w:tc>
          <w:tcPr>
            <w:tcW w:w="9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2020 </w:t>
            </w:r>
          </w:p>
        </w:tc>
        <w:tc>
          <w:tcPr>
            <w:tcW w:w="12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12.021,0</w:t>
            </w:r>
          </w:p>
          <w:p w:rsidR="00E302EC" w:rsidRDefault="00FC4F28">
            <w:pPr>
              <w:spacing w:after="0" w:line="259" w:lineRule="auto"/>
              <w:ind w:left="2" w:firstLine="0"/>
              <w:jc w:val="left"/>
            </w:pPr>
            <w:r>
              <w:t xml:space="preserve">0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-60 </w:t>
            </w:r>
          </w:p>
        </w:tc>
        <w:tc>
          <w:tcPr>
            <w:tcW w:w="15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12.021,00 </w:t>
            </w:r>
          </w:p>
        </w:tc>
        <w:tc>
          <w:tcPr>
            <w:tcW w:w="8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-60 </w:t>
            </w:r>
          </w:p>
        </w:tc>
      </w:tr>
      <w:tr w:rsidR="00E302EC">
        <w:trPr>
          <w:trHeight w:val="516"/>
        </w:trPr>
        <w:tc>
          <w:tcPr>
            <w:tcW w:w="9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2019 </w:t>
            </w:r>
          </w:p>
        </w:tc>
        <w:tc>
          <w:tcPr>
            <w:tcW w:w="12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29.961,1</w:t>
            </w:r>
          </w:p>
          <w:p w:rsidR="00E302EC" w:rsidRDefault="00FC4F28">
            <w:pPr>
              <w:spacing w:after="0" w:line="259" w:lineRule="auto"/>
              <w:ind w:left="2" w:firstLine="0"/>
              <w:jc w:val="left"/>
            </w:pPr>
            <w:r>
              <w:t xml:space="preserve">3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pPr>
            <w:r>
              <w:t xml:space="preserve">251 </w:t>
            </w:r>
          </w:p>
        </w:tc>
        <w:tc>
          <w:tcPr>
            <w:tcW w:w="15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29.961,13 </w:t>
            </w:r>
          </w:p>
        </w:tc>
        <w:tc>
          <w:tcPr>
            <w:tcW w:w="8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251 </w:t>
            </w:r>
          </w:p>
        </w:tc>
      </w:tr>
      <w:tr w:rsidR="00E302EC">
        <w:trPr>
          <w:trHeight w:val="262"/>
        </w:trPr>
        <w:tc>
          <w:tcPr>
            <w:tcW w:w="91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2018 </w:t>
            </w:r>
          </w:p>
        </w:tc>
        <w:tc>
          <w:tcPr>
            <w:tcW w:w="121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-75 </w:t>
            </w:r>
          </w:p>
        </w:tc>
        <w:tc>
          <w:tcPr>
            <w:tcW w:w="11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8.534,50 </w:t>
            </w:r>
          </w:p>
        </w:tc>
        <w:tc>
          <w:tcPr>
            <w:tcW w:w="57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-52 </w:t>
            </w:r>
          </w:p>
        </w:tc>
        <w:tc>
          <w:tcPr>
            <w:tcW w:w="15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8.534,50 </w:t>
            </w:r>
          </w:p>
        </w:tc>
        <w:tc>
          <w:tcPr>
            <w:tcW w:w="88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-52 </w:t>
            </w:r>
          </w:p>
        </w:tc>
      </w:tr>
    </w:tbl>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numPr>
          <w:ilvl w:val="0"/>
          <w:numId w:val="28"/>
        </w:numPr>
        <w:spacing w:after="8" w:line="248" w:lineRule="auto"/>
        <w:ind w:right="183" w:hanging="302"/>
      </w:pPr>
      <w:r>
        <w:rPr>
          <w:b/>
        </w:rPr>
        <w:t>TRANSFERENCIAS DE CAPITAL</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En las Transferencias de capital, se ha generado un incremento del 84 %, de los que un 95,5 % procede de la Comunidad Autónoma, </w:t>
      </w:r>
      <w:r>
        <w:t>en las que destaca el Fondo Canario de Financiación Municipal, por importe de 1.587.982,09 Euros, más 432.513,59 Euros de subvención para comedor escolar en Ceip Punta Larga. El resto, es una aportación del Cabildo Insular, por importe de 100.000 Euros par</w:t>
      </w:r>
      <w:r>
        <w:t xml:space="preserve">a colocación de césped en campo de fútbol de Barranco Hondo.  </w:t>
      </w:r>
    </w:p>
    <w:p w:rsidR="00E302EC" w:rsidRDefault="00FC4F28">
      <w:pPr>
        <w:spacing w:after="0" w:line="259" w:lineRule="auto"/>
        <w:ind w:left="284" w:firstLine="0"/>
        <w:jc w:val="left"/>
      </w:pPr>
      <w:r>
        <w:t xml:space="preserve"> </w:t>
      </w:r>
    </w:p>
    <w:p w:rsidR="00E302EC" w:rsidRDefault="00FC4F28">
      <w:pPr>
        <w:numPr>
          <w:ilvl w:val="0"/>
          <w:numId w:val="28"/>
        </w:numPr>
        <w:spacing w:after="8" w:line="248" w:lineRule="auto"/>
        <w:ind w:right="183" w:hanging="302"/>
      </w:pPr>
      <w:r>
        <w:rPr>
          <w:b/>
        </w:rPr>
        <w:t>ACTIVOS FINANCIEROS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3946"/>
        </w:tabs>
        <w:ind w:left="0" w:firstLine="0"/>
        <w:jc w:val="left"/>
      </w:pPr>
      <w:r>
        <w:rPr>
          <w:rFonts w:ascii="Calibri" w:eastAsia="Calibri" w:hAnsi="Calibri" w:cs="Calibri"/>
        </w:rPr>
        <w:tab/>
      </w:r>
      <w:r>
        <w:t xml:space="preserve"> </w:t>
      </w:r>
      <w:r>
        <w:tab/>
        <w:t xml:space="preserve">En los activos financieros no se ha realizado ingreso alguno. </w:t>
      </w:r>
    </w:p>
    <w:p w:rsidR="00E302EC" w:rsidRDefault="00FC4F28">
      <w:pPr>
        <w:spacing w:after="0" w:line="259" w:lineRule="auto"/>
        <w:ind w:left="284" w:firstLine="0"/>
        <w:jc w:val="left"/>
      </w:pPr>
      <w:r>
        <w:t xml:space="preserve"> </w:t>
      </w:r>
    </w:p>
    <w:p w:rsidR="00E302EC" w:rsidRDefault="00FC4F28">
      <w:pPr>
        <w:numPr>
          <w:ilvl w:val="0"/>
          <w:numId w:val="28"/>
        </w:numPr>
        <w:spacing w:after="8" w:line="248" w:lineRule="auto"/>
        <w:ind w:right="183" w:hanging="302"/>
      </w:pPr>
      <w:r>
        <w:rPr>
          <w:b/>
        </w:rPr>
        <w:t>PASIVOS FINANCIEROS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3848"/>
        </w:tabs>
        <w:ind w:left="0" w:firstLine="0"/>
        <w:jc w:val="left"/>
      </w:pPr>
      <w:r>
        <w:rPr>
          <w:rFonts w:ascii="Calibri" w:eastAsia="Calibri" w:hAnsi="Calibri" w:cs="Calibri"/>
        </w:rPr>
        <w:tab/>
      </w:r>
      <w:r>
        <w:t xml:space="preserve"> </w:t>
      </w:r>
      <w:r>
        <w:tab/>
        <w:t xml:space="preserve">En el presente año no se ha formalizado ningún préstamo. </w:t>
      </w:r>
    </w:p>
    <w:p w:rsidR="00E302EC" w:rsidRDefault="00FC4F28">
      <w:pPr>
        <w:spacing w:after="0" w:line="259" w:lineRule="auto"/>
        <w:ind w:left="284" w:firstLine="0"/>
        <w:jc w:val="left"/>
      </w:pPr>
      <w:r>
        <w:t xml:space="preserve"> </w:t>
      </w:r>
      <w:r>
        <w:tab/>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5861" name="Group 25586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0726" name="Rectangle 1072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0727" name="Rectangle 1072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46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5861" style="width:12.7031pt;height:273.276pt;position:absolute;mso-position-horizontal-relative:page;mso-position-horizontal:absolute;margin-left:682.278pt;mso-position-vertical-relative:page;margin-top:538.644pt;" coordsize="1613,34706">
                <v:rect id="Rectangle 1072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072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159 </w:t>
                        </w:r>
                      </w:p>
                    </w:txbxContent>
                  </v:textbox>
                </v:rect>
                <w10:wrap type="square"/>
              </v:group>
            </w:pict>
          </mc:Fallback>
        </mc:AlternateContent>
      </w:r>
      <w:r>
        <w:t xml:space="preserve"> En cuanto al nivel </w:t>
      </w:r>
      <w:r>
        <w:t>de ejecución del Presupuesto, llega al 96,5 % (frente al año anterior que fue del 99 %), excluido el efecto de las Incorporación de Remanentes de crédito financiado con Remanente Líquido de Tesorería, que aumenta las previsiones definitivas, pero no los de</w:t>
      </w:r>
      <w:r>
        <w:t xml:space="preserve">rechos liquidados.  En cuanto al nivel de cobranza, llega al 98,5 %, frente al 99 % del año anterior. </w:t>
      </w:r>
    </w:p>
    <w:p w:rsidR="00E302EC" w:rsidRDefault="00FC4F28">
      <w:pPr>
        <w:spacing w:after="0" w:line="259" w:lineRule="auto"/>
        <w:ind w:left="284" w:firstLine="0"/>
        <w:jc w:val="left"/>
      </w:pPr>
      <w:r>
        <w:t xml:space="preserve"> </w:t>
      </w:r>
    </w:p>
    <w:p w:rsidR="00E302EC" w:rsidRDefault="00FC4F28">
      <w:pPr>
        <w:ind w:left="284" w:right="184" w:hanging="284"/>
      </w:pPr>
      <w:r>
        <w:t xml:space="preserve">  En ejercicios Cerrados, se han realizado cobros por importe de 354.914,10 Euros, frente a los cobros por importe de 478.134,53 Euros, obtenidos en el</w:t>
      </w:r>
      <w:r>
        <w:t xml:space="preserve"> ejercicio anterior, siendo los ingresos obtenidos procedentes del año 2017, el 20 % del total, un 29 % del año 2018, frente a los obtenidos en 2020, que fue del 20 %: </w:t>
      </w:r>
    </w:p>
    <w:p w:rsidR="00E302EC" w:rsidRDefault="00FC4F28">
      <w:pPr>
        <w:spacing w:after="0" w:line="259" w:lineRule="auto"/>
        <w:ind w:left="0" w:firstLine="0"/>
        <w:jc w:val="left"/>
      </w:pPr>
      <w:r>
        <w:t xml:space="preserve"> </w:t>
      </w:r>
    </w:p>
    <w:p w:rsidR="00E302EC" w:rsidRDefault="00FC4F28">
      <w:pPr>
        <w:spacing w:after="0" w:line="259" w:lineRule="auto"/>
        <w:ind w:left="0" w:firstLine="0"/>
        <w:jc w:val="left"/>
      </w:pPr>
      <w:r>
        <w:t xml:space="preserve"> </w:t>
      </w:r>
    </w:p>
    <w:tbl>
      <w:tblPr>
        <w:tblStyle w:val="TableGrid"/>
        <w:tblW w:w="8939" w:type="dxa"/>
        <w:tblInd w:w="269" w:type="dxa"/>
        <w:tblCellMar>
          <w:top w:w="6" w:type="dxa"/>
          <w:left w:w="108" w:type="dxa"/>
          <w:bottom w:w="0" w:type="dxa"/>
          <w:right w:w="48" w:type="dxa"/>
        </w:tblCellMar>
        <w:tblLook w:val="04A0" w:firstRow="1" w:lastRow="0" w:firstColumn="1" w:lastColumn="0" w:noHBand="0" w:noVBand="1"/>
      </w:tblPr>
      <w:tblGrid>
        <w:gridCol w:w="2713"/>
        <w:gridCol w:w="2234"/>
        <w:gridCol w:w="3992"/>
      </w:tblGrid>
      <w:tr w:rsidR="00E302EC">
        <w:trPr>
          <w:trHeight w:val="290"/>
        </w:trPr>
        <w:tc>
          <w:tcPr>
            <w:tcW w:w="27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60" w:firstLine="0"/>
              <w:jc w:val="left"/>
            </w:pPr>
            <w:r>
              <w:rPr>
                <w:b/>
              </w:rPr>
              <w:t xml:space="preserve">CAPÍTULOS </w:t>
            </w:r>
          </w:p>
        </w:tc>
        <w:tc>
          <w:tcPr>
            <w:tcW w:w="223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60" w:firstLine="0"/>
              <w:jc w:val="left"/>
            </w:pPr>
            <w:r>
              <w:rPr>
                <w:b/>
              </w:rPr>
              <w:t xml:space="preserve">COBROS </w:t>
            </w:r>
          </w:p>
        </w:tc>
        <w:tc>
          <w:tcPr>
            <w:tcW w:w="399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4" w:firstLine="0"/>
              <w:jc w:val="center"/>
            </w:pPr>
            <w:r>
              <w:rPr>
                <w:b/>
              </w:rPr>
              <w:t>DERECHOS PTES DE COBRO</w:t>
            </w:r>
            <w:r>
              <w:rPr>
                <w:rFonts w:ascii="Times New Roman" w:eastAsia="Times New Roman" w:hAnsi="Times New Roman" w:cs="Times New Roman"/>
                <w:sz w:val="24"/>
              </w:rPr>
              <w:t xml:space="preserve"> </w:t>
            </w:r>
          </w:p>
        </w:tc>
      </w:tr>
      <w:tr w:rsidR="00E302EC">
        <w:trPr>
          <w:trHeight w:val="262"/>
        </w:trPr>
        <w:tc>
          <w:tcPr>
            <w:tcW w:w="27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8" w:firstLine="0"/>
              <w:jc w:val="center"/>
            </w:pPr>
            <w:r>
              <w:t xml:space="preserve">Impuestos Directos </w:t>
            </w:r>
          </w:p>
        </w:tc>
        <w:tc>
          <w:tcPr>
            <w:tcW w:w="223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72" w:firstLine="0"/>
              <w:jc w:val="center"/>
            </w:pPr>
            <w:r>
              <w:t xml:space="preserve">238.514,20 € </w:t>
            </w:r>
          </w:p>
        </w:tc>
        <w:tc>
          <w:tcPr>
            <w:tcW w:w="399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60" w:firstLine="0"/>
              <w:jc w:val="left"/>
            </w:pPr>
            <w:r>
              <w:t xml:space="preserve">3.275.242,19 € </w:t>
            </w:r>
          </w:p>
        </w:tc>
      </w:tr>
      <w:tr w:rsidR="00E302EC">
        <w:trPr>
          <w:trHeight w:val="264"/>
        </w:trPr>
        <w:tc>
          <w:tcPr>
            <w:tcW w:w="27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60" w:firstLine="0"/>
              <w:jc w:val="left"/>
            </w:pPr>
            <w:r>
              <w:t xml:space="preserve">Impuestos Indirectos </w:t>
            </w:r>
          </w:p>
        </w:tc>
        <w:tc>
          <w:tcPr>
            <w:tcW w:w="223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60" w:firstLine="0"/>
              <w:jc w:val="left"/>
            </w:pPr>
            <w:r>
              <w:t xml:space="preserve">2.785,92 € </w:t>
            </w:r>
          </w:p>
        </w:tc>
        <w:tc>
          <w:tcPr>
            <w:tcW w:w="399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60" w:firstLine="0"/>
              <w:jc w:val="left"/>
            </w:pPr>
            <w:r>
              <w:t xml:space="preserve">2.227.406,19 € </w:t>
            </w:r>
          </w:p>
        </w:tc>
      </w:tr>
      <w:tr w:rsidR="00E302EC">
        <w:trPr>
          <w:trHeight w:val="516"/>
        </w:trPr>
        <w:tc>
          <w:tcPr>
            <w:tcW w:w="2713" w:type="dxa"/>
            <w:tcBorders>
              <w:top w:val="single" w:sz="4" w:space="0" w:color="000000"/>
              <w:left w:val="single" w:sz="4" w:space="0" w:color="000000"/>
              <w:bottom w:val="single" w:sz="4" w:space="0" w:color="000000"/>
              <w:right w:val="single" w:sz="4" w:space="0" w:color="000000"/>
            </w:tcBorders>
          </w:tcPr>
          <w:p w:rsidR="00E302EC" w:rsidRDefault="00FC4F28">
            <w:pPr>
              <w:tabs>
                <w:tab w:val="center" w:pos="648"/>
                <w:tab w:val="center" w:pos="1449"/>
                <w:tab w:val="right" w:pos="2557"/>
              </w:tabs>
              <w:spacing w:after="0" w:line="259" w:lineRule="auto"/>
              <w:ind w:left="0" w:firstLine="0"/>
              <w:jc w:val="left"/>
            </w:pPr>
            <w:r>
              <w:rPr>
                <w:rFonts w:ascii="Calibri" w:eastAsia="Calibri" w:hAnsi="Calibri" w:cs="Calibri"/>
              </w:rPr>
              <w:tab/>
            </w:r>
            <w:r>
              <w:t xml:space="preserve">Tasas </w:t>
            </w:r>
            <w:r>
              <w:tab/>
              <w:t xml:space="preserve">y </w:t>
            </w:r>
            <w:r>
              <w:tab/>
              <w:t xml:space="preserve">Otros </w:t>
            </w:r>
          </w:p>
          <w:p w:rsidR="00E302EC" w:rsidRDefault="00FC4F28">
            <w:pPr>
              <w:spacing w:after="0" w:line="259" w:lineRule="auto"/>
              <w:ind w:left="0" w:firstLine="0"/>
              <w:jc w:val="left"/>
            </w:pPr>
            <w:r>
              <w:t xml:space="preserve">Ingresos </w:t>
            </w:r>
          </w:p>
        </w:tc>
        <w:tc>
          <w:tcPr>
            <w:tcW w:w="223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89" w:firstLine="0"/>
              <w:jc w:val="center"/>
            </w:pPr>
            <w:r>
              <w:t xml:space="preserve">113.613,98 € </w:t>
            </w:r>
          </w:p>
        </w:tc>
        <w:tc>
          <w:tcPr>
            <w:tcW w:w="399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360" w:firstLine="0"/>
              <w:jc w:val="left"/>
            </w:pPr>
            <w:r>
              <w:t xml:space="preserve">2.724.478,56 € </w:t>
            </w:r>
          </w:p>
        </w:tc>
      </w:tr>
    </w:tbl>
    <w:p w:rsidR="00E302EC" w:rsidRDefault="00FC4F28">
      <w:pPr>
        <w:spacing w:after="0" w:line="259" w:lineRule="auto"/>
        <w:ind w:left="284" w:firstLine="0"/>
        <w:jc w:val="left"/>
      </w:pPr>
      <w:r>
        <w:rPr>
          <w:b/>
          <w:i/>
        </w:rPr>
        <w:t xml:space="preserve"> </w:t>
      </w:r>
    </w:p>
    <w:p w:rsidR="00E302EC" w:rsidRDefault="00FC4F28">
      <w:pPr>
        <w:spacing w:after="0" w:line="259" w:lineRule="auto"/>
        <w:ind w:left="284" w:firstLine="0"/>
        <w:jc w:val="left"/>
      </w:pPr>
      <w:r>
        <w:rPr>
          <w:b/>
          <w:i/>
        </w:rPr>
        <w:t xml:space="preserve"> </w:t>
      </w:r>
    </w:p>
    <w:p w:rsidR="00E302EC" w:rsidRDefault="00FC4F28">
      <w:pPr>
        <w:spacing w:after="0" w:line="259" w:lineRule="auto"/>
        <w:ind w:left="284" w:firstLine="0"/>
        <w:jc w:val="left"/>
      </w:pPr>
      <w:r>
        <w:rPr>
          <w:b/>
          <w:i/>
        </w:rPr>
        <w:t xml:space="preserve"> </w:t>
      </w:r>
    </w:p>
    <w:p w:rsidR="00E302EC" w:rsidRDefault="00FC4F28">
      <w:pPr>
        <w:spacing w:after="11" w:line="248" w:lineRule="auto"/>
        <w:ind w:left="279" w:right="180"/>
      </w:pPr>
      <w:r>
        <w:rPr>
          <w:b/>
          <w:i/>
        </w:rPr>
        <w:t>2.- LIQUIDACIÓN DEL PRESUPUESTO DE GASTOS</w:t>
      </w:r>
      <w:r>
        <w:rPr>
          <w:rFonts w:ascii="Times New Roman" w:eastAsia="Times New Roman" w:hAnsi="Times New Roman" w:cs="Times New Roman"/>
          <w:sz w:val="24"/>
        </w:rPr>
        <w:t xml:space="preserve"> </w:t>
      </w:r>
    </w:p>
    <w:p w:rsidR="00E302EC" w:rsidRDefault="00FC4F28">
      <w:pPr>
        <w:spacing w:after="98" w:line="259" w:lineRule="auto"/>
        <w:ind w:left="992" w:firstLine="0"/>
        <w:jc w:val="left"/>
      </w:pPr>
      <w:r>
        <w:t xml:space="preserve"> </w:t>
      </w:r>
    </w:p>
    <w:p w:rsidR="00E302EC" w:rsidRDefault="00FC4F28">
      <w:pPr>
        <w:ind w:left="269" w:right="184" w:firstLine="708"/>
      </w:pPr>
      <w:r>
        <w:t xml:space="preserve">En cuanto a la ejecución de gastos en los ejercicios 2021 y 2020, importan las siguientes cantidades: </w:t>
      </w:r>
    </w:p>
    <w:tbl>
      <w:tblPr>
        <w:tblStyle w:val="TableGrid"/>
        <w:tblW w:w="8934" w:type="dxa"/>
        <w:tblInd w:w="358" w:type="dxa"/>
        <w:tblCellMar>
          <w:top w:w="6" w:type="dxa"/>
          <w:left w:w="70" w:type="dxa"/>
          <w:bottom w:w="0" w:type="dxa"/>
          <w:right w:w="10" w:type="dxa"/>
        </w:tblCellMar>
        <w:tblLook w:val="04A0" w:firstRow="1" w:lastRow="0" w:firstColumn="1" w:lastColumn="0" w:noHBand="0" w:noVBand="1"/>
      </w:tblPr>
      <w:tblGrid>
        <w:gridCol w:w="4112"/>
        <w:gridCol w:w="1844"/>
        <w:gridCol w:w="1702"/>
        <w:gridCol w:w="1277"/>
      </w:tblGrid>
      <w:tr w:rsidR="00E302EC">
        <w:trPr>
          <w:trHeight w:val="516"/>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rPr>
                <w:b/>
              </w:rPr>
              <w:t xml:space="preserve">Liquidación 2020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rPr>
                <w:b/>
              </w:rPr>
              <w:t xml:space="preserve">Liquidación 2021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Variación 2020/2021</w:t>
            </w:r>
            <w:r>
              <w:rPr>
                <w:rFonts w:ascii="Times New Roman" w:eastAsia="Times New Roman" w:hAnsi="Times New Roman" w:cs="Times New Roman"/>
                <w:sz w:val="24"/>
              </w:rPr>
              <w:t xml:space="preserve"> </w:t>
            </w:r>
          </w:p>
        </w:tc>
      </w:tr>
      <w:tr w:rsidR="00E302EC">
        <w:trPr>
          <w:trHeight w:val="264"/>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1.-Gastos de Personal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7" w:firstLine="0"/>
              <w:jc w:val="center"/>
            </w:pPr>
            <w:r>
              <w:t xml:space="preserve">10.045.506,14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74" w:firstLine="0"/>
              <w:jc w:val="left"/>
            </w:pPr>
            <w:r>
              <w:t xml:space="preserve">10.273.933,94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2" w:firstLine="0"/>
              <w:jc w:val="center"/>
            </w:pPr>
            <w:r>
              <w:t xml:space="preserve">2,3 % </w:t>
            </w:r>
          </w:p>
        </w:tc>
      </w:tr>
      <w:tr w:rsidR="00E302EC">
        <w:trPr>
          <w:trHeight w:val="516"/>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rPr>
                <w:b/>
              </w:rPr>
              <w:t>2.-</w:t>
            </w:r>
            <w:r>
              <w:rPr>
                <w:b/>
              </w:rPr>
              <w:t xml:space="preserve">Gastos en Bienes Corrientes y </w:t>
            </w:r>
          </w:p>
          <w:p w:rsidR="00E302EC" w:rsidRDefault="00FC4F28">
            <w:pPr>
              <w:spacing w:after="0" w:line="259" w:lineRule="auto"/>
              <w:ind w:left="0" w:firstLine="0"/>
              <w:jc w:val="left"/>
            </w:pPr>
            <w:r>
              <w:rPr>
                <w:b/>
              </w:rPr>
              <w:t>Servicios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8.367.638,25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37" w:firstLine="0"/>
              <w:jc w:val="left"/>
            </w:pPr>
            <w:r>
              <w:t xml:space="preserve">9.616.465,36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14,9 % </w:t>
            </w:r>
          </w:p>
        </w:tc>
      </w:tr>
      <w:tr w:rsidR="00E302EC">
        <w:trPr>
          <w:trHeight w:val="262"/>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3.- Gastos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328.695,89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39.375,45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2" w:firstLine="0"/>
              <w:jc w:val="center"/>
            </w:pPr>
            <w:r>
              <w:t xml:space="preserve">-88,1 % </w:t>
            </w:r>
          </w:p>
        </w:tc>
      </w:tr>
      <w:tr w:rsidR="00E302EC">
        <w:trPr>
          <w:trHeight w:val="348"/>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4.-Transferencias Corrientes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2.734.506,13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37" w:firstLine="0"/>
              <w:jc w:val="left"/>
            </w:pPr>
            <w:r>
              <w:t xml:space="preserve">2.751.889,12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2" w:firstLine="0"/>
              <w:jc w:val="center"/>
            </w:pPr>
            <w:r>
              <w:t xml:space="preserve">0,6 % </w:t>
            </w:r>
          </w:p>
        </w:tc>
      </w:tr>
      <w:tr w:rsidR="00E302EC">
        <w:trPr>
          <w:trHeight w:val="348"/>
        </w:trPr>
        <w:tc>
          <w:tcPr>
            <w:tcW w:w="4112" w:type="dxa"/>
            <w:tcBorders>
              <w:top w:val="single" w:sz="4" w:space="0" w:color="000000"/>
              <w:left w:val="single" w:sz="4" w:space="0" w:color="000000"/>
              <w:bottom w:val="single" w:sz="4" w:space="0" w:color="000000"/>
              <w:right w:val="single" w:sz="4" w:space="0" w:color="000000"/>
            </w:tcBorders>
          </w:tcPr>
          <w:p w:rsidR="00E302EC" w:rsidRDefault="00E302EC">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E302EC" w:rsidRDefault="00E302EC">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2"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E302EC">
            <w:pPr>
              <w:spacing w:after="160" w:line="259" w:lineRule="auto"/>
              <w:ind w:left="0" w:firstLine="0"/>
              <w:jc w:val="left"/>
            </w:pPr>
          </w:p>
        </w:tc>
      </w:tr>
      <w:tr w:rsidR="00E302EC">
        <w:trPr>
          <w:trHeight w:val="262"/>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6.-Inversiones Reales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7" w:firstLine="0"/>
              <w:jc w:val="center"/>
            </w:pPr>
            <w:r>
              <w:t xml:space="preserve">3.854.323,94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176" w:firstLine="0"/>
              <w:jc w:val="right"/>
            </w:pPr>
            <w:r>
              <w:t xml:space="preserve">1.769.492,06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7" w:firstLine="0"/>
              <w:jc w:val="center"/>
            </w:pPr>
            <w:r>
              <w:t xml:space="preserve">-54 % </w:t>
            </w:r>
          </w:p>
        </w:tc>
      </w:tr>
      <w:tr w:rsidR="00E302EC">
        <w:trPr>
          <w:trHeight w:val="264"/>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7.-Transferencias de Capital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8" w:firstLine="0"/>
              <w:jc w:val="center"/>
            </w:pPr>
            <w:r>
              <w:t xml:space="preserve">2.184,00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7" w:firstLine="0"/>
              <w:jc w:val="center"/>
            </w:pPr>
            <w:r>
              <w:t xml:space="preserve">31.655,59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72" w:firstLine="0"/>
              <w:jc w:val="left"/>
            </w:pPr>
            <w:r>
              <w:t xml:space="preserve">1.338,6 % </w:t>
            </w:r>
          </w:p>
        </w:tc>
      </w:tr>
      <w:tr w:rsidR="00E302EC">
        <w:trPr>
          <w:trHeight w:val="264"/>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8.-Activos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40" w:firstLine="0"/>
              <w:jc w:val="center"/>
            </w:pPr>
            <w:r>
              <w:t xml:space="preserve">0,00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42" w:firstLine="0"/>
              <w:jc w:val="center"/>
            </w:pPr>
            <w:r>
              <w:t xml:space="preserve">0,00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40" w:firstLine="0"/>
              <w:jc w:val="center"/>
            </w:pPr>
            <w:r>
              <w:t xml:space="preserve">0,00% </w:t>
            </w:r>
          </w:p>
        </w:tc>
      </w:tr>
      <w:tr w:rsidR="00E302EC">
        <w:trPr>
          <w:trHeight w:val="262"/>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9.-Pasivos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7" w:firstLine="0"/>
              <w:jc w:val="center"/>
            </w:pPr>
            <w:r>
              <w:t xml:space="preserve">2.407.309,41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42" w:firstLine="0"/>
              <w:jc w:val="center"/>
            </w:pPr>
            <w:r>
              <w:t xml:space="preserve">0,00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37" w:firstLine="0"/>
              <w:jc w:val="center"/>
            </w:pPr>
            <w:r>
              <w:t xml:space="preserve">0,00 % </w:t>
            </w:r>
          </w:p>
        </w:tc>
      </w:tr>
      <w:tr w:rsidR="00E302EC">
        <w:trPr>
          <w:trHeight w:val="264"/>
        </w:trPr>
        <w:tc>
          <w:tcPr>
            <w:tcW w:w="411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 xml:space="preserve">TOTAL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186" w:firstLine="0"/>
              <w:jc w:val="right"/>
            </w:pPr>
            <w:r>
              <w:rPr>
                <w:b/>
              </w:rPr>
              <w:t xml:space="preserve">27.738.284,77  </w:t>
            </w:r>
          </w:p>
        </w:tc>
        <w:tc>
          <w:tcPr>
            <w:tcW w:w="170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82" w:firstLine="0"/>
              <w:jc w:val="left"/>
            </w:pPr>
            <w:r>
              <w:rPr>
                <w:b/>
              </w:rPr>
              <w:t xml:space="preserve">24.482.811,52  </w:t>
            </w:r>
          </w:p>
        </w:tc>
        <w:tc>
          <w:tcPr>
            <w:tcW w:w="12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172" w:firstLine="0"/>
              <w:jc w:val="right"/>
            </w:pPr>
            <w:r>
              <w:rPr>
                <w:b/>
              </w:rPr>
              <w:t xml:space="preserve">-11,74 % </w:t>
            </w:r>
            <w:r>
              <w:rPr>
                <w:rFonts w:ascii="Times New Roman" w:eastAsia="Times New Roman" w:hAnsi="Times New Roman" w:cs="Times New Roman"/>
                <w:sz w:val="24"/>
              </w:rPr>
              <w:t xml:space="preserve"> </w:t>
            </w:r>
          </w:p>
        </w:tc>
      </w:tr>
    </w:tbl>
    <w:p w:rsidR="00E302EC" w:rsidRDefault="00FC4F28">
      <w:pPr>
        <w:spacing w:after="0" w:line="259" w:lineRule="auto"/>
        <w:ind w:left="644" w:firstLine="0"/>
        <w:jc w:val="left"/>
      </w:pPr>
      <w:r>
        <w:t xml:space="preserve"> </w:t>
      </w:r>
    </w:p>
    <w:p w:rsidR="00E302EC" w:rsidRDefault="00FC4F28">
      <w:pPr>
        <w:ind w:left="654" w:right="184"/>
      </w:pPr>
      <w:r>
        <w:t xml:space="preserve">Desarrollando dicho cuadro de gastos, por capítulos, tenemos: </w:t>
      </w:r>
    </w:p>
    <w:p w:rsidR="00E302EC" w:rsidRDefault="00FC4F28">
      <w:pPr>
        <w:spacing w:after="0" w:line="259" w:lineRule="auto"/>
        <w:ind w:left="644" w:firstLine="0"/>
        <w:jc w:val="left"/>
      </w:pPr>
      <w:r>
        <w:t xml:space="preserve"> </w:t>
      </w:r>
    </w:p>
    <w:p w:rsidR="00E302EC" w:rsidRDefault="00FC4F28">
      <w:pPr>
        <w:spacing w:after="11" w:line="248" w:lineRule="auto"/>
        <w:ind w:left="1002" w:right="180"/>
      </w:pPr>
      <w:r>
        <w:rPr>
          <w:b/>
          <w:i/>
        </w:rPr>
        <w:t xml:space="preserve">A) GASTOS DE PERSONAL </w:t>
      </w:r>
    </w:p>
    <w:p w:rsidR="00E302EC" w:rsidRDefault="00FC4F28">
      <w:pPr>
        <w:spacing w:after="0" w:line="259" w:lineRule="auto"/>
        <w:ind w:left="992" w:firstLine="0"/>
        <w:jc w:val="left"/>
      </w:pPr>
      <w:r>
        <w:rPr>
          <w:b/>
          <w:i/>
        </w:rPr>
        <w:t xml:space="preserve"> </w:t>
      </w:r>
    </w:p>
    <w:p w:rsidR="00E302EC" w:rsidRDefault="00FC4F28">
      <w:pPr>
        <w:ind w:left="269" w:right="184" w:firstLine="708"/>
      </w:pPr>
      <w:r>
        <w:t xml:space="preserve">A continuación, se detalla la evolución de los gastos de personal ejecutados en los últimos ejercicios: </w:t>
      </w:r>
    </w:p>
    <w:p w:rsidR="00E302EC" w:rsidRDefault="00FC4F28">
      <w:pPr>
        <w:spacing w:after="0" w:line="259" w:lineRule="auto"/>
        <w:ind w:left="860" w:firstLine="0"/>
        <w:jc w:val="center"/>
      </w:pPr>
      <w:r>
        <w:t xml:space="preserve"> </w:t>
      </w:r>
    </w:p>
    <w:tbl>
      <w:tblPr>
        <w:tblStyle w:val="TableGrid"/>
        <w:tblW w:w="9148" w:type="dxa"/>
        <w:tblInd w:w="284" w:type="dxa"/>
        <w:tblCellMar>
          <w:top w:w="7" w:type="dxa"/>
          <w:left w:w="101" w:type="dxa"/>
          <w:bottom w:w="0" w:type="dxa"/>
          <w:right w:w="44" w:type="dxa"/>
        </w:tblCellMar>
        <w:tblLook w:val="04A0" w:firstRow="1" w:lastRow="0" w:firstColumn="1" w:lastColumn="0" w:noHBand="0" w:noVBand="1"/>
      </w:tblPr>
      <w:tblGrid>
        <w:gridCol w:w="571"/>
        <w:gridCol w:w="1771"/>
        <w:gridCol w:w="428"/>
        <w:gridCol w:w="1982"/>
        <w:gridCol w:w="994"/>
        <w:gridCol w:w="2552"/>
        <w:gridCol w:w="850"/>
      </w:tblGrid>
      <w:tr w:rsidR="00E302EC">
        <w:trPr>
          <w:trHeight w:val="516"/>
        </w:trPr>
        <w:tc>
          <w:tcPr>
            <w:tcW w:w="5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4" w:firstLine="0"/>
            </w:pPr>
            <w:r>
              <w:rPr>
                <w:b/>
              </w:rPr>
              <w:t>AÑ</w:t>
            </w:r>
          </w:p>
          <w:p w:rsidR="00E302EC" w:rsidRDefault="00FC4F28">
            <w:pPr>
              <w:spacing w:after="0" w:line="259" w:lineRule="auto"/>
              <w:ind w:left="98" w:firstLine="0"/>
              <w:jc w:val="left"/>
            </w:pPr>
            <w:r>
              <w:rPr>
                <w:b/>
              </w:rPr>
              <w:t xml:space="preserve">O </w:t>
            </w:r>
          </w:p>
        </w:tc>
        <w:tc>
          <w:tcPr>
            <w:tcW w:w="17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rPr>
                <w:b/>
              </w:rPr>
              <w:t xml:space="preserve">CAPÍTULO PERSONAL </w:t>
            </w:r>
          </w:p>
        </w:tc>
        <w:tc>
          <w:tcPr>
            <w:tcW w:w="42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2" w:firstLine="0"/>
            </w:pPr>
            <w:r>
              <w:rPr>
                <w:b/>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rPr>
                <w:b/>
              </w:rPr>
              <w:t xml:space="preserve">PERSONAL FUNCIONARIO </w:t>
            </w:r>
          </w:p>
        </w:tc>
        <w:tc>
          <w:tcPr>
            <w:tcW w:w="9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3" w:firstLine="0"/>
              <w:jc w:val="center"/>
            </w:pPr>
            <w:r>
              <w:rPr>
                <w:b/>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rPr>
                <w:b/>
              </w:rPr>
              <w:t xml:space="preserve">PERSONAL LABORAL TEMPORAL </w:t>
            </w:r>
          </w:p>
        </w:tc>
        <w:tc>
          <w:tcPr>
            <w:tcW w:w="8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rPr>
                <w:b/>
              </w:rPr>
              <w:t xml:space="preserve">% </w:t>
            </w:r>
          </w:p>
        </w:tc>
      </w:tr>
      <w:tr w:rsidR="00E302EC">
        <w:trPr>
          <w:trHeight w:val="516"/>
        </w:trPr>
        <w:tc>
          <w:tcPr>
            <w:tcW w:w="5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202</w:t>
            </w:r>
          </w:p>
          <w:p w:rsidR="00E302EC" w:rsidRDefault="00FC4F28">
            <w:pPr>
              <w:spacing w:after="0" w:line="259" w:lineRule="auto"/>
              <w:ind w:left="0" w:right="59" w:firstLine="0"/>
              <w:jc w:val="center"/>
            </w:pPr>
            <w:r>
              <w:t xml:space="preserve">1 </w:t>
            </w:r>
          </w:p>
        </w:tc>
        <w:tc>
          <w:tcPr>
            <w:tcW w:w="17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79" w:firstLine="0"/>
              <w:jc w:val="left"/>
            </w:pPr>
            <w:r>
              <w:t xml:space="preserve">10.273.933,94 </w:t>
            </w:r>
          </w:p>
        </w:tc>
        <w:tc>
          <w:tcPr>
            <w:tcW w:w="42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9" w:firstLine="0"/>
              <w:jc w:val="left"/>
            </w:pPr>
            <w:r>
              <w:t>2,</w:t>
            </w:r>
          </w:p>
          <w:p w:rsidR="00E302EC" w:rsidRDefault="00FC4F28">
            <w:pPr>
              <w:spacing w:after="0" w:line="259" w:lineRule="auto"/>
              <w:ind w:left="50" w:firstLine="0"/>
              <w:jc w:val="left"/>
            </w:pPr>
            <w: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1.624.209,30 </w:t>
            </w:r>
          </w:p>
        </w:tc>
        <w:tc>
          <w:tcPr>
            <w:tcW w:w="9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2" w:firstLine="0"/>
              <w:jc w:val="center"/>
            </w:pPr>
            <w:r>
              <w:t xml:space="preserve">-4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3.590.821,01 </w:t>
            </w:r>
          </w:p>
        </w:tc>
        <w:tc>
          <w:tcPr>
            <w:tcW w:w="8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-2,5 </w:t>
            </w:r>
          </w:p>
        </w:tc>
      </w:tr>
      <w:tr w:rsidR="00E302EC">
        <w:trPr>
          <w:trHeight w:val="516"/>
        </w:trPr>
        <w:tc>
          <w:tcPr>
            <w:tcW w:w="5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202</w:t>
            </w:r>
          </w:p>
          <w:p w:rsidR="00E302EC" w:rsidRDefault="00FC4F28">
            <w:pPr>
              <w:spacing w:after="0" w:line="259" w:lineRule="auto"/>
              <w:ind w:left="0" w:right="59"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79" w:firstLine="0"/>
              <w:jc w:val="left"/>
            </w:pPr>
            <w:r>
              <w:t xml:space="preserve">10.045.506,14 </w:t>
            </w:r>
          </w:p>
        </w:tc>
        <w:tc>
          <w:tcPr>
            <w:tcW w:w="42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9" w:firstLine="0"/>
              <w:jc w:val="left"/>
            </w:pPr>
            <w:r>
              <w:t>5,</w:t>
            </w:r>
          </w:p>
          <w:p w:rsidR="00E302EC" w:rsidRDefault="00FC4F28">
            <w:pPr>
              <w:spacing w:after="0" w:line="259" w:lineRule="auto"/>
              <w:ind w:left="50" w:firstLine="0"/>
              <w:jc w:val="left"/>
            </w:pPr>
            <w:r>
              <w:t xml:space="preserve">8 </w:t>
            </w:r>
          </w:p>
        </w:tc>
        <w:tc>
          <w:tcPr>
            <w:tcW w:w="19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1.687.896,52 </w:t>
            </w:r>
          </w:p>
        </w:tc>
        <w:tc>
          <w:tcPr>
            <w:tcW w:w="9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0" w:firstLine="0"/>
              <w:jc w:val="center"/>
            </w:pPr>
            <w:r>
              <w:t xml:space="preserve">10,5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3.681.208,94 </w:t>
            </w:r>
          </w:p>
        </w:tc>
        <w:tc>
          <w:tcPr>
            <w:tcW w:w="8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7" w:firstLine="0"/>
              <w:jc w:val="center"/>
            </w:pPr>
            <w:r>
              <w:t xml:space="preserve">8,1 </w:t>
            </w:r>
          </w:p>
        </w:tc>
      </w:tr>
      <w:tr w:rsidR="00E302EC">
        <w:trPr>
          <w:trHeight w:val="516"/>
        </w:trPr>
        <w:tc>
          <w:tcPr>
            <w:tcW w:w="5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201</w:t>
            </w:r>
          </w:p>
          <w:p w:rsidR="00E302EC" w:rsidRDefault="00FC4F28">
            <w:pPr>
              <w:spacing w:after="0" w:line="259" w:lineRule="auto"/>
              <w:ind w:left="0" w:right="59" w:firstLine="0"/>
              <w:jc w:val="center"/>
            </w:pPr>
            <w:r>
              <w:t xml:space="preserve">9 </w:t>
            </w:r>
          </w:p>
        </w:tc>
        <w:tc>
          <w:tcPr>
            <w:tcW w:w="17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center"/>
            </w:pPr>
            <w:r>
              <w:t xml:space="preserve">9.494.404,18 </w:t>
            </w:r>
          </w:p>
        </w:tc>
        <w:tc>
          <w:tcPr>
            <w:tcW w:w="42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9" w:firstLine="0"/>
              <w:jc w:val="left"/>
            </w:pPr>
            <w:r>
              <w:t>4,</w:t>
            </w:r>
          </w:p>
          <w:p w:rsidR="00E302EC" w:rsidRDefault="00FC4F28">
            <w:pPr>
              <w:spacing w:after="0" w:line="259" w:lineRule="auto"/>
              <w:ind w:left="50" w:firstLine="0"/>
              <w:jc w:val="left"/>
            </w:pPr>
            <w: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1.526.804,38 </w:t>
            </w:r>
          </w:p>
        </w:tc>
        <w:tc>
          <w:tcPr>
            <w:tcW w:w="9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0" w:firstLine="0"/>
              <w:jc w:val="center"/>
            </w:pPr>
            <w:r>
              <w:t xml:space="preserve">-6,4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3.402.797,08 </w:t>
            </w:r>
          </w:p>
        </w:tc>
        <w:tc>
          <w:tcPr>
            <w:tcW w:w="8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7" w:firstLine="0"/>
              <w:jc w:val="center"/>
            </w:pPr>
            <w:r>
              <w:t xml:space="preserve">1,7 </w:t>
            </w:r>
          </w:p>
        </w:tc>
      </w:tr>
      <w:tr w:rsidR="00E302EC">
        <w:trPr>
          <w:trHeight w:val="516"/>
        </w:trPr>
        <w:tc>
          <w:tcPr>
            <w:tcW w:w="5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201</w:t>
            </w:r>
          </w:p>
          <w:p w:rsidR="00E302EC" w:rsidRDefault="00FC4F28">
            <w:pPr>
              <w:spacing w:after="0" w:line="259" w:lineRule="auto"/>
              <w:ind w:left="0" w:right="59" w:firstLine="0"/>
              <w:jc w:val="center"/>
            </w:pPr>
            <w:r>
              <w:t xml:space="preserve">8 </w:t>
            </w:r>
          </w:p>
        </w:tc>
        <w:tc>
          <w:tcPr>
            <w:tcW w:w="17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center"/>
            </w:pPr>
            <w:r>
              <w:t xml:space="preserve">9.069.195,97 </w:t>
            </w:r>
          </w:p>
        </w:tc>
        <w:tc>
          <w:tcPr>
            <w:tcW w:w="42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9" w:firstLine="0"/>
              <w:jc w:val="left"/>
            </w:pPr>
            <w:r>
              <w:t>1,</w:t>
            </w:r>
          </w:p>
          <w:p w:rsidR="00E302EC" w:rsidRDefault="00FC4F28">
            <w:pPr>
              <w:spacing w:after="0" w:line="259" w:lineRule="auto"/>
              <w:ind w:left="50" w:firstLine="0"/>
              <w:jc w:val="left"/>
            </w:pPr>
            <w:r>
              <w:t xml:space="preserve">9 </w:t>
            </w:r>
          </w:p>
        </w:tc>
        <w:tc>
          <w:tcPr>
            <w:tcW w:w="19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1.630.748,64 </w:t>
            </w:r>
          </w:p>
        </w:tc>
        <w:tc>
          <w:tcPr>
            <w:tcW w:w="99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0" w:firstLine="0"/>
              <w:jc w:val="center"/>
            </w:pPr>
            <w:r>
              <w:t xml:space="preserve">2 </w:t>
            </w:r>
          </w:p>
        </w:tc>
        <w:tc>
          <w:tcPr>
            <w:tcW w:w="255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3.346.125,54 </w:t>
            </w:r>
          </w:p>
        </w:tc>
        <w:tc>
          <w:tcPr>
            <w:tcW w:w="8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5" w:firstLine="0"/>
              <w:jc w:val="center"/>
            </w:pPr>
            <w:r>
              <w:t xml:space="preserve">-5,3 </w:t>
            </w:r>
          </w:p>
        </w:tc>
      </w:tr>
    </w:tbl>
    <w:p w:rsidR="00E302EC" w:rsidRDefault="00FC4F28">
      <w:pPr>
        <w:spacing w:after="0" w:line="259" w:lineRule="auto"/>
        <w:ind w:left="567" w:firstLine="0"/>
        <w:jc w:val="left"/>
      </w:pPr>
      <w:r>
        <w:t xml:space="preserve"> </w:t>
      </w:r>
    </w:p>
    <w:p w:rsidR="00E302EC" w:rsidRDefault="00FC4F28">
      <w:pPr>
        <w:ind w:left="269" w:right="184" w:firstLine="283"/>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3809" name="Group 27380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1211" name="Rectangle 1121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1212" name="Rectangle 1121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47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3809" style="width:12.7031pt;height:273.276pt;position:absolute;mso-position-horizontal-relative:page;mso-position-horizontal:absolute;margin-left:682.278pt;mso-position-vertical-relative:page;margin-top:538.644pt;" coordsize="1613,34706">
                <v:rect id="Rectangle 1121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121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159 </w:t>
                        </w:r>
                      </w:p>
                    </w:txbxContent>
                  </v:textbox>
                </v:rect>
                <w10:wrap type="square"/>
              </v:group>
            </w:pict>
          </mc:Fallback>
        </mc:AlternateContent>
      </w:r>
      <w:r>
        <w:t xml:space="preserve">Este capítulo representa un 41,96 % (en ejercicio anterior fue del 36,2 %) del gasto total liquidado siendo cuantitativamente el más importante. </w:t>
      </w:r>
    </w:p>
    <w:p w:rsidR="00E302EC" w:rsidRDefault="00FC4F28">
      <w:pPr>
        <w:spacing w:after="0" w:line="259" w:lineRule="auto"/>
        <w:ind w:left="567" w:firstLine="0"/>
        <w:jc w:val="left"/>
      </w:pPr>
      <w:r>
        <w:rPr>
          <w:rFonts w:ascii="Times New Roman" w:eastAsia="Times New Roman" w:hAnsi="Times New Roman" w:cs="Times New Roman"/>
          <w:sz w:val="24"/>
        </w:rPr>
        <w:t xml:space="preserve"> </w:t>
      </w:r>
    </w:p>
    <w:p w:rsidR="00E302EC" w:rsidRDefault="00FC4F28">
      <w:pPr>
        <w:tabs>
          <w:tab w:val="center" w:pos="284"/>
          <w:tab w:val="center" w:pos="4324"/>
        </w:tabs>
        <w:ind w:left="0" w:firstLine="0"/>
        <w:jc w:val="left"/>
      </w:pPr>
      <w:r>
        <w:rPr>
          <w:rFonts w:ascii="Calibri" w:eastAsia="Calibri" w:hAnsi="Calibri" w:cs="Calibri"/>
        </w:rPr>
        <w:tab/>
      </w:r>
      <w:r>
        <w:rPr>
          <w:b/>
        </w:rPr>
        <w:t xml:space="preserve"> </w:t>
      </w:r>
      <w:r>
        <w:rPr>
          <w:b/>
        </w:rPr>
        <w:tab/>
      </w:r>
      <w:r>
        <w:t>Dentro de esta subida del 2,3 %, se destacan los siguientes hechos: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1.- </w:t>
      </w:r>
      <w:r>
        <w:t>La Ley 11/2020 de 30 de diciembre, de Presupuestos Generales del Estado para el 2021, por el cual las retribuciones en el ámbito del sector público, han subido un 0,9 %.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2.- Subida del gasto de personal aportado en los Convenios financiados por el Servi</w:t>
      </w:r>
      <w:r>
        <w:t xml:space="preserve">cio Canario de Empleo, en un 8 %. </w:t>
      </w:r>
    </w:p>
    <w:p w:rsidR="00E302EC" w:rsidRDefault="00FC4F28">
      <w:pPr>
        <w:spacing w:after="0" w:line="259" w:lineRule="auto"/>
        <w:ind w:left="284" w:firstLine="0"/>
        <w:jc w:val="left"/>
      </w:pPr>
      <w:r>
        <w:t xml:space="preserve"> </w:t>
      </w:r>
    </w:p>
    <w:p w:rsidR="00E302EC" w:rsidRDefault="00FC4F28">
      <w:pPr>
        <w:ind w:left="279" w:right="184"/>
      </w:pPr>
      <w:r>
        <w:t xml:space="preserve">3.- Subida en un 33 % el gasto en incentivos al rendimiento, de los que un 9 %, es la subida de la productividad y un 66,5 %, la de gratificaciones. </w:t>
      </w:r>
    </w:p>
    <w:p w:rsidR="00E302EC" w:rsidRDefault="00FC4F28">
      <w:pPr>
        <w:spacing w:after="0" w:line="259" w:lineRule="auto"/>
        <w:ind w:left="284" w:firstLine="0"/>
        <w:jc w:val="left"/>
      </w:pPr>
      <w:r>
        <w:t xml:space="preserve"> </w:t>
      </w:r>
    </w:p>
    <w:p w:rsidR="00E302EC" w:rsidRDefault="00FC4F28">
      <w:pPr>
        <w:ind w:left="279" w:right="184"/>
      </w:pPr>
      <w:r>
        <w:t xml:space="preserve">4.- Incremento de un 3,6 % del gasto en la seguridad social. </w:t>
      </w:r>
    </w:p>
    <w:p w:rsidR="00E302EC" w:rsidRDefault="00FC4F28">
      <w:pPr>
        <w:spacing w:after="0" w:line="259" w:lineRule="auto"/>
        <w:ind w:left="644" w:firstLine="0"/>
        <w:jc w:val="left"/>
      </w:pPr>
      <w:r>
        <w:t xml:space="preserve"> </w:t>
      </w:r>
    </w:p>
    <w:p w:rsidR="00E302EC" w:rsidRDefault="00FC4F28">
      <w:pPr>
        <w:spacing w:after="0" w:line="259" w:lineRule="auto"/>
        <w:ind w:left="632" w:firstLine="0"/>
        <w:jc w:val="left"/>
      </w:pPr>
      <w:r>
        <w:rPr>
          <w:b/>
          <w:i/>
        </w:rPr>
        <w:t xml:space="preserve"> </w:t>
      </w:r>
    </w:p>
    <w:p w:rsidR="00E302EC" w:rsidRDefault="00FC4F28">
      <w:pPr>
        <w:spacing w:after="11" w:line="248" w:lineRule="auto"/>
        <w:ind w:left="642" w:right="180"/>
      </w:pPr>
      <w:r>
        <w:rPr>
          <w:b/>
          <w:i/>
        </w:rPr>
        <w:t>B</w:t>
      </w:r>
      <w:r>
        <w:rPr>
          <w:b/>
          <w:i/>
        </w:rPr>
        <w:t>) GASTOS DE BIENES CORRIENTES Y DE SERVICIOS</w:t>
      </w:r>
      <w:r>
        <w:rPr>
          <w:rFonts w:ascii="Times New Roman" w:eastAsia="Times New Roman" w:hAnsi="Times New Roman" w:cs="Times New Roman"/>
          <w:sz w:val="24"/>
        </w:rPr>
        <w:t xml:space="preserve"> </w:t>
      </w:r>
    </w:p>
    <w:p w:rsidR="00E302EC" w:rsidRDefault="00FC4F28">
      <w:pPr>
        <w:spacing w:after="0" w:line="259" w:lineRule="auto"/>
        <w:ind w:left="992" w:firstLine="0"/>
        <w:jc w:val="left"/>
      </w:pPr>
      <w:r>
        <w:t xml:space="preserve"> </w:t>
      </w:r>
    </w:p>
    <w:p w:rsidR="00E302EC" w:rsidRDefault="00FC4F28">
      <w:pPr>
        <w:ind w:left="269" w:right="184" w:firstLine="360"/>
      </w:pPr>
      <w:r>
        <w:t xml:space="preserve">Los gastos de bienes y de servicios corrientes, que representan un 39,3 % del gasto total frente al 30,1 % del año anterior, experimentan un aumento del 14,9 %, más concretamente de 1.248.827,11 Euros.  </w:t>
      </w:r>
    </w:p>
    <w:p w:rsidR="00E302EC" w:rsidRDefault="00FC4F28">
      <w:pPr>
        <w:spacing w:after="0" w:line="259" w:lineRule="auto"/>
        <w:ind w:left="644" w:firstLine="0"/>
        <w:jc w:val="left"/>
      </w:pPr>
      <w:r>
        <w:t xml:space="preserve"> </w:t>
      </w:r>
    </w:p>
    <w:p w:rsidR="00E302EC" w:rsidRDefault="00FC4F28">
      <w:pPr>
        <w:ind w:left="654" w:right="184"/>
      </w:pPr>
      <w:r>
        <w:t xml:space="preserve">Las incidencias más importantes operadas en este capítulo II, se detallan a continuación: </w:t>
      </w:r>
    </w:p>
    <w:p w:rsidR="00E302EC" w:rsidRDefault="00FC4F28">
      <w:pPr>
        <w:spacing w:after="0" w:line="259" w:lineRule="auto"/>
        <w:ind w:left="284" w:firstLine="0"/>
        <w:jc w:val="left"/>
      </w:pPr>
      <w:r>
        <w:t xml:space="preserve"> </w:t>
      </w:r>
    </w:p>
    <w:p w:rsidR="00E302EC" w:rsidRDefault="00FC4F28">
      <w:pPr>
        <w:ind w:left="279" w:right="184"/>
      </w:pPr>
      <w:r>
        <w:t>1.-  Se incrementa un 14,7 % los gastos de arrendamiento, destacando los cánones abonados relativos a la administración electrónica, contratación y de contabilidad</w:t>
      </w:r>
      <w:r>
        <w:t xml:space="preserve"> y recaudación, que creció un 41 % (aumentó un 16,8 % en el 2020), que compensa la caída de un 19 % el gasto de arrendamiento de maquinaria. </w:t>
      </w:r>
    </w:p>
    <w:p w:rsidR="00E302EC" w:rsidRDefault="00FC4F28">
      <w:pPr>
        <w:spacing w:after="0" w:line="259" w:lineRule="auto"/>
        <w:ind w:left="284" w:firstLine="0"/>
        <w:jc w:val="left"/>
      </w:pPr>
      <w:r>
        <w:t xml:space="preserve"> </w:t>
      </w:r>
    </w:p>
    <w:p w:rsidR="00E302EC" w:rsidRDefault="00FC4F28">
      <w:pPr>
        <w:ind w:left="279" w:right="184"/>
      </w:pPr>
      <w:r>
        <w:t xml:space="preserve">2.- Sube un 15 % los gastos de conservación, mantenimiento y reparación, de infraestructuras municipales (había </w:t>
      </w:r>
      <w:r>
        <w:t xml:space="preserve">crecido un 55 % en el año anterior), un 47 % los gastos de mantenimiento de edificios municipales (16,7 % en el 2020), que compensa la caída de reparaciones y conservación de maquinaria e instalaciones, en un 20 %. </w:t>
      </w:r>
    </w:p>
    <w:p w:rsidR="00E302EC" w:rsidRDefault="00FC4F28">
      <w:pPr>
        <w:spacing w:after="0" w:line="259" w:lineRule="auto"/>
        <w:ind w:left="284" w:firstLine="0"/>
        <w:jc w:val="left"/>
      </w:pPr>
      <w:r>
        <w:t xml:space="preserve"> </w:t>
      </w:r>
    </w:p>
    <w:p w:rsidR="00E302EC" w:rsidRDefault="00FC4F28">
      <w:pPr>
        <w:ind w:left="279" w:right="184"/>
      </w:pPr>
      <w:r>
        <w:t>3.-  Sube el gasto en material de ofic</w:t>
      </w:r>
      <w:r>
        <w:t xml:space="preserve">ina en un 71,6 %, principalmente por prensa, revistas y otras publicaciones. </w:t>
      </w:r>
    </w:p>
    <w:p w:rsidR="00E302EC" w:rsidRDefault="00FC4F28">
      <w:pPr>
        <w:spacing w:after="0" w:line="259" w:lineRule="auto"/>
        <w:ind w:left="284" w:firstLine="0"/>
        <w:jc w:val="left"/>
      </w:pPr>
      <w:r>
        <w:t xml:space="preserve"> </w:t>
      </w:r>
    </w:p>
    <w:p w:rsidR="00E302EC" w:rsidRDefault="00FC4F28">
      <w:pPr>
        <w:ind w:left="279" w:right="184"/>
      </w:pPr>
      <w:r>
        <w:t xml:space="preserve">4.- Cae un 11,2 % el suministro eléctrico. </w:t>
      </w:r>
    </w:p>
    <w:p w:rsidR="00E302EC" w:rsidRDefault="00FC4F28">
      <w:pPr>
        <w:spacing w:after="0" w:line="259" w:lineRule="auto"/>
        <w:ind w:left="284" w:firstLine="0"/>
        <w:jc w:val="left"/>
      </w:pPr>
      <w:r>
        <w:t xml:space="preserve"> </w:t>
      </w:r>
    </w:p>
    <w:p w:rsidR="00E302EC" w:rsidRDefault="00FC4F28">
      <w:pPr>
        <w:ind w:left="279" w:right="184"/>
      </w:pPr>
      <w:r>
        <w:t xml:space="preserve">5.- Cae un 6,5 % el suministro de telecomunicaciones. </w:t>
      </w:r>
    </w:p>
    <w:p w:rsidR="00E302EC" w:rsidRDefault="00FC4F28">
      <w:pPr>
        <w:spacing w:after="0" w:line="259" w:lineRule="auto"/>
        <w:ind w:left="284" w:firstLine="0"/>
        <w:jc w:val="left"/>
      </w:pPr>
      <w:r>
        <w:t xml:space="preserve"> </w:t>
      </w:r>
    </w:p>
    <w:p w:rsidR="00E302EC" w:rsidRDefault="00FC4F28">
      <w:pPr>
        <w:ind w:left="279" w:right="184"/>
      </w:pPr>
      <w:r>
        <w:t xml:space="preserve">6.- Desciende un 18 % los gastos jurídicos. </w:t>
      </w:r>
    </w:p>
    <w:p w:rsidR="00E302EC" w:rsidRDefault="00FC4F28">
      <w:pPr>
        <w:spacing w:after="0" w:line="259" w:lineRule="auto"/>
        <w:ind w:left="284" w:firstLine="0"/>
        <w:jc w:val="left"/>
      </w:pPr>
      <w:r>
        <w:t xml:space="preserve"> </w:t>
      </w:r>
    </w:p>
    <w:p w:rsidR="00E302EC" w:rsidRDefault="00FC4F28">
      <w:pPr>
        <w:ind w:left="279" w:right="184"/>
      </w:pPr>
      <w:r>
        <w:t xml:space="preserve">7.- </w:t>
      </w:r>
      <w:r>
        <w:t xml:space="preserve">Aumenta el gasto en un 13,6 % para publicidad y propaganda.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3351" name="Group 23335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1389" name="Rectangle 1138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1390" name="Rectangle 1139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48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3351" style="width:12.7031pt;height:273.276pt;position:absolute;mso-position-horizontal-relative:page;mso-position-horizontal:absolute;margin-left:682.278pt;mso-position-vertical-relative:page;margin-top:538.644pt;" coordsize="1613,34706">
                <v:rect id="Rectangle 1138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139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159 </w:t>
                        </w:r>
                      </w:p>
                    </w:txbxContent>
                  </v:textbox>
                </v:rect>
                <w10:wrap type="square"/>
              </v:group>
            </w:pict>
          </mc:Fallback>
        </mc:AlternateContent>
      </w:r>
      <w:r>
        <w:t xml:space="preserve"> </w:t>
      </w:r>
    </w:p>
    <w:p w:rsidR="00E302EC" w:rsidRDefault="00FC4F28">
      <w:pPr>
        <w:spacing w:after="0" w:line="259" w:lineRule="auto"/>
        <w:ind w:left="284" w:firstLine="0"/>
        <w:jc w:val="left"/>
      </w:pPr>
      <w:r>
        <w:t xml:space="preserve"> </w:t>
      </w:r>
    </w:p>
    <w:p w:rsidR="00E302EC" w:rsidRDefault="00FC4F28">
      <w:pPr>
        <w:numPr>
          <w:ilvl w:val="0"/>
          <w:numId w:val="29"/>
        </w:numPr>
        <w:spacing w:after="11" w:line="248" w:lineRule="auto"/>
        <w:ind w:left="1117" w:right="180" w:hanging="293"/>
      </w:pPr>
      <w:r>
        <w:rPr>
          <w:b/>
          <w:i/>
        </w:rPr>
        <w:t xml:space="preserve">GASTOS FINANCIEROS </w:t>
      </w:r>
    </w:p>
    <w:p w:rsidR="00E302EC" w:rsidRDefault="00FC4F28">
      <w:pPr>
        <w:spacing w:after="0" w:line="259" w:lineRule="auto"/>
        <w:ind w:left="644" w:firstLine="0"/>
        <w:jc w:val="left"/>
      </w:pPr>
      <w:r>
        <w:rPr>
          <w:b/>
          <w:i/>
        </w:rPr>
        <w:t xml:space="preserve"> </w:t>
      </w:r>
    </w:p>
    <w:p w:rsidR="00E302EC" w:rsidRDefault="00FC4F28">
      <w:pPr>
        <w:ind w:left="279" w:right="184"/>
      </w:pPr>
      <w:r>
        <w:t xml:space="preserve"> Los gastos financieros importan un total de 39.375,45 Euros, frente al gasto de 328.695,89 en el año 2020, esto es, un descenso de un 8</w:t>
      </w:r>
      <w:r>
        <w:t>8,1 %, motivado por el abono, en el año 2020, de intereses de demora por la Sentencia relativo a la adquisición de un Terreno en la calle Pasacola, Procedimiento 17/2019, por importe de 287.306,77 Euros.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r>
        <w:tab/>
        <w:t xml:space="preserve"> </w:t>
      </w:r>
    </w:p>
    <w:p w:rsidR="00E302EC" w:rsidRDefault="00FC4F28">
      <w:pPr>
        <w:numPr>
          <w:ilvl w:val="0"/>
          <w:numId w:val="29"/>
        </w:numPr>
        <w:spacing w:after="11" w:line="248" w:lineRule="auto"/>
        <w:ind w:left="1117" w:right="180" w:hanging="293"/>
      </w:pPr>
      <w:r>
        <w:rPr>
          <w:b/>
          <w:i/>
        </w:rPr>
        <w:t xml:space="preserve">TRANSFERENCIAS CORRIENTES </w:t>
      </w:r>
    </w:p>
    <w:p w:rsidR="00E302EC" w:rsidRDefault="00FC4F28">
      <w:pPr>
        <w:spacing w:after="0" w:line="259" w:lineRule="auto"/>
        <w:ind w:left="1004" w:firstLine="0"/>
        <w:jc w:val="left"/>
      </w:pPr>
      <w:r>
        <w:rPr>
          <w:b/>
          <w:i/>
        </w:rPr>
        <w:t xml:space="preserve"> </w:t>
      </w:r>
    </w:p>
    <w:p w:rsidR="00E302EC" w:rsidRDefault="00FC4F28">
      <w:pPr>
        <w:ind w:left="269" w:right="184" w:firstLine="360"/>
      </w:pPr>
      <w:r>
        <w:t xml:space="preserve"> En materia de t</w:t>
      </w:r>
      <w:r>
        <w:t xml:space="preserve">ransferencias corrientes, ha crecido levemente, un 0,6 %, de un total de 17.382,99 Euros, siendo el tercer componente de gasto más importante cuantitativamente, por los siguientes motivos: </w:t>
      </w:r>
    </w:p>
    <w:p w:rsidR="00E302EC" w:rsidRDefault="00FC4F28">
      <w:pPr>
        <w:spacing w:after="0" w:line="259" w:lineRule="auto"/>
        <w:ind w:left="644" w:firstLine="0"/>
        <w:jc w:val="left"/>
      </w:pPr>
      <w:r>
        <w:t xml:space="preserve"> </w:t>
      </w:r>
    </w:p>
    <w:p w:rsidR="00E302EC" w:rsidRDefault="00FC4F28">
      <w:pPr>
        <w:numPr>
          <w:ilvl w:val="0"/>
          <w:numId w:val="30"/>
        </w:numPr>
        <w:ind w:right="184" w:hanging="360"/>
      </w:pPr>
      <w:r>
        <w:t xml:space="preserve">Cae un 4,5 % la aportación a los entes dependientes. </w:t>
      </w:r>
    </w:p>
    <w:p w:rsidR="00E302EC" w:rsidRDefault="00FC4F28">
      <w:pPr>
        <w:spacing w:after="0" w:line="259" w:lineRule="auto"/>
        <w:ind w:left="1004" w:firstLine="0"/>
        <w:jc w:val="left"/>
      </w:pPr>
      <w:r>
        <w:t xml:space="preserve"> </w:t>
      </w:r>
    </w:p>
    <w:p w:rsidR="00E302EC" w:rsidRDefault="00FC4F28">
      <w:pPr>
        <w:numPr>
          <w:ilvl w:val="0"/>
          <w:numId w:val="30"/>
        </w:numPr>
        <w:ind w:right="184" w:hanging="360"/>
      </w:pPr>
      <w:r>
        <w:t>Aumenta en más de cuarenta y dos mil euros (en el ejercicio anterior, no hubo aportación alguna) la transferencia al Gobierno de Canarias. Por un lado, quince mil euros para la Universidad de La Laguna por organización de una cátedra y el resto, a la Agenc</w:t>
      </w:r>
      <w:r>
        <w:t xml:space="preserve">ia Canaria del Medio Ambiente Natural.  </w:t>
      </w:r>
    </w:p>
    <w:p w:rsidR="00E302EC" w:rsidRDefault="00FC4F28">
      <w:pPr>
        <w:spacing w:after="0" w:line="259" w:lineRule="auto"/>
        <w:ind w:left="1004" w:firstLine="0"/>
        <w:jc w:val="left"/>
      </w:pPr>
      <w:r>
        <w:t xml:space="preserve"> </w:t>
      </w:r>
    </w:p>
    <w:p w:rsidR="00E302EC" w:rsidRDefault="00FC4F28">
      <w:pPr>
        <w:numPr>
          <w:ilvl w:val="0"/>
          <w:numId w:val="30"/>
        </w:numPr>
        <w:ind w:right="184" w:hanging="360"/>
      </w:pPr>
      <w:r>
        <w:t xml:space="preserve">Incremento en un 0,7 % las subvenciones concedidas por la Concejalía de Servicios Sociales. </w:t>
      </w:r>
    </w:p>
    <w:p w:rsidR="00E302EC" w:rsidRDefault="00FC4F28">
      <w:pPr>
        <w:spacing w:after="0" w:line="259" w:lineRule="auto"/>
        <w:ind w:left="1004" w:firstLine="0"/>
        <w:jc w:val="left"/>
      </w:pPr>
      <w:r>
        <w:t xml:space="preserve"> </w:t>
      </w:r>
    </w:p>
    <w:p w:rsidR="00E302EC" w:rsidRDefault="00FC4F28">
      <w:pPr>
        <w:numPr>
          <w:ilvl w:val="0"/>
          <w:numId w:val="30"/>
        </w:numPr>
        <w:ind w:right="184" w:hanging="360"/>
      </w:pPr>
      <w:r>
        <w:t xml:space="preserve">Sube un 14 % % las subvenciones concedidas por Educación. </w:t>
      </w:r>
    </w:p>
    <w:p w:rsidR="00E302EC" w:rsidRDefault="00FC4F28">
      <w:pPr>
        <w:spacing w:after="0" w:line="259" w:lineRule="auto"/>
        <w:ind w:left="1004" w:firstLine="0"/>
        <w:jc w:val="left"/>
      </w:pPr>
      <w:r>
        <w:t xml:space="preserve"> </w:t>
      </w:r>
    </w:p>
    <w:p w:rsidR="00E302EC" w:rsidRDefault="00FC4F28">
      <w:pPr>
        <w:numPr>
          <w:ilvl w:val="0"/>
          <w:numId w:val="30"/>
        </w:numPr>
        <w:ind w:right="184" w:hanging="360"/>
      </w:pPr>
      <w:r>
        <w:t>Cae un 11 % las subvenciones concedidas por la Concejalía</w:t>
      </w:r>
      <w:r>
        <w:t xml:space="preserve"> de Deportes. </w:t>
      </w:r>
    </w:p>
    <w:p w:rsidR="00E302EC" w:rsidRDefault="00FC4F28">
      <w:pPr>
        <w:spacing w:after="0" w:line="259" w:lineRule="auto"/>
        <w:ind w:left="1004" w:firstLine="0"/>
        <w:jc w:val="left"/>
      </w:pPr>
      <w:r>
        <w:t xml:space="preserve"> </w:t>
      </w:r>
    </w:p>
    <w:p w:rsidR="00E302EC" w:rsidRDefault="00FC4F28">
      <w:pPr>
        <w:numPr>
          <w:ilvl w:val="0"/>
          <w:numId w:val="30"/>
        </w:numPr>
        <w:ind w:right="184" w:hanging="360"/>
      </w:pPr>
      <w:r>
        <w:t xml:space="preserve">Aumenta un 9,3 % las subvenciones otorgadas por la Concejalía de Cultura.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1364" w:firstLine="0"/>
        <w:jc w:val="left"/>
      </w:pPr>
      <w:r>
        <w:t xml:space="preserve"> </w:t>
      </w:r>
    </w:p>
    <w:p w:rsidR="00E302EC" w:rsidRDefault="00FC4F28">
      <w:pPr>
        <w:spacing w:after="11" w:line="248" w:lineRule="auto"/>
        <w:ind w:left="654" w:right="180"/>
      </w:pPr>
      <w:r>
        <w:rPr>
          <w:b/>
          <w:i/>
        </w:rPr>
        <w:t xml:space="preserve">E)  INVERSIONES REALES </w:t>
      </w:r>
    </w:p>
    <w:p w:rsidR="00E302EC" w:rsidRDefault="00FC4F28">
      <w:pPr>
        <w:spacing w:after="0" w:line="259" w:lineRule="auto"/>
        <w:ind w:left="644" w:firstLine="0"/>
        <w:jc w:val="left"/>
      </w:pPr>
      <w:r>
        <w:rPr>
          <w:b/>
          <w:i/>
        </w:rPr>
        <w:t xml:space="preserve"> </w:t>
      </w:r>
    </w:p>
    <w:p w:rsidR="00E302EC" w:rsidRDefault="00FC4F28">
      <w:pPr>
        <w:ind w:left="279" w:right="184"/>
      </w:pPr>
      <w:r>
        <w:t xml:space="preserve">    </w:t>
      </w:r>
      <w:r>
        <w:t>En cuanto a las inversiones reales, experimenta un decremento importante, del 54 %, motivado por la adquisición, en el año 2020, de la parcela UA-CO Empaquetadora de D. Sixto, aprobada por acuerdo plenario de 28 de febrero de 2020, por un precio de 2.270.1</w:t>
      </w:r>
      <w:r>
        <w:t>50 Euros y de un Terreno en virtud de la Sentencia, en la calle Pasacola, Procedimiento 17/2019, por importe de 297.984,55 Euros.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3637"/>
        </w:tabs>
        <w:ind w:left="0" w:firstLine="0"/>
        <w:jc w:val="left"/>
      </w:pPr>
      <w:r>
        <w:rPr>
          <w:rFonts w:ascii="Calibri" w:eastAsia="Calibri" w:hAnsi="Calibri" w:cs="Calibri"/>
        </w:rPr>
        <w:tab/>
      </w:r>
      <w:r>
        <w:t xml:space="preserve"> </w:t>
      </w:r>
      <w:r>
        <w:tab/>
        <w:t xml:space="preserve">Se destaca las inversiones más importantes: </w:t>
      </w:r>
    </w:p>
    <w:p w:rsidR="00E302EC" w:rsidRDefault="00FC4F28">
      <w:pPr>
        <w:spacing w:after="0" w:line="259" w:lineRule="auto"/>
        <w:ind w:left="284" w:firstLine="0"/>
        <w:jc w:val="left"/>
      </w:pPr>
      <w:r>
        <w:t xml:space="preserve"> </w:t>
      </w:r>
    </w:p>
    <w:p w:rsidR="00E302EC" w:rsidRDefault="00FC4F28">
      <w:pPr>
        <w:ind w:left="279" w:right="184"/>
      </w:pPr>
      <w:r>
        <w:t xml:space="preserve">1.- </w:t>
      </w:r>
      <w:r>
        <w:t xml:space="preserve">Obra de emergencia en el paseo de san blas, aportado por el Cabildo Insular de Tenerife, por importe de 720.878,33 Euros. </w:t>
      </w:r>
    </w:p>
    <w:p w:rsidR="00E302EC" w:rsidRDefault="00FC4F28">
      <w:pPr>
        <w:spacing w:after="0" w:line="259" w:lineRule="auto"/>
        <w:ind w:left="284" w:firstLine="0"/>
        <w:jc w:val="left"/>
      </w:pPr>
      <w:r>
        <w:t xml:space="preserve"> </w:t>
      </w:r>
    </w:p>
    <w:p w:rsidR="00E302EC" w:rsidRDefault="00FC4F28">
      <w:pPr>
        <w:ind w:left="279" w:right="184"/>
      </w:pPr>
      <w:r>
        <w:t xml:space="preserve">2.- Adquisición de terreno, por expropiación, en santa ana, por importe de 80.000,00 Euros.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3845" name="Group 23384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1518" name="Rectangle 1151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7MT23JRFLY7JHEN56D</w:t>
                              </w:r>
                              <w:r>
                                <w:rPr>
                                  <w:sz w:val="12"/>
                                </w:rPr>
                                <w:t xml:space="preserve">753ZS5Q | Verificación: https://candelaria.sedelectronica.es/ </w:t>
                              </w:r>
                            </w:p>
                          </w:txbxContent>
                        </wps:txbx>
                        <wps:bodyPr horzOverflow="overflow" vert="horz" lIns="0" tIns="0" rIns="0" bIns="0" rtlCol="0">
                          <a:noAutofit/>
                        </wps:bodyPr>
                      </wps:wsp>
                      <wps:wsp>
                        <wps:cNvPr id="11519" name="Rectangle 1151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49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3845" style="width:12.7031pt;height:273.276pt;position:absolute;mso-position-horizontal-relative:page;mso-position-horizontal:absolute;margin-left:682.278pt;mso-position-vertical-relative:page;margin-top:538.644pt;" coordsize="1613,34706">
                <v:rect id="Rectangle 1151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151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159 </w:t>
                        </w:r>
                      </w:p>
                    </w:txbxContent>
                  </v:textbox>
                </v:rect>
                <w10:wrap type="square"/>
              </v:group>
            </w:pict>
          </mc:Fallback>
        </mc:AlternateContent>
      </w:r>
      <w:r>
        <w:t xml:space="preserve"> </w:t>
      </w:r>
    </w:p>
    <w:p w:rsidR="00E302EC" w:rsidRDefault="00FC4F28">
      <w:pPr>
        <w:ind w:left="279" w:right="184"/>
      </w:pPr>
      <w:r>
        <w:t xml:space="preserve">3.- Caída de un 75 % la inversión en alumbrado público. </w:t>
      </w:r>
    </w:p>
    <w:p w:rsidR="00E302EC" w:rsidRDefault="00FC4F28">
      <w:pPr>
        <w:spacing w:after="0" w:line="259" w:lineRule="auto"/>
        <w:ind w:left="284" w:firstLine="0"/>
        <w:jc w:val="left"/>
      </w:pPr>
      <w:r>
        <w:t xml:space="preserve"> </w:t>
      </w:r>
    </w:p>
    <w:p w:rsidR="00E302EC" w:rsidRDefault="00FC4F28">
      <w:pPr>
        <w:ind w:left="279" w:right="184"/>
      </w:pPr>
      <w:r>
        <w:t xml:space="preserve">4.- Inversión de casi setenta y dos </w:t>
      </w:r>
      <w:r>
        <w:t xml:space="preserve">mil euros, por compra de contenedores y papeleras. </w:t>
      </w:r>
    </w:p>
    <w:p w:rsidR="00E302EC" w:rsidRDefault="00FC4F28">
      <w:pPr>
        <w:spacing w:after="0" w:line="259" w:lineRule="auto"/>
        <w:ind w:left="284" w:firstLine="0"/>
        <w:jc w:val="left"/>
      </w:pPr>
      <w:r>
        <w:t xml:space="preserve"> </w:t>
      </w:r>
    </w:p>
    <w:p w:rsidR="00E302EC" w:rsidRDefault="00FC4F28">
      <w:pPr>
        <w:ind w:left="279" w:right="184"/>
      </w:pPr>
      <w:r>
        <w:t xml:space="preserve">5.- Crece un 80 % las inversiones en instalaciones deportivas (complejo deportivo álvaro de armas, polideportivo de alsaca y Barranco Hondo). </w:t>
      </w:r>
    </w:p>
    <w:p w:rsidR="00E302EC" w:rsidRDefault="00FC4F28">
      <w:pPr>
        <w:spacing w:after="0" w:line="259" w:lineRule="auto"/>
        <w:ind w:left="284" w:firstLine="0"/>
        <w:jc w:val="left"/>
      </w:pPr>
      <w:r>
        <w:t xml:space="preserve"> </w:t>
      </w:r>
    </w:p>
    <w:p w:rsidR="00E302EC" w:rsidRDefault="00FC4F28">
      <w:pPr>
        <w:ind w:left="279" w:right="184"/>
      </w:pPr>
      <w:r>
        <w:t xml:space="preserve">6.- Gasto de aproximadamente treinta y ocho mil euros en </w:t>
      </w:r>
      <w:r>
        <w:t xml:space="preserve">sanidad (caseta parque perros y compra tableros fenólicos, frente al gasto nulo del ejercicio anterior.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numPr>
          <w:ilvl w:val="0"/>
          <w:numId w:val="31"/>
        </w:numPr>
        <w:spacing w:after="11" w:line="248" w:lineRule="auto"/>
        <w:ind w:right="180" w:hanging="300"/>
      </w:pPr>
      <w:r>
        <w:rPr>
          <w:b/>
          <w:i/>
        </w:rPr>
        <w:t>TRANSFERENCIAS DE CAPITAL</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w:t>
      </w:r>
      <w:r>
        <w:t xml:space="preserve">En las transferencias de capital, hay un gasto de 31.655,59 Euros con destino al Plan de Etapas del emisario submarino en P.I. Güimar.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i/>
        </w:rPr>
        <w:t xml:space="preserve"> </w:t>
      </w:r>
    </w:p>
    <w:p w:rsidR="00E302EC" w:rsidRDefault="00FC4F28">
      <w:pPr>
        <w:numPr>
          <w:ilvl w:val="0"/>
          <w:numId w:val="31"/>
        </w:numPr>
        <w:spacing w:after="11" w:line="248" w:lineRule="auto"/>
        <w:ind w:right="180" w:hanging="300"/>
      </w:pPr>
      <w:r>
        <w:rPr>
          <w:b/>
          <w:i/>
        </w:rPr>
        <w:t>ACTIVOS FINANCIEROS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1455"/>
          <w:tab w:val="center" w:pos="4536"/>
        </w:tabs>
        <w:ind w:left="0" w:firstLine="0"/>
        <w:jc w:val="left"/>
      </w:pPr>
      <w:r>
        <w:rPr>
          <w:rFonts w:ascii="Calibri" w:eastAsia="Calibri" w:hAnsi="Calibri" w:cs="Calibri"/>
        </w:rPr>
        <w:tab/>
      </w:r>
      <w:r>
        <w:t xml:space="preserve"> </w:t>
      </w:r>
      <w:r>
        <w:tab/>
        <w:t xml:space="preserve"> </w:t>
      </w:r>
      <w:r>
        <w:tab/>
        <w:t xml:space="preserve">Los Activos financieros no se ha ejecutado nada.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numPr>
          <w:ilvl w:val="0"/>
          <w:numId w:val="31"/>
        </w:numPr>
        <w:spacing w:after="11" w:line="248" w:lineRule="auto"/>
        <w:ind w:right="180" w:hanging="300"/>
      </w:pPr>
      <w:r>
        <w:rPr>
          <w:b/>
          <w:i/>
        </w:rPr>
        <w:t>PASIVOS FINANCIEROS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3827"/>
        </w:tabs>
        <w:ind w:left="0" w:firstLine="0"/>
        <w:jc w:val="left"/>
      </w:pPr>
      <w:r>
        <w:rPr>
          <w:rFonts w:ascii="Calibri" w:eastAsia="Calibri" w:hAnsi="Calibri" w:cs="Calibri"/>
        </w:rPr>
        <w:tab/>
      </w:r>
      <w:r>
        <w:t xml:space="preserve"> </w:t>
      </w:r>
      <w:r>
        <w:tab/>
        <w:t xml:space="preserve">No hay </w:t>
      </w:r>
      <w:r>
        <w:t xml:space="preserve">deuda financiera pendiente de amortizar. </w:t>
      </w:r>
    </w:p>
    <w:p w:rsidR="00E302EC" w:rsidRDefault="00FC4F28">
      <w:pPr>
        <w:spacing w:after="0" w:line="259" w:lineRule="auto"/>
        <w:ind w:left="992" w:firstLine="0"/>
        <w:jc w:val="left"/>
      </w:pPr>
      <w:r>
        <w:t xml:space="preserve"> </w:t>
      </w:r>
    </w:p>
    <w:p w:rsidR="00E302EC" w:rsidRDefault="00FC4F28">
      <w:pPr>
        <w:spacing w:after="0" w:line="259" w:lineRule="auto"/>
        <w:ind w:left="644" w:firstLine="0"/>
        <w:jc w:val="left"/>
      </w:pPr>
      <w:r>
        <w:t xml:space="preserve"> </w:t>
      </w:r>
    </w:p>
    <w:p w:rsidR="00E302EC" w:rsidRDefault="00FC4F28">
      <w:pPr>
        <w:ind w:left="269" w:right="110" w:firstLine="360"/>
      </w:pPr>
      <w:r>
        <w:t xml:space="preserve">En ejercicios Cerrados, se realizaron pagos por importe de 839.814,84 Euros, frente a los 1.387.267,79 Euros, realizados en el año anterior, quedando un pendiente de pago de 497.516,52 Euros (494.828,40 Euros en año anterior). </w:t>
      </w:r>
    </w:p>
    <w:p w:rsidR="00E302EC" w:rsidRDefault="00FC4F28">
      <w:pPr>
        <w:spacing w:after="0" w:line="259" w:lineRule="auto"/>
        <w:ind w:left="644" w:firstLine="0"/>
        <w:jc w:val="left"/>
      </w:pPr>
      <w:r>
        <w:t xml:space="preserve"> </w:t>
      </w:r>
    </w:p>
    <w:p w:rsidR="00E302EC" w:rsidRDefault="00FC4F28">
      <w:pPr>
        <w:ind w:left="284" w:right="112" w:hanging="284"/>
      </w:pPr>
      <w:r>
        <w:t xml:space="preserve">  Un total de 838.926,23 E</w:t>
      </w:r>
      <w:r>
        <w:t xml:space="preserve">uros de los pagos realizados se corresponden con facturas pendientes del ejercicio 2020, de los que un 60,5 % se corresponden con el capítulo II de compras y gastos corrientes, un 20,2 % con el capítulo de personal y un 16,2 %, a inversiones reales. </w:t>
      </w:r>
    </w:p>
    <w:p w:rsidR="00E302EC" w:rsidRDefault="00FC4F28">
      <w:pPr>
        <w:spacing w:after="0" w:line="259" w:lineRule="auto"/>
        <w:ind w:left="0" w:firstLine="0"/>
        <w:jc w:val="left"/>
      </w:pPr>
      <w:r>
        <w:t xml:space="preserve"> </w:t>
      </w:r>
    </w:p>
    <w:p w:rsidR="00E302EC" w:rsidRDefault="00FC4F28">
      <w:pPr>
        <w:ind w:left="269" w:right="184" w:firstLine="360"/>
      </w:pPr>
      <w:r>
        <w:t>Una</w:t>
      </w:r>
      <w:r>
        <w:t xml:space="preserve"> vez estudiado los gastos liquidados, de acuerdo a la clasificación económica por capítulos, a continuación, hacemos un examen de los gastos según su naturaleza por programas, en la que se extraen las siguientes conclusiones: </w:t>
      </w:r>
    </w:p>
    <w:p w:rsidR="00E302EC" w:rsidRDefault="00FC4F28">
      <w:pPr>
        <w:spacing w:after="0" w:line="259" w:lineRule="auto"/>
        <w:ind w:left="860" w:firstLine="0"/>
        <w:jc w:val="left"/>
      </w:pPr>
      <w:r>
        <w:rPr>
          <w:b/>
        </w:rPr>
        <w:t xml:space="preserve"> </w:t>
      </w:r>
    </w:p>
    <w:p w:rsidR="00E302EC" w:rsidRDefault="00FC4F28">
      <w:pPr>
        <w:spacing w:after="0" w:line="259" w:lineRule="auto"/>
        <w:ind w:left="860" w:firstLine="0"/>
        <w:jc w:val="left"/>
      </w:pPr>
      <w:r>
        <w:rPr>
          <w:b/>
        </w:rPr>
        <w:t xml:space="preserve"> </w:t>
      </w:r>
    </w:p>
    <w:p w:rsidR="00E302EC" w:rsidRDefault="00FC4F28">
      <w:pPr>
        <w:spacing w:after="8" w:line="248" w:lineRule="auto"/>
        <w:ind w:left="870" w:right="183"/>
      </w:pPr>
      <w:r>
        <w:rPr>
          <w:b/>
        </w:rPr>
        <w:t>B) CLASIFICACIÓN POR PROG</w:t>
      </w:r>
      <w:r>
        <w:rPr>
          <w:b/>
        </w:rPr>
        <w:t xml:space="preserve">RAMAS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0848" name="Group 25084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1744" name="Rectangle 1174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1745" name="Rectangle 11745"/>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0848" style="width:12.7031pt;height:273.276pt;position:absolute;mso-position-horizontal-relative:page;mso-position-horizontal:absolute;margin-left:682.278pt;mso-position-vertical-relative:page;margin-top:538.644pt;" coordsize="1613,34706">
                <v:rect id="Rectangle 1174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1745"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159 </w:t>
                        </w:r>
                      </w:p>
                    </w:txbxContent>
                  </v:textbox>
                </v:rect>
                <w10:wrap type="square"/>
              </v:group>
            </w:pict>
          </mc:Fallback>
        </mc:AlternateContent>
      </w:r>
      <w:r>
        <w:t xml:space="preserve"> </w:t>
      </w:r>
      <w:r>
        <w:t>Hay que señalar que a través de la Orden EHA/3565/2008 de 3 de diciembre, por la que se aprueba la estructura de los presupuestos de las entidades locales, que se aplicará a partir de 1 de enero  de 2010, modificada posteriormente por la Orden HAP/419/2014</w:t>
      </w:r>
      <w:r>
        <w:t>, de 14 de marzo, por la que se aprueba la estructura de los presupuestos de las entidades locales, se va a pasar de una denominación de clasificación funcional para pasar a denominarse clasificación por programas, que se desarrolla en Áreas de Gasto, Polí</w:t>
      </w:r>
      <w:r>
        <w:t>ticas de Gasto, Grupos por Programas, Programas y Subprogramas. Así tenemos seis Áreas de Gastos que se detallan a continuación:</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1"/>
          <w:numId w:val="31"/>
        </w:numPr>
        <w:ind w:right="184" w:hanging="360"/>
      </w:pPr>
      <w:r>
        <w:rPr>
          <w:b/>
          <w:i/>
        </w:rPr>
        <w:t>Área de Gasto 0</w:t>
      </w:r>
      <w:r>
        <w:rPr>
          <w:i/>
        </w:rPr>
        <w:t xml:space="preserve">: </w:t>
      </w:r>
      <w:r>
        <w:t xml:space="preserve">Comprende todos los gastos de intereses y amortización de la deuda pública y demás operaciones financieras </w:t>
      </w:r>
      <w:r>
        <w:t>de naturaleza análoga.</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ind w:left="269" w:right="184" w:firstLine="360"/>
      </w:pPr>
      <w:r>
        <w:t xml:space="preserve">Cae un 99 % %, respecto el año anterior, motivado por la inexistencia de amortización de préstamos y la caída de intereses en un 91,2 %. Representa el 0,1 % del gasto total, frente al 9,8 % del año 2020. </w:t>
      </w:r>
    </w:p>
    <w:p w:rsidR="00E302EC" w:rsidRDefault="00FC4F28">
      <w:pPr>
        <w:spacing w:after="0" w:line="259" w:lineRule="auto"/>
        <w:ind w:left="284" w:firstLine="0"/>
        <w:jc w:val="left"/>
      </w:pPr>
      <w:r>
        <w:t xml:space="preserve"> </w:t>
      </w:r>
    </w:p>
    <w:p w:rsidR="00E302EC" w:rsidRDefault="00FC4F28">
      <w:pPr>
        <w:ind w:left="279" w:right="184"/>
      </w:pPr>
      <w:r>
        <w:t xml:space="preserve">     Recoge un solo sub</w:t>
      </w:r>
      <w:r>
        <w:t xml:space="preserve">programa, la 011.00 y el gasto asciende a un total de 29.160,78 Euros frente a los 2.736.005,30 Euros ejecutados en año anterior. </w:t>
      </w:r>
    </w:p>
    <w:p w:rsidR="00E302EC" w:rsidRDefault="00FC4F28">
      <w:pPr>
        <w:spacing w:after="0" w:line="259" w:lineRule="auto"/>
        <w:ind w:left="284" w:firstLine="0"/>
        <w:jc w:val="left"/>
      </w:pPr>
      <w:r>
        <w:t xml:space="preserve"> </w:t>
      </w:r>
    </w:p>
    <w:p w:rsidR="00E302EC" w:rsidRDefault="00FC4F28">
      <w:pPr>
        <w:spacing w:after="0" w:line="259" w:lineRule="auto"/>
        <w:ind w:left="149" w:firstLine="0"/>
        <w:jc w:val="center"/>
      </w:pPr>
      <w:r>
        <w:t xml:space="preserve"> </w:t>
      </w:r>
    </w:p>
    <w:tbl>
      <w:tblPr>
        <w:tblStyle w:val="TableGrid"/>
        <w:tblW w:w="8572" w:type="dxa"/>
        <w:tblInd w:w="576" w:type="dxa"/>
        <w:tblCellMar>
          <w:top w:w="9" w:type="dxa"/>
          <w:left w:w="154" w:type="dxa"/>
          <w:bottom w:w="0" w:type="dxa"/>
          <w:right w:w="92" w:type="dxa"/>
        </w:tblCellMar>
        <w:tblLook w:val="04A0" w:firstRow="1" w:lastRow="0" w:firstColumn="1" w:lastColumn="0" w:noHBand="0" w:noVBand="1"/>
      </w:tblPr>
      <w:tblGrid>
        <w:gridCol w:w="835"/>
        <w:gridCol w:w="3625"/>
        <w:gridCol w:w="2268"/>
        <w:gridCol w:w="1844"/>
      </w:tblGrid>
      <w:tr w:rsidR="00E302EC">
        <w:trPr>
          <w:trHeight w:val="516"/>
        </w:trPr>
        <w:tc>
          <w:tcPr>
            <w:tcW w:w="8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4" w:firstLine="0"/>
              <w:jc w:val="left"/>
            </w:pPr>
            <w:r>
              <w:t xml:space="preserve">AÑO </w:t>
            </w:r>
          </w:p>
          <w:p w:rsidR="00E302EC" w:rsidRDefault="00FC4F28">
            <w:pPr>
              <w:spacing w:after="0" w:line="259" w:lineRule="auto"/>
              <w:ind w:left="0" w:firstLine="0"/>
              <w:jc w:val="center"/>
            </w:pPr>
            <w:r>
              <w:t xml:space="preserve"> </w:t>
            </w:r>
          </w:p>
        </w:tc>
        <w:tc>
          <w:tcPr>
            <w:tcW w:w="36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center"/>
            </w:pPr>
            <w:r>
              <w:t xml:space="preserve">PREVISIONES INICIALES DEL ÁREA DE GASTO 0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4" w:firstLine="0"/>
              <w:jc w:val="center"/>
            </w:pPr>
            <w:r>
              <w:t xml:space="preserve">EJECUCIÓN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2" w:firstLine="0"/>
              <w:jc w:val="center"/>
            </w:pPr>
            <w:r>
              <w:t xml:space="preserve">%   </w:t>
            </w:r>
          </w:p>
          <w:p w:rsidR="00E302EC" w:rsidRDefault="00FC4F28">
            <w:pPr>
              <w:spacing w:after="0" w:line="259" w:lineRule="auto"/>
              <w:ind w:left="0" w:firstLine="0"/>
              <w:jc w:val="left"/>
            </w:pPr>
            <w:r>
              <w:t xml:space="preserve">CRECIMIENTO </w:t>
            </w:r>
          </w:p>
        </w:tc>
      </w:tr>
      <w:tr w:rsidR="00E302EC">
        <w:trPr>
          <w:trHeight w:val="264"/>
        </w:trPr>
        <w:tc>
          <w:tcPr>
            <w:tcW w:w="8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9" w:firstLine="0"/>
              <w:jc w:val="left"/>
            </w:pPr>
            <w:r>
              <w:t xml:space="preserve">2021 </w:t>
            </w:r>
          </w:p>
        </w:tc>
        <w:tc>
          <w:tcPr>
            <w:tcW w:w="36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7" w:firstLine="0"/>
              <w:jc w:val="center"/>
            </w:pPr>
            <w:r>
              <w:t xml:space="preserve">150.000,00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center"/>
            </w:pPr>
            <w:r>
              <w:t xml:space="preserve">39.375,45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-99 </w:t>
            </w:r>
          </w:p>
        </w:tc>
      </w:tr>
      <w:tr w:rsidR="00E302EC">
        <w:trPr>
          <w:trHeight w:val="262"/>
        </w:trPr>
        <w:tc>
          <w:tcPr>
            <w:tcW w:w="8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9" w:firstLine="0"/>
              <w:jc w:val="left"/>
            </w:pPr>
            <w:r>
              <w:t xml:space="preserve">2020 </w:t>
            </w:r>
          </w:p>
        </w:tc>
        <w:tc>
          <w:tcPr>
            <w:tcW w:w="36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7" w:firstLine="0"/>
              <w:jc w:val="center"/>
            </w:pPr>
            <w:r>
              <w:t xml:space="preserve">784.471,12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2.736.005,30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4" w:firstLine="0"/>
              <w:jc w:val="center"/>
            </w:pPr>
            <w:r>
              <w:t xml:space="preserve">155 </w:t>
            </w:r>
          </w:p>
        </w:tc>
      </w:tr>
      <w:tr w:rsidR="00E302EC">
        <w:trPr>
          <w:trHeight w:val="264"/>
        </w:trPr>
        <w:tc>
          <w:tcPr>
            <w:tcW w:w="8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9" w:firstLine="0"/>
              <w:jc w:val="left"/>
            </w:pPr>
            <w:r>
              <w:t xml:space="preserve">2019 </w:t>
            </w:r>
          </w:p>
        </w:tc>
        <w:tc>
          <w:tcPr>
            <w:tcW w:w="36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1.296.975,15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1.072.276,95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-62 </w:t>
            </w:r>
          </w:p>
        </w:tc>
      </w:tr>
      <w:tr w:rsidR="00E302EC">
        <w:trPr>
          <w:trHeight w:val="264"/>
        </w:trPr>
        <w:tc>
          <w:tcPr>
            <w:tcW w:w="8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9" w:firstLine="0"/>
              <w:jc w:val="left"/>
            </w:pPr>
            <w:r>
              <w:t xml:space="preserve">2018 </w:t>
            </w:r>
          </w:p>
        </w:tc>
        <w:tc>
          <w:tcPr>
            <w:tcW w:w="362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6" w:firstLine="0"/>
              <w:jc w:val="center"/>
            </w:pPr>
            <w:r>
              <w:t xml:space="preserve">1.296.975,15 </w:t>
            </w:r>
          </w:p>
        </w:tc>
        <w:tc>
          <w:tcPr>
            <w:tcW w:w="226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2.806.445,66 </w:t>
            </w:r>
          </w:p>
        </w:tc>
        <w:tc>
          <w:tcPr>
            <w:tcW w:w="18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center"/>
            </w:pPr>
            <w:r>
              <w:t xml:space="preserve">-12 </w:t>
            </w:r>
          </w:p>
        </w:tc>
      </w:tr>
    </w:tbl>
    <w:p w:rsidR="00E302EC" w:rsidRDefault="00FC4F28">
      <w:pPr>
        <w:spacing w:after="0" w:line="259" w:lineRule="auto"/>
        <w:ind w:left="644" w:firstLine="0"/>
        <w:jc w:val="left"/>
      </w:pPr>
      <w:r>
        <w:t xml:space="preserve"> </w:t>
      </w:r>
    </w:p>
    <w:p w:rsidR="00E302EC" w:rsidRDefault="00FC4F28">
      <w:pPr>
        <w:numPr>
          <w:ilvl w:val="1"/>
          <w:numId w:val="31"/>
        </w:numPr>
        <w:ind w:right="184" w:hanging="360"/>
      </w:pPr>
      <w:r>
        <w:rPr>
          <w:b/>
          <w:i/>
        </w:rPr>
        <w:t xml:space="preserve">Área de Gasto 1: </w:t>
      </w:r>
      <w:r>
        <w:t xml:space="preserve">Incluye los Servicios Públicos Básicos que con carácter obligatorio deben prestar los municipios, con arreglo al artículo 26.1 de la Ley 7/1985, de 2 de abril, Reguladora de las Bases de Régimen Local. </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ind w:left="1004" w:right="184" w:hanging="360"/>
      </w:pPr>
      <w:r>
        <w:t xml:space="preserve"> Importa un gasto total liquidado de 8.324.654,76 </w:t>
      </w:r>
      <w:r>
        <w:t>Euros, frente a los 10.345.059,54 Euros en el año 2020, generando una caída del 20,6 %. Representa el 34 % del total liquidado en el ejercicio 2021, frente al 37,2 % en el 2020. Así destacamos los siguientes subprogramas previstos en el presupuesto:</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i/>
        </w:rPr>
        <w:t>Sub</w:t>
      </w:r>
      <w:r>
        <w:rPr>
          <w:i/>
        </w:rPr>
        <w:t xml:space="preserve">programa 132.00 de Seguridad y Orden Público, </w:t>
      </w:r>
      <w:r>
        <w:t xml:space="preserve">sube un 5,9 %, principalmente en el gasto de personal, que sube el 7,7 %, representando el 89 % del gasto en este subprograma, así como un 5,2 % del gasto en el capítulo de bienes corrientes y de servicios que </w:t>
      </w:r>
      <w:r>
        <w:t>compensa la caída del capítulo de la inversión, en un 23,5 %. Representa el 8,7 % del gasto total, frente al 7,2 % del ejercicio anterior.</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i/>
        </w:rPr>
        <w:t xml:space="preserve">Subprograma 135.00 de Protección Civil, </w:t>
      </w:r>
      <w:r>
        <w:t xml:space="preserve">que cae un 23,2 %, por la caída del 43,5 % del capítulo de inversiones, </w:t>
      </w:r>
      <w:r>
        <w:t>de un 81 % del capítulo de personal y un 14,5 % de los gastos en bienes corrientes y de servicios, que compensa el gasto en transferencias que fue de trece mil seiscientos euros frente al gasto nulo en el 2020, en este capítulo. Representan un 1 %, respect</w:t>
      </w:r>
      <w:r>
        <w:t>o del gasto total, frente al 1,2 %, en el ejercicio anterior.</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4213" name="Group 23421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1866" name="Rectangle 1186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1867" name="Rectangle 1186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Gestiona | Página 51 de</w:t>
                              </w:r>
                              <w:r>
                                <w:rPr>
                                  <w:sz w:val="12"/>
                                </w:rPr>
                                <w:t xml:space="preserve"> 159 </w:t>
                              </w:r>
                            </w:p>
                          </w:txbxContent>
                        </wps:txbx>
                        <wps:bodyPr horzOverflow="overflow" vert="horz" lIns="0" tIns="0" rIns="0" bIns="0" rtlCol="0">
                          <a:noAutofit/>
                        </wps:bodyPr>
                      </wps:wsp>
                    </wpg:wgp>
                  </a:graphicData>
                </a:graphic>
              </wp:anchor>
            </w:drawing>
          </mc:Choice>
          <mc:Fallback xmlns:a="http://schemas.openxmlformats.org/drawingml/2006/main">
            <w:pict>
              <v:group id="Group 234213" style="width:12.7031pt;height:273.276pt;position:absolute;mso-position-horizontal-relative:page;mso-position-horizontal:absolute;margin-left:682.278pt;mso-position-vertical-relative:page;margin-top:538.644pt;" coordsize="1613,34706">
                <v:rect id="Rectangle 1186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186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159 </w:t>
                        </w:r>
                      </w:p>
                    </w:txbxContent>
                  </v:textbox>
                </v:rect>
                <w10:wrap type="square"/>
              </v:group>
            </w:pict>
          </mc:Fallback>
        </mc:AlternateContent>
      </w:r>
      <w:r>
        <w:rPr>
          <w:i/>
        </w:rPr>
        <w:t xml:space="preserve">Subprograma 136.00 de Servicios de Extinción de Incendios </w:t>
      </w:r>
      <w:r>
        <w:t>que recoge las   aportaciones al Consorcio de Incendios. Cae un 23,5 % el gasto de este subprograma por la caída de las inversiones que ha sido nula en el 2021, frente a un gasto de más de cin</w:t>
      </w:r>
      <w:r>
        <w:t>cuenta y siete mil euros en el año anterior, que no es compensado con el aumento en un 1 % en el capítulo de aportaciones al Consorcio de incendios. Representan un 0,7 % respecto del gasto total, frente al 0,8 % del ejercicio 2020.</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i/>
        </w:rPr>
        <w:t>Subprograma 151.00 de</w:t>
      </w:r>
      <w:r>
        <w:rPr>
          <w:i/>
        </w:rPr>
        <w:t xml:space="preserve"> Urbanismo, </w:t>
      </w:r>
      <w:r>
        <w:t>que sube un 73 %, motivado por el aumento del capítulo de inversiones, en un 164 % y de un 67,5 % del capítulo de gastos en bienes corrientes y de servicios. Representa el 6 % este subprograma, en el gasto total, frente al 3,1 % del gasto total</w:t>
      </w:r>
      <w:r>
        <w:t>, en el año anterior.</w:t>
      </w:r>
      <w:r>
        <w:rPr>
          <w:rFonts w:ascii="Times New Roman" w:eastAsia="Times New Roman" w:hAnsi="Times New Roman" w:cs="Times New Roman"/>
          <w:b/>
          <w:i/>
          <w:sz w:val="24"/>
        </w:rPr>
        <w:t xml:space="preserve"> </w:t>
      </w:r>
    </w:p>
    <w:p w:rsidR="00E302EC" w:rsidRDefault="00FC4F28">
      <w:pPr>
        <w:spacing w:after="0" w:line="259" w:lineRule="auto"/>
        <w:ind w:left="1004" w:firstLine="0"/>
        <w:jc w:val="left"/>
      </w:pPr>
      <w:r>
        <w:rPr>
          <w:b/>
        </w:rPr>
        <w:t xml:space="preserve"> </w:t>
      </w:r>
    </w:p>
    <w:p w:rsidR="00E302EC" w:rsidRDefault="00FC4F28">
      <w:pPr>
        <w:numPr>
          <w:ilvl w:val="1"/>
          <w:numId w:val="31"/>
        </w:numPr>
        <w:ind w:right="184" w:hanging="360"/>
      </w:pPr>
      <w:r>
        <w:rPr>
          <w:i/>
        </w:rPr>
        <w:t xml:space="preserve">Subprograma 153.20 de Pavimentación de Vías Públicas, </w:t>
      </w:r>
      <w:r>
        <w:t xml:space="preserve">que cae un 40,5 %, motivado por la caída del capítulo de inversiones, en un 61,2 %, y de un 6 %, los gastos en el capítulo de gastos corrientes y de servicios. Representa el 0,3 % este subprograma, en el gasto total, frente al 0,4 % del gasto total, en el </w:t>
      </w:r>
      <w:r>
        <w:t>año anterior.</w:t>
      </w:r>
      <w:r>
        <w:rPr>
          <w:rFonts w:ascii="Times New Roman" w:eastAsia="Times New Roman" w:hAnsi="Times New Roman" w:cs="Times New Roman"/>
          <w:b/>
          <w:i/>
          <w:sz w:val="24"/>
        </w:rPr>
        <w:t xml:space="preserve"> </w:t>
      </w:r>
    </w:p>
    <w:p w:rsidR="00E302EC" w:rsidRDefault="00FC4F28">
      <w:pPr>
        <w:spacing w:after="0" w:line="259" w:lineRule="auto"/>
        <w:ind w:left="644" w:firstLine="0"/>
        <w:jc w:val="left"/>
      </w:pPr>
      <w:r>
        <w:rPr>
          <w:i/>
        </w:rPr>
        <w:t xml:space="preserve"> </w:t>
      </w:r>
    </w:p>
    <w:p w:rsidR="00E302EC" w:rsidRDefault="00FC4F28">
      <w:pPr>
        <w:numPr>
          <w:ilvl w:val="1"/>
          <w:numId w:val="31"/>
        </w:numPr>
        <w:ind w:right="184" w:hanging="360"/>
      </w:pPr>
      <w:r>
        <w:rPr>
          <w:i/>
        </w:rPr>
        <w:t xml:space="preserve">Subprograma 160.00 de Alcantarillado, </w:t>
      </w:r>
      <w:r>
        <w:t>que recoge las obras de saneamiento y se ha incrementado un 100%. Se ha hecho un gasto por transferencia de crédito para la ejecución del Plan de Etapas del polígono Industrial del Valle de Güimar. Rep</w:t>
      </w:r>
      <w:r>
        <w:t>resenta el 0,1% del gasto total</w:t>
      </w:r>
      <w:r>
        <w:rPr>
          <w:rFonts w:ascii="Times New Roman" w:eastAsia="Times New Roman" w:hAnsi="Times New Roman" w:cs="Times New Roman"/>
          <w:b/>
          <w:i/>
          <w:sz w:val="24"/>
        </w:rPr>
        <w:t xml:space="preserve"> </w:t>
      </w:r>
    </w:p>
    <w:p w:rsidR="00E302EC" w:rsidRDefault="00FC4F28">
      <w:pPr>
        <w:spacing w:after="0" w:line="259" w:lineRule="auto"/>
        <w:ind w:left="1004" w:firstLine="0"/>
        <w:jc w:val="left"/>
      </w:pPr>
      <w:r>
        <w:rPr>
          <w:b/>
        </w:rPr>
        <w:t xml:space="preserve"> </w:t>
      </w:r>
    </w:p>
    <w:p w:rsidR="00E302EC" w:rsidRDefault="00FC4F28">
      <w:pPr>
        <w:numPr>
          <w:ilvl w:val="1"/>
          <w:numId w:val="31"/>
        </w:numPr>
        <w:ind w:right="184" w:hanging="360"/>
      </w:pPr>
      <w:r>
        <w:rPr>
          <w:i/>
        </w:rPr>
        <w:t xml:space="preserve">Subprograma 161.00 de Abastecimiento de Agua, </w:t>
      </w:r>
      <w:r>
        <w:t>No se ha hecho gasto alguno frente a los casi dieciséis mil euros del año anterior.</w:t>
      </w:r>
      <w:r>
        <w:rPr>
          <w:rFonts w:ascii="Times New Roman" w:eastAsia="Times New Roman" w:hAnsi="Times New Roman" w:cs="Times New Roman"/>
          <w:b/>
          <w:i/>
          <w:sz w:val="24"/>
        </w:rPr>
        <w:t xml:space="preserve"> </w:t>
      </w:r>
    </w:p>
    <w:p w:rsidR="00E302EC" w:rsidRDefault="00FC4F28">
      <w:pPr>
        <w:spacing w:after="0" w:line="259" w:lineRule="auto"/>
        <w:ind w:left="644" w:firstLine="0"/>
        <w:jc w:val="left"/>
      </w:pPr>
      <w:r>
        <w:rPr>
          <w:i/>
        </w:rPr>
        <w:t xml:space="preserve"> </w:t>
      </w:r>
    </w:p>
    <w:p w:rsidR="00E302EC" w:rsidRDefault="00FC4F28">
      <w:pPr>
        <w:numPr>
          <w:ilvl w:val="1"/>
          <w:numId w:val="31"/>
        </w:numPr>
        <w:ind w:right="184" w:hanging="360"/>
      </w:pPr>
      <w:r>
        <w:rPr>
          <w:i/>
        </w:rPr>
        <w:t xml:space="preserve">Subprograma 162.10 de Recogida de Residuos, </w:t>
      </w:r>
      <w:r>
        <w:t>que refleja los gastos de la concesión que g</w:t>
      </w:r>
      <w:r>
        <w:t>estiona Urbaser SA, relativo a la Limpieza Viaria.  Aumenta un 9 % por el pago de trece facturas. Representan un 3,9 % respecto del gasto total, tres décimas más que en el 2020.</w:t>
      </w:r>
      <w:r>
        <w:rPr>
          <w:rFonts w:ascii="Times New Roman" w:eastAsia="Times New Roman" w:hAnsi="Times New Roman" w:cs="Times New Roman"/>
          <w:b/>
          <w:i/>
          <w:sz w:val="24"/>
        </w:rPr>
        <w:t xml:space="preserve"> </w:t>
      </w:r>
    </w:p>
    <w:p w:rsidR="00E302EC" w:rsidRDefault="00FC4F28">
      <w:pPr>
        <w:spacing w:after="0" w:line="259" w:lineRule="auto"/>
        <w:ind w:left="1004" w:firstLine="0"/>
        <w:jc w:val="left"/>
      </w:pPr>
      <w:r>
        <w:rPr>
          <w:b/>
        </w:rPr>
        <w:t xml:space="preserve"> </w:t>
      </w:r>
    </w:p>
    <w:p w:rsidR="00E302EC" w:rsidRDefault="00FC4F28">
      <w:pPr>
        <w:numPr>
          <w:ilvl w:val="1"/>
          <w:numId w:val="31"/>
        </w:numPr>
        <w:ind w:right="184" w:hanging="360"/>
      </w:pPr>
      <w:r>
        <w:rPr>
          <w:i/>
        </w:rPr>
        <w:t xml:space="preserve">Subprograma 162.20 de Gestión de Residuos Sólidos Urbanos, </w:t>
      </w:r>
      <w:r>
        <w:t xml:space="preserve">que refleja los </w:t>
      </w:r>
      <w:r>
        <w:t>gastos de las tasas del Pirss, que se abonan al Cabildo Insular. Se incrementa un 0,4 %. Representan un 2,5 % respecto del gasto total, cuatro décimas más que en el 2019.</w:t>
      </w:r>
      <w:r>
        <w:rPr>
          <w:rFonts w:ascii="Times New Roman" w:eastAsia="Times New Roman" w:hAnsi="Times New Roman" w:cs="Times New Roman"/>
          <w:b/>
          <w:i/>
          <w:sz w:val="24"/>
        </w:rPr>
        <w:t xml:space="preserve"> </w:t>
      </w:r>
    </w:p>
    <w:p w:rsidR="00E302EC" w:rsidRDefault="00FC4F28">
      <w:pPr>
        <w:spacing w:after="0" w:line="259" w:lineRule="auto"/>
        <w:ind w:left="1004" w:firstLine="0"/>
        <w:jc w:val="left"/>
      </w:pPr>
      <w:r>
        <w:rPr>
          <w:b/>
        </w:rPr>
        <w:t xml:space="preserve"> </w:t>
      </w:r>
    </w:p>
    <w:p w:rsidR="00E302EC" w:rsidRDefault="00FC4F28">
      <w:pPr>
        <w:numPr>
          <w:ilvl w:val="1"/>
          <w:numId w:val="31"/>
        </w:numPr>
        <w:ind w:right="184" w:hanging="360"/>
      </w:pPr>
      <w:r>
        <w:rPr>
          <w:i/>
        </w:rPr>
        <w:t xml:space="preserve">Subprograma 163.00 de Gestión de Recogida de Residuos, </w:t>
      </w:r>
      <w:r>
        <w:t>que refleja los gastos de l</w:t>
      </w:r>
      <w:r>
        <w:t xml:space="preserve">a concesión que gestiona Urbaser SA, relativo a la recogida de residuos sólidos urbanos y recogida selectiva. Sube un 8,5 %, por el abono de trece facturas en este servicio. Representan un 7,1 % respecto del gasto total, 1,3 puntos porcentuales más que en </w:t>
      </w:r>
      <w:r>
        <w:t>2020.</w:t>
      </w:r>
      <w:r>
        <w:rPr>
          <w:rFonts w:ascii="Times New Roman" w:eastAsia="Times New Roman" w:hAnsi="Times New Roman" w:cs="Times New Roman"/>
          <w:b/>
          <w:i/>
          <w:sz w:val="24"/>
        </w:rPr>
        <w:t xml:space="preserve"> </w:t>
      </w:r>
    </w:p>
    <w:p w:rsidR="00E302EC" w:rsidRDefault="00FC4F28">
      <w:pPr>
        <w:spacing w:after="0" w:line="259" w:lineRule="auto"/>
        <w:ind w:left="1004" w:firstLine="0"/>
        <w:jc w:val="left"/>
      </w:pPr>
      <w:r>
        <w:rPr>
          <w:b/>
        </w:rPr>
        <w:t xml:space="preserve"> </w:t>
      </w:r>
    </w:p>
    <w:p w:rsidR="00E302EC" w:rsidRDefault="00FC4F28">
      <w:pPr>
        <w:numPr>
          <w:ilvl w:val="1"/>
          <w:numId w:val="31"/>
        </w:numPr>
        <w:ind w:right="184" w:hanging="360"/>
      </w:pPr>
      <w:r>
        <w:rPr>
          <w:i/>
        </w:rPr>
        <w:t>Subprograma 164.00 de Cementerios</w:t>
      </w:r>
      <w:r>
        <w:t>, que cae en un 16,3 %, motivado por la caída de un 40 % del gasto en bienes corrientes y de servicios y un 3 % del gasto de personal, que representa el 74,1 % del gasto de este subprograma. Representan un 0,1 % re</w:t>
      </w:r>
      <w:r>
        <w:t>specto del gasto total, igual que en el año anterior.</w:t>
      </w:r>
      <w:r>
        <w:rPr>
          <w:rFonts w:ascii="Times New Roman" w:eastAsia="Times New Roman" w:hAnsi="Times New Roman" w:cs="Times New Roman"/>
          <w:b/>
          <w:i/>
          <w:sz w:val="24"/>
        </w:rPr>
        <w:t xml:space="preserve"> </w:t>
      </w:r>
    </w:p>
    <w:p w:rsidR="00E302EC" w:rsidRDefault="00FC4F28">
      <w:pPr>
        <w:spacing w:after="0" w:line="259" w:lineRule="auto"/>
        <w:ind w:left="1004" w:firstLine="0"/>
        <w:jc w:val="left"/>
      </w:pPr>
      <w:r>
        <w:rPr>
          <w:b/>
        </w:rPr>
        <w:t xml:space="preserve"> </w:t>
      </w:r>
    </w:p>
    <w:p w:rsidR="00E302EC" w:rsidRDefault="00FC4F28">
      <w:pPr>
        <w:numPr>
          <w:ilvl w:val="1"/>
          <w:numId w:val="31"/>
        </w:numPr>
        <w:ind w:right="184" w:hanging="360"/>
      </w:pPr>
      <w:r>
        <w:rPr>
          <w:i/>
        </w:rPr>
        <w:t>Subprograma 165.00 de Alumbrado Público</w:t>
      </w:r>
      <w:r>
        <w:t>, que cae un 39,2 %, por la menor inversión en alumbrado, que decrece un 74,4 % y el gasto en bienes corrientes y de servicios, que decrece un 14 %, representan</w:t>
      </w:r>
      <w:r>
        <w:t>do este capítulo un 82,9 % del gasto total en el subprograma. Representan un 1,5 % respecto del gasto total, frente al 2,2 % del año anterior.</w:t>
      </w:r>
      <w:r>
        <w:rPr>
          <w:rFonts w:ascii="Times New Roman" w:eastAsia="Times New Roman" w:hAnsi="Times New Roman" w:cs="Times New Roman"/>
          <w:b/>
          <w:i/>
          <w:sz w:val="24"/>
        </w:rPr>
        <w:t xml:space="preserve"> </w:t>
      </w:r>
    </w:p>
    <w:p w:rsidR="00E302EC" w:rsidRDefault="00FC4F28">
      <w:pPr>
        <w:spacing w:after="0" w:line="259" w:lineRule="auto"/>
        <w:ind w:left="1004" w:firstLine="0"/>
        <w:jc w:val="left"/>
      </w:pPr>
      <w:r>
        <w:rPr>
          <w:b/>
        </w:rPr>
        <w:t xml:space="preserve"> </w:t>
      </w:r>
    </w:p>
    <w:p w:rsidR="00E302EC" w:rsidRDefault="00FC4F28">
      <w:pPr>
        <w:numPr>
          <w:ilvl w:val="1"/>
          <w:numId w:val="31"/>
        </w:numPr>
        <w:ind w:right="184" w:hanging="360"/>
      </w:pPr>
      <w:r>
        <w:rPr>
          <w:i/>
        </w:rPr>
        <w:t>Subprograma 170.00 de Gestión Medioambiental</w:t>
      </w:r>
      <w:r>
        <w:t>, que sube un 142,75 % por la transferencia en más de más de veint</w:t>
      </w:r>
      <w:r>
        <w:t>isiete mil a la Agencia Canaria del Medio Ambiente Natural, que compensa la caída de un 46,3 % los gastos corrientes en bienes y servicios. Representa un 1,6 % del gasto total.</w:t>
      </w:r>
      <w:r>
        <w:rPr>
          <w:rFonts w:ascii="Times New Roman" w:eastAsia="Times New Roman" w:hAnsi="Times New Roman" w:cs="Times New Roman"/>
          <w:b/>
          <w:i/>
          <w:sz w:val="24"/>
        </w:rPr>
        <w:t xml:space="preserve"> </w:t>
      </w:r>
    </w:p>
    <w:p w:rsidR="00E302EC" w:rsidRDefault="00FC4F28">
      <w:pPr>
        <w:spacing w:after="0" w:line="259" w:lineRule="auto"/>
        <w:ind w:left="1004" w:firstLine="0"/>
        <w:jc w:val="left"/>
      </w:pPr>
      <w:r>
        <w:rPr>
          <w:b/>
          <w:i/>
        </w:rPr>
        <w:t xml:space="preserve"> </w:t>
      </w:r>
    </w:p>
    <w:p w:rsidR="00E302EC" w:rsidRDefault="00FC4F28">
      <w:pPr>
        <w:numPr>
          <w:ilvl w:val="1"/>
          <w:numId w:val="31"/>
        </w:numPr>
        <w:ind w:right="184" w:hanging="360"/>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2285" name="Group 25228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2136" name="Rectangle 1213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2137" name="Rectangle 1213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2285" style="width:12.7031pt;height:273.276pt;position:absolute;mso-position-horizontal-relative:page;mso-position-horizontal:absolute;margin-left:682.278pt;mso-position-vertical-relative:page;margin-top:538.644pt;" coordsize="1613,34706">
                <v:rect id="Rectangle 1213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213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159 </w:t>
                        </w:r>
                      </w:p>
                    </w:txbxContent>
                  </v:textbox>
                </v:rect>
                <w10:wrap type="square"/>
              </v:group>
            </w:pict>
          </mc:Fallback>
        </mc:AlternateContent>
      </w:r>
      <w:r>
        <w:rPr>
          <w:i/>
        </w:rPr>
        <w:t>Subprograma 170.01 de Medio Ambiente Natural</w:t>
      </w:r>
      <w:r>
        <w:t>, con un solo capí</w:t>
      </w:r>
      <w:r>
        <w:t>tulo de gastos corrientes en bienes y servicios, que sube un 3,9 %. Representa un 0,06 % respecto del gasto total.</w:t>
      </w:r>
      <w:r>
        <w:rPr>
          <w:rFonts w:ascii="Times New Roman" w:eastAsia="Times New Roman" w:hAnsi="Times New Roman" w:cs="Times New Roman"/>
          <w:b/>
          <w:i/>
          <w:sz w:val="24"/>
        </w:rPr>
        <w:t xml:space="preserve"> </w:t>
      </w:r>
    </w:p>
    <w:p w:rsidR="00E302EC" w:rsidRDefault="00FC4F28">
      <w:pPr>
        <w:spacing w:after="0" w:line="259" w:lineRule="auto"/>
        <w:ind w:left="644" w:firstLine="0"/>
        <w:jc w:val="left"/>
      </w:pPr>
      <w:r>
        <w:rPr>
          <w:i/>
        </w:rPr>
        <w:t xml:space="preserve"> </w:t>
      </w:r>
    </w:p>
    <w:p w:rsidR="00E302EC" w:rsidRDefault="00FC4F28">
      <w:pPr>
        <w:numPr>
          <w:ilvl w:val="1"/>
          <w:numId w:val="31"/>
        </w:numPr>
        <w:ind w:right="184" w:hanging="360"/>
      </w:pPr>
      <w:r>
        <w:rPr>
          <w:i/>
        </w:rPr>
        <w:t>Subprograma 171.00 de Parques y Jardines</w:t>
      </w:r>
      <w:r>
        <w:t>, que cae un 46 %, por el nulo gasto en inversiones frente a los casi trescientos quince mil euros invertidos en el año anterior, que no es compensado con el crecimiento de un 8 % en el capítulo de bienes corrientes y de servicios y un 9,5 % en el capítulo</w:t>
      </w:r>
      <w:r>
        <w:t xml:space="preserve"> de personal. Representan un 1,5 % respecto del gasto total, frente al 2,3 % del año anterior.</w:t>
      </w:r>
      <w:r>
        <w:rPr>
          <w:rFonts w:ascii="Times New Roman" w:eastAsia="Times New Roman" w:hAnsi="Times New Roman" w:cs="Times New Roman"/>
          <w:b/>
          <w:i/>
          <w:sz w:val="24"/>
        </w:rPr>
        <w:t xml:space="preserve"> </w:t>
      </w:r>
    </w:p>
    <w:p w:rsidR="00E302EC" w:rsidRDefault="00FC4F28">
      <w:pPr>
        <w:spacing w:after="0" w:line="259" w:lineRule="auto"/>
        <w:ind w:left="644" w:firstLine="0"/>
        <w:jc w:val="left"/>
      </w:pPr>
      <w:r>
        <w:rPr>
          <w:i/>
        </w:rPr>
        <w:t xml:space="preserve"> </w:t>
      </w:r>
    </w:p>
    <w:p w:rsidR="00E302EC" w:rsidRDefault="00FC4F28">
      <w:pPr>
        <w:spacing w:after="0" w:line="259" w:lineRule="auto"/>
        <w:ind w:left="284" w:firstLine="0"/>
        <w:jc w:val="left"/>
      </w:pPr>
      <w:r>
        <w:rPr>
          <w:i/>
        </w:rPr>
        <w:t xml:space="preserve"> </w:t>
      </w:r>
    </w:p>
    <w:p w:rsidR="00E302EC" w:rsidRDefault="00FC4F28">
      <w:pPr>
        <w:ind w:left="279" w:right="184"/>
      </w:pPr>
      <w:r>
        <w:t xml:space="preserve"> En el presente cuadro, se pone de manifiesto la evolución de esta Área de Servicios Públicos Básicos, que son competencias obligatorias de los municipios: </w:t>
      </w:r>
      <w:r>
        <w:t xml:space="preserve"> </w:t>
      </w:r>
    </w:p>
    <w:p w:rsidR="00E302EC" w:rsidRDefault="00FC4F28">
      <w:pPr>
        <w:spacing w:after="0" w:line="259" w:lineRule="auto"/>
        <w:ind w:left="284" w:firstLine="0"/>
        <w:jc w:val="left"/>
      </w:pPr>
      <w:r>
        <w:t xml:space="preserve"> </w:t>
      </w:r>
    </w:p>
    <w:tbl>
      <w:tblPr>
        <w:tblStyle w:val="TableGrid"/>
        <w:tblW w:w="6222" w:type="dxa"/>
        <w:tblInd w:w="641" w:type="dxa"/>
        <w:tblCellMar>
          <w:top w:w="9" w:type="dxa"/>
          <w:left w:w="70" w:type="dxa"/>
          <w:bottom w:w="0" w:type="dxa"/>
          <w:right w:w="0" w:type="dxa"/>
        </w:tblCellMar>
        <w:tblLook w:val="04A0" w:firstRow="1" w:lastRow="0" w:firstColumn="1" w:lastColumn="0" w:noHBand="0" w:noVBand="1"/>
      </w:tblPr>
      <w:tblGrid>
        <w:gridCol w:w="665"/>
        <w:gridCol w:w="1618"/>
        <w:gridCol w:w="1135"/>
        <w:gridCol w:w="1500"/>
        <w:gridCol w:w="1303"/>
      </w:tblGrid>
      <w:tr w:rsidR="00E302EC">
        <w:trPr>
          <w:trHeight w:val="770"/>
        </w:trPr>
        <w:tc>
          <w:tcPr>
            <w:tcW w:w="6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AÑO  </w:t>
            </w:r>
          </w:p>
          <w:p w:rsidR="00E302EC" w:rsidRDefault="00FC4F28">
            <w:pPr>
              <w:spacing w:after="0" w:line="259" w:lineRule="auto"/>
              <w:ind w:left="0" w:firstLine="0"/>
              <w:jc w:val="left"/>
            </w:pPr>
            <w:r>
              <w:t xml:space="preserve"> </w:t>
            </w:r>
          </w:p>
        </w:tc>
        <w:tc>
          <w:tcPr>
            <w:tcW w:w="16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PREVISIONE</w:t>
            </w:r>
          </w:p>
          <w:p w:rsidR="00E302EC" w:rsidRDefault="00FC4F28">
            <w:pPr>
              <w:spacing w:after="0" w:line="259" w:lineRule="auto"/>
              <w:ind w:left="0" w:firstLine="0"/>
            </w:pPr>
            <w:r>
              <w:t xml:space="preserve">S  DEL ÁREA </w:t>
            </w:r>
          </w:p>
          <w:p w:rsidR="00E302EC" w:rsidRDefault="00FC4F28">
            <w:pPr>
              <w:spacing w:after="0" w:line="259" w:lineRule="auto"/>
              <w:ind w:left="0" w:firstLine="0"/>
              <w:jc w:val="left"/>
            </w:pPr>
            <w:r>
              <w:t xml:space="preserve">DE GASTO 1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p w:rsidR="00E302EC" w:rsidRDefault="00FC4F28">
            <w:pPr>
              <w:spacing w:after="0" w:line="259" w:lineRule="auto"/>
              <w:ind w:left="0" w:firstLine="0"/>
              <w:jc w:val="left"/>
            </w:pPr>
            <w:r>
              <w:t>CRECIMI</w:t>
            </w:r>
          </w:p>
          <w:p w:rsidR="00E302EC" w:rsidRDefault="00FC4F28">
            <w:pPr>
              <w:spacing w:after="0" w:line="259" w:lineRule="auto"/>
              <w:ind w:left="0" w:firstLine="0"/>
              <w:jc w:val="left"/>
            </w:pPr>
            <w:r>
              <w:t xml:space="preserve">ENTO </w:t>
            </w:r>
          </w:p>
        </w:tc>
        <w:tc>
          <w:tcPr>
            <w:tcW w:w="15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EJECUCIÓN </w:t>
            </w:r>
          </w:p>
        </w:tc>
        <w:tc>
          <w:tcPr>
            <w:tcW w:w="130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p w:rsidR="00E302EC" w:rsidRDefault="00FC4F28">
            <w:pPr>
              <w:spacing w:after="0" w:line="259" w:lineRule="auto"/>
              <w:ind w:left="0" w:firstLine="0"/>
              <w:jc w:val="left"/>
            </w:pPr>
            <w:r>
              <w:t>CRECIMIE</w:t>
            </w:r>
          </w:p>
          <w:p w:rsidR="00E302EC" w:rsidRDefault="00FC4F28">
            <w:pPr>
              <w:spacing w:after="0" w:line="259" w:lineRule="auto"/>
              <w:ind w:left="0" w:firstLine="0"/>
              <w:jc w:val="left"/>
            </w:pPr>
            <w:r>
              <w:t xml:space="preserve">NTO </w:t>
            </w:r>
          </w:p>
        </w:tc>
      </w:tr>
      <w:tr w:rsidR="00E302EC">
        <w:trPr>
          <w:trHeight w:val="262"/>
        </w:trPr>
        <w:tc>
          <w:tcPr>
            <w:tcW w:w="6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2021 </w:t>
            </w:r>
          </w:p>
        </w:tc>
        <w:tc>
          <w:tcPr>
            <w:tcW w:w="16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16.995.912,76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15,3 </w:t>
            </w:r>
          </w:p>
        </w:tc>
        <w:tc>
          <w:tcPr>
            <w:tcW w:w="15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8.324.654,76 </w:t>
            </w:r>
          </w:p>
        </w:tc>
        <w:tc>
          <w:tcPr>
            <w:tcW w:w="130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-20,6 </w:t>
            </w:r>
          </w:p>
        </w:tc>
      </w:tr>
      <w:tr w:rsidR="00E302EC">
        <w:trPr>
          <w:trHeight w:val="516"/>
        </w:trPr>
        <w:tc>
          <w:tcPr>
            <w:tcW w:w="6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2020 </w:t>
            </w:r>
          </w:p>
        </w:tc>
        <w:tc>
          <w:tcPr>
            <w:tcW w:w="16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14.741.183,25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-8 </w:t>
            </w:r>
          </w:p>
        </w:tc>
        <w:tc>
          <w:tcPr>
            <w:tcW w:w="15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10.345.059,5</w:t>
            </w:r>
          </w:p>
          <w:p w:rsidR="00E302EC" w:rsidRDefault="00FC4F28">
            <w:pPr>
              <w:spacing w:after="0" w:line="259" w:lineRule="auto"/>
              <w:ind w:left="0" w:firstLine="0"/>
              <w:jc w:val="left"/>
            </w:pPr>
            <w:r>
              <w:t xml:space="preserve">4 </w:t>
            </w:r>
          </w:p>
        </w:tc>
        <w:tc>
          <w:tcPr>
            <w:tcW w:w="130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11 </w:t>
            </w:r>
          </w:p>
        </w:tc>
      </w:tr>
      <w:tr w:rsidR="00E302EC">
        <w:trPr>
          <w:trHeight w:val="264"/>
        </w:trPr>
        <w:tc>
          <w:tcPr>
            <w:tcW w:w="6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2019 </w:t>
            </w:r>
          </w:p>
        </w:tc>
        <w:tc>
          <w:tcPr>
            <w:tcW w:w="16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16.012.974,24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52,6 </w:t>
            </w:r>
          </w:p>
        </w:tc>
        <w:tc>
          <w:tcPr>
            <w:tcW w:w="15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9.297.373,80 </w:t>
            </w:r>
          </w:p>
        </w:tc>
        <w:tc>
          <w:tcPr>
            <w:tcW w:w="130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12 </w:t>
            </w:r>
          </w:p>
        </w:tc>
      </w:tr>
      <w:tr w:rsidR="00E302EC">
        <w:trPr>
          <w:trHeight w:val="264"/>
        </w:trPr>
        <w:tc>
          <w:tcPr>
            <w:tcW w:w="6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2018 </w:t>
            </w:r>
          </w:p>
        </w:tc>
        <w:tc>
          <w:tcPr>
            <w:tcW w:w="161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10.488.005,53</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36 </w:t>
            </w:r>
          </w:p>
        </w:tc>
        <w:tc>
          <w:tcPr>
            <w:tcW w:w="150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7.752.849,94 </w:t>
            </w:r>
          </w:p>
        </w:tc>
        <w:tc>
          <w:tcPr>
            <w:tcW w:w="130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8,6 </w:t>
            </w:r>
          </w:p>
        </w:tc>
      </w:tr>
    </w:tbl>
    <w:p w:rsidR="00E302EC" w:rsidRDefault="00FC4F28">
      <w:pPr>
        <w:spacing w:after="0" w:line="259" w:lineRule="auto"/>
        <w:ind w:left="644" w:firstLine="0"/>
        <w:jc w:val="left"/>
      </w:pPr>
      <w:r>
        <w:rPr>
          <w:i/>
        </w:rPr>
        <w:t xml:space="preserve"> </w:t>
      </w:r>
    </w:p>
    <w:p w:rsidR="00E302EC" w:rsidRDefault="00FC4F28">
      <w:pPr>
        <w:numPr>
          <w:ilvl w:val="1"/>
          <w:numId w:val="31"/>
        </w:numPr>
        <w:ind w:right="184" w:hanging="360"/>
      </w:pPr>
      <w:r>
        <w:rPr>
          <w:b/>
          <w:i/>
        </w:rPr>
        <w:t>Área de Gasto 2</w:t>
      </w:r>
      <w:r>
        <w:rPr>
          <w:i/>
        </w:rPr>
        <w:t xml:space="preserve">: </w:t>
      </w:r>
      <w:r>
        <w:t>Incluye las Actuaciones de Protección y Promoción Social. El total gasto liquidado en esta área de gasto asciende a 5.263.442,35 Euros frente a los 4.650.601,86 Euros de 2020, es decir, que ha habido un incremen</w:t>
      </w:r>
      <w:r>
        <w:t>to del 13,1 %, representando el 21,5 % del gasto total, frente al 16,7 % del ejercicio 2019. A continuación, destacamos los siguientes subprogramas:</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i/>
        </w:rPr>
        <w:t xml:space="preserve">Subprograma 211.00 de Pensiones, </w:t>
      </w:r>
      <w:r>
        <w:t>se incrementa el 0,9 % el gasto liquidado. Recoge los emolumentos dejados de recibir por parte de funcionarios que han solicitado la jubilación anticipada. Representan un 0,1 % respecto del gasto total</w:t>
      </w:r>
      <w:r>
        <w:rPr>
          <w:i/>
        </w:rPr>
        <w:t>.</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i/>
        </w:rPr>
        <w:t>Subprograma 221.00 de Otras Prestaciones a favor d</w:t>
      </w:r>
      <w:r>
        <w:rPr>
          <w:i/>
        </w:rPr>
        <w:t xml:space="preserve">e los Empleados, </w:t>
      </w:r>
      <w:r>
        <w:t>que recoge los gastos de acción social y la aportación municipal al seguro privado, cae un 51,5 %, por el menor gasto en acción social. Representan un 0,1 % respecto del gasto total, una décima menos que en el 2020.</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i/>
        </w:rPr>
        <w:t>Subprograma 231.00 d</w:t>
      </w:r>
      <w:r>
        <w:rPr>
          <w:i/>
        </w:rPr>
        <w:t xml:space="preserve">e Servicios Sociales, </w:t>
      </w:r>
      <w:r>
        <w:t>que cae un 1,3 %, respecto a los gastos del ejercicio anterior, destacando la bajada en un 13,5 %, de los gastos en bienes corrientes y de servicios y un 16,4 % las inversiones, mientras que ha crecido los gastos de personal en un 2,9</w:t>
      </w:r>
      <w:r>
        <w:t>6 % y los gastos de transferencias en un 0,7 %. Representan un 8 % frente al 7,2 % respecto del gasto total del año anterior.</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i/>
        </w:rPr>
        <w:t xml:space="preserve">Subprograma 231.01 de Mujer, Menor y Familia. </w:t>
      </w:r>
      <w:r>
        <w:t>Cae en un 22,6 %, por el menor gasto en bienes corrientes y de servicios, en un 2</w:t>
      </w:r>
      <w:r>
        <w:t>3,3 % y de las transferencias, en un 20 %. Representa un 0,017 % del gasto total, frente al 0,1 % del año 2020.</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2711" name="Group 25271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2411" name="Rectangle 1241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2412" name="Rectangle 1241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w:t>
                              </w:r>
                              <w:r>
                                <w:rPr>
                                  <w:sz w:val="12"/>
                                </w:rPr>
                                <w:t xml:space="preserve">de la plataforma esPublico Gestiona | Página 53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2711" style="width:12.7031pt;height:273.276pt;position:absolute;mso-position-horizontal-relative:page;mso-position-horizontal:absolute;margin-left:682.278pt;mso-position-vertical-relative:page;margin-top:538.644pt;" coordsize="1613,34706">
                <v:rect id="Rectangle 1241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241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159 </w:t>
                        </w:r>
                      </w:p>
                    </w:txbxContent>
                  </v:textbox>
                </v:rect>
                <w10:wrap type="square"/>
              </v:group>
            </w:pict>
          </mc:Fallback>
        </mc:AlternateContent>
      </w:r>
      <w:r>
        <w:rPr>
          <w:i/>
        </w:rPr>
        <w:t xml:space="preserve">Subprograma 231.02 de Mayores, </w:t>
      </w:r>
      <w:r>
        <w:t>sube un 480,6 %, por el crecimiento en un 169 % de las transferencias y en los gastos en bienes corrientes y de servicios, que sube de 344 euros a casi treinta mil euros</w:t>
      </w:r>
      <w:r>
        <w:t>. Representan el 0,2 % del gasto total.</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rPr>
          <w:i/>
        </w:rPr>
        <w:t xml:space="preserve"> </w:t>
      </w:r>
    </w:p>
    <w:p w:rsidR="00E302EC" w:rsidRDefault="00FC4F28">
      <w:pPr>
        <w:numPr>
          <w:ilvl w:val="1"/>
          <w:numId w:val="31"/>
        </w:numPr>
        <w:ind w:right="184" w:hanging="360"/>
      </w:pPr>
      <w:r>
        <w:rPr>
          <w:i/>
        </w:rPr>
        <w:t xml:space="preserve">Subprograma 241.00 de Fomento del Empleo, </w:t>
      </w:r>
      <w:r>
        <w:t xml:space="preserve">sube un 25 %. Los gastos de personal, que representa el 59 % del gasto total, sube un 7,7 %, los gastos corrientes vinculados a proyectos subvencionados, sube un 128,8 %, </w:t>
      </w:r>
      <w:r>
        <w:t>mientras que las transferencias corrientes a la sociedad municipal de vivienda y servicios y Epelcan, sube un 3 %. Representan un 12,8 % respecto del gasto total, frente al 9 % del ejercicio 2020.</w:t>
      </w:r>
      <w:r>
        <w:rPr>
          <w:rFonts w:ascii="Times New Roman" w:eastAsia="Times New Roman" w:hAnsi="Times New Roman" w:cs="Times New Roman"/>
          <w:b/>
          <w:i/>
          <w:sz w:val="24"/>
        </w:rPr>
        <w:t xml:space="preserve"> </w:t>
      </w:r>
    </w:p>
    <w:p w:rsidR="00E302EC" w:rsidRDefault="00FC4F28">
      <w:pPr>
        <w:spacing w:after="0" w:line="259" w:lineRule="auto"/>
        <w:ind w:left="644" w:firstLine="0"/>
        <w:jc w:val="left"/>
      </w:pPr>
      <w:r>
        <w:rPr>
          <w:b/>
          <w:i/>
        </w:rPr>
        <w:t xml:space="preserve"> </w:t>
      </w:r>
    </w:p>
    <w:p w:rsidR="00E302EC" w:rsidRDefault="00FC4F28">
      <w:pPr>
        <w:ind w:left="279" w:right="184"/>
      </w:pPr>
      <w:r>
        <w:t xml:space="preserve">  En el presente cuadro, se pone de manifiesto la evoluc</w:t>
      </w:r>
      <w:r>
        <w:t xml:space="preserve">ión de esta Área de Protección y Promoción Social: </w:t>
      </w:r>
    </w:p>
    <w:p w:rsidR="00E302EC" w:rsidRDefault="00FC4F28">
      <w:pPr>
        <w:spacing w:after="0" w:line="259" w:lineRule="auto"/>
        <w:ind w:left="245" w:firstLine="0"/>
        <w:jc w:val="left"/>
      </w:pPr>
      <w:r>
        <w:t xml:space="preserve"> </w:t>
      </w:r>
    </w:p>
    <w:p w:rsidR="00E302EC" w:rsidRDefault="00FC4F28">
      <w:pPr>
        <w:spacing w:after="0" w:line="259" w:lineRule="auto"/>
        <w:ind w:left="245" w:firstLine="0"/>
        <w:jc w:val="left"/>
      </w:pPr>
      <w:r>
        <w:t xml:space="preserve"> </w:t>
      </w:r>
    </w:p>
    <w:p w:rsidR="00E302EC" w:rsidRDefault="00FC4F28">
      <w:pPr>
        <w:spacing w:after="0" w:line="259" w:lineRule="auto"/>
        <w:ind w:left="245" w:firstLine="0"/>
        <w:jc w:val="left"/>
      </w:pPr>
      <w:r>
        <w:t xml:space="preserve"> </w:t>
      </w:r>
    </w:p>
    <w:p w:rsidR="00E302EC" w:rsidRDefault="00FC4F28">
      <w:pPr>
        <w:spacing w:after="0" w:line="259" w:lineRule="auto"/>
        <w:ind w:left="284" w:firstLine="0"/>
        <w:jc w:val="left"/>
      </w:pPr>
      <w:r>
        <w:t xml:space="preserve"> </w:t>
      </w:r>
    </w:p>
    <w:tbl>
      <w:tblPr>
        <w:tblStyle w:val="TableGrid"/>
        <w:tblW w:w="7698" w:type="dxa"/>
        <w:tblInd w:w="797" w:type="dxa"/>
        <w:tblCellMar>
          <w:top w:w="9" w:type="dxa"/>
          <w:left w:w="70" w:type="dxa"/>
          <w:bottom w:w="0" w:type="dxa"/>
          <w:right w:w="10" w:type="dxa"/>
        </w:tblCellMar>
        <w:tblLook w:val="04A0" w:firstRow="1" w:lastRow="0" w:firstColumn="1" w:lastColumn="0" w:noHBand="0" w:noVBand="1"/>
      </w:tblPr>
      <w:tblGrid>
        <w:gridCol w:w="965"/>
        <w:gridCol w:w="1971"/>
        <w:gridCol w:w="1344"/>
        <w:gridCol w:w="1604"/>
        <w:gridCol w:w="1815"/>
      </w:tblGrid>
      <w:tr w:rsidR="00E302EC">
        <w:trPr>
          <w:trHeight w:val="770"/>
        </w:trPr>
        <w:tc>
          <w:tcPr>
            <w:tcW w:w="9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AÑO  </w:t>
            </w:r>
          </w:p>
          <w:p w:rsidR="00E302EC" w:rsidRDefault="00FC4F28">
            <w:pPr>
              <w:spacing w:after="0" w:line="259" w:lineRule="auto"/>
              <w:ind w:left="0" w:firstLine="0"/>
              <w:jc w:val="left"/>
            </w:pPr>
            <w:r>
              <w:t xml:space="preserve"> </w:t>
            </w:r>
          </w:p>
        </w:tc>
        <w:tc>
          <w:tcPr>
            <w:tcW w:w="19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PREVISIONES </w:t>
            </w:r>
          </w:p>
          <w:p w:rsidR="00E302EC" w:rsidRDefault="00FC4F28">
            <w:pPr>
              <w:tabs>
                <w:tab w:val="center" w:pos="978"/>
                <w:tab w:val="right" w:pos="1892"/>
              </w:tabs>
              <w:spacing w:after="0" w:line="259" w:lineRule="auto"/>
              <w:ind w:left="0" w:firstLine="0"/>
              <w:jc w:val="left"/>
            </w:pPr>
            <w:r>
              <w:t xml:space="preserve">DEL </w:t>
            </w:r>
            <w:r>
              <w:tab/>
              <w:t xml:space="preserve">ÁREA </w:t>
            </w:r>
            <w:r>
              <w:tab/>
              <w:t xml:space="preserve">DE </w:t>
            </w:r>
          </w:p>
          <w:p w:rsidR="00E302EC" w:rsidRDefault="00FC4F28">
            <w:pPr>
              <w:spacing w:after="0" w:line="259" w:lineRule="auto"/>
              <w:ind w:left="0" w:firstLine="0"/>
              <w:jc w:val="left"/>
            </w:pPr>
            <w:r>
              <w:t xml:space="preserve">GASTO 2 </w:t>
            </w:r>
          </w:p>
        </w:tc>
        <w:tc>
          <w:tcPr>
            <w:tcW w:w="13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p w:rsidR="00E302EC" w:rsidRDefault="00FC4F28">
            <w:pPr>
              <w:spacing w:after="0" w:line="259" w:lineRule="auto"/>
              <w:ind w:left="0" w:firstLine="0"/>
              <w:jc w:val="left"/>
            </w:pPr>
            <w:r>
              <w:t>CRECIMIE</w:t>
            </w:r>
          </w:p>
          <w:p w:rsidR="00E302EC" w:rsidRDefault="00FC4F28">
            <w:pPr>
              <w:spacing w:after="0" w:line="259" w:lineRule="auto"/>
              <w:ind w:left="0" w:firstLine="0"/>
              <w:jc w:val="left"/>
            </w:pPr>
            <w:r>
              <w:t xml:space="preserve">NTO </w:t>
            </w:r>
          </w:p>
        </w:tc>
        <w:tc>
          <w:tcPr>
            <w:tcW w:w="16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EJECUCIÓN </w:t>
            </w:r>
          </w:p>
        </w:tc>
        <w:tc>
          <w:tcPr>
            <w:tcW w:w="181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p w:rsidR="00E302EC" w:rsidRDefault="00FC4F28">
            <w:pPr>
              <w:spacing w:after="0" w:line="259" w:lineRule="auto"/>
              <w:ind w:left="0" w:firstLine="0"/>
              <w:jc w:val="left"/>
            </w:pPr>
            <w:r>
              <w:t xml:space="preserve">CRECIMIENTO </w:t>
            </w:r>
          </w:p>
        </w:tc>
      </w:tr>
      <w:tr w:rsidR="00E302EC">
        <w:trPr>
          <w:trHeight w:val="262"/>
        </w:trPr>
        <w:tc>
          <w:tcPr>
            <w:tcW w:w="9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2021 </w:t>
            </w:r>
          </w:p>
        </w:tc>
        <w:tc>
          <w:tcPr>
            <w:tcW w:w="19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8.796.425,68 </w:t>
            </w:r>
          </w:p>
        </w:tc>
        <w:tc>
          <w:tcPr>
            <w:tcW w:w="13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31,5 </w:t>
            </w:r>
          </w:p>
        </w:tc>
        <w:tc>
          <w:tcPr>
            <w:tcW w:w="16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5.263.442,35 </w:t>
            </w:r>
          </w:p>
        </w:tc>
        <w:tc>
          <w:tcPr>
            <w:tcW w:w="181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13 </w:t>
            </w:r>
          </w:p>
        </w:tc>
      </w:tr>
      <w:tr w:rsidR="00E302EC">
        <w:trPr>
          <w:trHeight w:val="264"/>
        </w:trPr>
        <w:tc>
          <w:tcPr>
            <w:tcW w:w="9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2020 </w:t>
            </w:r>
          </w:p>
        </w:tc>
        <w:tc>
          <w:tcPr>
            <w:tcW w:w="19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6.686.501,52 </w:t>
            </w:r>
          </w:p>
        </w:tc>
        <w:tc>
          <w:tcPr>
            <w:tcW w:w="13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6,3 </w:t>
            </w:r>
          </w:p>
        </w:tc>
        <w:tc>
          <w:tcPr>
            <w:tcW w:w="16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4.650.601,86 </w:t>
            </w:r>
          </w:p>
        </w:tc>
        <w:tc>
          <w:tcPr>
            <w:tcW w:w="181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0,1 </w:t>
            </w:r>
          </w:p>
        </w:tc>
      </w:tr>
      <w:tr w:rsidR="00E302EC">
        <w:trPr>
          <w:trHeight w:val="262"/>
        </w:trPr>
        <w:tc>
          <w:tcPr>
            <w:tcW w:w="9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2019 </w:t>
            </w:r>
          </w:p>
        </w:tc>
        <w:tc>
          <w:tcPr>
            <w:tcW w:w="19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6.289.059,88 </w:t>
            </w:r>
          </w:p>
        </w:tc>
        <w:tc>
          <w:tcPr>
            <w:tcW w:w="13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102 </w:t>
            </w:r>
          </w:p>
        </w:tc>
        <w:tc>
          <w:tcPr>
            <w:tcW w:w="16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4.641.367,35 </w:t>
            </w:r>
          </w:p>
        </w:tc>
        <w:tc>
          <w:tcPr>
            <w:tcW w:w="181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13 </w:t>
            </w:r>
          </w:p>
        </w:tc>
      </w:tr>
      <w:tr w:rsidR="00E302EC">
        <w:trPr>
          <w:trHeight w:val="264"/>
        </w:trPr>
        <w:tc>
          <w:tcPr>
            <w:tcW w:w="9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2018 </w:t>
            </w:r>
          </w:p>
        </w:tc>
        <w:tc>
          <w:tcPr>
            <w:tcW w:w="19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3.103.433,15 </w:t>
            </w:r>
          </w:p>
        </w:tc>
        <w:tc>
          <w:tcPr>
            <w:tcW w:w="134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43,6 </w:t>
            </w:r>
          </w:p>
        </w:tc>
        <w:tc>
          <w:tcPr>
            <w:tcW w:w="16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4.102.717,80 </w:t>
            </w:r>
          </w:p>
        </w:tc>
        <w:tc>
          <w:tcPr>
            <w:tcW w:w="181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17,7 </w:t>
            </w:r>
          </w:p>
        </w:tc>
      </w:tr>
    </w:tbl>
    <w:p w:rsidR="00E302EC" w:rsidRDefault="00FC4F28">
      <w:pPr>
        <w:spacing w:after="0" w:line="259" w:lineRule="auto"/>
        <w:ind w:left="644" w:firstLine="0"/>
        <w:jc w:val="left"/>
      </w:pPr>
      <w:r>
        <w:t xml:space="preserve"> </w:t>
      </w:r>
    </w:p>
    <w:p w:rsidR="00E302EC" w:rsidRDefault="00FC4F28">
      <w:pPr>
        <w:numPr>
          <w:ilvl w:val="1"/>
          <w:numId w:val="31"/>
        </w:numPr>
        <w:ind w:right="184" w:hanging="360"/>
      </w:pPr>
      <w:r>
        <w:rPr>
          <w:b/>
          <w:i/>
        </w:rPr>
        <w:t>Área de Gasto 3</w:t>
      </w:r>
      <w:r>
        <w:rPr>
          <w:i/>
        </w:rPr>
        <w:t xml:space="preserve">: </w:t>
      </w:r>
      <w:r>
        <w:t>Producción de Bienes Públicos de carácter Preferente, que comprende los gastos relacionados con la sanidad, educación, cultura, ocio y tiempo libre, deporte y todos aquellos que mejoren la calidad de vida, El gasto en esta área importa 3.486.922,38 Euros f</w:t>
      </w:r>
      <w:r>
        <w:t>rente al gasto de 3.080.994,23 Euros en el 2020, esto es, hay una subida del 13 % y representa el 14 % del gasto total, frente al 11 % del gasto total en el ejercicio anterior. Destacamos:</w:t>
      </w:r>
      <w:r>
        <w:rPr>
          <w:rFonts w:ascii="Times New Roman" w:eastAsia="Times New Roman" w:hAnsi="Times New Roman" w:cs="Times New Roman"/>
          <w:b/>
          <w:i/>
          <w:sz w:val="24"/>
        </w:rPr>
        <w:t xml:space="preserve"> </w:t>
      </w:r>
    </w:p>
    <w:p w:rsidR="00E302EC" w:rsidRDefault="00FC4F28">
      <w:pPr>
        <w:spacing w:after="0" w:line="259" w:lineRule="auto"/>
        <w:ind w:left="284" w:firstLine="0"/>
        <w:jc w:val="left"/>
      </w:pPr>
      <w:r>
        <w:t xml:space="preserve"> </w:t>
      </w:r>
    </w:p>
    <w:p w:rsidR="00E302EC" w:rsidRDefault="00FC4F28">
      <w:pPr>
        <w:spacing w:after="32" w:line="259" w:lineRule="auto"/>
        <w:ind w:left="284" w:firstLine="0"/>
        <w:jc w:val="left"/>
      </w:pPr>
      <w:r>
        <w:t xml:space="preserve"> </w:t>
      </w:r>
    </w:p>
    <w:p w:rsidR="00E302EC" w:rsidRDefault="00FC4F28">
      <w:pPr>
        <w:numPr>
          <w:ilvl w:val="1"/>
          <w:numId w:val="31"/>
        </w:numPr>
        <w:ind w:right="184" w:hanging="360"/>
      </w:pPr>
      <w:r>
        <w:rPr>
          <w:i/>
        </w:rPr>
        <w:t>Subprograma 311.00 de</w:t>
      </w:r>
      <w:r>
        <w:t xml:space="preserve"> </w:t>
      </w:r>
      <w:r>
        <w:rPr>
          <w:i/>
        </w:rPr>
        <w:t>Acciones Públicas relativas a la Salud</w:t>
      </w:r>
      <w:r>
        <w:t xml:space="preserve">. </w:t>
      </w:r>
      <w:r>
        <w:t>Sube un 215 %, motivado por la subida en gastos en bienes corrientes y de servicios, en este ejercicio que aumenta un 131 %, representando el 71 % del gasto total, subiendo igualmente las inversiones en casi cuarenta y cinco mil euros (la inversión fue nul</w:t>
      </w:r>
      <w:r>
        <w:t>a en 2020). Representan un 0,65 % respecto del gasto total, frente al 0,1 % del gasto ejecutado en 2020.</w:t>
      </w:r>
      <w:r>
        <w:rPr>
          <w:rFonts w:ascii="Times New Roman" w:eastAsia="Times New Roman" w:hAnsi="Times New Roman" w:cs="Times New Roman"/>
          <w:sz w:val="24"/>
        </w:rPr>
        <w:t xml:space="preserve"> </w:t>
      </w:r>
    </w:p>
    <w:p w:rsidR="00E302EC" w:rsidRDefault="00FC4F28">
      <w:pPr>
        <w:spacing w:after="31" w:line="259" w:lineRule="auto"/>
        <w:ind w:left="1004" w:firstLine="0"/>
        <w:jc w:val="left"/>
      </w:pPr>
      <w:r>
        <w:t xml:space="preserve"> </w:t>
      </w:r>
    </w:p>
    <w:p w:rsidR="00E302EC" w:rsidRDefault="00FC4F28">
      <w:pPr>
        <w:numPr>
          <w:ilvl w:val="1"/>
          <w:numId w:val="31"/>
        </w:numPr>
        <w:ind w:right="184" w:hanging="360"/>
      </w:pPr>
      <w:r>
        <w:rPr>
          <w:i/>
        </w:rPr>
        <w:t>Subprograma 323.00 de</w:t>
      </w:r>
      <w:r>
        <w:t xml:space="preserve"> </w:t>
      </w:r>
      <w:r>
        <w:rPr>
          <w:i/>
        </w:rPr>
        <w:t>Educación Prescolar y Primaria</w:t>
      </w:r>
      <w:r>
        <w:t xml:space="preserve">, sube un 92 %, motivado por gastos de mantenimiento de centros educativos, que crece un 115 %, </w:t>
      </w:r>
      <w:r>
        <w:t>que representa el 89 % del gasto total en este subprograma. Representan un 1,7 % respecto del gasto total, un punto porcentual más del gasto ejecutado en 2020.</w:t>
      </w:r>
      <w:r>
        <w:rPr>
          <w:rFonts w:ascii="Times New Roman" w:eastAsia="Times New Roman" w:hAnsi="Times New Roman" w:cs="Times New Roman"/>
          <w:sz w:val="24"/>
        </w:rPr>
        <w:t xml:space="preserve"> </w:t>
      </w:r>
    </w:p>
    <w:p w:rsidR="00E302EC" w:rsidRDefault="00FC4F28">
      <w:pPr>
        <w:spacing w:after="29" w:line="259" w:lineRule="auto"/>
        <w:ind w:left="284" w:firstLine="0"/>
        <w:jc w:val="left"/>
      </w:pPr>
      <w:r>
        <w:t xml:space="preserve"> </w:t>
      </w:r>
    </w:p>
    <w:p w:rsidR="00E302EC" w:rsidRDefault="00FC4F28">
      <w:pPr>
        <w:numPr>
          <w:ilvl w:val="1"/>
          <w:numId w:val="31"/>
        </w:numPr>
        <w:ind w:right="184" w:hanging="36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7731" name="Group 23773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2603" name="Rectangle 1260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2604" name="Rectangle 1260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7731" style="width:12.7031pt;height:273.276pt;position:absolute;mso-position-horizontal-relative:page;mso-position-horizontal:absolute;margin-left:682.278pt;mso-position-vertical-relative:page;margin-top:538.644pt;" coordsize="1613,34706">
                <v:rect id="Rectangle 1260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260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159 </w:t>
                        </w:r>
                      </w:p>
                    </w:txbxContent>
                  </v:textbox>
                </v:rect>
                <w10:wrap type="square"/>
              </v:group>
            </w:pict>
          </mc:Fallback>
        </mc:AlternateContent>
      </w:r>
      <w:r>
        <w:rPr>
          <w:i/>
        </w:rPr>
        <w:t>Subprograma 326.00 de</w:t>
      </w:r>
      <w:r>
        <w:t xml:space="preserve"> </w:t>
      </w:r>
      <w:r>
        <w:rPr>
          <w:i/>
        </w:rPr>
        <w:t>Servicios Complementarios de Educación</w:t>
      </w:r>
      <w:r>
        <w:t>. Recoge únicamente los gastos de subvenciones para centros educativos, proyectos universitarios, etc, que sube un 14 %, respecto el año anterior, por el mayor gasto en adquisición de material de estudio. Representan un 0,2 % respecto del gasto total, igua</w:t>
      </w:r>
      <w:r>
        <w:t>l que el gasto liquidado en el 2020.</w:t>
      </w:r>
      <w:r>
        <w:rPr>
          <w:rFonts w:ascii="Times New Roman" w:eastAsia="Times New Roman" w:hAnsi="Times New Roman" w:cs="Times New Roman"/>
          <w:sz w:val="24"/>
        </w:rPr>
        <w:t xml:space="preserve"> </w:t>
      </w:r>
    </w:p>
    <w:p w:rsidR="00E302EC" w:rsidRDefault="00FC4F28">
      <w:pPr>
        <w:spacing w:after="31" w:line="259" w:lineRule="auto"/>
        <w:ind w:left="284" w:firstLine="0"/>
        <w:jc w:val="left"/>
      </w:pPr>
      <w:r>
        <w:t xml:space="preserve"> </w:t>
      </w:r>
    </w:p>
    <w:p w:rsidR="00E302EC" w:rsidRDefault="00FC4F28">
      <w:pPr>
        <w:numPr>
          <w:ilvl w:val="1"/>
          <w:numId w:val="31"/>
        </w:numPr>
        <w:ind w:right="184" w:hanging="360"/>
      </w:pPr>
      <w:r>
        <w:rPr>
          <w:i/>
        </w:rPr>
        <w:t>Subprograma 334.00 de</w:t>
      </w:r>
      <w:r>
        <w:t xml:space="preserve"> </w:t>
      </w:r>
      <w:r>
        <w:rPr>
          <w:i/>
        </w:rPr>
        <w:t>Promoción Cultural</w:t>
      </w:r>
      <w:r>
        <w:t>. Sube un 68 %, motivado por la inclusión en este subprograma de los gastos que, en el año anterior, estaban imputados en el subprograma de Identidad Canaria y Ocio y Tiempo Li</w:t>
      </w:r>
      <w:r>
        <w:t>bre. Destaca la subida del 39,5 % de los gastos de personal y un 135 % de los gastos corrientes y de servicios. Representan un 6 % respecto del gasto total, frente al 4 %, del gasto liquidado en el 2019.</w:t>
      </w:r>
      <w:r>
        <w:rPr>
          <w:rFonts w:ascii="Times New Roman" w:eastAsia="Times New Roman" w:hAnsi="Times New Roman" w:cs="Times New Roman"/>
          <w:sz w:val="24"/>
        </w:rPr>
        <w:t xml:space="preserve"> </w:t>
      </w:r>
    </w:p>
    <w:p w:rsidR="00E302EC" w:rsidRDefault="00FC4F28">
      <w:pPr>
        <w:spacing w:after="31" w:line="259" w:lineRule="auto"/>
        <w:ind w:left="284" w:firstLine="0"/>
        <w:jc w:val="left"/>
      </w:pPr>
      <w:r>
        <w:t xml:space="preserve"> </w:t>
      </w:r>
    </w:p>
    <w:p w:rsidR="00E302EC" w:rsidRDefault="00FC4F28">
      <w:pPr>
        <w:numPr>
          <w:ilvl w:val="1"/>
          <w:numId w:val="31"/>
        </w:numPr>
        <w:ind w:right="184" w:hanging="360"/>
      </w:pPr>
      <w:r>
        <w:rPr>
          <w:i/>
        </w:rPr>
        <w:t>Subprograma 338.00 de</w:t>
      </w:r>
      <w:r>
        <w:t xml:space="preserve"> </w:t>
      </w:r>
      <w:r>
        <w:rPr>
          <w:i/>
        </w:rPr>
        <w:t>Fiestas Populares y Festejo</w:t>
      </w:r>
      <w:r>
        <w:rPr>
          <w:i/>
        </w:rPr>
        <w:t>s</w:t>
      </w:r>
      <w:r>
        <w:t>, que cae un 3,8 %, respecto del año anterior (ya había caído un 64 % en el año anterior), motivado por la actual situación de pandemia. Representan un 0,6 % respecto del gasto total, frente al 0,5 % del ejercicio 2020.</w:t>
      </w:r>
      <w:r>
        <w:rPr>
          <w:rFonts w:ascii="Times New Roman" w:eastAsia="Times New Roman" w:hAnsi="Times New Roman" w:cs="Times New Roman"/>
          <w:sz w:val="24"/>
        </w:rPr>
        <w:t xml:space="preserve"> </w:t>
      </w:r>
    </w:p>
    <w:p w:rsidR="00E302EC" w:rsidRDefault="00FC4F28">
      <w:pPr>
        <w:spacing w:after="31" w:line="259" w:lineRule="auto"/>
        <w:ind w:left="284" w:firstLine="0"/>
        <w:jc w:val="left"/>
      </w:pPr>
      <w:r>
        <w:t xml:space="preserve"> </w:t>
      </w:r>
    </w:p>
    <w:p w:rsidR="00E302EC" w:rsidRDefault="00FC4F28">
      <w:pPr>
        <w:numPr>
          <w:ilvl w:val="1"/>
          <w:numId w:val="31"/>
        </w:numPr>
        <w:spacing w:line="249" w:lineRule="auto"/>
        <w:ind w:right="184" w:hanging="360"/>
      </w:pPr>
      <w:r>
        <w:rPr>
          <w:i/>
        </w:rPr>
        <w:t>Subprograma 341.00 de</w:t>
      </w:r>
      <w:r>
        <w:t xml:space="preserve"> </w:t>
      </w:r>
      <w:r>
        <w:rPr>
          <w:i/>
        </w:rPr>
        <w:t xml:space="preserve">Promoción </w:t>
      </w:r>
      <w:r>
        <w:rPr>
          <w:i/>
        </w:rPr>
        <w:t>y Fomento del Deporte</w:t>
      </w:r>
      <w:r>
        <w:t>. Sube un 46 %, motivado por la subida de las inversiones en un 430 %, principalmente por la obra en el  Muro del Frontón y mejoras de instalaciones. En menor medida, un 51 % los gastos en el capítulo de gastos corrientes y de servicio</w:t>
      </w:r>
      <w:r>
        <w:t>s y un 28 % en las transferencias corrientes. Representan un 3,3 % respecto del gasto total, siete décimas más que el gasto liquidado en el ejercicio 2019.</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En el presente cuadro, se pone de manifiesto la evolución de esta Área de producción de bienes p</w:t>
      </w:r>
      <w:r>
        <w:t xml:space="preserve">úblicos de carácter preferente: </w:t>
      </w:r>
    </w:p>
    <w:p w:rsidR="00E302EC" w:rsidRDefault="00FC4F28">
      <w:pPr>
        <w:spacing w:after="0" w:line="259" w:lineRule="auto"/>
        <w:ind w:left="284" w:firstLine="0"/>
        <w:jc w:val="left"/>
      </w:pPr>
      <w:r>
        <w:t xml:space="preserve"> </w:t>
      </w:r>
    </w:p>
    <w:p w:rsidR="00E302EC" w:rsidRDefault="00FC4F28">
      <w:pPr>
        <w:spacing w:after="0" w:line="259" w:lineRule="auto"/>
        <w:ind w:left="644" w:firstLine="0"/>
        <w:jc w:val="left"/>
      </w:pPr>
      <w:r>
        <w:t xml:space="preserve"> </w:t>
      </w:r>
    </w:p>
    <w:tbl>
      <w:tblPr>
        <w:tblStyle w:val="TableGrid"/>
        <w:tblW w:w="7122" w:type="dxa"/>
        <w:tblInd w:w="1006" w:type="dxa"/>
        <w:tblCellMar>
          <w:top w:w="4" w:type="dxa"/>
          <w:left w:w="70" w:type="dxa"/>
          <w:bottom w:w="0" w:type="dxa"/>
          <w:right w:w="9" w:type="dxa"/>
        </w:tblCellMar>
        <w:tblLook w:val="04A0" w:firstRow="1" w:lastRow="0" w:firstColumn="1" w:lastColumn="0" w:noHBand="0" w:noVBand="1"/>
      </w:tblPr>
      <w:tblGrid>
        <w:gridCol w:w="758"/>
        <w:gridCol w:w="1904"/>
        <w:gridCol w:w="1265"/>
        <w:gridCol w:w="1724"/>
        <w:gridCol w:w="1471"/>
      </w:tblGrid>
      <w:tr w:rsidR="00E302EC">
        <w:trPr>
          <w:trHeight w:val="768"/>
        </w:trPr>
        <w:tc>
          <w:tcPr>
            <w:tcW w:w="7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AÑO  </w:t>
            </w:r>
          </w:p>
          <w:p w:rsidR="00E302EC" w:rsidRDefault="00FC4F28">
            <w:pPr>
              <w:spacing w:after="0" w:line="259" w:lineRule="auto"/>
              <w:ind w:left="0" w:firstLine="0"/>
              <w:jc w:val="left"/>
            </w:pPr>
            <w:r>
              <w:t xml:space="preserve"> </w:t>
            </w:r>
          </w:p>
        </w:tc>
        <w:tc>
          <w:tcPr>
            <w:tcW w:w="19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PREVISIONES </w:t>
            </w:r>
          </w:p>
          <w:p w:rsidR="00E302EC" w:rsidRDefault="00FC4F28">
            <w:pPr>
              <w:spacing w:after="0" w:line="259" w:lineRule="auto"/>
              <w:ind w:left="0" w:firstLine="0"/>
            </w:pPr>
            <w:r>
              <w:t xml:space="preserve">DEL ÁREA DE </w:t>
            </w:r>
          </w:p>
          <w:p w:rsidR="00E302EC" w:rsidRDefault="00FC4F28">
            <w:pPr>
              <w:spacing w:after="0" w:line="259" w:lineRule="auto"/>
              <w:ind w:left="0" w:firstLine="0"/>
              <w:jc w:val="left"/>
            </w:pPr>
            <w:r>
              <w:t xml:space="preserve">GASTO 3 </w:t>
            </w:r>
          </w:p>
        </w:tc>
        <w:tc>
          <w:tcPr>
            <w:tcW w:w="12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p w:rsidR="00E302EC" w:rsidRDefault="00FC4F28">
            <w:pPr>
              <w:spacing w:after="0" w:line="259" w:lineRule="auto"/>
              <w:ind w:left="0" w:firstLine="0"/>
            </w:pPr>
            <w:r>
              <w:t>CRECIMIE</w:t>
            </w:r>
          </w:p>
          <w:p w:rsidR="00E302EC" w:rsidRDefault="00FC4F28">
            <w:pPr>
              <w:spacing w:after="0" w:line="259" w:lineRule="auto"/>
              <w:ind w:left="0" w:firstLine="0"/>
              <w:jc w:val="left"/>
            </w:pPr>
            <w:r>
              <w:t xml:space="preserve">NTO </w:t>
            </w:r>
          </w:p>
        </w:tc>
        <w:tc>
          <w:tcPr>
            <w:tcW w:w="17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EJECUCIÓN </w:t>
            </w:r>
          </w:p>
        </w:tc>
        <w:tc>
          <w:tcPr>
            <w:tcW w:w="14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p w:rsidR="00E302EC" w:rsidRDefault="00FC4F28">
            <w:pPr>
              <w:spacing w:after="0" w:line="259" w:lineRule="auto"/>
              <w:ind w:left="0" w:firstLine="0"/>
              <w:jc w:val="left"/>
            </w:pPr>
            <w:r>
              <w:t>CRECIMIEN</w:t>
            </w:r>
          </w:p>
          <w:p w:rsidR="00E302EC" w:rsidRDefault="00FC4F28">
            <w:pPr>
              <w:spacing w:after="0" w:line="259" w:lineRule="auto"/>
              <w:ind w:left="0" w:firstLine="0"/>
              <w:jc w:val="left"/>
            </w:pPr>
            <w:r>
              <w:t xml:space="preserve">TO </w:t>
            </w:r>
          </w:p>
        </w:tc>
      </w:tr>
      <w:tr w:rsidR="00E302EC">
        <w:trPr>
          <w:trHeight w:val="259"/>
        </w:trPr>
        <w:tc>
          <w:tcPr>
            <w:tcW w:w="758" w:type="dxa"/>
            <w:tcBorders>
              <w:top w:val="nil"/>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2021 </w:t>
            </w:r>
          </w:p>
        </w:tc>
        <w:tc>
          <w:tcPr>
            <w:tcW w:w="1904" w:type="dxa"/>
            <w:tcBorders>
              <w:top w:val="nil"/>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5.033.792,10 </w:t>
            </w:r>
          </w:p>
        </w:tc>
        <w:tc>
          <w:tcPr>
            <w:tcW w:w="1265" w:type="dxa"/>
            <w:tcBorders>
              <w:top w:val="nil"/>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46,6 </w:t>
            </w:r>
          </w:p>
        </w:tc>
        <w:tc>
          <w:tcPr>
            <w:tcW w:w="1724" w:type="dxa"/>
            <w:tcBorders>
              <w:top w:val="nil"/>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3.486.922,38 </w:t>
            </w:r>
          </w:p>
        </w:tc>
        <w:tc>
          <w:tcPr>
            <w:tcW w:w="1471" w:type="dxa"/>
            <w:tcBorders>
              <w:top w:val="nil"/>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13 </w:t>
            </w:r>
          </w:p>
        </w:tc>
      </w:tr>
      <w:tr w:rsidR="00E302EC">
        <w:trPr>
          <w:trHeight w:val="262"/>
        </w:trPr>
        <w:tc>
          <w:tcPr>
            <w:tcW w:w="7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2020 </w:t>
            </w:r>
          </w:p>
        </w:tc>
        <w:tc>
          <w:tcPr>
            <w:tcW w:w="19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3.432.747,69 </w:t>
            </w:r>
          </w:p>
        </w:tc>
        <w:tc>
          <w:tcPr>
            <w:tcW w:w="12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18 </w:t>
            </w:r>
          </w:p>
        </w:tc>
        <w:tc>
          <w:tcPr>
            <w:tcW w:w="17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3.080.994,23 </w:t>
            </w:r>
          </w:p>
        </w:tc>
        <w:tc>
          <w:tcPr>
            <w:tcW w:w="14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19 </w:t>
            </w:r>
          </w:p>
        </w:tc>
      </w:tr>
      <w:tr w:rsidR="00E302EC">
        <w:trPr>
          <w:trHeight w:val="264"/>
        </w:trPr>
        <w:tc>
          <w:tcPr>
            <w:tcW w:w="7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2019 </w:t>
            </w:r>
          </w:p>
        </w:tc>
        <w:tc>
          <w:tcPr>
            <w:tcW w:w="19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2.907.273,73 </w:t>
            </w:r>
          </w:p>
        </w:tc>
        <w:tc>
          <w:tcPr>
            <w:tcW w:w="12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7,5 </w:t>
            </w:r>
          </w:p>
        </w:tc>
        <w:tc>
          <w:tcPr>
            <w:tcW w:w="17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2.586.831,84 </w:t>
            </w:r>
          </w:p>
        </w:tc>
        <w:tc>
          <w:tcPr>
            <w:tcW w:w="14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w:t>
            </w:r>
            <w:r>
              <w:t xml:space="preserve">8,5 </w:t>
            </w:r>
          </w:p>
        </w:tc>
      </w:tr>
      <w:tr w:rsidR="00E302EC">
        <w:trPr>
          <w:trHeight w:val="264"/>
        </w:trPr>
        <w:tc>
          <w:tcPr>
            <w:tcW w:w="75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2018 </w:t>
            </w:r>
          </w:p>
        </w:tc>
        <w:tc>
          <w:tcPr>
            <w:tcW w:w="190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2.703.796,57 </w:t>
            </w:r>
          </w:p>
        </w:tc>
        <w:tc>
          <w:tcPr>
            <w:tcW w:w="126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15,7 </w:t>
            </w:r>
          </w:p>
        </w:tc>
        <w:tc>
          <w:tcPr>
            <w:tcW w:w="17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2.827.981,30 </w:t>
            </w:r>
          </w:p>
        </w:tc>
        <w:tc>
          <w:tcPr>
            <w:tcW w:w="147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13,4 </w:t>
            </w:r>
          </w:p>
        </w:tc>
      </w:tr>
    </w:tbl>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numPr>
          <w:ilvl w:val="1"/>
          <w:numId w:val="31"/>
        </w:numPr>
        <w:ind w:right="184" w:hanging="360"/>
      </w:pPr>
      <w:r>
        <w:rPr>
          <w:b/>
          <w:i/>
        </w:rPr>
        <w:t>Área de Gasto 4</w:t>
      </w:r>
      <w:r>
        <w:t>: Actuaciones de Carácter Económico, que integra los gastos de actividades, servicios y transferencias que tienden a desarrollar el potencial de los distintos sectores de la actividad económica. Refleja gastos por importe de 3.208.854,57 Euros frente a los</w:t>
      </w:r>
      <w:r>
        <w:t xml:space="preserve"> 2.857.762,08 Euros del año anterior, aumentando un 12,2 %. Representa el 13,1 %, frente al 10,3 % del gasto total de 2020. Destacamos los siguientes subprogramas presupuestados:</w:t>
      </w:r>
      <w:r>
        <w:rPr>
          <w:rFonts w:ascii="Times New Roman" w:eastAsia="Times New Roman" w:hAnsi="Times New Roman" w:cs="Times New Roman"/>
          <w:sz w:val="24"/>
        </w:rPr>
        <w:t xml:space="preserve"> </w:t>
      </w:r>
    </w:p>
    <w:p w:rsidR="00E302EC" w:rsidRDefault="00FC4F28">
      <w:pPr>
        <w:spacing w:after="31" w:line="259" w:lineRule="auto"/>
        <w:ind w:left="644" w:firstLine="0"/>
        <w:jc w:val="left"/>
      </w:pPr>
      <w:r>
        <w:t xml:space="preserve"> </w:t>
      </w:r>
    </w:p>
    <w:p w:rsidR="00E302EC" w:rsidRDefault="00FC4F28">
      <w:pPr>
        <w:numPr>
          <w:ilvl w:val="1"/>
          <w:numId w:val="31"/>
        </w:numPr>
        <w:ind w:right="184" w:hanging="360"/>
      </w:pPr>
      <w:r>
        <w:rPr>
          <w:i/>
        </w:rPr>
        <w:t>Subprograma 414.00 de</w:t>
      </w:r>
      <w:r>
        <w:t xml:space="preserve"> </w:t>
      </w:r>
      <w:r>
        <w:rPr>
          <w:i/>
        </w:rPr>
        <w:t>Desarrollo Rural</w:t>
      </w:r>
      <w:r>
        <w:t>. Sube un 11,5 %, destacando la subida de los gastos en bienes corrientes y de servicios, que sube en un 138 %, representando este capítulo el 35,5 % del total, compensando la caída del gasto en el capítulo de personal, al caer un 8,5 %, representando un g</w:t>
      </w:r>
      <w:r>
        <w:t>asto que se eleva al 64,5 % del gasto total. Representan un total del 0,3 por ciento respecto del gasto general, quince décimas menos que en el año precedente.</w:t>
      </w:r>
      <w:r>
        <w:rPr>
          <w:rFonts w:ascii="Times New Roman" w:eastAsia="Times New Roman" w:hAnsi="Times New Roman" w:cs="Times New Roman"/>
          <w:sz w:val="24"/>
        </w:rPr>
        <w:t xml:space="preserve"> </w:t>
      </w:r>
    </w:p>
    <w:p w:rsidR="00E302EC" w:rsidRDefault="00FC4F28">
      <w:pPr>
        <w:spacing w:after="29" w:line="259" w:lineRule="auto"/>
        <w:ind w:left="1004" w:firstLine="0"/>
        <w:jc w:val="left"/>
      </w:pPr>
      <w:r>
        <w:t xml:space="preserve"> </w:t>
      </w:r>
    </w:p>
    <w:p w:rsidR="00E302EC" w:rsidRDefault="00FC4F28">
      <w:pPr>
        <w:numPr>
          <w:ilvl w:val="1"/>
          <w:numId w:val="31"/>
        </w:numPr>
        <w:ind w:right="184" w:hanging="360"/>
      </w:pPr>
      <w:r>
        <w:rPr>
          <w:i/>
        </w:rPr>
        <w:t>Subprograma 415.00 de</w:t>
      </w:r>
      <w:r>
        <w:t xml:space="preserve"> </w:t>
      </w:r>
      <w:r>
        <w:rPr>
          <w:i/>
        </w:rPr>
        <w:t>Protección y Desarrollo de los Recursos Pesqueros</w:t>
      </w:r>
      <w:r>
        <w:t>. Cae un 4,6 (creció u</w:t>
      </w:r>
      <w:r>
        <w:t>n 73,5 % en el año anterior), siendo la totalidad gastos en bienes corrientes y de servicios. Representan un porcentaje del 0,019 %, frente al 0,3 % de 2020.</w:t>
      </w:r>
      <w:r>
        <w:rPr>
          <w:rFonts w:ascii="Times New Roman" w:eastAsia="Times New Roman" w:hAnsi="Times New Roman" w:cs="Times New Roman"/>
          <w:sz w:val="24"/>
        </w:rPr>
        <w:t xml:space="preserve"> </w:t>
      </w:r>
    </w:p>
    <w:p w:rsidR="00E302EC" w:rsidRDefault="00FC4F28">
      <w:pPr>
        <w:spacing w:after="29" w:line="259" w:lineRule="auto"/>
        <w:ind w:left="284" w:firstLine="0"/>
        <w:jc w:val="left"/>
      </w:pPr>
      <w:r>
        <w:t xml:space="preserve"> </w:t>
      </w:r>
    </w:p>
    <w:p w:rsidR="00E302EC" w:rsidRDefault="00FC4F28">
      <w:pPr>
        <w:numPr>
          <w:ilvl w:val="1"/>
          <w:numId w:val="31"/>
        </w:numPr>
        <w:ind w:right="184" w:hanging="360"/>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0232" name="Group 25023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2840" name="Rectangle 1284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7MT23JRFLY7JHEN56D753ZS5Q | Verificación: https://candelaria.sedelectronica</w:t>
                              </w:r>
                              <w:r>
                                <w:rPr>
                                  <w:sz w:val="12"/>
                                </w:rPr>
                                <w:t xml:space="preserve">.es/ </w:t>
                              </w:r>
                            </w:p>
                          </w:txbxContent>
                        </wps:txbx>
                        <wps:bodyPr horzOverflow="overflow" vert="horz" lIns="0" tIns="0" rIns="0" bIns="0" rtlCol="0">
                          <a:noAutofit/>
                        </wps:bodyPr>
                      </wps:wsp>
                      <wps:wsp>
                        <wps:cNvPr id="12841" name="Rectangle 12841"/>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0232" style="width:12.7031pt;height:273.276pt;position:absolute;mso-position-horizontal-relative:page;mso-position-horizontal:absolute;margin-left:682.278pt;mso-position-vertical-relative:page;margin-top:538.644pt;" coordsize="1613,34706">
                <v:rect id="Rectangle 1284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2841"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159 </w:t>
                        </w:r>
                      </w:p>
                    </w:txbxContent>
                  </v:textbox>
                </v:rect>
                <w10:wrap type="square"/>
              </v:group>
            </w:pict>
          </mc:Fallback>
        </mc:AlternateContent>
      </w:r>
      <w:r>
        <w:rPr>
          <w:i/>
        </w:rPr>
        <w:t>Subprograma 431.00 de</w:t>
      </w:r>
      <w:r>
        <w:t xml:space="preserve"> </w:t>
      </w:r>
      <w:r>
        <w:rPr>
          <w:i/>
        </w:rPr>
        <w:t>Comercio</w:t>
      </w:r>
      <w:r>
        <w:t xml:space="preserve">. Se mantiene igual que en el año anterior, prácticamente, ya que sube aproximadamente unos dos mil euros. Suben los gastos </w:t>
      </w:r>
      <w:r>
        <w:t>en bienes corrientes y de servicios, que representa un 80 % del total, un 29 %, compensando la caída del capítulo de personal, que decrece un 48 %. Representan un 0,5 por ciento respecto del gasto total, una décima más que en el año anterior.</w:t>
      </w:r>
      <w:r>
        <w:rPr>
          <w:rFonts w:ascii="Times New Roman" w:eastAsia="Times New Roman" w:hAnsi="Times New Roman" w:cs="Times New Roman"/>
          <w:sz w:val="24"/>
        </w:rPr>
        <w:t xml:space="preserve"> </w:t>
      </w:r>
    </w:p>
    <w:p w:rsidR="00E302EC" w:rsidRDefault="00FC4F28">
      <w:pPr>
        <w:spacing w:after="29" w:line="259" w:lineRule="auto"/>
        <w:ind w:left="284" w:firstLine="0"/>
        <w:jc w:val="left"/>
      </w:pPr>
      <w:r>
        <w:t xml:space="preserve"> </w:t>
      </w:r>
    </w:p>
    <w:p w:rsidR="00E302EC" w:rsidRDefault="00FC4F28">
      <w:pPr>
        <w:numPr>
          <w:ilvl w:val="1"/>
          <w:numId w:val="31"/>
        </w:numPr>
        <w:ind w:right="184" w:hanging="360"/>
      </w:pPr>
      <w:r>
        <w:rPr>
          <w:i/>
        </w:rPr>
        <w:t>Subprogram</w:t>
      </w:r>
      <w:r>
        <w:rPr>
          <w:i/>
        </w:rPr>
        <w:t>a 432.00 de</w:t>
      </w:r>
      <w:r>
        <w:t xml:space="preserve"> </w:t>
      </w:r>
      <w:r>
        <w:rPr>
          <w:i/>
        </w:rPr>
        <w:t>Ordenación y Promoción Turística</w:t>
      </w:r>
      <w:r>
        <w:t>. Sube un 294,8 % %, por el mayor gasto en bienes corrientes y de servicios, que representa el 100 % del gasto total. Representa el 0,5 % del gasto total, cuatro décimas más que en el ejercicio 2020.</w:t>
      </w:r>
      <w:r>
        <w:rPr>
          <w:rFonts w:ascii="Times New Roman" w:eastAsia="Times New Roman" w:hAnsi="Times New Roman" w:cs="Times New Roman"/>
          <w:sz w:val="24"/>
        </w:rPr>
        <w:t xml:space="preserve"> </w:t>
      </w:r>
    </w:p>
    <w:p w:rsidR="00E302EC" w:rsidRDefault="00FC4F28">
      <w:pPr>
        <w:spacing w:after="29" w:line="259" w:lineRule="auto"/>
        <w:ind w:left="1004" w:firstLine="0"/>
        <w:jc w:val="left"/>
      </w:pPr>
      <w:r>
        <w:t xml:space="preserve"> </w:t>
      </w:r>
    </w:p>
    <w:p w:rsidR="00E302EC" w:rsidRDefault="00FC4F28">
      <w:pPr>
        <w:numPr>
          <w:ilvl w:val="1"/>
          <w:numId w:val="31"/>
        </w:numPr>
        <w:ind w:right="184" w:hanging="360"/>
      </w:pPr>
      <w:r>
        <w:rPr>
          <w:i/>
        </w:rPr>
        <w:t>Subprograma 441.10 de</w:t>
      </w:r>
      <w:r>
        <w:t xml:space="preserve"> Transporte Público Colectivo Urbano de Viajeros. Crece un 32 %, por la ampliación del servicio. Representan un 0,7 % respecto del gasto total, tres décimas más que en el año anterior.</w:t>
      </w:r>
      <w:r>
        <w:rPr>
          <w:rFonts w:ascii="Times New Roman" w:eastAsia="Times New Roman" w:hAnsi="Times New Roman" w:cs="Times New Roman"/>
          <w:sz w:val="24"/>
        </w:rPr>
        <w:t xml:space="preserve"> </w:t>
      </w:r>
    </w:p>
    <w:p w:rsidR="00E302EC" w:rsidRDefault="00FC4F28">
      <w:pPr>
        <w:spacing w:after="31" w:line="259" w:lineRule="auto"/>
        <w:ind w:left="284" w:firstLine="0"/>
        <w:jc w:val="left"/>
      </w:pPr>
      <w:r>
        <w:t xml:space="preserve"> </w:t>
      </w:r>
    </w:p>
    <w:p w:rsidR="00E302EC" w:rsidRDefault="00FC4F28">
      <w:pPr>
        <w:numPr>
          <w:ilvl w:val="1"/>
          <w:numId w:val="31"/>
        </w:numPr>
        <w:ind w:right="184" w:hanging="360"/>
      </w:pPr>
      <w:r>
        <w:t xml:space="preserve">Subprograma 459.00 de </w:t>
      </w:r>
      <w:r>
        <w:rPr>
          <w:i/>
        </w:rPr>
        <w:t>Otras Infraestructuras</w:t>
      </w:r>
      <w:r>
        <w:t>. Crece un 1,3%, destacando la subida en las inversiones en un 485 %, que compensa la caída del 10 % en los capítulos de personal (que representa el 46,7 % del gasto total) y de un 4 % en los gastos en bienes corrientes y de servicios (representa el 43,5 %</w:t>
      </w:r>
      <w:r>
        <w:t>). Representan un 7 % respecto del gasto total, frente al 6,1 %, respecto del ejercicio precedente.</w:t>
      </w:r>
      <w:r>
        <w:rPr>
          <w:rFonts w:ascii="Times New Roman" w:eastAsia="Times New Roman" w:hAnsi="Times New Roman" w:cs="Times New Roman"/>
          <w:sz w:val="24"/>
        </w:rPr>
        <w:t xml:space="preserve"> </w:t>
      </w:r>
    </w:p>
    <w:p w:rsidR="00E302EC" w:rsidRDefault="00FC4F28">
      <w:pPr>
        <w:spacing w:after="32" w:line="259" w:lineRule="auto"/>
        <w:ind w:left="284" w:firstLine="0"/>
        <w:jc w:val="left"/>
      </w:pPr>
      <w:r>
        <w:t xml:space="preserve"> </w:t>
      </w:r>
    </w:p>
    <w:p w:rsidR="00E302EC" w:rsidRDefault="00FC4F28">
      <w:pPr>
        <w:numPr>
          <w:ilvl w:val="1"/>
          <w:numId w:val="31"/>
        </w:numPr>
        <w:ind w:right="184" w:hanging="360"/>
      </w:pPr>
      <w:r>
        <w:t xml:space="preserve">Subprograma 491.00 de </w:t>
      </w:r>
      <w:r>
        <w:rPr>
          <w:i/>
        </w:rPr>
        <w:t>Sociedad de la Información: Radio y Revista municipal</w:t>
      </w:r>
      <w:r>
        <w:t>, que sube un 9,4 %, en su totalidad por el gasto en bienes corrientes y de se</w:t>
      </w:r>
      <w:r>
        <w:t>rvicios. El gasto viene dado por las transferencias a Epelcan, en virtud de la asunción de la gestión de la radio municipal. Representan un 0,37 % del gasto total, frente al 0,3 % en el año anterior.</w:t>
      </w:r>
      <w:r>
        <w:rPr>
          <w:rFonts w:ascii="Times New Roman" w:eastAsia="Times New Roman" w:hAnsi="Times New Roman" w:cs="Times New Roman"/>
          <w:sz w:val="24"/>
        </w:rPr>
        <w:t xml:space="preserve"> </w:t>
      </w:r>
    </w:p>
    <w:p w:rsidR="00E302EC" w:rsidRDefault="00FC4F28">
      <w:pPr>
        <w:spacing w:after="29" w:line="259" w:lineRule="auto"/>
        <w:ind w:left="284" w:firstLine="0"/>
        <w:jc w:val="left"/>
      </w:pPr>
      <w:r>
        <w:t xml:space="preserve"> </w:t>
      </w:r>
    </w:p>
    <w:p w:rsidR="00E302EC" w:rsidRDefault="00FC4F28">
      <w:pPr>
        <w:numPr>
          <w:ilvl w:val="1"/>
          <w:numId w:val="31"/>
        </w:numPr>
        <w:ind w:right="184" w:hanging="360"/>
      </w:pPr>
      <w:r>
        <w:t xml:space="preserve">Subprograma 492.00 de </w:t>
      </w:r>
      <w:r>
        <w:rPr>
          <w:i/>
        </w:rPr>
        <w:t>Nuevas Tecnologías</w:t>
      </w:r>
      <w:r>
        <w:t>. Sube su eje</w:t>
      </w:r>
      <w:r>
        <w:t xml:space="preserve">cución en un 25,5 %, respecto del año anterior, por la subida de un 28,6 % de los gastos en bienes corrientes y de servicios (que representan el 43 % del gasto total), un 198 % los gastos en inversiones y un 1,9 % los gastos de personal, que representa el </w:t>
      </w:r>
      <w:r>
        <w:t>42,6 %, del gasto total. Se ha hecho un gasto de transferencias, que no existía 3en el año anterior, por importe de quince mil euros Representan un 3,4 % respecto del gasto total, frente al 2,4 % en el año anterior.</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En el presente cuadro, se pone de m</w:t>
      </w:r>
      <w:r>
        <w:t xml:space="preserve">anifiesto la evolución de esta Área de Actuaciones de carácter económico: </w:t>
      </w:r>
    </w:p>
    <w:p w:rsidR="00E302EC" w:rsidRDefault="00FC4F28">
      <w:pPr>
        <w:spacing w:after="0" w:line="259" w:lineRule="auto"/>
        <w:ind w:left="284" w:firstLine="0"/>
        <w:jc w:val="left"/>
      </w:pPr>
      <w:r>
        <w:t xml:space="preserve"> </w:t>
      </w:r>
    </w:p>
    <w:p w:rsidR="00E302EC" w:rsidRDefault="00FC4F28">
      <w:pPr>
        <w:spacing w:after="0" w:line="259" w:lineRule="auto"/>
        <w:ind w:left="644" w:firstLine="0"/>
        <w:jc w:val="left"/>
      </w:pPr>
      <w:r>
        <w:t xml:space="preserve"> </w:t>
      </w:r>
    </w:p>
    <w:tbl>
      <w:tblPr>
        <w:tblStyle w:val="TableGrid"/>
        <w:tblW w:w="7345" w:type="dxa"/>
        <w:tblInd w:w="720" w:type="dxa"/>
        <w:tblCellMar>
          <w:top w:w="9" w:type="dxa"/>
          <w:left w:w="70" w:type="dxa"/>
          <w:bottom w:w="0" w:type="dxa"/>
          <w:right w:w="12" w:type="dxa"/>
        </w:tblCellMar>
        <w:tblLook w:val="04A0" w:firstRow="1" w:lastRow="0" w:firstColumn="1" w:lastColumn="0" w:noHBand="0" w:noVBand="1"/>
      </w:tblPr>
      <w:tblGrid>
        <w:gridCol w:w="782"/>
        <w:gridCol w:w="1945"/>
        <w:gridCol w:w="1577"/>
        <w:gridCol w:w="1527"/>
        <w:gridCol w:w="1514"/>
      </w:tblGrid>
      <w:tr w:rsidR="00E302EC">
        <w:trPr>
          <w:trHeight w:val="768"/>
        </w:trPr>
        <w:tc>
          <w:tcPr>
            <w:tcW w:w="7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AÑO  </w:t>
            </w:r>
          </w:p>
          <w:p w:rsidR="00E302EC" w:rsidRDefault="00FC4F28">
            <w:pPr>
              <w:spacing w:after="0" w:line="259" w:lineRule="auto"/>
              <w:ind w:left="0" w:firstLine="0"/>
              <w:jc w:val="left"/>
            </w:pPr>
            <w:r>
              <w:t xml:space="preserve"> </w:t>
            </w:r>
          </w:p>
        </w:tc>
        <w:tc>
          <w:tcPr>
            <w:tcW w:w="194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PREVISIONES </w:t>
            </w:r>
          </w:p>
          <w:p w:rsidR="00E302EC" w:rsidRDefault="00FC4F28">
            <w:pPr>
              <w:tabs>
                <w:tab w:val="center" w:pos="966"/>
                <w:tab w:val="right" w:pos="1863"/>
              </w:tabs>
              <w:spacing w:after="0" w:line="259" w:lineRule="auto"/>
              <w:ind w:left="0" w:firstLine="0"/>
              <w:jc w:val="left"/>
            </w:pPr>
            <w:r>
              <w:t xml:space="preserve">DEL </w:t>
            </w:r>
            <w:r>
              <w:tab/>
              <w:t xml:space="preserve">ÁREA </w:t>
            </w:r>
            <w:r>
              <w:tab/>
              <w:t xml:space="preserve">DE </w:t>
            </w:r>
          </w:p>
          <w:p w:rsidR="00E302EC" w:rsidRDefault="00FC4F28">
            <w:pPr>
              <w:spacing w:after="0" w:line="259" w:lineRule="auto"/>
              <w:ind w:left="0" w:firstLine="0"/>
              <w:jc w:val="left"/>
            </w:pPr>
            <w:r>
              <w:t xml:space="preserve">GASTO 4 </w:t>
            </w:r>
          </w:p>
        </w:tc>
        <w:tc>
          <w:tcPr>
            <w:tcW w:w="15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p w:rsidR="00E302EC" w:rsidRDefault="00FC4F28">
            <w:pPr>
              <w:spacing w:after="0" w:line="259" w:lineRule="auto"/>
              <w:ind w:left="0" w:firstLine="0"/>
              <w:jc w:val="left"/>
            </w:pPr>
            <w:r>
              <w:t>CRECIMIENT</w:t>
            </w:r>
          </w:p>
          <w:p w:rsidR="00E302EC" w:rsidRDefault="00FC4F28">
            <w:pPr>
              <w:spacing w:after="0" w:line="259" w:lineRule="auto"/>
              <w:ind w:left="0" w:firstLine="0"/>
              <w:jc w:val="left"/>
            </w:pPr>
            <w:r>
              <w:t xml:space="preserve">O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EJECUCIÓN </w:t>
            </w:r>
          </w:p>
        </w:tc>
        <w:tc>
          <w:tcPr>
            <w:tcW w:w="151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p w:rsidR="00E302EC" w:rsidRDefault="00FC4F28">
            <w:pPr>
              <w:spacing w:after="0" w:line="259" w:lineRule="auto"/>
              <w:ind w:left="0" w:firstLine="0"/>
            </w:pPr>
            <w:r>
              <w:t>CRECIMIENT</w:t>
            </w:r>
          </w:p>
          <w:p w:rsidR="00E302EC" w:rsidRDefault="00FC4F28">
            <w:pPr>
              <w:spacing w:after="0" w:line="259" w:lineRule="auto"/>
              <w:ind w:left="0" w:firstLine="0"/>
              <w:jc w:val="left"/>
            </w:pPr>
            <w:r>
              <w:t xml:space="preserve">O </w:t>
            </w:r>
          </w:p>
        </w:tc>
      </w:tr>
      <w:tr w:rsidR="00E302EC">
        <w:trPr>
          <w:trHeight w:val="382"/>
        </w:trPr>
        <w:tc>
          <w:tcPr>
            <w:tcW w:w="7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2021 </w:t>
            </w:r>
          </w:p>
        </w:tc>
        <w:tc>
          <w:tcPr>
            <w:tcW w:w="194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5.441.290,43 </w:t>
            </w:r>
          </w:p>
        </w:tc>
        <w:tc>
          <w:tcPr>
            <w:tcW w:w="15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48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3.208.854,57 </w:t>
            </w:r>
          </w:p>
        </w:tc>
        <w:tc>
          <w:tcPr>
            <w:tcW w:w="151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12 </w:t>
            </w:r>
          </w:p>
        </w:tc>
      </w:tr>
      <w:tr w:rsidR="00E302EC">
        <w:trPr>
          <w:trHeight w:val="384"/>
        </w:trPr>
        <w:tc>
          <w:tcPr>
            <w:tcW w:w="7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2020 </w:t>
            </w:r>
          </w:p>
        </w:tc>
        <w:tc>
          <w:tcPr>
            <w:tcW w:w="194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3.678.002,51 </w:t>
            </w:r>
          </w:p>
        </w:tc>
        <w:tc>
          <w:tcPr>
            <w:tcW w:w="15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26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2.857.762,08 </w:t>
            </w:r>
          </w:p>
        </w:tc>
        <w:tc>
          <w:tcPr>
            <w:tcW w:w="151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9,4</w:t>
            </w:r>
            <w:r>
              <w:t xml:space="preserve"> </w:t>
            </w:r>
          </w:p>
        </w:tc>
      </w:tr>
      <w:tr w:rsidR="00E302EC">
        <w:trPr>
          <w:trHeight w:val="384"/>
        </w:trPr>
        <w:tc>
          <w:tcPr>
            <w:tcW w:w="7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2019 </w:t>
            </w:r>
          </w:p>
        </w:tc>
        <w:tc>
          <w:tcPr>
            <w:tcW w:w="194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2.910.090,33 </w:t>
            </w:r>
          </w:p>
        </w:tc>
        <w:tc>
          <w:tcPr>
            <w:tcW w:w="15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-4,3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2.611.096,98 </w:t>
            </w:r>
          </w:p>
        </w:tc>
        <w:tc>
          <w:tcPr>
            <w:tcW w:w="151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-15,1 </w:t>
            </w:r>
          </w:p>
        </w:tc>
      </w:tr>
      <w:tr w:rsidR="00E302EC">
        <w:trPr>
          <w:trHeight w:val="382"/>
        </w:trPr>
        <w:tc>
          <w:tcPr>
            <w:tcW w:w="78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2018 </w:t>
            </w:r>
          </w:p>
        </w:tc>
        <w:tc>
          <w:tcPr>
            <w:tcW w:w="194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3.039.319,45 </w:t>
            </w:r>
          </w:p>
        </w:tc>
        <w:tc>
          <w:tcPr>
            <w:tcW w:w="157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13,5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3.075.720,08 </w:t>
            </w:r>
          </w:p>
        </w:tc>
        <w:tc>
          <w:tcPr>
            <w:tcW w:w="151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4,8 </w:t>
            </w:r>
          </w:p>
        </w:tc>
      </w:tr>
    </w:tbl>
    <w:p w:rsidR="00E302EC" w:rsidRDefault="00FC4F28">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9714" name="Group 24971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3120" name="Rectangle 1312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3121" name="Rectangle 13121"/>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9714" style="width:12.7031pt;height:273.276pt;position:absolute;mso-position-horizontal-relative:page;mso-position-horizontal:absolute;margin-left:682.278pt;mso-position-vertical-relative:page;margin-top:538.644pt;" coordsize="1613,34706">
                <v:rect id="Rectangle 1312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3121"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159 </w:t>
                        </w:r>
                      </w:p>
                    </w:txbxContent>
                  </v:textbox>
                </v:rect>
                <w10:wrap type="square"/>
              </v:group>
            </w:pict>
          </mc:Fallback>
        </mc:AlternateContent>
      </w:r>
      <w:r>
        <w:t xml:space="preserve"> </w:t>
      </w:r>
    </w:p>
    <w:p w:rsidR="00E302EC" w:rsidRDefault="00FC4F28">
      <w:pPr>
        <w:spacing w:after="0" w:line="259" w:lineRule="auto"/>
        <w:ind w:left="284" w:firstLine="0"/>
        <w:jc w:val="left"/>
      </w:pPr>
      <w:r>
        <w:t xml:space="preserve"> </w:t>
      </w:r>
    </w:p>
    <w:p w:rsidR="00E302EC" w:rsidRDefault="00FC4F28">
      <w:pPr>
        <w:numPr>
          <w:ilvl w:val="1"/>
          <w:numId w:val="31"/>
        </w:numPr>
        <w:ind w:right="184" w:hanging="360"/>
      </w:pPr>
      <w:r>
        <w:rPr>
          <w:b/>
          <w:i/>
        </w:rPr>
        <w:t>Área de Gasto 9</w:t>
      </w:r>
      <w:r>
        <w:t>: Actuaciones de Carácter General, que incluye todos los gastos que afecten con carácter general a la Entidad Local y que consistan en el ejerc</w:t>
      </w:r>
      <w:r>
        <w:t xml:space="preserve">icio de las funciones de gobierno o de apoyo administrativo y técnico a toda la organización.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644" w:right="184" w:firstLine="348"/>
      </w:pPr>
      <w:r>
        <w:t>Refleja un gasto liquidado de 4.159.562,01 Euros, frente a los 4.067.861,76 Euros, en el año 2020, un 2,25 % más que en el año anterior. Representa el 17 % del gasto total, frente al 14,6 % del año 2019. Tenemos como subprogramas:</w:t>
      </w:r>
      <w:r>
        <w:rPr>
          <w:rFonts w:ascii="Times New Roman" w:eastAsia="Times New Roman" w:hAnsi="Times New Roman" w:cs="Times New Roman"/>
          <w:sz w:val="24"/>
        </w:rPr>
        <w:t xml:space="preserve"> </w:t>
      </w:r>
    </w:p>
    <w:p w:rsidR="00E302EC" w:rsidRDefault="00FC4F28">
      <w:pPr>
        <w:spacing w:after="30" w:line="259" w:lineRule="auto"/>
        <w:ind w:left="644" w:firstLine="0"/>
        <w:jc w:val="left"/>
      </w:pPr>
      <w:r>
        <w:t xml:space="preserve"> </w:t>
      </w:r>
    </w:p>
    <w:p w:rsidR="00E302EC" w:rsidRDefault="00FC4F28">
      <w:pPr>
        <w:numPr>
          <w:ilvl w:val="1"/>
          <w:numId w:val="31"/>
        </w:numPr>
        <w:ind w:right="184" w:hanging="360"/>
      </w:pPr>
      <w:r>
        <w:t xml:space="preserve">Subprograma 912.00 de </w:t>
      </w:r>
      <w:r>
        <w:rPr>
          <w:i/>
        </w:rPr>
        <w:t>Órganos de Gobierno</w:t>
      </w:r>
      <w:r>
        <w:t xml:space="preserve">. Sube un 0,5 % respecto del ejercicio anterior, destacando que los gastos de personal, que representa el 95,6 % de este subprograma, se mantiene constante, mientras que los gastos en bienes corrientes y de servicios, descienden en un 7 </w:t>
      </w:r>
      <w:r>
        <w:t>%. Representan un 3,4 % respecto del gasto total, frente al 2,9 % del año anterior.</w:t>
      </w:r>
      <w:r>
        <w:rPr>
          <w:rFonts w:ascii="Times New Roman" w:eastAsia="Times New Roman" w:hAnsi="Times New Roman" w:cs="Times New Roman"/>
          <w:sz w:val="24"/>
        </w:rPr>
        <w:t xml:space="preserve"> </w:t>
      </w:r>
    </w:p>
    <w:p w:rsidR="00E302EC" w:rsidRDefault="00FC4F28">
      <w:pPr>
        <w:spacing w:after="29" w:line="259" w:lineRule="auto"/>
        <w:ind w:left="284" w:firstLine="0"/>
        <w:jc w:val="left"/>
      </w:pPr>
      <w:r>
        <w:t xml:space="preserve"> </w:t>
      </w:r>
    </w:p>
    <w:p w:rsidR="00E302EC" w:rsidRDefault="00FC4F28">
      <w:pPr>
        <w:numPr>
          <w:ilvl w:val="1"/>
          <w:numId w:val="31"/>
        </w:numPr>
        <w:ind w:right="184" w:hanging="360"/>
      </w:pPr>
      <w:r>
        <w:t xml:space="preserve">Subprograma 920.00 de </w:t>
      </w:r>
      <w:r>
        <w:rPr>
          <w:i/>
        </w:rPr>
        <w:t>Administración General</w:t>
      </w:r>
      <w:r>
        <w:t>. Cuantitativamente este subprograma, por importe de poco más de tres millones de euros, es el más importante ya que recoge l</w:t>
      </w:r>
      <w:r>
        <w:t>os gastos de telefonía, una parte del suministro eléctrico, primas de seguros, aportaciones al Consorcio de Tributos y las retribuciones de la buena parte de los funcionarios del Ayuntamiento, no adscritos a los subprogramas anteriores. Crece un 3,4 %, des</w:t>
      </w:r>
      <w:r>
        <w:t>tacando la subida del capítulo de personal en un 5,9 %, gracias a la subida de la seguridad social (un 30 %), del gasto en personal laboral (2,7 %), que compensa la caída de las gratificaciones en un 45 %. El capítulo de bienes corrientes y de servicios su</w:t>
      </w:r>
      <w:r>
        <w:t xml:space="preserve">be un 4 %, así como las inversiones un 68,5 %, aunque ha sido una subida de ocho mil euros en maquinaria. </w:t>
      </w:r>
    </w:p>
    <w:p w:rsidR="00E302EC" w:rsidRDefault="00FC4F28">
      <w:pPr>
        <w:ind w:left="1014" w:right="184"/>
      </w:pPr>
      <w:r>
        <w:t>Compensa la caída en transferencias corrientes. Representan un 12,7 % respecto del gasto total, frente al 10,8 % de ejecución del ejercicio anterior.</w:t>
      </w:r>
      <w:r>
        <w:t xml:space="preserve"> </w:t>
      </w:r>
      <w:r>
        <w:rPr>
          <w:rFonts w:ascii="Times New Roman" w:eastAsia="Times New Roman" w:hAnsi="Times New Roman" w:cs="Times New Roman"/>
          <w:sz w:val="24"/>
        </w:rPr>
        <w:t xml:space="preserve"> </w:t>
      </w:r>
    </w:p>
    <w:p w:rsidR="00E302EC" w:rsidRDefault="00FC4F28">
      <w:pPr>
        <w:spacing w:after="29" w:line="259" w:lineRule="auto"/>
        <w:ind w:left="284" w:firstLine="0"/>
        <w:jc w:val="left"/>
      </w:pPr>
      <w:r>
        <w:t xml:space="preserve"> </w:t>
      </w:r>
    </w:p>
    <w:p w:rsidR="00E302EC" w:rsidRDefault="00FC4F28">
      <w:pPr>
        <w:numPr>
          <w:ilvl w:val="1"/>
          <w:numId w:val="31"/>
        </w:numPr>
        <w:ind w:right="184" w:hanging="360"/>
      </w:pPr>
      <w:r>
        <w:t xml:space="preserve">Subprograma 924.00 de </w:t>
      </w:r>
      <w:r>
        <w:rPr>
          <w:i/>
        </w:rPr>
        <w:t>Participación Ciudadana</w:t>
      </w:r>
      <w:r>
        <w:t>. Cae un 5,7 % respecto el año anterior, por la ejecución nula en gastos en bienes corrientes y de servicios. El gasto de personal, casi representó el 100 % total. Representan un 0,3 %, una décima más que e</w:t>
      </w:r>
      <w:r>
        <w:t>n el 2020.</w:t>
      </w:r>
      <w:r>
        <w:rPr>
          <w:rFonts w:ascii="Times New Roman" w:eastAsia="Times New Roman" w:hAnsi="Times New Roman" w:cs="Times New Roman"/>
          <w:sz w:val="24"/>
        </w:rPr>
        <w:t xml:space="preserve"> </w:t>
      </w:r>
    </w:p>
    <w:p w:rsidR="00E302EC" w:rsidRDefault="00FC4F28">
      <w:pPr>
        <w:spacing w:after="32" w:line="259" w:lineRule="auto"/>
        <w:ind w:left="284" w:firstLine="0"/>
        <w:jc w:val="left"/>
      </w:pPr>
      <w:r>
        <w:t xml:space="preserve"> </w:t>
      </w:r>
    </w:p>
    <w:p w:rsidR="00E302EC" w:rsidRDefault="00FC4F28">
      <w:pPr>
        <w:numPr>
          <w:ilvl w:val="1"/>
          <w:numId w:val="31"/>
        </w:numPr>
        <w:ind w:right="184" w:hanging="360"/>
      </w:pPr>
      <w:r>
        <w:t xml:space="preserve">Subprograma 925.00 de </w:t>
      </w:r>
      <w:r>
        <w:rPr>
          <w:i/>
        </w:rPr>
        <w:t>Atención al Ciudadano</w:t>
      </w:r>
      <w:r>
        <w:t>, que recoge únicamente gastos de personal adscritos al Servicio de Atención al Ciudadano, cae el 8 %. Representan un 0,5 % respecto del gasto total, igual que en el año anterior.</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654" w:right="184"/>
      </w:pPr>
      <w:r>
        <w:t>En el presente</w:t>
      </w:r>
      <w:r>
        <w:t xml:space="preserve"> cuadro, se pone de manifiesto la evolución de esta Área de Actuaciones de carácter general: </w:t>
      </w:r>
    </w:p>
    <w:p w:rsidR="00E302EC" w:rsidRDefault="00FC4F28">
      <w:pPr>
        <w:spacing w:after="0" w:line="259" w:lineRule="auto"/>
        <w:ind w:left="644" w:firstLine="0"/>
        <w:jc w:val="left"/>
      </w:pPr>
      <w:r>
        <w:t xml:space="preserve"> </w:t>
      </w:r>
    </w:p>
    <w:p w:rsidR="00E302EC" w:rsidRDefault="00FC4F28">
      <w:pPr>
        <w:spacing w:after="0" w:line="259" w:lineRule="auto"/>
        <w:ind w:left="149" w:firstLine="0"/>
        <w:jc w:val="center"/>
      </w:pPr>
      <w:r>
        <w:rPr>
          <w:b/>
        </w:rPr>
        <w:t xml:space="preserve"> </w:t>
      </w:r>
    </w:p>
    <w:tbl>
      <w:tblPr>
        <w:tblStyle w:val="TableGrid"/>
        <w:tblW w:w="7977" w:type="dxa"/>
        <w:tblInd w:w="776" w:type="dxa"/>
        <w:tblCellMar>
          <w:top w:w="9" w:type="dxa"/>
          <w:left w:w="67" w:type="dxa"/>
          <w:bottom w:w="0" w:type="dxa"/>
          <w:right w:w="12" w:type="dxa"/>
        </w:tblCellMar>
        <w:tblLook w:val="04A0" w:firstRow="1" w:lastRow="0" w:firstColumn="1" w:lastColumn="0" w:noHBand="0" w:noVBand="1"/>
      </w:tblPr>
      <w:tblGrid>
        <w:gridCol w:w="907"/>
        <w:gridCol w:w="2405"/>
        <w:gridCol w:w="1366"/>
        <w:gridCol w:w="1772"/>
        <w:gridCol w:w="1527"/>
      </w:tblGrid>
      <w:tr w:rsidR="00E302EC">
        <w:trPr>
          <w:trHeight w:val="768"/>
        </w:trPr>
        <w:tc>
          <w:tcPr>
            <w:tcW w:w="90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AÑO  </w:t>
            </w:r>
          </w:p>
          <w:p w:rsidR="00E302EC" w:rsidRDefault="00FC4F28">
            <w:pPr>
              <w:spacing w:after="0" w:line="259" w:lineRule="auto"/>
              <w:ind w:left="2" w:firstLine="0"/>
              <w:jc w:val="left"/>
            </w:pPr>
            <w:r>
              <w:t xml:space="preserve"> </w:t>
            </w:r>
          </w:p>
        </w:tc>
        <w:tc>
          <w:tcPr>
            <w:tcW w:w="240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PREVISIONES DEL ÁREA DE GASTO  9 </w:t>
            </w:r>
          </w:p>
        </w:tc>
        <w:tc>
          <w:tcPr>
            <w:tcW w:w="13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p w:rsidR="00E302EC" w:rsidRDefault="00FC4F28">
            <w:pPr>
              <w:spacing w:after="0" w:line="259" w:lineRule="auto"/>
              <w:ind w:left="2" w:firstLine="0"/>
              <w:jc w:val="left"/>
            </w:pPr>
            <w:r>
              <w:t>CRECIMIE</w:t>
            </w:r>
          </w:p>
          <w:p w:rsidR="00E302EC" w:rsidRDefault="00FC4F28">
            <w:pPr>
              <w:spacing w:after="0" w:line="259" w:lineRule="auto"/>
              <w:ind w:left="2" w:firstLine="0"/>
              <w:jc w:val="left"/>
            </w:pPr>
            <w:r>
              <w:t xml:space="preserve">NTO </w:t>
            </w:r>
          </w:p>
        </w:tc>
        <w:tc>
          <w:tcPr>
            <w:tcW w:w="17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EJECUCIÓN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  </w:t>
            </w:r>
          </w:p>
          <w:p w:rsidR="00E302EC" w:rsidRDefault="00FC4F28">
            <w:pPr>
              <w:spacing w:after="0" w:line="259" w:lineRule="auto"/>
              <w:ind w:left="2" w:firstLine="0"/>
            </w:pPr>
            <w:r>
              <w:t>CRECIMIENT</w:t>
            </w:r>
          </w:p>
          <w:p w:rsidR="00E302EC" w:rsidRDefault="00FC4F28">
            <w:pPr>
              <w:spacing w:after="0" w:line="259" w:lineRule="auto"/>
              <w:ind w:left="2" w:firstLine="0"/>
              <w:jc w:val="left"/>
            </w:pPr>
            <w:r>
              <w:t xml:space="preserve">O </w:t>
            </w:r>
          </w:p>
        </w:tc>
      </w:tr>
      <w:tr w:rsidR="00E302EC">
        <w:trPr>
          <w:trHeight w:val="264"/>
        </w:trPr>
        <w:tc>
          <w:tcPr>
            <w:tcW w:w="90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2021 </w:t>
            </w:r>
          </w:p>
        </w:tc>
        <w:tc>
          <w:tcPr>
            <w:tcW w:w="240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4.880.911,52 </w:t>
            </w:r>
          </w:p>
        </w:tc>
        <w:tc>
          <w:tcPr>
            <w:tcW w:w="13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12 </w:t>
            </w:r>
          </w:p>
        </w:tc>
        <w:tc>
          <w:tcPr>
            <w:tcW w:w="17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4.159.562,01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2,25 </w:t>
            </w:r>
          </w:p>
        </w:tc>
      </w:tr>
      <w:tr w:rsidR="00E302EC">
        <w:trPr>
          <w:trHeight w:val="262"/>
        </w:trPr>
        <w:tc>
          <w:tcPr>
            <w:tcW w:w="90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2020 </w:t>
            </w:r>
          </w:p>
        </w:tc>
        <w:tc>
          <w:tcPr>
            <w:tcW w:w="240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4.351.451,97 </w:t>
            </w:r>
          </w:p>
        </w:tc>
        <w:tc>
          <w:tcPr>
            <w:tcW w:w="13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w:t>
            </w:r>
            <w:r>
              <w:t xml:space="preserve">3,7 </w:t>
            </w:r>
          </w:p>
        </w:tc>
        <w:tc>
          <w:tcPr>
            <w:tcW w:w="17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4.067.861,76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3,2 </w:t>
            </w:r>
          </w:p>
        </w:tc>
      </w:tr>
      <w:tr w:rsidR="00E302EC">
        <w:trPr>
          <w:trHeight w:val="264"/>
        </w:trPr>
        <w:tc>
          <w:tcPr>
            <w:tcW w:w="90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2019 </w:t>
            </w:r>
          </w:p>
        </w:tc>
        <w:tc>
          <w:tcPr>
            <w:tcW w:w="240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4.517.704,51 </w:t>
            </w:r>
          </w:p>
        </w:tc>
        <w:tc>
          <w:tcPr>
            <w:tcW w:w="13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1,8 </w:t>
            </w:r>
          </w:p>
        </w:tc>
        <w:tc>
          <w:tcPr>
            <w:tcW w:w="17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3.939.900,33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3,2 </w:t>
            </w:r>
          </w:p>
        </w:tc>
      </w:tr>
      <w:tr w:rsidR="00E302EC">
        <w:trPr>
          <w:trHeight w:val="264"/>
        </w:trPr>
        <w:tc>
          <w:tcPr>
            <w:tcW w:w="90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2018 </w:t>
            </w:r>
          </w:p>
        </w:tc>
        <w:tc>
          <w:tcPr>
            <w:tcW w:w="2405"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4.436.704,61 </w:t>
            </w:r>
          </w:p>
        </w:tc>
        <w:tc>
          <w:tcPr>
            <w:tcW w:w="1366"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 </w:t>
            </w:r>
          </w:p>
        </w:tc>
        <w:tc>
          <w:tcPr>
            <w:tcW w:w="1772"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3.819.369,68 </w:t>
            </w:r>
          </w:p>
        </w:tc>
        <w:tc>
          <w:tcPr>
            <w:tcW w:w="152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2" w:firstLine="0"/>
              <w:jc w:val="left"/>
            </w:pPr>
            <w:r>
              <w:t xml:space="preserve">-0,5 </w:t>
            </w:r>
          </w:p>
        </w:tc>
      </w:tr>
    </w:tbl>
    <w:p w:rsidR="00E302EC" w:rsidRDefault="00FC4F28">
      <w:pPr>
        <w:spacing w:after="0" w:line="259" w:lineRule="auto"/>
        <w:ind w:left="149" w:firstLine="0"/>
        <w:jc w:val="center"/>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3010" name="Group 25301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3422" name="Rectangle 1342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3423" name="Rectangle 1342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3010" style="width:12.7031pt;height:273.276pt;position:absolute;mso-position-horizontal-relative:page;mso-position-horizontal:absolute;margin-left:682.278pt;mso-position-vertical-relative:page;margin-top:538.644pt;" coordsize="1613,34706">
                <v:rect id="Rectangle 1342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342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159 </w:t>
                        </w:r>
                      </w:p>
                    </w:txbxContent>
                  </v:textbox>
                </v:rect>
                <w10:wrap type="square"/>
              </v:group>
            </w:pict>
          </mc:Fallback>
        </mc:AlternateContent>
      </w:r>
      <w:r>
        <w:t xml:space="preserve"> </w:t>
      </w:r>
    </w:p>
    <w:p w:rsidR="00E302EC" w:rsidRDefault="00FC4F28">
      <w:pPr>
        <w:spacing w:after="0" w:line="259" w:lineRule="auto"/>
        <w:ind w:left="284" w:firstLine="0"/>
        <w:jc w:val="left"/>
      </w:pPr>
      <w:r>
        <w:rPr>
          <w:b/>
        </w:rPr>
        <w:t xml:space="preserve"> </w:t>
      </w:r>
    </w:p>
    <w:p w:rsidR="00E302EC" w:rsidRDefault="00FC4F28">
      <w:pPr>
        <w:ind w:left="269" w:right="184" w:firstLine="360"/>
      </w:pPr>
      <w:r>
        <w:t xml:space="preserve"> Con la información obtenida de la Liquidación del Presupuesto del ejercicio 2021, se obtienen los siguientes indicadores financieros y patrimoniales y presup</w:t>
      </w:r>
      <w:r>
        <w:t>uestarios, que completa el contenido informativo de las magnitudes presupuestarias citadas en el presente informe y que son de indudable utilidad para valorar la actividad realizada por el Ayuntamiento de Candelaria y un conocimiento de su situación económ</w:t>
      </w:r>
      <w:r>
        <w:t>ica financiera. No obstante, se han introducido cambios en el cálculo de algunos de los indicadores financieros y patrimoniales, en la Instrucción de Contabilidad:</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rPr>
          <w:b/>
          <w:i/>
        </w:rPr>
        <w:t xml:space="preserve"> </w:t>
      </w:r>
    </w:p>
    <w:p w:rsidR="00E302EC" w:rsidRDefault="00FC4F28">
      <w:pPr>
        <w:spacing w:after="0" w:line="259" w:lineRule="auto"/>
        <w:ind w:left="644" w:firstLine="0"/>
        <w:jc w:val="left"/>
      </w:pPr>
      <w:r>
        <w:rPr>
          <w:b/>
          <w:i/>
        </w:rPr>
        <w:t xml:space="preserve"> </w:t>
      </w:r>
    </w:p>
    <w:p w:rsidR="00E302EC" w:rsidRDefault="00FC4F28">
      <w:pPr>
        <w:pStyle w:val="Ttulo2"/>
        <w:pBdr>
          <w:top w:val="none" w:sz="0" w:space="0" w:color="auto"/>
          <w:left w:val="none" w:sz="0" w:space="0" w:color="auto"/>
          <w:bottom w:val="none" w:sz="0" w:space="0" w:color="auto"/>
          <w:right w:val="none" w:sz="0" w:space="0" w:color="auto"/>
        </w:pBdr>
        <w:ind w:left="654"/>
      </w:pPr>
      <w:r>
        <w:rPr>
          <w:i/>
          <w:u w:val="single" w:color="000000"/>
        </w:rPr>
        <w:t>Indicadores Financieros y Patrimoniales</w:t>
      </w:r>
      <w:r>
        <w:rPr>
          <w:i/>
        </w:rPr>
        <w:t xml:space="preserve">  </w:t>
      </w:r>
    </w:p>
    <w:p w:rsidR="00E302EC" w:rsidRDefault="00FC4F28">
      <w:pPr>
        <w:spacing w:after="0" w:line="259" w:lineRule="auto"/>
        <w:ind w:left="644" w:firstLine="0"/>
        <w:jc w:val="left"/>
      </w:pPr>
      <w:r>
        <w:rPr>
          <w:b/>
          <w:i/>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 xml:space="preserve">1.- </w:t>
      </w:r>
      <w:r>
        <w:rPr>
          <w:i/>
        </w:rPr>
        <w:t>Liquidez Inmediata</w:t>
      </w:r>
      <w:r>
        <w:t xml:space="preserve"> =   </w:t>
      </w:r>
      <w:r>
        <w:rPr>
          <w:u w:val="single" w:color="000000"/>
        </w:rPr>
        <w:t xml:space="preserve">Fondos Líquidos            </w:t>
      </w:r>
      <w:r>
        <w:t xml:space="preserve">       = </w:t>
      </w:r>
      <w:r>
        <w:rPr>
          <w:u w:val="single" w:color="000000"/>
        </w:rPr>
        <w:t>25.414.379,05</w:t>
      </w:r>
      <w:r>
        <w:t xml:space="preserve"> = 632 %</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3228"/>
          <w:tab w:val="center" w:pos="4532"/>
          <w:tab w:val="center" w:pos="5945"/>
        </w:tabs>
        <w:ind w:left="0" w:firstLine="0"/>
        <w:jc w:val="left"/>
      </w:pPr>
      <w:r>
        <w:rPr>
          <w:rFonts w:ascii="Calibri" w:eastAsia="Calibri" w:hAnsi="Calibri" w:cs="Calibri"/>
        </w:rPr>
        <w:tab/>
      </w:r>
      <w:r>
        <w:t xml:space="preserve"> </w:t>
      </w:r>
      <w:r>
        <w:tab/>
        <w:t xml:space="preserve"> </w:t>
      </w:r>
      <w:r>
        <w:tab/>
        <w:t xml:space="preserve"> </w:t>
      </w:r>
      <w:r>
        <w:tab/>
        <w:t xml:space="preserve"> Pasivo corriente  </w:t>
      </w:r>
      <w:r>
        <w:tab/>
        <w:t xml:space="preserve"> </w:t>
      </w:r>
      <w:r>
        <w:tab/>
        <w:t xml:space="preserve">  4.024.063,05         </w:t>
      </w:r>
    </w:p>
    <w:p w:rsidR="00E302EC" w:rsidRDefault="00FC4F28">
      <w:pPr>
        <w:spacing w:after="0" w:line="259" w:lineRule="auto"/>
        <w:ind w:left="644" w:firstLine="0"/>
        <w:jc w:val="left"/>
      </w:pPr>
      <w:r>
        <w:t xml:space="preserve"> </w:t>
      </w:r>
    </w:p>
    <w:p w:rsidR="00E302EC" w:rsidRDefault="00FC4F28">
      <w:pPr>
        <w:ind w:left="269" w:right="184" w:firstLine="360"/>
      </w:pPr>
      <w:r>
        <w:t xml:space="preserve"> Es un indicador que nos refleja que los fondos </w:t>
      </w:r>
      <w:r>
        <w:t xml:space="preserve">líquidos existentes en la tesorería municipal, dan cobertura a los gastos pendientes de pago a acreedores, presupuestarios o no y a las administraciones públicas.  </w:t>
      </w:r>
    </w:p>
    <w:p w:rsidR="00E302EC" w:rsidRDefault="00FC4F28">
      <w:pPr>
        <w:spacing w:after="0" w:line="259" w:lineRule="auto"/>
        <w:ind w:left="644" w:firstLine="0"/>
        <w:jc w:val="left"/>
      </w:pPr>
      <w:r>
        <w:t xml:space="preserve"> </w:t>
      </w:r>
    </w:p>
    <w:p w:rsidR="00E302EC" w:rsidRDefault="00FC4F28">
      <w:pPr>
        <w:ind w:left="269" w:right="184" w:firstLine="360"/>
      </w:pPr>
      <w:r>
        <w:t xml:space="preserve"> Además, este indicador nos refleja la cobertura de las obligaciones pendientes de pago d</w:t>
      </w:r>
      <w:r>
        <w:t xml:space="preserve">e años anteriores y de las obligaciones de pago que van a realizarse en el ejercicio siguiente, tal como se pone de manifiesto en la magnitud del remanente de tesorería para gastos generales. Cae en 54 puntos porcentuales.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 xml:space="preserve">2.- </w:t>
      </w:r>
      <w:r>
        <w:rPr>
          <w:i/>
        </w:rPr>
        <w:t>Liquidez a C/ P</w:t>
      </w:r>
      <w:r>
        <w:t xml:space="preserve"> = </w:t>
      </w:r>
      <w:r>
        <w:rPr>
          <w:u w:val="single" w:color="000000"/>
        </w:rPr>
        <w:t>Fondos</w:t>
      </w:r>
      <w:r>
        <w:rPr>
          <w:u w:val="single" w:color="000000"/>
        </w:rPr>
        <w:t xml:space="preserve"> Líquidos + Derechos Pendientes de Cobro</w:t>
      </w:r>
      <w:r>
        <w:t xml:space="preserve">= </w:t>
      </w:r>
      <w:r>
        <w:rPr>
          <w:u w:val="single" w:color="000000"/>
        </w:rPr>
        <w:t>36.620.048,41</w:t>
      </w:r>
      <w:r>
        <w:t xml:space="preserve"> = 910 %</w:t>
      </w:r>
      <w:r>
        <w:rPr>
          <w:rFonts w:ascii="Times New Roman" w:eastAsia="Times New Roman" w:hAnsi="Times New Roman" w:cs="Times New Roman"/>
          <w:sz w:val="24"/>
        </w:rPr>
        <w:t xml:space="preserve"> </w:t>
      </w:r>
    </w:p>
    <w:p w:rsidR="00E302EC" w:rsidRDefault="00FC4F28">
      <w:pPr>
        <w:ind w:left="279" w:right="184"/>
      </w:pPr>
      <w:r>
        <w:t xml:space="preserve">                                                                  Pasivo Corriente                           4.024.063,05 </w:t>
      </w:r>
    </w:p>
    <w:p w:rsidR="00E302EC" w:rsidRDefault="00FC4F28">
      <w:pPr>
        <w:spacing w:after="0" w:line="259" w:lineRule="auto"/>
        <w:ind w:left="644" w:firstLine="0"/>
        <w:jc w:val="left"/>
      </w:pPr>
      <w:r>
        <w:t xml:space="preserve"> </w:t>
      </w:r>
      <w:r>
        <w:tab/>
        <w:t xml:space="preserve"> </w:t>
      </w:r>
    </w:p>
    <w:p w:rsidR="00E302EC" w:rsidRDefault="00FC4F28">
      <w:pPr>
        <w:ind w:left="269" w:right="184" w:firstLine="360"/>
      </w:pPr>
      <w:r>
        <w:t xml:space="preserve"> El planteamiento manifestado en el indicador anterior es plenam</w:t>
      </w:r>
      <w:r>
        <w:t xml:space="preserve">ente válido para este indicador. Cae en 143 puntos porcentuales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48" w:lineRule="auto"/>
        <w:ind w:left="279" w:right="2650"/>
      </w:pPr>
      <w:r>
        <w:t>3.-</w:t>
      </w:r>
      <w:r>
        <w:rPr>
          <w:i/>
        </w:rPr>
        <w:t xml:space="preserve"> Liquidez General = </w:t>
      </w:r>
      <w:r>
        <w:rPr>
          <w:u w:val="single" w:color="000000"/>
        </w:rPr>
        <w:t xml:space="preserve">Activo Corriente </w:t>
      </w:r>
      <w:r>
        <w:t xml:space="preserve">= </w:t>
      </w:r>
      <w:r>
        <w:rPr>
          <w:u w:val="single" w:color="000000"/>
        </w:rPr>
        <w:t>27.301.208,70</w:t>
      </w:r>
      <w:r>
        <w:t xml:space="preserve"> = 678 %.</w:t>
      </w:r>
      <w:r>
        <w:rPr>
          <w:rFonts w:ascii="Times New Roman" w:eastAsia="Times New Roman" w:hAnsi="Times New Roman" w:cs="Times New Roman"/>
          <w:sz w:val="24"/>
        </w:rPr>
        <w:t xml:space="preserve"> </w:t>
      </w:r>
      <w:r>
        <w:t xml:space="preserve"> </w:t>
      </w:r>
      <w:r>
        <w:tab/>
        <w:t xml:space="preserve"> </w:t>
      </w:r>
      <w:r>
        <w:tab/>
        <w:t xml:space="preserve">         Pasivo Corriente</w:t>
      </w:r>
      <w:r>
        <w:rPr>
          <w:i/>
        </w:rPr>
        <w:t xml:space="preserve">      4.024.063,05</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279" w:right="184"/>
      </w:pPr>
      <w:r>
        <w:t xml:space="preserve"> Es el principal medidor de liquidez y muestra la proporción de deudas </w:t>
      </w:r>
      <w:r>
        <w:t xml:space="preserve">a corto plazo, que son cubiertas por elementos del activo. Lo normal es que el valor del ratio, sea mayor que 1, es decir, que el activo corriente o circulante sea mayor que el pasivo corriente o circulante y normalmente el activo transformado en liquidez </w:t>
      </w:r>
      <w:r>
        <w:t>será suficiente pago de las deudas que venzan a corto plazo.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w:t>
      </w:r>
      <w:r>
        <w:t xml:space="preserve">Si es menor que 1, el Activo Circulante es menor que el Pasivo Circulante y puede haber problemas para pagar las deudas exigibles a corto plazo y cuanto menor sea, significa un mayor valor del endeudamiento a corto plazo.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3147" name="Group 23314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3611" name="Rectangle 1361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3612" name="Rectangle 1361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3147" style="width:12.7031pt;height:273.276pt;position:absolute;mso-position-horizontal-relative:page;mso-position-horizontal:absolute;margin-left:682.278pt;mso-position-vertical-relative:page;margin-top:538.644pt;" coordsize="1613,34706">
                <v:rect id="Rectangle 1361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361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159 </w:t>
                        </w:r>
                      </w:p>
                    </w:txbxContent>
                  </v:textbox>
                </v:rect>
                <w10:wrap type="square"/>
              </v:group>
            </w:pict>
          </mc:Fallback>
        </mc:AlternateContent>
      </w:r>
      <w:r>
        <w:t xml:space="preserve"> Si el valor es demasiado alto, puede significar un exceso de </w:t>
      </w:r>
      <w:r>
        <w:t>capital inaplicado y, por tanto, menor rentabilidad total, aunque la capacidad de pago sea elevada.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Al ser superior a uno, en correlación con el ratio anterior, que observamos que existe capacidad de pago del Ayuntamiento para hacer frente a las deudas</w:t>
      </w:r>
      <w:r>
        <w:t xml:space="preserve"> a corto plazo, poniendo de manifiesto inexistencia de problemas de liquidez. Cae en 64 puntos porcentuales</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rPr>
          <w:i/>
        </w:rPr>
        <w:t xml:space="preserve"> </w:t>
      </w:r>
    </w:p>
    <w:p w:rsidR="00E302EC" w:rsidRDefault="00FC4F28">
      <w:pPr>
        <w:spacing w:after="0" w:line="259" w:lineRule="auto"/>
        <w:ind w:left="279" w:right="213"/>
        <w:jc w:val="left"/>
      </w:pPr>
      <w:r>
        <w:rPr>
          <w:i/>
        </w:rPr>
        <w:t xml:space="preserve">4.- Endeudamiento = </w:t>
      </w:r>
      <w:r>
        <w:rPr>
          <w:u w:val="single" w:color="000000"/>
        </w:rPr>
        <w:t>Pasivo Corriente + Pasivo no Corriente</w:t>
      </w:r>
      <w:r>
        <w:t>=</w:t>
      </w:r>
      <w:r>
        <w:rPr>
          <w:u w:val="single" w:color="000000"/>
        </w:rPr>
        <w:t xml:space="preserve"> 4.800.945,76</w:t>
      </w:r>
      <w:r>
        <w:t xml:space="preserve"> =160,06 €/Hab.</w:t>
      </w:r>
      <w:r>
        <w:rPr>
          <w:rFonts w:ascii="Times New Roman" w:eastAsia="Times New Roman" w:hAnsi="Times New Roman" w:cs="Times New Roman"/>
          <w:sz w:val="24"/>
        </w:rPr>
        <w:t xml:space="preserve"> </w:t>
      </w:r>
    </w:p>
    <w:p w:rsidR="00E302EC" w:rsidRDefault="00FC4F28">
      <w:pPr>
        <w:tabs>
          <w:tab w:val="center" w:pos="284"/>
          <w:tab w:val="center" w:pos="1653"/>
          <w:tab w:val="center" w:pos="5077"/>
        </w:tabs>
        <w:ind w:left="0" w:firstLine="0"/>
        <w:jc w:val="left"/>
      </w:pPr>
      <w:r>
        <w:rPr>
          <w:rFonts w:ascii="Calibri" w:eastAsia="Calibri" w:hAnsi="Calibri" w:cs="Calibri"/>
        </w:rPr>
        <w:tab/>
      </w:r>
      <w:r>
        <w:t xml:space="preserve"> </w:t>
      </w:r>
      <w:r>
        <w:tab/>
      </w:r>
      <w:r>
        <w:rPr>
          <w:i/>
        </w:rPr>
        <w:t xml:space="preserve">por Habitante </w:t>
      </w:r>
      <w:r>
        <w:t xml:space="preserve">  </w:t>
      </w:r>
      <w:r>
        <w:tab/>
        <w:t xml:space="preserve">Nº Habitantes                     </w:t>
      </w:r>
      <w:r>
        <w:t xml:space="preserve">          29.994</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i/>
        </w:rPr>
        <w:t xml:space="preserve"> </w:t>
      </w:r>
    </w:p>
    <w:p w:rsidR="00E302EC" w:rsidRDefault="00FC4F28">
      <w:pPr>
        <w:spacing w:after="0" w:line="259" w:lineRule="auto"/>
        <w:ind w:left="992" w:firstLine="0"/>
        <w:jc w:val="left"/>
      </w:pPr>
      <w:r>
        <w:t xml:space="preserve"> </w:t>
      </w:r>
    </w:p>
    <w:p w:rsidR="00E302EC" w:rsidRDefault="00FC4F28">
      <w:pPr>
        <w:ind w:left="269" w:right="184" w:firstLine="708"/>
      </w:pPr>
      <w:r>
        <w:t xml:space="preserve">Este ratio, que es obtenido por el cociente entre el Pasivo Exigible, corriente y no corriente, que refleja tanto las deudas a largo plazo como a corto plazo, del Balance de Situación, en función del número de habitantes, sube en 40 Euros por habitante.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5.-</w:t>
      </w:r>
      <w:r>
        <w:rPr>
          <w:i/>
        </w:rPr>
        <w:t xml:space="preserve"> Endeudamiento </w:t>
      </w:r>
      <w:r>
        <w:t>=</w:t>
      </w:r>
      <w:r>
        <w:rPr>
          <w:u w:val="single" w:color="000000"/>
        </w:rPr>
        <w:t xml:space="preserve">Pasivo Corriente + Pasivo no Corriente                           </w:t>
      </w:r>
      <w:r>
        <w:t xml:space="preserve">=   </w:t>
      </w:r>
      <w:r>
        <w:rPr>
          <w:u w:val="single" w:color="000000"/>
        </w:rPr>
        <w:t>4.815.468,26</w:t>
      </w:r>
      <w:r>
        <w:t>=   4 %.</w:t>
      </w:r>
      <w:r>
        <w:rPr>
          <w:rFonts w:ascii="Times New Roman" w:eastAsia="Times New Roman" w:hAnsi="Times New Roman" w:cs="Times New Roman"/>
          <w:sz w:val="24"/>
        </w:rPr>
        <w:t xml:space="preserve"> </w:t>
      </w:r>
    </w:p>
    <w:p w:rsidR="00E302EC" w:rsidRDefault="00FC4F28">
      <w:pPr>
        <w:tabs>
          <w:tab w:val="center" w:pos="284"/>
          <w:tab w:val="center" w:pos="992"/>
          <w:tab w:val="center" w:pos="5468"/>
        </w:tabs>
        <w:ind w:left="0" w:firstLine="0"/>
        <w:jc w:val="left"/>
      </w:pPr>
      <w:r>
        <w:rPr>
          <w:rFonts w:ascii="Calibri" w:eastAsia="Calibri" w:hAnsi="Calibri" w:cs="Calibri"/>
        </w:rPr>
        <w:tab/>
      </w:r>
      <w:r>
        <w:t xml:space="preserve"> </w:t>
      </w:r>
      <w:r>
        <w:tab/>
        <w:t xml:space="preserve"> </w:t>
      </w:r>
      <w:r>
        <w:tab/>
        <w:t xml:space="preserve">   Pasivo Corriente + Pasivo no Corriente +Patrimonio Neto    109.951.737,59 </w:t>
      </w:r>
    </w:p>
    <w:p w:rsidR="00E302EC" w:rsidRDefault="00FC4F28">
      <w:pPr>
        <w:spacing w:after="0" w:line="259" w:lineRule="auto"/>
        <w:ind w:left="644" w:firstLine="0"/>
        <w:jc w:val="left"/>
      </w:pPr>
      <w:r>
        <w:t xml:space="preserve"> </w:t>
      </w:r>
    </w:p>
    <w:p w:rsidR="00E302EC" w:rsidRDefault="00FC4F28">
      <w:pPr>
        <w:ind w:left="279" w:right="184"/>
      </w:pPr>
      <w:r>
        <w:t xml:space="preserve"> Mide el nivel global de endeudamiento o proporción del pa</w:t>
      </w:r>
      <w:r>
        <w:t xml:space="preserve">sivo exigible a corto y largo plazo en relación al pasivo total, que incluye tanto el pasivo como el patrimonio del Ayuntamiento. Se refleja un nivel bajo de endeudamiento. Se mantiene igual.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6.- Relación de Endeudamiento= </w:t>
      </w:r>
      <w:r>
        <w:rPr>
          <w:u w:val="single" w:color="000000"/>
        </w:rPr>
        <w:t xml:space="preserve">Pasivo Corriente </w:t>
      </w:r>
      <w:r>
        <w:t xml:space="preserve">=     </w:t>
      </w:r>
      <w:r>
        <w:rPr>
          <w:u w:val="single" w:color="000000"/>
        </w:rPr>
        <w:t>4.0</w:t>
      </w:r>
      <w:r>
        <w:rPr>
          <w:u w:val="single" w:color="000000"/>
        </w:rPr>
        <w:t xml:space="preserve">24.063,05 </w:t>
      </w:r>
      <w:r>
        <w:t>=  518 %</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4568"/>
        </w:tabs>
        <w:ind w:left="0" w:firstLine="0"/>
        <w:jc w:val="left"/>
      </w:pPr>
      <w:r>
        <w:rPr>
          <w:rFonts w:ascii="Calibri" w:eastAsia="Calibri" w:hAnsi="Calibri" w:cs="Calibri"/>
        </w:rPr>
        <w:tab/>
      </w:r>
      <w:r>
        <w:rPr>
          <w:b/>
          <w:i/>
        </w:rPr>
        <w:t xml:space="preserve"> </w:t>
      </w:r>
      <w:r>
        <w:rPr>
          <w:b/>
          <w:i/>
        </w:rPr>
        <w:tab/>
        <w:t xml:space="preserve"> </w:t>
      </w:r>
      <w:r>
        <w:rPr>
          <w:b/>
          <w:i/>
        </w:rPr>
        <w:tab/>
        <w:t xml:space="preserve"> </w:t>
      </w:r>
      <w:r>
        <w:rPr>
          <w:b/>
          <w:i/>
        </w:rPr>
        <w:tab/>
        <w:t xml:space="preserve">           </w:t>
      </w:r>
      <w:r>
        <w:t>Pasivo no Corriente</w:t>
      </w:r>
      <w:r>
        <w:rPr>
          <w:i/>
        </w:rPr>
        <w:t xml:space="preserve">          </w:t>
      </w:r>
      <w:r>
        <w:t>776.882,71</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rPr>
          <w:b/>
          <w:i/>
        </w:rPr>
        <w:t xml:space="preserve"> </w:t>
      </w:r>
    </w:p>
    <w:p w:rsidR="00E302EC" w:rsidRDefault="00FC4F28">
      <w:pPr>
        <w:ind w:left="269" w:right="184" w:firstLine="360"/>
      </w:pPr>
      <w:r>
        <w:t xml:space="preserve"> Refleja la calidad de la deuda, al expresarse la proporción entre la deuda a corto plazo y largo plazo. Empeora en 105 puntos porcentuales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rPr>
          <w:i/>
        </w:rPr>
        <w:t xml:space="preserve"> </w:t>
      </w:r>
    </w:p>
    <w:p w:rsidR="00E302EC" w:rsidRDefault="00FC4F28">
      <w:pPr>
        <w:spacing w:after="0" w:line="259" w:lineRule="auto"/>
        <w:ind w:left="284" w:firstLine="0"/>
        <w:jc w:val="left"/>
      </w:pPr>
      <w:r>
        <w:rPr>
          <w:i/>
        </w:rPr>
        <w:t xml:space="preserve"> </w:t>
      </w:r>
    </w:p>
    <w:p w:rsidR="00E302EC" w:rsidRDefault="00FC4F28">
      <w:pPr>
        <w:spacing w:after="0" w:line="248" w:lineRule="auto"/>
        <w:ind w:left="279" w:right="274"/>
      </w:pPr>
      <w:r>
        <w:rPr>
          <w:i/>
        </w:rPr>
        <w:t xml:space="preserve">7.- Cash Flow = </w:t>
      </w:r>
      <w:r>
        <w:rPr>
          <w:i/>
          <w:u w:val="single" w:color="000000"/>
        </w:rPr>
        <w:t xml:space="preserve">Pasivo no Corriente  </w:t>
      </w:r>
      <w:r>
        <w:t xml:space="preserve">    +         </w:t>
      </w:r>
      <w:r>
        <w:rPr>
          <w:i/>
          <w:u w:val="single" w:color="000000"/>
        </w:rPr>
        <w:t>Pasivo Corriente</w:t>
      </w:r>
      <w:r>
        <w:t xml:space="preserve">     </w:t>
      </w:r>
      <w:r>
        <w:rPr>
          <w:i/>
        </w:rPr>
        <w:t>=   -1,49 + -7,71 = -9,20</w:t>
      </w:r>
      <w:r>
        <w:rPr>
          <w:rFonts w:ascii="Times New Roman" w:eastAsia="Times New Roman" w:hAnsi="Times New Roman" w:cs="Times New Roman"/>
          <w:sz w:val="24"/>
        </w:rPr>
        <w:t xml:space="preserve"> </w:t>
      </w:r>
      <w:r>
        <w:rPr>
          <w:i/>
        </w:rPr>
        <w:t xml:space="preserve">                           Flujos Netos de gestión*       Flujos Netos de gestión* </w:t>
      </w:r>
    </w:p>
    <w:p w:rsidR="00E302EC" w:rsidRDefault="00FC4F28">
      <w:pPr>
        <w:spacing w:after="0" w:line="259" w:lineRule="auto"/>
        <w:ind w:left="644" w:firstLine="0"/>
        <w:jc w:val="left"/>
      </w:pPr>
      <w:r>
        <w:rPr>
          <w:i/>
        </w:rPr>
        <w:t xml:space="preserve"> </w:t>
      </w:r>
    </w:p>
    <w:p w:rsidR="00E302EC" w:rsidRDefault="00FC4F28">
      <w:pPr>
        <w:spacing w:after="0" w:line="248" w:lineRule="auto"/>
        <w:ind w:left="269" w:right="180" w:firstLine="360"/>
      </w:pPr>
      <w:r>
        <w:rPr>
          <w:i/>
        </w:rPr>
        <w:t>*Flujos Netos de Gestión= Importe de los Flujos netos de efectivo por actividades de ges</w:t>
      </w:r>
      <w:r>
        <w:rPr>
          <w:i/>
        </w:rPr>
        <w:t xml:space="preserve">tión, del Estado de Flujos de Efectivo y viene dado por las diferencias entre determinados capítulos de gastos e ingresos. </w:t>
      </w:r>
    </w:p>
    <w:p w:rsidR="00E302EC" w:rsidRDefault="00FC4F28">
      <w:pPr>
        <w:spacing w:after="0" w:line="259" w:lineRule="auto"/>
        <w:ind w:left="644" w:firstLine="0"/>
        <w:jc w:val="left"/>
      </w:pPr>
      <w:r>
        <w:t xml:space="preserve"> </w:t>
      </w:r>
    </w:p>
    <w:p w:rsidR="00E302EC" w:rsidRDefault="00FC4F28">
      <w:pPr>
        <w:ind w:left="269" w:right="184" w:firstLine="360"/>
      </w:pPr>
      <w:r>
        <w:t xml:space="preserve"> Mide la proporción entre las deudas a corto plazo y largo plazo con la liquidez obtenida en el ejercicio, en determinados capítul</w:t>
      </w:r>
      <w:r>
        <w:t xml:space="preserve">os. Cae casi cinco puntos.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37" w:lineRule="auto"/>
        <w:ind w:left="279" w:right="788"/>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3437" name="Group 23343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3820" name="Rectangle 1382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3821" name="Rectangle 13821"/>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59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3437" style="width:12.7031pt;height:273.276pt;position:absolute;mso-position-horizontal-relative:page;mso-position-horizontal:absolute;margin-left:682.278pt;mso-position-vertical-relative:page;margin-top:538.644pt;" coordsize="1613,34706">
                <v:rect id="Rectangle 1382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3821"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159 </w:t>
                        </w:r>
                      </w:p>
                    </w:txbxContent>
                  </v:textbox>
                </v:rect>
                <w10:wrap type="square"/>
              </v:group>
            </w:pict>
          </mc:Fallback>
        </mc:AlternateContent>
      </w:r>
      <w:r>
        <w:t>8.-</w:t>
      </w:r>
      <w:r>
        <w:rPr>
          <w:i/>
        </w:rPr>
        <w:t>PMP</w:t>
      </w:r>
      <w:r>
        <w:t>=                      Ʃ(</w:t>
      </w:r>
      <w:r>
        <w:rPr>
          <w:i/>
          <w:u w:val="single" w:color="000000"/>
        </w:rPr>
        <w:t>Número días Periodo de Pago*Importe Pagado)</w:t>
      </w:r>
      <w:r>
        <w:t>=</w:t>
      </w:r>
      <w:r>
        <w:rPr>
          <w:u w:val="single" w:color="000000"/>
        </w:rPr>
        <w:t xml:space="preserve">  213.479.264,03</w:t>
      </w:r>
      <w:r>
        <w:t xml:space="preserve"> =23,08 días</w:t>
      </w:r>
      <w:r>
        <w:rPr>
          <w:rFonts w:ascii="Times New Roman" w:eastAsia="Times New Roman" w:hAnsi="Times New Roman" w:cs="Times New Roman"/>
          <w:sz w:val="24"/>
        </w:rPr>
        <w:t xml:space="preserve"> </w:t>
      </w:r>
      <w:r>
        <w:rPr>
          <w:i/>
        </w:rPr>
        <w:t xml:space="preserve">    a Acreedores Comerciales</w:t>
      </w:r>
      <w:r>
        <w:t xml:space="preserve">            </w:t>
      </w:r>
      <w:r>
        <w:rPr>
          <w:i/>
        </w:rPr>
        <w:t xml:space="preserve"> Ʃ Importe de Pago                                  9.251.147,84</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r>
        <w:tab/>
        <w:t xml:space="preserve"> </w:t>
      </w:r>
    </w:p>
    <w:p w:rsidR="00E302EC" w:rsidRDefault="00FC4F28">
      <w:pPr>
        <w:ind w:left="1002" w:right="184"/>
      </w:pPr>
      <w:r>
        <w:t xml:space="preserve">Empeora 2 días.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1" w:line="259" w:lineRule="auto"/>
        <w:ind w:left="279"/>
        <w:jc w:val="left"/>
      </w:pPr>
      <w:r>
        <w:t>9.-</w:t>
      </w:r>
      <w:r>
        <w:rPr>
          <w:i/>
        </w:rPr>
        <w:t>Pdo Medio de Cobro</w:t>
      </w:r>
      <w:r>
        <w:t>=Ʃ(</w:t>
      </w:r>
      <w:r>
        <w:rPr>
          <w:i/>
          <w:u w:val="single" w:color="000000"/>
        </w:rPr>
        <w:t>Número días Periodo de Cobro*Importe Cobro)</w:t>
      </w:r>
      <w:r>
        <w:t>=</w:t>
      </w:r>
      <w:r>
        <w:rPr>
          <w:u w:val="single" w:color="000000"/>
        </w:rPr>
        <w:t xml:space="preserve"> 498.575.332,95 </w:t>
      </w:r>
      <w:r>
        <w:t xml:space="preserve">= </w:t>
      </w:r>
    </w:p>
    <w:p w:rsidR="00E302EC" w:rsidRDefault="00FC4F28">
      <w:pPr>
        <w:tabs>
          <w:tab w:val="center" w:pos="797"/>
          <w:tab w:val="center" w:pos="2408"/>
          <w:tab w:val="center" w:pos="3116"/>
          <w:tab w:val="center" w:pos="3824"/>
          <w:tab w:val="center" w:pos="5670"/>
          <w:tab w:val="center" w:pos="7365"/>
        </w:tabs>
        <w:spacing w:after="12" w:line="248" w:lineRule="auto"/>
        <w:ind w:left="0" w:firstLine="0"/>
        <w:jc w:val="left"/>
      </w:pPr>
      <w:r>
        <w:rPr>
          <w:rFonts w:ascii="Calibri" w:eastAsia="Calibri" w:hAnsi="Calibri" w:cs="Calibri"/>
        </w:rPr>
        <w:tab/>
      </w:r>
      <w:r>
        <w:t>33,37 días</w:t>
      </w:r>
      <w:r>
        <w:rPr>
          <w:i/>
        </w:rPr>
        <w:t xml:space="preserve">        </w:t>
      </w:r>
      <w:r>
        <w:rPr>
          <w:i/>
        </w:rPr>
        <w:tab/>
        <w:t xml:space="preserve"> </w:t>
      </w:r>
      <w:r>
        <w:rPr>
          <w:i/>
        </w:rPr>
        <w:tab/>
        <w:t xml:space="preserve"> </w:t>
      </w:r>
      <w:r>
        <w:rPr>
          <w:i/>
        </w:rPr>
        <w:tab/>
        <w:t xml:space="preserve"> </w:t>
      </w:r>
      <w:r>
        <w:rPr>
          <w:i/>
        </w:rPr>
        <w:tab/>
      </w:r>
      <w:r>
        <w:t xml:space="preserve">     </w:t>
      </w:r>
      <w:r>
        <w:rPr>
          <w:i/>
        </w:rPr>
        <w:t xml:space="preserve"> Ʃ Importe de Cobro </w:t>
      </w:r>
      <w:r>
        <w:rPr>
          <w:i/>
        </w:rPr>
        <w:tab/>
        <w:t xml:space="preserve">                    </w:t>
      </w:r>
    </w:p>
    <w:p w:rsidR="00E302EC" w:rsidRDefault="00FC4F28">
      <w:pPr>
        <w:spacing w:after="11" w:line="248" w:lineRule="auto"/>
        <w:ind w:left="279" w:right="180"/>
      </w:pPr>
      <w:r>
        <w:rPr>
          <w:i/>
        </w:rPr>
        <w:t>14.938.927,66</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rPr>
          <w:b/>
          <w:i/>
        </w:rPr>
        <w:t xml:space="preserve"> </w:t>
      </w:r>
    </w:p>
    <w:p w:rsidR="00E302EC" w:rsidRDefault="00FC4F28">
      <w:pPr>
        <w:ind w:left="654" w:right="184"/>
      </w:pPr>
      <w:r>
        <w:t>Empeora un día.</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rPr>
          <w:b/>
          <w:i/>
        </w:rPr>
        <w:t xml:space="preserve"> </w:t>
      </w:r>
    </w:p>
    <w:p w:rsidR="00E302EC" w:rsidRDefault="00FC4F28">
      <w:pPr>
        <w:spacing w:after="0" w:line="259" w:lineRule="auto"/>
        <w:ind w:left="644" w:firstLine="0"/>
        <w:jc w:val="left"/>
      </w:pPr>
      <w:r>
        <w:rPr>
          <w:i/>
        </w:rPr>
        <w:t xml:space="preserve"> </w:t>
      </w:r>
    </w:p>
    <w:p w:rsidR="00E302EC" w:rsidRDefault="00FC4F28">
      <w:pPr>
        <w:spacing w:after="11" w:line="248" w:lineRule="auto"/>
        <w:ind w:left="654" w:right="180"/>
      </w:pPr>
      <w:r>
        <w:rPr>
          <w:i/>
        </w:rPr>
        <w:t xml:space="preserve">10.- Ratios de la Cuenta del Resultado Económico Patrimonial: </w:t>
      </w:r>
    </w:p>
    <w:p w:rsidR="00E302EC" w:rsidRDefault="00FC4F28">
      <w:pPr>
        <w:spacing w:after="0" w:line="259" w:lineRule="auto"/>
        <w:ind w:left="644" w:firstLine="0"/>
        <w:jc w:val="left"/>
      </w:pPr>
      <w:r>
        <w:rPr>
          <w:i/>
        </w:rPr>
        <w:t xml:space="preserve"> </w:t>
      </w:r>
    </w:p>
    <w:p w:rsidR="00E302EC" w:rsidRDefault="00FC4F28">
      <w:pPr>
        <w:spacing w:after="11" w:line="248" w:lineRule="auto"/>
        <w:ind w:left="654" w:right="180"/>
      </w:pPr>
      <w:r>
        <w:rPr>
          <w:b/>
          <w:i/>
        </w:rPr>
        <w:t xml:space="preserve">1.- </w:t>
      </w:r>
      <w:r>
        <w:rPr>
          <w:b/>
          <w:i/>
        </w:rPr>
        <w:t>Estrutura de Ingresos de Gestión Ordinaria</w:t>
      </w:r>
      <w:r>
        <w:rPr>
          <w:i/>
        </w:rPr>
        <w:t>:</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rPr>
          <w:i/>
        </w:rPr>
        <w:t xml:space="preserve"> </w:t>
      </w:r>
    </w:p>
    <w:p w:rsidR="00E302EC" w:rsidRDefault="00FC4F28">
      <w:pPr>
        <w:numPr>
          <w:ilvl w:val="0"/>
          <w:numId w:val="32"/>
        </w:numPr>
        <w:spacing w:after="0" w:line="248" w:lineRule="auto"/>
        <w:ind w:right="90" w:hanging="686"/>
        <w:jc w:val="left"/>
      </w:pPr>
      <w:r>
        <w:rPr>
          <w:i/>
          <w:u w:val="single" w:color="000000"/>
        </w:rPr>
        <w:t>Ingresos Tributarios</w:t>
      </w:r>
      <w:r>
        <w:rPr>
          <w:i/>
        </w:rPr>
        <w:t xml:space="preserve">          = 50 %.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spacing w:after="0" w:line="259" w:lineRule="auto"/>
        <w:ind w:left="644" w:firstLine="0"/>
        <w:jc w:val="left"/>
      </w:pPr>
      <w:r>
        <w:t xml:space="preserve"> </w:t>
      </w:r>
    </w:p>
    <w:p w:rsidR="00E302EC" w:rsidRDefault="00FC4F28">
      <w:pPr>
        <w:numPr>
          <w:ilvl w:val="0"/>
          <w:numId w:val="32"/>
        </w:numPr>
        <w:spacing w:after="11" w:line="248" w:lineRule="auto"/>
        <w:ind w:right="90" w:hanging="686"/>
        <w:jc w:val="left"/>
      </w:pPr>
      <w:r>
        <w:rPr>
          <w:i/>
          <w:u w:val="single" w:color="000000"/>
        </w:rPr>
        <w:t>Transferencias</w:t>
      </w:r>
      <w:r>
        <w:rPr>
          <w:i/>
        </w:rPr>
        <w:t xml:space="preserve">         =        49 %</w:t>
      </w:r>
      <w:r>
        <w:rPr>
          <w:rFonts w:ascii="Times New Roman" w:eastAsia="Times New Roman" w:hAnsi="Times New Roman" w:cs="Times New Roman"/>
          <w:sz w:val="24"/>
        </w:rPr>
        <w:t xml:space="preserve"> </w:t>
      </w:r>
    </w:p>
    <w:p w:rsidR="00E302EC" w:rsidRDefault="00FC4F28">
      <w:pPr>
        <w:spacing w:after="11" w:line="248" w:lineRule="auto"/>
        <w:ind w:left="279" w:right="180"/>
      </w:pPr>
      <w:r>
        <w:rPr>
          <w:i/>
        </w:rPr>
        <w:t xml:space="preserve">         Ingresos de Gestión Ordinaria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numPr>
          <w:ilvl w:val="0"/>
          <w:numId w:val="32"/>
        </w:numPr>
        <w:spacing w:after="1" w:line="259" w:lineRule="auto"/>
        <w:ind w:right="90" w:hanging="686"/>
        <w:jc w:val="left"/>
      </w:pPr>
      <w:r>
        <w:rPr>
          <w:i/>
          <w:u w:val="single" w:color="000000"/>
        </w:rPr>
        <w:t>Ventas y Prestación de Servicios</w:t>
      </w:r>
      <w:r>
        <w:rPr>
          <w:i/>
        </w:rPr>
        <w:t xml:space="preserve"> </w:t>
      </w:r>
      <w:r>
        <w:rPr>
          <w:i/>
        </w:rPr>
        <w:tab/>
        <w:t xml:space="preserve"> </w:t>
      </w:r>
      <w:r>
        <w:rPr>
          <w:i/>
        </w:rPr>
        <w:t xml:space="preserve">        = 0 %.</w:t>
      </w:r>
      <w:r>
        <w:rPr>
          <w:rFonts w:ascii="Times New Roman" w:eastAsia="Times New Roman" w:hAnsi="Times New Roman" w:cs="Times New Roman"/>
          <w:sz w:val="24"/>
        </w:rPr>
        <w:t xml:space="preserve"> </w:t>
      </w:r>
    </w:p>
    <w:p w:rsidR="00E302EC" w:rsidRDefault="00FC4F28">
      <w:pPr>
        <w:spacing w:after="11" w:line="248" w:lineRule="auto"/>
        <w:ind w:left="279" w:right="180"/>
      </w:pPr>
      <w:r>
        <w:rPr>
          <w:i/>
        </w:rPr>
        <w:t xml:space="preserve">             Ingresos de Gestión Ordinaria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0"/>
          <w:numId w:val="32"/>
        </w:numPr>
        <w:spacing w:after="1" w:line="259" w:lineRule="auto"/>
        <w:ind w:right="90" w:hanging="686"/>
        <w:jc w:val="left"/>
      </w:pPr>
      <w:r>
        <w:rPr>
          <w:i/>
          <w:u w:val="single" w:color="000000"/>
        </w:rPr>
        <w:t>Resto Ingresos (Otros Ingresos de Gestión Ordinarias)</w:t>
      </w:r>
      <w:r>
        <w:rPr>
          <w:i/>
        </w:rPr>
        <w:t xml:space="preserve"> = 1 %.</w:t>
      </w:r>
      <w:r>
        <w:rPr>
          <w:rFonts w:ascii="Times New Roman" w:eastAsia="Times New Roman" w:hAnsi="Times New Roman" w:cs="Times New Roman"/>
          <w:sz w:val="24"/>
        </w:rPr>
        <w:t xml:space="preserve"> </w:t>
      </w:r>
    </w:p>
    <w:p w:rsidR="00E302EC" w:rsidRDefault="00FC4F28">
      <w:pPr>
        <w:spacing w:after="11" w:line="248" w:lineRule="auto"/>
        <w:ind w:left="279" w:right="180"/>
      </w:pPr>
      <w:r>
        <w:rPr>
          <w:i/>
        </w:rPr>
        <w:t xml:space="preserve">            Ingresos de Gestión Ordinaria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11" w:line="248" w:lineRule="auto"/>
        <w:ind w:left="279" w:right="180"/>
      </w:pPr>
      <w:r>
        <w:rPr>
          <w:b/>
          <w:i/>
        </w:rPr>
        <w:t xml:space="preserve">2.- </w:t>
      </w:r>
      <w:r>
        <w:rPr>
          <w:b/>
          <w:i/>
        </w:rPr>
        <w:t>Estrutura de Gastos de Gestión Ordinaria</w:t>
      </w:r>
      <w:r>
        <w:rPr>
          <w:i/>
        </w:rPr>
        <w:t>:</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numPr>
          <w:ilvl w:val="0"/>
          <w:numId w:val="33"/>
        </w:numPr>
        <w:spacing w:after="0" w:line="248" w:lineRule="auto"/>
        <w:ind w:right="3316" w:hanging="686"/>
      </w:pPr>
      <w:r>
        <w:rPr>
          <w:i/>
          <w:u w:val="single" w:color="000000"/>
        </w:rPr>
        <w:t>Gastos de Personal</w:t>
      </w:r>
      <w:r>
        <w:rPr>
          <w:i/>
        </w:rPr>
        <w:t xml:space="preserve">          = 45 %.</w:t>
      </w:r>
      <w:r>
        <w:rPr>
          <w:rFonts w:ascii="Times New Roman" w:eastAsia="Times New Roman" w:hAnsi="Times New Roman" w:cs="Times New Roman"/>
          <w:sz w:val="24"/>
        </w:rPr>
        <w:t xml:space="preserve"> </w:t>
      </w:r>
      <w:r>
        <w:rPr>
          <w:i/>
        </w:rPr>
        <w:t xml:space="preserve">         Gastos de Gestión Ordinaria                </w:t>
      </w:r>
    </w:p>
    <w:p w:rsidR="00E302EC" w:rsidRDefault="00FC4F28">
      <w:pPr>
        <w:spacing w:after="0" w:line="259" w:lineRule="auto"/>
        <w:ind w:left="644" w:firstLine="0"/>
        <w:jc w:val="left"/>
      </w:pPr>
      <w:r>
        <w:rPr>
          <w:i/>
        </w:rPr>
        <w:t xml:space="preserve"> </w:t>
      </w:r>
    </w:p>
    <w:p w:rsidR="00E302EC" w:rsidRDefault="00FC4F28">
      <w:pPr>
        <w:numPr>
          <w:ilvl w:val="0"/>
          <w:numId w:val="33"/>
        </w:numPr>
        <w:spacing w:after="11" w:line="248" w:lineRule="auto"/>
        <w:ind w:right="3316" w:hanging="686"/>
      </w:pPr>
      <w:r>
        <w:rPr>
          <w:i/>
          <w:u w:val="single" w:color="000000"/>
        </w:rPr>
        <w:t>Transferencias</w:t>
      </w:r>
      <w:r>
        <w:rPr>
          <w:i/>
        </w:rPr>
        <w:t xml:space="preserve">         =      12 %.</w:t>
      </w:r>
      <w:r>
        <w:rPr>
          <w:rFonts w:ascii="Times New Roman" w:eastAsia="Times New Roman" w:hAnsi="Times New Roman" w:cs="Times New Roman"/>
          <w:sz w:val="24"/>
        </w:rPr>
        <w:t xml:space="preserve"> </w:t>
      </w:r>
    </w:p>
    <w:p w:rsidR="00E302EC" w:rsidRDefault="00FC4F28">
      <w:pPr>
        <w:spacing w:after="11" w:line="248" w:lineRule="auto"/>
        <w:ind w:left="279" w:right="180"/>
      </w:pPr>
      <w:r>
        <w:rPr>
          <w:i/>
        </w:rPr>
        <w:t xml:space="preserve">         Gastsos de Gestión Ordinaria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numPr>
          <w:ilvl w:val="0"/>
          <w:numId w:val="33"/>
        </w:numPr>
        <w:spacing w:after="0" w:line="248" w:lineRule="auto"/>
        <w:ind w:right="3316" w:hanging="686"/>
      </w:pPr>
      <w:r>
        <w:rPr>
          <w:i/>
          <w:u w:val="single" w:color="000000"/>
        </w:rPr>
        <w:t>Aprovisionamientos</w:t>
      </w:r>
      <w:r>
        <w:rPr>
          <w:i/>
        </w:rPr>
        <w:t xml:space="preserve">          =   0 %.</w:t>
      </w:r>
      <w:r>
        <w:rPr>
          <w:rFonts w:ascii="Times New Roman" w:eastAsia="Times New Roman" w:hAnsi="Times New Roman" w:cs="Times New Roman"/>
          <w:sz w:val="24"/>
        </w:rPr>
        <w:t xml:space="preserve"> </w:t>
      </w:r>
      <w:r>
        <w:rPr>
          <w:i/>
        </w:rPr>
        <w:t xml:space="preserve">         Gastos de Gestión Ordinaria                </w:t>
      </w:r>
    </w:p>
    <w:p w:rsidR="00E302EC" w:rsidRDefault="00FC4F28">
      <w:pPr>
        <w:spacing w:after="0" w:line="259" w:lineRule="auto"/>
        <w:ind w:left="644" w:firstLine="0"/>
        <w:jc w:val="left"/>
      </w:pPr>
      <w:r>
        <w:rPr>
          <w:i/>
        </w:rPr>
        <w:t xml:space="preserve"> </w:t>
      </w:r>
    </w:p>
    <w:p w:rsidR="00E302EC" w:rsidRDefault="00FC4F28">
      <w:pPr>
        <w:numPr>
          <w:ilvl w:val="0"/>
          <w:numId w:val="33"/>
        </w:numPr>
        <w:spacing w:after="0" w:line="248" w:lineRule="auto"/>
        <w:ind w:right="3316" w:hanging="686"/>
      </w:pPr>
      <w:r>
        <w:rPr>
          <w:i/>
          <w:u w:val="single" w:color="000000"/>
        </w:rPr>
        <w:t>Resto Gastos (Otros Gastos de Gestión Ordinarias)</w:t>
      </w:r>
      <w:r>
        <w:rPr>
          <w:i/>
        </w:rPr>
        <w:t xml:space="preserve"> =          42 %.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i/>
        </w:rPr>
        <w:t xml:space="preserve"> </w:t>
      </w:r>
    </w:p>
    <w:p w:rsidR="00E302EC" w:rsidRDefault="00FC4F28">
      <w:pPr>
        <w:spacing w:after="1" w:line="259" w:lineRule="auto"/>
        <w:ind w:left="279"/>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5967" name="Group 23596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4045" name="Rectangle 1404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4046" name="Rectangle 14046"/>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5967" style="width:12.7031pt;height:273.276pt;position:absolute;mso-position-horizontal-relative:page;mso-position-horizontal:absolute;margin-left:682.278pt;mso-position-vertical-relative:page;margin-top:538.644pt;" coordsize="1613,34706">
                <v:rect id="Rectangle 1404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4046"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159 </w:t>
                        </w:r>
                      </w:p>
                    </w:txbxContent>
                  </v:textbox>
                </v:rect>
                <w10:wrap type="square"/>
              </v:group>
            </w:pict>
          </mc:Fallback>
        </mc:AlternateContent>
      </w:r>
      <w:r>
        <w:rPr>
          <w:b/>
          <w:i/>
        </w:rPr>
        <w:t xml:space="preserve">3.- Cobertura de Gastos Corrientes: </w:t>
      </w:r>
      <w:r>
        <w:rPr>
          <w:i/>
          <w:u w:val="single" w:color="000000"/>
        </w:rPr>
        <w:t>Gastos de Gestión Ordinari</w:t>
      </w:r>
      <w:r>
        <w:rPr>
          <w:i/>
          <w:u w:val="single" w:color="000000"/>
        </w:rPr>
        <w:t xml:space="preserve">a  </w:t>
      </w:r>
      <w:r>
        <w:rPr>
          <w:i/>
        </w:rPr>
        <w:t xml:space="preserve">   =   </w:t>
      </w:r>
      <w:r>
        <w:rPr>
          <w:i/>
          <w:u w:val="single" w:color="000000"/>
        </w:rPr>
        <w:t xml:space="preserve">22.583.698,96  </w:t>
      </w:r>
      <w:r>
        <w:rPr>
          <w:i/>
        </w:rPr>
        <w:t xml:space="preserve">  = 78 %</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2408"/>
          <w:tab w:val="center" w:pos="5868"/>
        </w:tabs>
        <w:spacing w:after="11" w:line="248" w:lineRule="auto"/>
        <w:ind w:left="0" w:firstLine="0"/>
        <w:jc w:val="left"/>
      </w:pPr>
      <w:r>
        <w:rPr>
          <w:rFonts w:ascii="Calibri" w:eastAsia="Calibri" w:hAnsi="Calibri" w:cs="Calibri"/>
        </w:rPr>
        <w:tab/>
      </w:r>
      <w:r>
        <w:rPr>
          <w:b/>
          <w:i/>
        </w:rPr>
        <w:t xml:space="preserve"> </w:t>
      </w:r>
      <w:r>
        <w:rPr>
          <w:b/>
          <w:i/>
        </w:rPr>
        <w:tab/>
        <w:t xml:space="preserve"> </w:t>
      </w:r>
      <w:r>
        <w:rPr>
          <w:b/>
          <w:i/>
        </w:rPr>
        <w:tab/>
        <w:t xml:space="preserve"> </w:t>
      </w:r>
      <w:r>
        <w:rPr>
          <w:b/>
          <w:i/>
        </w:rPr>
        <w:tab/>
        <w:t xml:space="preserve"> </w:t>
      </w:r>
      <w:r>
        <w:rPr>
          <w:b/>
          <w:i/>
        </w:rPr>
        <w:tab/>
        <w:t xml:space="preserve">  </w:t>
      </w:r>
      <w:r>
        <w:rPr>
          <w:i/>
        </w:rPr>
        <w:t xml:space="preserve">      Ingresos de Gestión Ordinaria           28.963.025,43</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2337"/>
        </w:tabs>
        <w:ind w:left="0" w:firstLine="0"/>
        <w:jc w:val="left"/>
      </w:pPr>
      <w:r>
        <w:rPr>
          <w:rFonts w:ascii="Calibri" w:eastAsia="Calibri" w:hAnsi="Calibri" w:cs="Calibri"/>
        </w:rPr>
        <w:tab/>
      </w:r>
      <w:r>
        <w:t xml:space="preserve"> </w:t>
      </w:r>
      <w:r>
        <w:tab/>
        <w:t xml:space="preserve">Cae 8 puntos porcentuales.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pStyle w:val="Ttulo2"/>
        <w:pBdr>
          <w:top w:val="none" w:sz="0" w:space="0" w:color="auto"/>
          <w:left w:val="none" w:sz="0" w:space="0" w:color="auto"/>
          <w:bottom w:val="none" w:sz="0" w:space="0" w:color="auto"/>
          <w:right w:val="none" w:sz="0" w:space="0" w:color="auto"/>
        </w:pBdr>
        <w:ind w:left="279"/>
      </w:pPr>
      <w:r>
        <w:rPr>
          <w:i/>
          <w:u w:val="single" w:color="000000"/>
        </w:rPr>
        <w:t>Indicadores Presupuestarios</w:t>
      </w:r>
      <w:r>
        <w:rPr>
          <w:i/>
        </w:rP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2031"/>
        </w:tabs>
        <w:ind w:left="0" w:firstLine="0"/>
        <w:jc w:val="left"/>
      </w:pPr>
      <w:r>
        <w:rPr>
          <w:rFonts w:ascii="Calibri" w:eastAsia="Calibri" w:hAnsi="Calibri" w:cs="Calibri"/>
        </w:rPr>
        <w:tab/>
      </w:r>
      <w:r>
        <w:t xml:space="preserve"> </w:t>
      </w:r>
      <w:r>
        <w:tab/>
        <w:t xml:space="preserve">A) Ejercicio Corriente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 xml:space="preserve">1.- </w:t>
      </w:r>
      <w:r>
        <w:rPr>
          <w:i/>
        </w:rPr>
        <w:t>Ejecución del Presupuesto de Gastos</w:t>
      </w:r>
      <w:r>
        <w:t xml:space="preserve"> =</w:t>
      </w:r>
      <w:r>
        <w:rPr>
          <w:u w:val="single" w:color="000000"/>
        </w:rPr>
        <w:t>Obligaciones Reconocidas Netas</w:t>
      </w:r>
      <w:r>
        <w:t xml:space="preserve">  = </w:t>
      </w:r>
      <w:r>
        <w:rPr>
          <w:u w:val="single" w:color="000000"/>
        </w:rPr>
        <w:t xml:space="preserve">24.482.811,52 </w:t>
      </w:r>
      <w:r>
        <w:t xml:space="preserve">= 59 % </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2408"/>
          <w:tab w:val="center" w:pos="6113"/>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Créditos Definitivos                        41.298.332,49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1977"/>
        </w:tabs>
        <w:ind w:left="0" w:firstLine="0"/>
        <w:jc w:val="left"/>
      </w:pPr>
      <w:r>
        <w:rPr>
          <w:rFonts w:ascii="Calibri" w:eastAsia="Calibri" w:hAnsi="Calibri" w:cs="Calibri"/>
        </w:rPr>
        <w:tab/>
      </w:r>
      <w:r>
        <w:t xml:space="preserve"> </w:t>
      </w:r>
      <w:r>
        <w:tab/>
        <w:t xml:space="preserve">Ha caído 18 puntos.  </w:t>
      </w:r>
    </w:p>
    <w:p w:rsidR="00E302EC" w:rsidRDefault="00FC4F28">
      <w:pPr>
        <w:spacing w:after="0" w:line="259" w:lineRule="auto"/>
        <w:ind w:left="284" w:firstLine="0"/>
        <w:jc w:val="left"/>
      </w:pPr>
      <w:r>
        <w:t xml:space="preserve"> </w:t>
      </w:r>
    </w:p>
    <w:p w:rsidR="00E302EC" w:rsidRDefault="00FC4F28">
      <w:pPr>
        <w:ind w:left="279" w:right="184"/>
      </w:pPr>
      <w:r>
        <w:t xml:space="preserve">Se trata de un nivel de ejecución de gastos medio.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 xml:space="preserve">2.- </w:t>
      </w:r>
      <w:r>
        <w:rPr>
          <w:i/>
        </w:rPr>
        <w:t>Realización de Pagos</w:t>
      </w:r>
      <w:r>
        <w:t xml:space="preserve"> =  </w:t>
      </w:r>
      <w:r>
        <w:rPr>
          <w:u w:val="single" w:color="000000"/>
        </w:rPr>
        <w:t>Pagos Líquidos</w:t>
      </w:r>
      <w:r>
        <w:t xml:space="preserve">              =         </w:t>
      </w:r>
      <w:r>
        <w:rPr>
          <w:u w:val="single" w:color="000000"/>
        </w:rPr>
        <w:t xml:space="preserve">22.557.550,40 </w:t>
      </w:r>
      <w:r>
        <w:t xml:space="preserve">= 92 %. </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5029"/>
        </w:tabs>
        <w:ind w:left="0" w:firstLine="0"/>
        <w:jc w:val="left"/>
      </w:pPr>
      <w:r>
        <w:rPr>
          <w:rFonts w:ascii="Calibri" w:eastAsia="Calibri" w:hAnsi="Calibri" w:cs="Calibri"/>
        </w:rPr>
        <w:tab/>
      </w:r>
      <w:r>
        <w:t xml:space="preserve"> </w:t>
      </w:r>
      <w:r>
        <w:tab/>
        <w:t xml:space="preserve"> </w:t>
      </w:r>
      <w:r>
        <w:tab/>
        <w:t xml:space="preserve"> </w:t>
      </w:r>
      <w:r>
        <w:tab/>
        <w:t xml:space="preserve">    Obligaciones Reconocidas Netas      24.482.811,52 </w:t>
      </w:r>
    </w:p>
    <w:p w:rsidR="00E302EC" w:rsidRDefault="00FC4F28">
      <w:pPr>
        <w:spacing w:after="0" w:line="259" w:lineRule="auto"/>
        <w:ind w:left="284" w:firstLine="0"/>
        <w:jc w:val="left"/>
      </w:pPr>
      <w:r>
        <w:t xml:space="preserve"> </w:t>
      </w:r>
    </w:p>
    <w:p w:rsidR="00E302EC" w:rsidRDefault="00FC4F28">
      <w:pPr>
        <w:tabs>
          <w:tab w:val="center" w:pos="284"/>
          <w:tab w:val="center" w:pos="4105"/>
        </w:tabs>
        <w:ind w:left="0" w:firstLine="0"/>
        <w:jc w:val="left"/>
      </w:pPr>
      <w:r>
        <w:rPr>
          <w:rFonts w:ascii="Calibri" w:eastAsia="Calibri" w:hAnsi="Calibri" w:cs="Calibri"/>
        </w:rPr>
        <w:tab/>
      </w:r>
      <w:r>
        <w:t xml:space="preserve"> </w:t>
      </w:r>
      <w:r>
        <w:tab/>
        <w:t xml:space="preserve">Cae cinco puntos porcentuales con relación al ejercicio anterior.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 xml:space="preserve">3.- </w:t>
      </w:r>
      <w:r>
        <w:rPr>
          <w:i/>
        </w:rPr>
        <w:t xml:space="preserve">Gasto por Habitante </w:t>
      </w:r>
      <w:r>
        <w:t xml:space="preserve">= </w:t>
      </w:r>
      <w:r>
        <w:rPr>
          <w:u w:val="single" w:color="000000"/>
        </w:rPr>
        <w:t>Obligaciones Reconocidas Netas</w:t>
      </w:r>
      <w:r>
        <w:t xml:space="preserve"> = </w:t>
      </w:r>
      <w:r>
        <w:rPr>
          <w:u w:val="single" w:color="000000"/>
        </w:rPr>
        <w:t xml:space="preserve">24.482.811,52 </w:t>
      </w:r>
      <w:r>
        <w:t xml:space="preserve">= 816,26 Euros/ </w:t>
      </w:r>
    </w:p>
    <w:p w:rsidR="00E302EC" w:rsidRDefault="00FC4F28">
      <w:pPr>
        <w:ind w:left="279" w:right="184"/>
      </w:pPr>
      <w:r>
        <w:t>Habitante</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3665"/>
          <w:tab w:val="center" w:pos="6067"/>
        </w:tabs>
        <w:ind w:left="0" w:firstLine="0"/>
        <w:jc w:val="left"/>
      </w:pPr>
      <w:r>
        <w:rPr>
          <w:rFonts w:ascii="Calibri" w:eastAsia="Calibri" w:hAnsi="Calibri" w:cs="Calibri"/>
        </w:rPr>
        <w:tab/>
      </w:r>
      <w:r>
        <w:t xml:space="preserve"> </w:t>
      </w:r>
      <w:r>
        <w:tab/>
        <w:t xml:space="preserve"> </w:t>
      </w:r>
      <w:r>
        <w:tab/>
        <w:t xml:space="preserve"> </w:t>
      </w:r>
      <w:r>
        <w:tab/>
        <w:t xml:space="preserve">              Nº de Habitantes </w:t>
      </w:r>
      <w:r>
        <w:tab/>
        <w:t xml:space="preserve">                29.994 </w:t>
      </w:r>
    </w:p>
    <w:p w:rsidR="00E302EC" w:rsidRDefault="00FC4F28">
      <w:pPr>
        <w:spacing w:after="0" w:line="259" w:lineRule="auto"/>
        <w:ind w:left="284" w:firstLine="0"/>
        <w:jc w:val="left"/>
      </w:pPr>
      <w:r>
        <w:t xml:space="preserve"> </w:t>
      </w:r>
    </w:p>
    <w:p w:rsidR="00E302EC" w:rsidRDefault="00FC4F28">
      <w:pPr>
        <w:ind w:left="1002" w:right="184"/>
      </w:pPr>
      <w:r>
        <w:t xml:space="preserve">Cae en 101 Euros.  </w:t>
      </w:r>
    </w:p>
    <w:p w:rsidR="00E302EC" w:rsidRDefault="00FC4F28">
      <w:pPr>
        <w:spacing w:after="0" w:line="259" w:lineRule="auto"/>
        <w:ind w:left="992"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4.-</w:t>
      </w:r>
      <w:r>
        <w:rPr>
          <w:i/>
        </w:rPr>
        <w:t xml:space="preserve">Inversión Habitante </w:t>
      </w:r>
      <w:r>
        <w:t xml:space="preserve">= </w:t>
      </w:r>
      <w:r>
        <w:rPr>
          <w:u w:val="single" w:color="000000"/>
        </w:rPr>
        <w:t>Oblig.Reconoc.Netas (Capítulos VI-VII)</w:t>
      </w:r>
      <w:r>
        <w:t>=</w:t>
      </w:r>
      <w:r>
        <w:rPr>
          <w:u w:val="single" w:color="000000"/>
        </w:rPr>
        <w:t xml:space="preserve">1.801.147,65 </w:t>
      </w:r>
      <w:r>
        <w:t xml:space="preserve">= 60,05 </w:t>
      </w:r>
    </w:p>
    <w:p w:rsidR="00E302EC" w:rsidRDefault="00FC4F28">
      <w:pPr>
        <w:ind w:left="279" w:right="184"/>
      </w:pPr>
      <w:r>
        <w:t>Euros/Habitante</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2408"/>
          <w:tab w:val="center" w:pos="5199"/>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Nº de Habitantes                  29.994 </w:t>
      </w:r>
    </w:p>
    <w:p w:rsidR="00E302EC" w:rsidRDefault="00FC4F28">
      <w:pPr>
        <w:spacing w:after="0" w:line="259" w:lineRule="auto"/>
        <w:ind w:left="992" w:firstLine="0"/>
        <w:jc w:val="left"/>
      </w:pPr>
      <w:r>
        <w:t xml:space="preserve"> </w:t>
      </w:r>
    </w:p>
    <w:p w:rsidR="00E302EC" w:rsidRDefault="00FC4F28">
      <w:pPr>
        <w:ind w:left="269" w:right="184" w:firstLine="708"/>
      </w:pPr>
      <w:r>
        <w:t>Nos muestra este índice de inversiones por habitante la cantidad invertida en operaciones por capital que ha de repercutir en la cantidad y calidad de las infraestructuras re</w:t>
      </w:r>
      <w:r>
        <w:t xml:space="preserve">alizadas en el municipio. Hay un decrecimiento de la inversión en 67 euros por habitante.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405"/>
        <w:jc w:val="left"/>
      </w:pPr>
      <w:r>
        <w:t>5.-</w:t>
      </w:r>
      <w:r>
        <w:rPr>
          <w:i/>
        </w:rPr>
        <w:t>Esfuerzo Inversor</w:t>
      </w:r>
      <w:r>
        <w:t xml:space="preserve"> = </w:t>
      </w:r>
      <w:r>
        <w:rPr>
          <w:u w:val="single" w:color="000000"/>
        </w:rPr>
        <w:t>Obligaciones Reconocidas Netas ( Capítulos VI y VII )</w:t>
      </w:r>
      <w:r>
        <w:t xml:space="preserve"> = </w:t>
      </w:r>
      <w:r>
        <w:rPr>
          <w:u w:val="single" w:color="000000"/>
        </w:rPr>
        <w:t>1.801.147,65</w:t>
      </w:r>
      <w:r>
        <w:t>= 7 %</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4029"/>
          <w:tab w:val="center" w:pos="5949"/>
          <w:tab w:val="center" w:pos="7720"/>
        </w:tabs>
        <w:ind w:left="0" w:firstLine="0"/>
        <w:jc w:val="left"/>
      </w:pPr>
      <w:r>
        <w:rPr>
          <w:rFonts w:ascii="Calibri" w:eastAsia="Calibri" w:hAnsi="Calibri" w:cs="Calibri"/>
        </w:rPr>
        <w:tab/>
      </w:r>
      <w:r>
        <w:t xml:space="preserve"> </w:t>
      </w:r>
      <w:r>
        <w:tab/>
        <w:t xml:space="preserve"> </w:t>
      </w:r>
      <w:r>
        <w:tab/>
        <w:t xml:space="preserve"> </w:t>
      </w:r>
      <w:r>
        <w:tab/>
        <w:t xml:space="preserve">Obligaciones Reconocidas Netas </w:t>
      </w:r>
      <w:r>
        <w:tab/>
        <w:t xml:space="preserve">  </w:t>
      </w:r>
      <w:r>
        <w:tab/>
        <w:t xml:space="preserve">            24.482.81</w:t>
      </w:r>
      <w:r>
        <w:t xml:space="preserve">1,52   </w:t>
      </w:r>
    </w:p>
    <w:p w:rsidR="00E302EC" w:rsidRDefault="00FC4F28">
      <w:pPr>
        <w:spacing w:after="0" w:line="259" w:lineRule="auto"/>
        <w:ind w:left="992" w:firstLine="0"/>
        <w:jc w:val="left"/>
      </w:pPr>
      <w:r>
        <w:t xml:space="preserve"> </w:t>
      </w:r>
    </w:p>
    <w:p w:rsidR="00E302EC" w:rsidRDefault="00FC4F28">
      <w:pPr>
        <w:ind w:left="1002" w:right="184"/>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5652" name="Group 23565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4260" name="Rectangle 1426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4261" name="Rectangle 14261"/>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5652" style="width:12.7031pt;height:273.276pt;position:absolute;mso-position-horizontal-relative:page;mso-position-horizontal:absolute;margin-left:682.278pt;mso-position-vertical-relative:page;margin-top:538.644pt;" coordsize="1613,34706">
                <v:rect id="Rectangle 1426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4261"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159 </w:t>
                        </w:r>
                      </w:p>
                    </w:txbxContent>
                  </v:textbox>
                </v:rect>
                <w10:wrap type="square"/>
              </v:group>
            </w:pict>
          </mc:Fallback>
        </mc:AlternateContent>
      </w:r>
      <w:r>
        <w:t xml:space="preserve">Cae siete puntos respecto el año anterior.  </w:t>
      </w:r>
    </w:p>
    <w:p w:rsidR="00E302EC" w:rsidRDefault="00FC4F28">
      <w:pPr>
        <w:spacing w:after="0" w:line="259" w:lineRule="auto"/>
        <w:ind w:left="992" w:firstLine="0"/>
        <w:jc w:val="left"/>
      </w:pPr>
      <w:r>
        <w:t xml:space="preserve"> </w:t>
      </w:r>
    </w:p>
    <w:p w:rsidR="00E302EC" w:rsidRDefault="00FC4F28">
      <w:pPr>
        <w:ind w:left="269" w:right="184" w:firstLine="708"/>
      </w:pPr>
      <w:r>
        <w:t xml:space="preserve">Es un indicador de estructura que pone de manifiesto el aumento del peso específico de los gastos de inversiones y transferencias de capital, con respecto al total de créditos gastados. Está vinculado con el indicador anterior. </w:t>
      </w:r>
    </w:p>
    <w:p w:rsidR="00E302EC" w:rsidRDefault="00FC4F28">
      <w:pPr>
        <w:spacing w:after="0" w:line="259" w:lineRule="auto"/>
        <w:ind w:left="644" w:firstLine="0"/>
        <w:jc w:val="left"/>
      </w:pPr>
      <w:r>
        <w:t xml:space="preserve"> </w:t>
      </w:r>
    </w:p>
    <w:p w:rsidR="00E302EC" w:rsidRDefault="00FC4F28">
      <w:pPr>
        <w:spacing w:after="0" w:line="259" w:lineRule="auto"/>
        <w:ind w:left="279" w:right="368"/>
        <w:jc w:val="left"/>
      </w:pPr>
      <w:r>
        <w:t>6.-</w:t>
      </w:r>
      <w:r>
        <w:rPr>
          <w:i/>
        </w:rPr>
        <w:t>Ejecución del Presupuesto de Ingresos</w:t>
      </w:r>
      <w:r>
        <w:t xml:space="preserve"> =  </w:t>
      </w:r>
      <w:r>
        <w:rPr>
          <w:u w:val="single" w:color="000000"/>
        </w:rPr>
        <w:t>Derechos Reconocidos Netos</w:t>
      </w:r>
      <w:r>
        <w:t xml:space="preserve"> = </w:t>
      </w:r>
      <w:r>
        <w:rPr>
          <w:u w:val="single" w:color="000000"/>
        </w:rPr>
        <w:t>29.047.641,45</w:t>
      </w:r>
      <w:r>
        <w:t>= 70 %</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2408"/>
          <w:tab w:val="center" w:pos="3116"/>
          <w:tab w:val="center" w:pos="6306"/>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Previsiones Definitivas               41.298.332,49 </w:t>
      </w:r>
    </w:p>
    <w:p w:rsidR="00E302EC" w:rsidRDefault="00FC4F28">
      <w:pPr>
        <w:spacing w:after="0" w:line="259" w:lineRule="auto"/>
        <w:ind w:left="644" w:firstLine="0"/>
        <w:jc w:val="left"/>
      </w:pPr>
      <w:r>
        <w:t xml:space="preserve"> </w:t>
      </w:r>
    </w:p>
    <w:p w:rsidR="00E302EC" w:rsidRDefault="00FC4F28">
      <w:pPr>
        <w:spacing w:after="0" w:line="259" w:lineRule="auto"/>
        <w:ind w:left="992" w:firstLine="0"/>
        <w:jc w:val="left"/>
      </w:pPr>
      <w:r>
        <w:t xml:space="preserve"> </w:t>
      </w:r>
    </w:p>
    <w:p w:rsidR="00E302EC" w:rsidRDefault="00FC4F28">
      <w:pPr>
        <w:ind w:left="269" w:right="184" w:firstLine="708"/>
      </w:pPr>
      <w:r>
        <w:t>Sube 1 punto en relación con el ejercicio anterior. No obstante, si quitásemos el efecto del remanente de tesorería que se imputa en el capítulo ocho de ingresos y que por su naturaleza no da lugar a derechos reconocidos y liquidados, este indicador de eje</w:t>
      </w:r>
      <w:r>
        <w:t xml:space="preserve">cución ascendería alrededor del 100 %.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 xml:space="preserve">7.- </w:t>
      </w:r>
      <w:r>
        <w:rPr>
          <w:i/>
        </w:rPr>
        <w:t>Realización de Cobros</w:t>
      </w:r>
      <w:r>
        <w:t xml:space="preserve"> =                  </w:t>
      </w:r>
      <w:r>
        <w:rPr>
          <w:u w:val="single" w:color="000000"/>
        </w:rPr>
        <w:t xml:space="preserve">Recaudación Neta               </w:t>
      </w:r>
      <w:r>
        <w:t xml:space="preserve">= </w:t>
      </w:r>
      <w:r>
        <w:rPr>
          <w:u w:val="single" w:color="000000"/>
        </w:rPr>
        <w:t>28.617.634,75</w:t>
      </w:r>
      <w:r>
        <w:t>= 99 %</w:t>
      </w:r>
      <w:r>
        <w:rPr>
          <w:rFonts w:ascii="Times New Roman" w:eastAsia="Times New Roman" w:hAnsi="Times New Roman" w:cs="Times New Roman"/>
          <w:sz w:val="24"/>
        </w:rPr>
        <w:t xml:space="preserve"> </w:t>
      </w:r>
    </w:p>
    <w:p w:rsidR="00E302EC" w:rsidRDefault="00FC4F28">
      <w:pPr>
        <w:tabs>
          <w:tab w:val="center" w:pos="284"/>
          <w:tab w:val="center" w:pos="992"/>
          <w:tab w:val="center" w:pos="1700"/>
          <w:tab w:val="center" w:pos="2408"/>
          <w:tab w:val="center" w:pos="5611"/>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Derechos Reconocidos Netos           29.047.641,45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69" w:right="184" w:firstLine="708"/>
      </w:pPr>
      <w:r>
        <w:t>Este indicador mide la capacidad de la Entidad L</w:t>
      </w:r>
      <w:r>
        <w:t xml:space="preserve">ocal para transformar en liquidez los derechos de cobro liquidados y vencidos, es decir, el ritmo de cobro. Se mantiene igual respecto el ejercicio 2020, este ratio. </w:t>
      </w:r>
    </w:p>
    <w:p w:rsidR="00E302EC" w:rsidRDefault="00FC4F28">
      <w:pPr>
        <w:spacing w:after="0" w:line="259" w:lineRule="auto"/>
        <w:ind w:left="992" w:firstLine="0"/>
        <w:jc w:val="left"/>
      </w:pPr>
      <w:r>
        <w:t xml:space="preserve"> </w:t>
      </w:r>
    </w:p>
    <w:p w:rsidR="00E302EC" w:rsidRDefault="00FC4F28">
      <w:pPr>
        <w:ind w:left="269" w:right="184" w:firstLine="708"/>
      </w:pPr>
      <w:r>
        <w:t>No obstante, se ha generado una muy buena conversión en liquidez de los derechos de cob</w:t>
      </w:r>
      <w:r>
        <w:t xml:space="preserve">ro liquidados.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8.- </w:t>
      </w:r>
      <w:r>
        <w:rPr>
          <w:i/>
        </w:rPr>
        <w:t>Autonomía</w:t>
      </w:r>
      <w:r>
        <w:t xml:space="preserve"> = </w:t>
      </w:r>
      <w:r>
        <w:rPr>
          <w:u w:val="single" w:color="000000"/>
        </w:rPr>
        <w:t>Derechos Reconocidos Netos ( Capítulos I al VIII)</w:t>
      </w:r>
      <w:r>
        <w:t xml:space="preserve">= </w:t>
      </w:r>
      <w:r>
        <w:rPr>
          <w:u w:val="single" w:color="000000"/>
        </w:rPr>
        <w:t>22.493.127,90</w:t>
      </w:r>
      <w:r>
        <w:t>= 77 %</w:t>
      </w:r>
      <w:r>
        <w:rPr>
          <w:rFonts w:ascii="Times New Roman" w:eastAsia="Times New Roman" w:hAnsi="Times New Roman" w:cs="Times New Roman"/>
          <w:sz w:val="24"/>
        </w:rPr>
        <w:t xml:space="preserve"> </w:t>
      </w:r>
      <w:r>
        <w:t xml:space="preserve"> </w:t>
      </w:r>
      <w:r>
        <w:tab/>
        <w:t xml:space="preserve"> </w:t>
      </w:r>
      <w:r>
        <w:tab/>
        <w:t xml:space="preserve">                 Derechos Reconocidos Netos Totales       29.047.641,45 </w:t>
      </w:r>
    </w:p>
    <w:p w:rsidR="00E302EC" w:rsidRDefault="00FC4F28">
      <w:pPr>
        <w:spacing w:after="0" w:line="259" w:lineRule="auto"/>
        <w:ind w:left="644" w:firstLine="0"/>
        <w:jc w:val="left"/>
      </w:pPr>
      <w:r>
        <w:t xml:space="preserve"> </w:t>
      </w:r>
      <w:r>
        <w:tab/>
        <w:t xml:space="preserve"> </w:t>
      </w:r>
    </w:p>
    <w:p w:rsidR="00E302EC" w:rsidRDefault="00FC4F28">
      <w:pPr>
        <w:ind w:left="269" w:right="184" w:firstLine="360"/>
      </w:pPr>
      <w:r>
        <w:t xml:space="preserve"> </w:t>
      </w:r>
      <w:r>
        <w:t xml:space="preserve">Este ratio refleja la autonomía del Ayuntamiento en materia de ingresos propios y transferidos de otros entes públicos o privados o través de préstamos bancarios. No puede compararse con el correspondiente al ejercicio anterior, ya que en este año incluye </w:t>
      </w:r>
      <w:r>
        <w:t xml:space="preserve">las transferencias obtenidas, a diferencia del ejercicio precedente. </w:t>
      </w:r>
    </w:p>
    <w:p w:rsidR="00E302EC" w:rsidRDefault="00FC4F28">
      <w:pPr>
        <w:spacing w:after="0" w:line="259" w:lineRule="auto"/>
        <w:ind w:left="644" w:firstLine="0"/>
        <w:jc w:val="left"/>
      </w:pPr>
      <w:r>
        <w:t xml:space="preserve"> </w:t>
      </w:r>
    </w:p>
    <w:p w:rsidR="00E302EC" w:rsidRDefault="00FC4F28">
      <w:pPr>
        <w:ind w:left="269" w:right="184" w:firstLine="708"/>
      </w:pPr>
      <w:r>
        <w:t xml:space="preserve">Se pone de manifiesto la alta dependencia de fondos propios para el cumplimiento de los servicios que presta el Ayuntamiento. Cae 11 puntos.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right="213"/>
        <w:jc w:val="left"/>
      </w:pPr>
      <w:r>
        <w:t xml:space="preserve">10.- </w:t>
      </w:r>
      <w:r>
        <w:rPr>
          <w:i/>
        </w:rPr>
        <w:t xml:space="preserve">Autonomía Fiscal = </w:t>
      </w:r>
      <w:r>
        <w:rPr>
          <w:u w:val="single" w:color="000000"/>
        </w:rPr>
        <w:t>Derechos Recon</w:t>
      </w:r>
      <w:r>
        <w:rPr>
          <w:u w:val="single" w:color="000000"/>
        </w:rPr>
        <w:t xml:space="preserve">ocidos Netos ( Capítulos I, II y III ) </w:t>
      </w:r>
      <w:r>
        <w:t xml:space="preserve">= </w:t>
      </w:r>
      <w:r>
        <w:rPr>
          <w:u w:val="single" w:color="000000"/>
        </w:rPr>
        <w:t xml:space="preserve">14.441.939,82      </w:t>
      </w:r>
      <w:r>
        <w:t>= 50 %</w:t>
      </w:r>
      <w:r>
        <w:rPr>
          <w:rFonts w:ascii="Times New Roman" w:eastAsia="Times New Roman" w:hAnsi="Times New Roman" w:cs="Times New Roman"/>
          <w:sz w:val="24"/>
        </w:rPr>
        <w:t xml:space="preserve"> </w:t>
      </w:r>
    </w:p>
    <w:p w:rsidR="00E302EC" w:rsidRDefault="00FC4F28">
      <w:pPr>
        <w:tabs>
          <w:tab w:val="center" w:pos="284"/>
          <w:tab w:val="center" w:pos="992"/>
          <w:tab w:val="center" w:pos="5219"/>
        </w:tabs>
        <w:ind w:left="0" w:firstLine="0"/>
        <w:jc w:val="left"/>
      </w:pPr>
      <w:r>
        <w:rPr>
          <w:rFonts w:ascii="Calibri" w:eastAsia="Calibri" w:hAnsi="Calibri" w:cs="Calibri"/>
        </w:rPr>
        <w:tab/>
      </w:r>
      <w:r>
        <w:t xml:space="preserve"> </w:t>
      </w:r>
      <w:r>
        <w:tab/>
        <w:t xml:space="preserve"> </w:t>
      </w:r>
      <w:r>
        <w:tab/>
        <w:t xml:space="preserve">                   Derechos Reconocidos Netos Totales            29.047.641,45</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rPr>
          <w:i/>
        </w:rPr>
        <w:t xml:space="preserve"> </w:t>
      </w:r>
    </w:p>
    <w:p w:rsidR="00E302EC" w:rsidRDefault="00FC4F28">
      <w:pPr>
        <w:tabs>
          <w:tab w:val="center" w:pos="644"/>
          <w:tab w:val="center" w:pos="3893"/>
        </w:tabs>
        <w:ind w:left="0" w:firstLine="0"/>
        <w:jc w:val="left"/>
      </w:pPr>
      <w:r>
        <w:rPr>
          <w:rFonts w:ascii="Calibri" w:eastAsia="Calibri" w:hAnsi="Calibri" w:cs="Calibri"/>
        </w:rPr>
        <w:tab/>
      </w:r>
      <w:r>
        <w:t xml:space="preserve"> </w:t>
      </w:r>
      <w:r>
        <w:tab/>
        <w:t xml:space="preserve">Cae la autonomía fiscal del Ayuntamiento en cuatro puntos.  </w:t>
      </w:r>
    </w:p>
    <w:p w:rsidR="00E302EC" w:rsidRDefault="00FC4F28">
      <w:pPr>
        <w:spacing w:after="0" w:line="259" w:lineRule="auto"/>
        <w:ind w:left="992" w:firstLine="0"/>
        <w:jc w:val="left"/>
      </w:pPr>
      <w:r>
        <w:t xml:space="preserve"> </w:t>
      </w:r>
    </w:p>
    <w:p w:rsidR="00E302EC" w:rsidRDefault="00FC4F28">
      <w:pPr>
        <w:spacing w:after="0" w:line="259" w:lineRule="auto"/>
        <w:ind w:left="644" w:firstLine="0"/>
        <w:jc w:val="left"/>
      </w:pPr>
      <w:r>
        <w:t xml:space="preserve"> </w:t>
      </w:r>
    </w:p>
    <w:p w:rsidR="00E302EC" w:rsidRDefault="00FC4F28">
      <w:pPr>
        <w:ind w:left="654" w:right="184"/>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6155" name="Group 23615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4478" name="Rectangle 1447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4479" name="Rectangle 1447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6155" style="width:12.7031pt;height:273.276pt;position:absolute;mso-position-horizontal-relative:page;mso-position-horizontal:absolute;margin-left:682.278pt;mso-position-vertical-relative:page;margin-top:538.644pt;" coordsize="1613,34706">
                <v:rect id="Rectangle 1447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447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159 </w:t>
                        </w:r>
                      </w:p>
                    </w:txbxContent>
                  </v:textbox>
                </v:rect>
                <w10:wrap type="square"/>
              </v:group>
            </w:pict>
          </mc:Fallback>
        </mc:AlternateContent>
      </w:r>
      <w:r>
        <w:t>11.-Superávit por Habitante=</w:t>
      </w:r>
      <w:r>
        <w:rPr>
          <w:u w:val="single" w:color="000000"/>
        </w:rPr>
        <w:t>Rdo Presupuest. Ajustado</w:t>
      </w:r>
      <w:r>
        <w:t xml:space="preserve">=  </w:t>
      </w:r>
      <w:r>
        <w:rPr>
          <w:u w:val="single" w:color="000000"/>
        </w:rPr>
        <w:t>4.102.7</w:t>
      </w:r>
      <w:r>
        <w:rPr>
          <w:u w:val="single" w:color="000000"/>
        </w:rPr>
        <w:t xml:space="preserve">75,84 </w:t>
      </w:r>
      <w:r>
        <w:t xml:space="preserve">=  133,79 </w:t>
      </w:r>
    </w:p>
    <w:p w:rsidR="00E302EC" w:rsidRDefault="00FC4F28">
      <w:pPr>
        <w:ind w:left="279" w:right="184"/>
      </w:pPr>
      <w:r>
        <w:t>Euros/Habitante</w:t>
      </w:r>
      <w:r>
        <w:rPr>
          <w:rFonts w:ascii="Times New Roman" w:eastAsia="Times New Roman" w:hAnsi="Times New Roman" w:cs="Times New Roman"/>
          <w:sz w:val="24"/>
        </w:rPr>
        <w:t xml:space="preserve"> </w:t>
      </w:r>
    </w:p>
    <w:p w:rsidR="00E302EC" w:rsidRDefault="00FC4F28">
      <w:pPr>
        <w:tabs>
          <w:tab w:val="center" w:pos="644"/>
          <w:tab w:val="center" w:pos="992"/>
          <w:tab w:val="center" w:pos="1700"/>
          <w:tab w:val="center" w:pos="2408"/>
          <w:tab w:val="center" w:pos="4853"/>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Nº de Habitantes            29.994  </w:t>
      </w:r>
    </w:p>
    <w:p w:rsidR="00E302EC" w:rsidRDefault="00FC4F28">
      <w:pPr>
        <w:spacing w:after="0" w:line="259" w:lineRule="auto"/>
        <w:ind w:left="992" w:firstLine="0"/>
        <w:jc w:val="left"/>
      </w:pPr>
      <w:r>
        <w:t xml:space="preserve"> </w:t>
      </w:r>
    </w:p>
    <w:p w:rsidR="00E302EC" w:rsidRDefault="00FC4F28">
      <w:pPr>
        <w:ind w:left="269" w:right="184" w:firstLine="708"/>
      </w:pPr>
      <w:r>
        <w:t>Ha subido el superávit por habitante en más de 34 Euros. Los ingresos presupuestarios han sido suficientes para dar cobertura a los gastos presupuestarios que ha motiva</w:t>
      </w:r>
      <w:r>
        <w:t xml:space="preserve">do capacidad de financiación, constituyendo un indicador de solvencia financiera de la Entidad Local. </w:t>
      </w:r>
    </w:p>
    <w:p w:rsidR="00E302EC" w:rsidRDefault="00FC4F28">
      <w:pPr>
        <w:spacing w:after="0" w:line="259" w:lineRule="auto"/>
        <w:ind w:left="644" w:firstLine="0"/>
        <w:jc w:val="left"/>
      </w:pPr>
      <w:r>
        <w:t xml:space="preserve"> </w:t>
      </w:r>
    </w:p>
    <w:p w:rsidR="00E302EC" w:rsidRDefault="00FC4F28">
      <w:pPr>
        <w:spacing w:after="0" w:line="259" w:lineRule="auto"/>
        <w:ind w:left="644" w:firstLine="0"/>
        <w:jc w:val="left"/>
      </w:pPr>
      <w:r>
        <w:t xml:space="preserve"> </w:t>
      </w:r>
    </w:p>
    <w:p w:rsidR="00E302EC" w:rsidRDefault="00FC4F28">
      <w:pPr>
        <w:spacing w:after="11" w:line="248" w:lineRule="auto"/>
        <w:ind w:left="1002" w:right="180"/>
      </w:pPr>
      <w:r>
        <w:rPr>
          <w:b/>
          <w:i/>
        </w:rPr>
        <w:t xml:space="preserve">B) Ejercicio Cerrado </w:t>
      </w:r>
    </w:p>
    <w:p w:rsidR="00E302EC" w:rsidRDefault="00FC4F28">
      <w:pPr>
        <w:spacing w:after="0" w:line="259" w:lineRule="auto"/>
        <w:ind w:left="644" w:firstLine="0"/>
        <w:jc w:val="left"/>
      </w:pPr>
      <w:r>
        <w:rPr>
          <w:b/>
          <w:i/>
        </w:rPr>
        <w:t xml:space="preserve"> </w:t>
      </w:r>
    </w:p>
    <w:p w:rsidR="00E302EC" w:rsidRDefault="00FC4F28">
      <w:pPr>
        <w:ind w:left="654" w:right="295"/>
      </w:pPr>
      <w:r>
        <w:t xml:space="preserve">1.- Realización de Pagos =            </w:t>
      </w:r>
      <w:r>
        <w:rPr>
          <w:u w:val="single" w:color="000000"/>
        </w:rPr>
        <w:t xml:space="preserve">Pagos                        </w:t>
      </w:r>
      <w:r>
        <w:t xml:space="preserve">         =  </w:t>
      </w:r>
      <w:r>
        <w:rPr>
          <w:u w:val="single" w:color="000000"/>
        </w:rPr>
        <w:t xml:space="preserve">839.814,84      </w:t>
      </w:r>
      <w:r>
        <w:t>=  63 %</w:t>
      </w:r>
      <w:r>
        <w:rPr>
          <w:rFonts w:ascii="Times New Roman" w:eastAsia="Times New Roman" w:hAnsi="Times New Roman" w:cs="Times New Roman"/>
          <w:sz w:val="24"/>
        </w:rPr>
        <w:t xml:space="preserve"> </w:t>
      </w:r>
      <w:r>
        <w:t xml:space="preserve">           </w:t>
      </w:r>
      <w:r>
        <w:t xml:space="preserve">Saldo Inicial Obligaciones                 1.337.411,36 </w:t>
      </w:r>
    </w:p>
    <w:p w:rsidR="00E302EC" w:rsidRDefault="00FC4F28">
      <w:pPr>
        <w:spacing w:after="0" w:line="259" w:lineRule="auto"/>
        <w:ind w:left="644" w:firstLine="0"/>
        <w:jc w:val="left"/>
      </w:pPr>
      <w:r>
        <w:t xml:space="preserve"> </w:t>
      </w:r>
    </w:p>
    <w:p w:rsidR="00E302EC" w:rsidRDefault="00FC4F28">
      <w:pPr>
        <w:tabs>
          <w:tab w:val="center" w:pos="644"/>
          <w:tab w:val="center" w:pos="2727"/>
        </w:tabs>
        <w:ind w:left="0" w:firstLine="0"/>
        <w:jc w:val="left"/>
      </w:pPr>
      <w:r>
        <w:rPr>
          <w:rFonts w:ascii="Calibri" w:eastAsia="Calibri" w:hAnsi="Calibri" w:cs="Calibri"/>
        </w:rPr>
        <w:tab/>
      </w:r>
      <w:r>
        <w:t xml:space="preserve"> </w:t>
      </w:r>
      <w:r>
        <w:tab/>
        <w:t xml:space="preserve">Cae 11 puntos respecto en el 2020. </w:t>
      </w:r>
    </w:p>
    <w:p w:rsidR="00E302EC" w:rsidRDefault="00FC4F28">
      <w:pPr>
        <w:spacing w:after="0" w:line="259" w:lineRule="auto"/>
        <w:ind w:left="644" w:firstLine="0"/>
        <w:jc w:val="left"/>
      </w:pPr>
      <w:r>
        <w:t xml:space="preserve"> </w:t>
      </w:r>
    </w:p>
    <w:p w:rsidR="00E302EC" w:rsidRDefault="00FC4F28">
      <w:pPr>
        <w:spacing w:after="0" w:line="259" w:lineRule="auto"/>
        <w:ind w:left="644" w:firstLine="0"/>
        <w:jc w:val="left"/>
      </w:pPr>
      <w:r>
        <w:t xml:space="preserve"> </w:t>
      </w:r>
    </w:p>
    <w:p w:rsidR="00E302EC" w:rsidRDefault="00FC4F28">
      <w:pPr>
        <w:tabs>
          <w:tab w:val="center" w:pos="2005"/>
          <w:tab w:val="center" w:pos="7040"/>
        </w:tabs>
        <w:ind w:left="0" w:firstLine="0"/>
        <w:jc w:val="left"/>
      </w:pPr>
      <w:r>
        <w:rPr>
          <w:rFonts w:ascii="Calibri" w:eastAsia="Calibri" w:hAnsi="Calibri" w:cs="Calibri"/>
        </w:rPr>
        <w:tab/>
      </w:r>
      <w:r>
        <w:t xml:space="preserve">2.- Realización de Cobros =            </w:t>
      </w:r>
      <w:r>
        <w:tab/>
        <w:t xml:space="preserve"> </w:t>
      </w:r>
      <w:r>
        <w:rPr>
          <w:u w:val="single" w:color="000000"/>
        </w:rPr>
        <w:t>Cobros</w:t>
      </w:r>
      <w:r>
        <w:t xml:space="preserve">                                   = </w:t>
      </w:r>
      <w:r>
        <w:rPr>
          <w:u w:val="single" w:color="000000"/>
        </w:rPr>
        <w:t xml:space="preserve">354.914,10    </w:t>
      </w:r>
      <w:r>
        <w:t>= 3 %</w:t>
      </w:r>
      <w:r>
        <w:rPr>
          <w:rFonts w:ascii="Times New Roman" w:eastAsia="Times New Roman" w:hAnsi="Times New Roman" w:cs="Times New Roman"/>
          <w:sz w:val="24"/>
        </w:rPr>
        <w:t xml:space="preserve"> </w:t>
      </w:r>
    </w:p>
    <w:p w:rsidR="00E302EC" w:rsidRDefault="00FC4F28">
      <w:pPr>
        <w:tabs>
          <w:tab w:val="center" w:pos="644"/>
          <w:tab w:val="center" w:pos="992"/>
          <w:tab w:val="center" w:pos="1700"/>
          <w:tab w:val="center" w:pos="2408"/>
          <w:tab w:val="center" w:pos="5709"/>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Saldo Inicial Derechos                 </w:t>
      </w:r>
      <w:r>
        <w:t xml:space="preserve">         10.587.710,68 </w:t>
      </w:r>
    </w:p>
    <w:p w:rsidR="00E302EC" w:rsidRDefault="00FC4F28">
      <w:pPr>
        <w:spacing w:after="0" w:line="259" w:lineRule="auto"/>
        <w:ind w:left="644" w:firstLine="0"/>
        <w:jc w:val="left"/>
      </w:pPr>
      <w:r>
        <w:t xml:space="preserve"> </w:t>
      </w:r>
    </w:p>
    <w:p w:rsidR="00E302EC" w:rsidRDefault="00FC4F28">
      <w:pPr>
        <w:spacing w:after="0" w:line="259" w:lineRule="auto"/>
        <w:ind w:left="644" w:firstLine="0"/>
        <w:jc w:val="left"/>
      </w:pPr>
      <w:r>
        <w:t xml:space="preserve"> </w:t>
      </w:r>
    </w:p>
    <w:p w:rsidR="00E302EC" w:rsidRDefault="00FC4F28">
      <w:pPr>
        <w:tabs>
          <w:tab w:val="center" w:pos="644"/>
          <w:tab w:val="center" w:pos="4514"/>
        </w:tabs>
        <w:ind w:left="0" w:firstLine="0"/>
        <w:jc w:val="left"/>
      </w:pPr>
      <w:r>
        <w:rPr>
          <w:rFonts w:ascii="Calibri" w:eastAsia="Calibri" w:hAnsi="Calibri" w:cs="Calibri"/>
        </w:rPr>
        <w:tab/>
      </w:r>
      <w:r>
        <w:t xml:space="preserve"> </w:t>
      </w:r>
      <w:r>
        <w:tab/>
        <w:t xml:space="preserve">Cae un punto porcentual, por la menor recaudación en el ejercicio 2021. </w:t>
      </w:r>
    </w:p>
    <w:p w:rsidR="00E302EC" w:rsidRDefault="00FC4F28">
      <w:pPr>
        <w:spacing w:after="0" w:line="259" w:lineRule="auto"/>
        <w:ind w:left="644" w:firstLine="0"/>
        <w:jc w:val="left"/>
      </w:pPr>
      <w:r>
        <w:t xml:space="preserve"> </w:t>
      </w:r>
    </w:p>
    <w:p w:rsidR="00E302EC" w:rsidRDefault="00FC4F28">
      <w:pPr>
        <w:ind w:left="269" w:right="184" w:firstLine="360"/>
      </w:pPr>
      <w:r>
        <w:t xml:space="preserve"> </w:t>
      </w:r>
      <w:r>
        <w:t xml:space="preserve">Del examen de estos indicadores financieros y presupuestarios, se puede extraer que han empeorado los ratios vinculados al gasto, endeudamiento y liquidez. </w:t>
      </w:r>
    </w:p>
    <w:p w:rsidR="00E302EC" w:rsidRDefault="00FC4F28">
      <w:pPr>
        <w:spacing w:after="0" w:line="259" w:lineRule="auto"/>
        <w:ind w:left="644" w:firstLine="0"/>
        <w:jc w:val="left"/>
      </w:pPr>
      <w:r>
        <w:t xml:space="preserve"> </w:t>
      </w:r>
    </w:p>
    <w:p w:rsidR="00E302EC" w:rsidRDefault="00FC4F28">
      <w:pPr>
        <w:spacing w:after="114"/>
        <w:ind w:left="269" w:right="184" w:firstLine="350"/>
      </w:pPr>
      <w:r>
        <w:t xml:space="preserve">No obstante, ha mejorado las magnitudes presupuestarias como el Resultado Presupuestario, Ahorro Neto, Remanente de Tesorería y Endeudamiento a largo plazo, que han permitido estar en una buena situación económica. </w:t>
      </w:r>
    </w:p>
    <w:p w:rsidR="00E302EC" w:rsidRDefault="00FC4F28">
      <w:pPr>
        <w:spacing w:after="98" w:line="259" w:lineRule="auto"/>
        <w:ind w:left="634" w:firstLine="0"/>
        <w:jc w:val="left"/>
      </w:pPr>
      <w:r>
        <w:t xml:space="preserve"> </w:t>
      </w:r>
    </w:p>
    <w:p w:rsidR="00E302EC" w:rsidRDefault="00FC4F28">
      <w:pPr>
        <w:spacing w:after="101" w:line="259" w:lineRule="auto"/>
        <w:ind w:left="634" w:firstLine="0"/>
        <w:jc w:val="left"/>
      </w:pPr>
      <w:r>
        <w:t xml:space="preserve"> </w:t>
      </w:r>
    </w:p>
    <w:p w:rsidR="00E302EC" w:rsidRDefault="00FC4F28">
      <w:pPr>
        <w:spacing w:after="0" w:line="259" w:lineRule="auto"/>
        <w:ind w:left="992" w:firstLine="0"/>
        <w:jc w:val="left"/>
      </w:pPr>
      <w:r>
        <w:t xml:space="preserve"> </w:t>
      </w:r>
    </w:p>
    <w:p w:rsidR="00E302EC" w:rsidRDefault="00FC4F28">
      <w:pPr>
        <w:spacing w:after="0" w:line="259" w:lineRule="auto"/>
        <w:ind w:left="992" w:firstLine="0"/>
        <w:jc w:val="left"/>
      </w:pPr>
      <w:r>
        <w:t xml:space="preserve"> </w:t>
      </w:r>
    </w:p>
    <w:p w:rsidR="00E302EC" w:rsidRDefault="00FC4F28">
      <w:pPr>
        <w:ind w:left="269" w:right="184" w:firstLine="708"/>
      </w:pPr>
      <w:r>
        <w:t>Por tanto, en cumplimiento del e</w:t>
      </w:r>
      <w:r>
        <w:t xml:space="preserve">jercicio de Control Interno, en su modalidad de Control Financiero, este Interventor informe favorablemente, el expediente de Liquidación del Presupuesto del ejercicio 2021. </w:t>
      </w:r>
    </w:p>
    <w:p w:rsidR="00E302EC" w:rsidRDefault="00FC4F28">
      <w:pPr>
        <w:spacing w:after="0" w:line="259" w:lineRule="auto"/>
        <w:ind w:left="992" w:firstLine="0"/>
        <w:jc w:val="left"/>
      </w:pPr>
      <w:r>
        <w:t xml:space="preserve"> </w:t>
      </w:r>
    </w:p>
    <w:p w:rsidR="00E302EC" w:rsidRDefault="00FC4F28">
      <w:pPr>
        <w:spacing w:after="0" w:line="259" w:lineRule="auto"/>
        <w:ind w:left="644" w:firstLine="0"/>
        <w:jc w:val="left"/>
      </w:pPr>
      <w:r>
        <w:t xml:space="preserve"> </w:t>
      </w:r>
    </w:p>
    <w:p w:rsidR="00E302EC" w:rsidRDefault="00FC4F28">
      <w:pPr>
        <w:spacing w:after="8" w:line="248" w:lineRule="auto"/>
        <w:ind w:left="279" w:right="183"/>
      </w:pPr>
      <w:r>
        <w:rPr>
          <w:b/>
        </w:rPr>
        <w:t xml:space="preserve">  Consta en el expediente propuesta del Concejal delegado de Hacienda, D. Air</w:t>
      </w:r>
      <w:r>
        <w:rPr>
          <w:b/>
        </w:rPr>
        <w:t xml:space="preserve">am Pérez Chinea, de fecha 18 de marzo de 2022, que transcrito literalmente dice: </w:t>
      </w:r>
    </w:p>
    <w:p w:rsidR="00E302EC" w:rsidRDefault="00FC4F28">
      <w:pPr>
        <w:spacing w:after="136" w:line="259" w:lineRule="auto"/>
        <w:ind w:left="634" w:firstLine="0"/>
        <w:jc w:val="left"/>
      </w:pPr>
      <w:r>
        <w:t xml:space="preserve"> </w:t>
      </w:r>
    </w:p>
    <w:p w:rsidR="00E302EC" w:rsidRDefault="00FC4F28">
      <w:pPr>
        <w:pStyle w:val="Ttulo1"/>
        <w:ind w:left="107" w:right="2"/>
      </w:pPr>
      <w:r>
        <w:t xml:space="preserve">“PROPUESTA DE LA CONCEJAL DELEGADA DE HACIENDA </w:t>
      </w:r>
    </w:p>
    <w:p w:rsidR="00E302EC" w:rsidRDefault="00FC4F28">
      <w:pPr>
        <w:spacing w:after="0" w:line="259" w:lineRule="auto"/>
        <w:ind w:left="284" w:firstLine="0"/>
        <w:jc w:val="left"/>
      </w:pPr>
      <w:r>
        <w:rPr>
          <w:b/>
        </w:rPr>
        <w:t xml:space="preserve"> </w:t>
      </w:r>
    </w:p>
    <w:p w:rsidR="00E302EC" w:rsidRDefault="00FC4F28">
      <w:pPr>
        <w:spacing w:after="123" w:line="248" w:lineRule="auto"/>
        <w:ind w:left="279" w:right="183"/>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9713" name="Group 24971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4689" name="Rectangle 1468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4690" name="Rectangle 1469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9713" style="width:12.7031pt;height:273.276pt;position:absolute;mso-position-horizontal-relative:page;mso-position-horizontal:absolute;margin-left:682.278pt;mso-position-vertical-relative:page;margin-top:538.644pt;" coordsize="1613,34706">
                <v:rect id="Rectangle 1468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469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159 </w:t>
                        </w:r>
                      </w:p>
                    </w:txbxContent>
                  </v:textbox>
                </v:rect>
                <w10:wrap type="square"/>
              </v:group>
            </w:pict>
          </mc:Fallback>
        </mc:AlternateContent>
      </w:r>
      <w:r>
        <w:rPr>
          <w:b/>
        </w:rPr>
        <w:t>Asunto:  DACIÓN DE CUENTA AL PLENO DE LA LIQUIDACIÓN DEL PRESUPUESTO 2021</w:t>
      </w:r>
      <w:r>
        <w:t xml:space="preserv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49712" name="Group 249712"/>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4686" name="Shape 14686"/>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9712" style="width:477.1pt;height:2.04pt;mso-position-horizontal-relative:char;mso-position-vertical-relative:line" coordsize="60591,259">
                <v:shape id="Shape 14686" style="position:absolute;width:60591;height:0;left:0;top:0;" coordsize="6059170,0" path="m0,0l6059170,0">
                  <v:stroke weight="2.04pt" endcap="square" joinstyle="miter" miterlimit="10" on="true" color="#993366"/>
                  <v:fill on="false" color="#000000" opacity="0"/>
                </v:shape>
              </v:group>
            </w:pict>
          </mc:Fallback>
        </mc:AlternateContent>
      </w:r>
    </w:p>
    <w:p w:rsidR="00E302EC" w:rsidRDefault="00FC4F28">
      <w:pPr>
        <w:spacing w:after="0" w:line="259" w:lineRule="auto"/>
        <w:ind w:left="716" w:firstLine="0"/>
        <w:jc w:val="left"/>
      </w:pPr>
      <w:r>
        <w:rPr>
          <w:b/>
        </w:rPr>
        <w:t xml:space="preserve"> </w:t>
      </w:r>
    </w:p>
    <w:p w:rsidR="00E302EC" w:rsidRDefault="00FC4F28">
      <w:pPr>
        <w:spacing w:after="0" w:line="259" w:lineRule="auto"/>
        <w:ind w:left="284" w:firstLine="0"/>
        <w:jc w:val="left"/>
      </w:pPr>
      <w:r>
        <w:t xml:space="preserve"> </w:t>
      </w:r>
      <w:r>
        <w:tab/>
        <w:t xml:space="preserve"> </w:t>
      </w:r>
    </w:p>
    <w:p w:rsidR="00E302EC" w:rsidRDefault="00FC4F28">
      <w:pPr>
        <w:ind w:left="269" w:right="184" w:firstLine="708"/>
      </w:pPr>
      <w:r>
        <w:t>El cierre y liquidación del Presupuesto, que se efectuará, en cuanto a la reca</w:t>
      </w:r>
      <w:r>
        <w:t>udación de derechos y el pago de obligaciones, el 31 de diciembre del año natural.</w:t>
      </w:r>
      <w:r>
        <w:rPr>
          <w:rFonts w:ascii="Times New Roman" w:eastAsia="Times New Roman" w:hAnsi="Times New Roman" w:cs="Times New Roman"/>
          <w:sz w:val="24"/>
        </w:rPr>
        <w:t xml:space="preserve"> </w:t>
      </w:r>
    </w:p>
    <w:p w:rsidR="00E302EC" w:rsidRDefault="00FC4F28">
      <w:pPr>
        <w:ind w:left="269" w:right="184" w:firstLine="708"/>
      </w:pPr>
      <w:r>
        <w:t xml:space="preserve">La confección de los Estados Demostrativos de la Liquidación del Presupuesto deberá realizarse antes del día primero de marzo del Ejercicio siguiente. </w:t>
      </w:r>
    </w:p>
    <w:p w:rsidR="00E302EC" w:rsidRDefault="00FC4F28">
      <w:pPr>
        <w:spacing w:after="0" w:line="259" w:lineRule="auto"/>
        <w:ind w:left="284" w:firstLine="0"/>
        <w:jc w:val="left"/>
      </w:pPr>
      <w:r>
        <w:t xml:space="preserve"> </w:t>
      </w:r>
      <w:r>
        <w:tab/>
        <w:t xml:space="preserve"> </w:t>
      </w:r>
    </w:p>
    <w:p w:rsidR="00E302EC" w:rsidRDefault="00FC4F28">
      <w:pPr>
        <w:ind w:left="269" w:right="184" w:firstLine="708"/>
      </w:pPr>
      <w:r>
        <w:t>Las Entidades Lo</w:t>
      </w:r>
      <w:r>
        <w:t xml:space="preserve">cales remitirán copia de la Liquidación de sus Presupuestos antes de finalizar el mes de marzo del Ejercicio siguiente al que corresponda, a los órganos competentes de la Comunidad Autónoma y de la Administración del Estado. </w:t>
      </w:r>
    </w:p>
    <w:p w:rsidR="00E302EC" w:rsidRDefault="00FC4F28">
      <w:pPr>
        <w:spacing w:after="0" w:line="259" w:lineRule="auto"/>
        <w:ind w:left="992" w:firstLine="0"/>
        <w:jc w:val="left"/>
      </w:pPr>
      <w:r>
        <w:t xml:space="preserve"> </w:t>
      </w:r>
    </w:p>
    <w:p w:rsidR="00E302EC" w:rsidRDefault="00FC4F28">
      <w:pPr>
        <w:ind w:left="269" w:right="184" w:firstLine="708"/>
      </w:pPr>
      <w:r>
        <w:t>Vistos los informes de inter</w:t>
      </w:r>
      <w:r>
        <w:t xml:space="preserve">vención que, en líneas generales, ponen de manifiesto las siguientes magnitudes relativas a la Liquidación del Presupuesto del ejercicio 2021: </w:t>
      </w:r>
    </w:p>
    <w:p w:rsidR="00E302EC" w:rsidRDefault="00FC4F28">
      <w:pPr>
        <w:spacing w:after="0" w:line="259" w:lineRule="auto"/>
        <w:ind w:left="992" w:firstLine="0"/>
        <w:jc w:val="left"/>
      </w:pPr>
      <w:r>
        <w:t xml:space="preserve"> </w:t>
      </w:r>
    </w:p>
    <w:p w:rsidR="00E302EC" w:rsidRDefault="00FC4F28">
      <w:pPr>
        <w:spacing w:after="8" w:line="248" w:lineRule="auto"/>
        <w:ind w:left="1014" w:right="183"/>
      </w:pPr>
      <w:r>
        <w:rPr>
          <w:b/>
        </w:rPr>
        <w:t xml:space="preserve">1.- RESULTADO PRESUPUESTARIO </w:t>
      </w:r>
    </w:p>
    <w:p w:rsidR="00E302EC" w:rsidRDefault="00FC4F28">
      <w:pPr>
        <w:spacing w:after="107" w:line="259" w:lineRule="auto"/>
        <w:ind w:left="284" w:firstLine="0"/>
        <w:jc w:val="left"/>
      </w:pPr>
      <w:r>
        <w:t xml:space="preserve"> </w:t>
      </w:r>
    </w:p>
    <w:p w:rsidR="00E302EC" w:rsidRDefault="00FC4F28">
      <w:pPr>
        <w:pStyle w:val="Ttulo1"/>
        <w:pBdr>
          <w:top w:val="single" w:sz="4" w:space="0" w:color="000000"/>
          <w:left w:val="single" w:sz="4" w:space="0" w:color="000000"/>
          <w:bottom w:val="single" w:sz="4" w:space="0" w:color="000000"/>
          <w:right w:val="single" w:sz="4" w:space="0" w:color="000000"/>
        </w:pBdr>
        <w:spacing w:after="0"/>
        <w:ind w:left="341" w:right="1055"/>
        <w:jc w:val="left"/>
      </w:pPr>
      <w:r>
        <w:t xml:space="preserve">RESULTADO  PRESUPUESTARIO                           PRESUPUESTO 2021               ( Euros )                                                                                                                               </w:t>
      </w:r>
    </w:p>
    <w:p w:rsidR="00E302EC" w:rsidRDefault="00FC4F28">
      <w:pPr>
        <w:spacing w:after="0" w:line="259" w:lineRule="auto"/>
        <w:ind w:left="284" w:firstLine="0"/>
        <w:jc w:val="left"/>
      </w:pPr>
      <w:r>
        <w:t xml:space="preserve"> </w:t>
      </w:r>
    </w:p>
    <w:tbl>
      <w:tblPr>
        <w:tblStyle w:val="TableGrid"/>
        <w:tblW w:w="8716" w:type="dxa"/>
        <w:tblInd w:w="291" w:type="dxa"/>
        <w:tblCellMar>
          <w:top w:w="7" w:type="dxa"/>
          <w:left w:w="70" w:type="dxa"/>
          <w:bottom w:w="0" w:type="dxa"/>
          <w:right w:w="8" w:type="dxa"/>
        </w:tblCellMar>
        <w:tblLook w:val="04A0" w:firstRow="1" w:lastRow="0" w:firstColumn="1" w:lastColumn="0" w:noHBand="0" w:noVBand="1"/>
      </w:tblPr>
      <w:tblGrid>
        <w:gridCol w:w="4513"/>
        <w:gridCol w:w="1424"/>
        <w:gridCol w:w="1421"/>
        <w:gridCol w:w="1359"/>
      </w:tblGrid>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1. DERECHOS RECONOCIDOS NETOS</w:t>
            </w:r>
            <w:r>
              <w:rPr>
                <w:rFonts w:ascii="Times New Roman" w:eastAsia="Times New Roman" w:hAnsi="Times New Roman" w:cs="Times New Roman"/>
                <w:sz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rPr>
                <w:b/>
              </w:rPr>
              <w:t>29.047.641,</w:t>
            </w:r>
          </w:p>
          <w:p w:rsidR="00E302EC" w:rsidRDefault="00FC4F28">
            <w:pPr>
              <w:spacing w:after="0" w:line="259" w:lineRule="auto"/>
              <w:ind w:left="0" w:firstLine="0"/>
              <w:jc w:val="left"/>
            </w:pPr>
            <w:r>
              <w:rPr>
                <w:b/>
              </w:rPr>
              <w:t>45</w:t>
            </w: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Operaciones Corrientes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20" w:firstLine="0"/>
              <w:jc w:val="left"/>
            </w:pPr>
            <w:r>
              <w:t>26.844.541,</w:t>
            </w:r>
          </w:p>
          <w:p w:rsidR="00E302EC" w:rsidRDefault="00FC4F28">
            <w:pPr>
              <w:spacing w:after="0" w:line="259" w:lineRule="auto"/>
              <w:ind w:left="0" w:right="61" w:firstLine="0"/>
              <w:jc w:val="right"/>
            </w:pPr>
            <w:r>
              <w:t xml:space="preserve">72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Otras Operaciones no </w:t>
            </w:r>
          </w:p>
          <w:p w:rsidR="00E302EC" w:rsidRDefault="00FC4F28">
            <w:pPr>
              <w:spacing w:after="0" w:line="259" w:lineRule="auto"/>
              <w:ind w:left="0" w:firstLine="0"/>
              <w:jc w:val="left"/>
            </w:pPr>
            <w:r>
              <w:t xml:space="preserve">Financieras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right"/>
            </w:pPr>
            <w:r>
              <w:t xml:space="preserve">2.203.099,7 3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Activos </w:t>
            </w:r>
          </w:p>
          <w:p w:rsidR="00E302EC" w:rsidRDefault="00FC4F28">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Pasivos </w:t>
            </w:r>
          </w:p>
          <w:p w:rsidR="00E302EC" w:rsidRDefault="00FC4F28">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264"/>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2. OBLIGACIONES RECONOCIDAS </w:t>
            </w:r>
          </w:p>
          <w:p w:rsidR="00E302EC" w:rsidRDefault="00FC4F28">
            <w:pPr>
              <w:spacing w:after="0" w:line="259" w:lineRule="auto"/>
              <w:ind w:left="0" w:firstLine="0"/>
              <w:jc w:val="left"/>
            </w:pPr>
            <w:r>
              <w:t>NETAS</w:t>
            </w:r>
            <w:r>
              <w:rPr>
                <w:rFonts w:ascii="Times New Roman" w:eastAsia="Times New Roman" w:hAnsi="Times New Roman" w:cs="Times New Roman"/>
                <w:sz w:val="24"/>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rPr>
                <w:b/>
              </w:rPr>
              <w:t>24.482.811,5</w:t>
            </w:r>
          </w:p>
          <w:p w:rsidR="00E302EC" w:rsidRDefault="00FC4F28">
            <w:pPr>
              <w:spacing w:after="0" w:line="259" w:lineRule="auto"/>
              <w:ind w:left="0" w:firstLine="0"/>
              <w:jc w:val="left"/>
            </w:pPr>
            <w:r>
              <w:rPr>
                <w:b/>
              </w:rPr>
              <w:t>2</w:t>
            </w: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7"/>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Operaciones Corrientes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20" w:firstLine="0"/>
              <w:jc w:val="left"/>
            </w:pPr>
            <w:r>
              <w:t>22.681.663,</w:t>
            </w:r>
          </w:p>
          <w:p w:rsidR="00E302EC" w:rsidRDefault="00FC4F28">
            <w:pPr>
              <w:spacing w:after="0" w:line="259" w:lineRule="auto"/>
              <w:ind w:left="0" w:right="63" w:firstLine="0"/>
              <w:jc w:val="right"/>
            </w:pPr>
            <w:r>
              <w:t xml:space="preserve">87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r>
              <w:t xml:space="preserve">+ Otras Operaciones no </w:t>
            </w:r>
          </w:p>
          <w:p w:rsidR="00E302EC" w:rsidRDefault="00FC4F28">
            <w:pPr>
              <w:spacing w:after="0" w:line="259" w:lineRule="auto"/>
              <w:ind w:left="0" w:firstLine="0"/>
              <w:jc w:val="left"/>
            </w:pPr>
            <w:r>
              <w:t xml:space="preserve">Financieras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right"/>
            </w:pPr>
            <w:r>
              <w:t xml:space="preserve">1.801.147,6 5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Activos </w:t>
            </w:r>
          </w:p>
          <w:p w:rsidR="00E302EC" w:rsidRDefault="00FC4F28">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 Pasivos </w:t>
            </w:r>
          </w:p>
          <w:p w:rsidR="00E302EC" w:rsidRDefault="00FC4F28">
            <w:pPr>
              <w:spacing w:after="0" w:line="259" w:lineRule="auto"/>
              <w:ind w:left="0" w:firstLine="0"/>
              <w:jc w:val="left"/>
            </w:pPr>
            <w:r>
              <w:t xml:space="preserve">Financieros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right"/>
            </w:pPr>
            <w:r>
              <w:t xml:space="preserve">0,00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262"/>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3. RESULTADO PRESUPUESTARIO ( 1 – </w:t>
            </w:r>
          </w:p>
          <w:p w:rsidR="00E302EC" w:rsidRDefault="00FC4F28">
            <w:pPr>
              <w:spacing w:after="0" w:line="259" w:lineRule="auto"/>
              <w:ind w:left="0" w:firstLine="0"/>
              <w:jc w:val="left"/>
            </w:pPr>
            <w:r>
              <w:t xml:space="preserve">2 )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2" w:firstLine="0"/>
              <w:jc w:val="righ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2" w:firstLine="0"/>
              <w:jc w:val="right"/>
            </w:pPr>
            <w:r>
              <w:t>4.564.829,9 3</w:t>
            </w:r>
            <w:r>
              <w:rPr>
                <w:rFonts w:ascii="Times New Roman" w:eastAsia="Times New Roman" w:hAnsi="Times New Roman" w:cs="Times New Roman"/>
                <w:sz w:val="24"/>
              </w:rP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4. DESVIACIONES POSITIVAS  </w:t>
            </w:r>
          </w:p>
          <w:p w:rsidR="00E302EC" w:rsidRDefault="00FC4F28">
            <w:pPr>
              <w:spacing w:after="0" w:line="259" w:lineRule="auto"/>
              <w:ind w:left="0" w:firstLine="0"/>
              <w:jc w:val="left"/>
            </w:pPr>
            <w:r>
              <w:t xml:space="preserve">FINANCIACION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2" w:firstLine="0"/>
              <w:jc w:val="right"/>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9" w:firstLine="0"/>
              <w:jc w:val="right"/>
            </w:pPr>
            <w:r>
              <w:t xml:space="preserve">2.550.979,9 8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5. DESVIACIONES NEGATIVAS  </w:t>
            </w:r>
          </w:p>
          <w:p w:rsidR="00E302EC" w:rsidRDefault="00FC4F28">
            <w:pPr>
              <w:spacing w:after="0" w:line="259" w:lineRule="auto"/>
              <w:ind w:left="0" w:firstLine="0"/>
              <w:jc w:val="left"/>
            </w:pPr>
            <w:r>
              <w:t xml:space="preserve">FINANCIACION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4" w:firstLine="0"/>
            </w:pPr>
            <w:r>
              <w:t xml:space="preserve">1.982.118,45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r w:rsidR="00E302EC">
        <w:trPr>
          <w:trHeight w:val="516"/>
        </w:trPr>
        <w:tc>
          <w:tcPr>
            <w:tcW w:w="451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6. GASTOS FINANCIADOS CON RTE </w:t>
            </w:r>
          </w:p>
          <w:p w:rsidR="00E302EC" w:rsidRDefault="00FC4F28">
            <w:pPr>
              <w:spacing w:after="0" w:line="259" w:lineRule="auto"/>
              <w:ind w:left="0" w:firstLine="0"/>
              <w:jc w:val="left"/>
            </w:pPr>
            <w:r>
              <w:t xml:space="preserve">TESORERIA </w:t>
            </w:r>
          </w:p>
        </w:tc>
        <w:tc>
          <w:tcPr>
            <w:tcW w:w="1424"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1" w:firstLine="0"/>
              <w:jc w:val="right"/>
            </w:pPr>
            <w:r>
              <w:t xml:space="preserve">106.807,44 </w:t>
            </w:r>
          </w:p>
        </w:tc>
        <w:tc>
          <w:tcPr>
            <w:tcW w:w="142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c>
          <w:tcPr>
            <w:tcW w:w="135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w:t>
            </w:r>
          </w:p>
        </w:tc>
      </w:tr>
    </w:tbl>
    <w:p w:rsidR="00E302EC" w:rsidRDefault="00FC4F28">
      <w:pPr>
        <w:spacing w:after="0" w:line="259" w:lineRule="auto"/>
        <w:ind w:left="284" w:firstLine="0"/>
        <w:jc w:val="left"/>
      </w:pPr>
      <w:r>
        <w:t xml:space="preserve"> </w:t>
      </w:r>
    </w:p>
    <w:p w:rsidR="00E302EC" w:rsidRDefault="00FC4F28">
      <w:pPr>
        <w:pStyle w:val="Ttulo2"/>
        <w:ind w:left="341" w:right="1055"/>
      </w:pPr>
      <w:r>
        <w:t>7. RESULTADO PRESUPUESTARIO AJUSTADO                           4.102.775,84    ( 34+5+6 )</w:t>
      </w:r>
      <w:r>
        <w:rPr>
          <w:rFonts w:ascii="Times New Roman" w:eastAsia="Times New Roman" w:hAnsi="Times New Roman" w:cs="Times New Roman"/>
          <w:b w:val="0"/>
          <w:sz w:val="24"/>
        </w:rPr>
        <w:t xml:space="preserve"> </w:t>
      </w:r>
    </w:p>
    <w:p w:rsidR="00E302EC" w:rsidRDefault="00FC4F28">
      <w:pPr>
        <w:spacing w:after="98" w:line="259" w:lineRule="auto"/>
        <w:ind w:left="284" w:firstLine="0"/>
        <w:jc w:val="left"/>
      </w:pPr>
      <w:r>
        <w:t xml:space="preserve"> </w:t>
      </w:r>
    </w:p>
    <w:p w:rsidR="00E302EC" w:rsidRDefault="00FC4F28">
      <w:pPr>
        <w:spacing w:after="98" w:line="259" w:lineRule="auto"/>
        <w:ind w:left="284" w:firstLine="0"/>
        <w:jc w:val="left"/>
      </w:pPr>
      <w:r>
        <w:t xml:space="preserve"> </w:t>
      </w:r>
    </w:p>
    <w:p w:rsidR="00E302EC" w:rsidRDefault="00FC4F28">
      <w:pPr>
        <w:spacing w:after="8" w:line="248" w:lineRule="auto"/>
        <w:ind w:left="1446" w:right="183"/>
      </w:pPr>
      <w:r>
        <w:rPr>
          <w:b/>
        </w:rPr>
        <w:t xml:space="preserve">2.- REMANENTE DE TESORERIA </w:t>
      </w:r>
    </w:p>
    <w:p w:rsidR="00E302EC" w:rsidRDefault="00FC4F28">
      <w:pPr>
        <w:spacing w:after="0" w:line="259" w:lineRule="auto"/>
        <w:ind w:left="284" w:firstLine="0"/>
        <w:jc w:val="left"/>
      </w:pPr>
      <w:r>
        <w:t xml:space="preserve"> </w:t>
      </w:r>
    </w:p>
    <w:tbl>
      <w:tblPr>
        <w:tblStyle w:val="TableGrid"/>
        <w:tblW w:w="8548" w:type="dxa"/>
        <w:tblInd w:w="317" w:type="dxa"/>
        <w:tblCellMar>
          <w:top w:w="22" w:type="dxa"/>
          <w:left w:w="0" w:type="dxa"/>
          <w:bottom w:w="0" w:type="dxa"/>
          <w:right w:w="115" w:type="dxa"/>
        </w:tblCellMar>
        <w:tblLook w:val="04A0" w:firstRow="1" w:lastRow="0" w:firstColumn="1" w:lastColumn="0" w:noHBand="0" w:noVBand="1"/>
      </w:tblPr>
      <w:tblGrid>
        <w:gridCol w:w="646"/>
        <w:gridCol w:w="7902"/>
      </w:tblGrid>
      <w:tr w:rsidR="00E302EC">
        <w:trPr>
          <w:trHeight w:val="277"/>
        </w:trPr>
        <w:tc>
          <w:tcPr>
            <w:tcW w:w="646" w:type="dxa"/>
            <w:tcBorders>
              <w:top w:val="single" w:sz="4" w:space="0" w:color="000000"/>
              <w:left w:val="single" w:sz="4" w:space="0" w:color="000000"/>
              <w:bottom w:val="single" w:sz="4" w:space="0" w:color="000000"/>
              <w:right w:val="nil"/>
            </w:tcBorders>
          </w:tcPr>
          <w:p w:rsidR="00E302EC" w:rsidRDefault="00FC4F28">
            <w:pPr>
              <w:spacing w:after="0" w:line="259" w:lineRule="auto"/>
              <w:ind w:left="70" w:firstLine="0"/>
              <w:jc w:val="left"/>
            </w:pPr>
            <w:r>
              <w:rPr>
                <w:rFonts w:ascii="Segoe UI Symbol" w:eastAsia="Segoe UI Symbol" w:hAnsi="Segoe UI Symbol" w:cs="Segoe UI Symbol"/>
              </w:rPr>
              <w:t></w:t>
            </w:r>
            <w:r>
              <w:t xml:space="preserve"> </w:t>
            </w:r>
          </w:p>
        </w:tc>
        <w:tc>
          <w:tcPr>
            <w:tcW w:w="7902" w:type="dxa"/>
            <w:tcBorders>
              <w:top w:val="single" w:sz="4" w:space="0" w:color="000000"/>
              <w:left w:val="nil"/>
              <w:bottom w:val="single" w:sz="4" w:space="0" w:color="000000"/>
              <w:right w:val="single" w:sz="4" w:space="0" w:color="000000"/>
            </w:tcBorders>
          </w:tcPr>
          <w:p w:rsidR="00E302EC" w:rsidRDefault="00FC4F28">
            <w:pPr>
              <w:spacing w:after="0" w:line="259" w:lineRule="auto"/>
              <w:ind w:left="0" w:firstLine="0"/>
              <w:jc w:val="left"/>
            </w:pPr>
            <w:r>
              <w:rPr>
                <w:b/>
              </w:rPr>
              <w:t xml:space="preserve">REMANENTE DE TESORERIA                  PRESUPUESTO  2021 ( Euros ) </w:t>
            </w:r>
          </w:p>
        </w:tc>
      </w:tr>
    </w:tbl>
    <w:p w:rsidR="00E302EC" w:rsidRDefault="00FC4F28">
      <w:pPr>
        <w:spacing w:after="0" w:line="259" w:lineRule="auto"/>
        <w:ind w:left="284" w:firstLine="0"/>
        <w:jc w:val="left"/>
      </w:pPr>
      <w:r>
        <w:t xml:space="preserve">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41" w:right="528"/>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9677" name="Group 27967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5172" name="Rectangle 1517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5173" name="Rectangle 1517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9677" style="width:12.7031pt;height:273.276pt;position:absolute;mso-position-horizontal-relative:page;mso-position-horizontal:absolute;margin-left:682.278pt;mso-position-vertical-relative:page;margin-top:538.644pt;" coordsize="1613,34706">
                <v:rect id="Rectangle 1517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517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159 </w:t>
                        </w:r>
                      </w:p>
                    </w:txbxContent>
                  </v:textbox>
                </v:rect>
                <w10:wrap type="square"/>
              </v:group>
            </w:pict>
          </mc:Fallback>
        </mc:AlternateContent>
      </w:r>
      <w:r>
        <w:t xml:space="preserve">A)  DERECHOS PENDIENTES DE COBRO                              </w:t>
      </w:r>
      <w:r>
        <w:t xml:space="preserve">                   </w:t>
      </w:r>
    </w:p>
    <w:p w:rsidR="00E302EC" w:rsidRDefault="00FC4F28">
      <w:pPr>
        <w:pStyle w:val="Ttulo2"/>
        <w:ind w:left="341" w:right="528"/>
      </w:pPr>
      <w:r>
        <w:t>11.205.669,36</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p>
    <w:tbl>
      <w:tblPr>
        <w:tblStyle w:val="TableGrid"/>
        <w:tblW w:w="8032" w:type="dxa"/>
        <w:tblInd w:w="833" w:type="dxa"/>
        <w:tblCellMar>
          <w:top w:w="8" w:type="dxa"/>
          <w:left w:w="70" w:type="dxa"/>
          <w:bottom w:w="0" w:type="dxa"/>
          <w:right w:w="12" w:type="dxa"/>
        </w:tblCellMar>
        <w:tblLook w:val="04A0" w:firstRow="1" w:lastRow="0" w:firstColumn="1" w:lastColumn="0" w:noHBand="0" w:noVBand="1"/>
      </w:tblPr>
      <w:tblGrid>
        <w:gridCol w:w="5523"/>
        <w:gridCol w:w="2509"/>
      </w:tblGrid>
      <w:tr w:rsidR="00E302EC">
        <w:trPr>
          <w:trHeight w:val="264"/>
        </w:trPr>
        <w:tc>
          <w:tcPr>
            <w:tcW w:w="552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pPr>
            <w:r>
              <w:t xml:space="preserve">+ DE PRESUPUESTO DE INGRESOS, CORRIENTE  </w:t>
            </w:r>
          </w:p>
        </w:tc>
        <w:tc>
          <w:tcPr>
            <w:tcW w:w="25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right"/>
            </w:pPr>
            <w:r>
              <w:t>430.006,70</w:t>
            </w:r>
            <w:r>
              <w:rPr>
                <w:rFonts w:ascii="Times New Roman" w:eastAsia="Times New Roman" w:hAnsi="Times New Roman" w:cs="Times New Roman"/>
                <w:sz w:val="24"/>
              </w:rPr>
              <w:t xml:space="preserve"> </w:t>
            </w:r>
          </w:p>
        </w:tc>
      </w:tr>
      <w:tr w:rsidR="00E302EC">
        <w:trPr>
          <w:trHeight w:val="264"/>
        </w:trPr>
        <w:tc>
          <w:tcPr>
            <w:tcW w:w="552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PRESUPUESTO DE INGRESOS , CERRADOS </w:t>
            </w:r>
          </w:p>
        </w:tc>
        <w:tc>
          <w:tcPr>
            <w:tcW w:w="25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58" w:firstLine="0"/>
              <w:jc w:val="center"/>
            </w:pPr>
            <w:r>
              <w:t>10.232.756,58</w:t>
            </w:r>
            <w:r>
              <w:rPr>
                <w:rFonts w:ascii="Times New Roman" w:eastAsia="Times New Roman" w:hAnsi="Times New Roman" w:cs="Times New Roman"/>
                <w:sz w:val="24"/>
              </w:rPr>
              <w:t xml:space="preserve"> </w:t>
            </w:r>
          </w:p>
        </w:tc>
      </w:tr>
      <w:tr w:rsidR="00E302EC">
        <w:trPr>
          <w:trHeight w:val="516"/>
        </w:trPr>
        <w:tc>
          <w:tcPr>
            <w:tcW w:w="552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OTRAS OPERACIONES NO </w:t>
            </w:r>
          </w:p>
          <w:p w:rsidR="00E302EC" w:rsidRDefault="00FC4F28">
            <w:pPr>
              <w:spacing w:after="0" w:line="259" w:lineRule="auto"/>
              <w:ind w:left="0" w:firstLine="0"/>
              <w:jc w:val="left"/>
            </w:pPr>
            <w:r>
              <w:t xml:space="preserve">PRESUPUESTARIAS </w:t>
            </w:r>
          </w:p>
        </w:tc>
        <w:tc>
          <w:tcPr>
            <w:tcW w:w="2509"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0" w:firstLine="0"/>
              <w:jc w:val="center"/>
            </w:pPr>
            <w:r>
              <w:t>542.906,08</w:t>
            </w:r>
            <w:r>
              <w:rPr>
                <w:rFonts w:ascii="Times New Roman" w:eastAsia="Times New Roman" w:hAnsi="Times New Roman" w:cs="Times New Roman"/>
                <w:sz w:val="24"/>
              </w:rPr>
              <w:t xml:space="preserve"> </w:t>
            </w:r>
          </w:p>
        </w:tc>
      </w:tr>
    </w:tbl>
    <w:p w:rsidR="00E302EC" w:rsidRDefault="00FC4F28">
      <w:pPr>
        <w:spacing w:after="0" w:line="259" w:lineRule="auto"/>
        <w:ind w:left="284" w:firstLine="0"/>
        <w:jc w:val="left"/>
      </w:pPr>
      <w:r>
        <w:t xml:space="preserve">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41" w:right="528"/>
        <w:jc w:val="left"/>
      </w:pPr>
      <w:r>
        <w:t xml:space="preserve">B) OBLIGACIONES PENDIENTES DE PAGO </w:t>
      </w:r>
      <w:r>
        <w:t xml:space="preserve">                                                     </w:t>
      </w:r>
    </w:p>
    <w:p w:rsidR="00E302EC" w:rsidRDefault="00FC4F28">
      <w:pPr>
        <w:pStyle w:val="Ttulo2"/>
        <w:ind w:left="341" w:right="528"/>
      </w:pPr>
      <w:r>
        <w:t>3.813.018,83</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p>
    <w:tbl>
      <w:tblPr>
        <w:tblStyle w:val="TableGrid"/>
        <w:tblW w:w="8070" w:type="dxa"/>
        <w:tblInd w:w="795" w:type="dxa"/>
        <w:tblCellMar>
          <w:top w:w="8" w:type="dxa"/>
          <w:left w:w="70" w:type="dxa"/>
          <w:bottom w:w="0" w:type="dxa"/>
          <w:right w:w="115" w:type="dxa"/>
        </w:tblCellMar>
        <w:tblLook w:val="04A0" w:firstRow="1" w:lastRow="0" w:firstColumn="1" w:lastColumn="0" w:noHBand="0" w:noVBand="1"/>
      </w:tblPr>
      <w:tblGrid>
        <w:gridCol w:w="5711"/>
        <w:gridCol w:w="2360"/>
      </w:tblGrid>
      <w:tr w:rsidR="00E302EC">
        <w:trPr>
          <w:trHeight w:val="262"/>
        </w:trPr>
        <w:tc>
          <w:tcPr>
            <w:tcW w:w="571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PRESUPUESTO DE GASTOS, CORRIENTE </w:t>
            </w:r>
          </w:p>
        </w:tc>
        <w:tc>
          <w:tcPr>
            <w:tcW w:w="23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8" w:firstLine="0"/>
              <w:jc w:val="center"/>
            </w:pPr>
            <w:r>
              <w:t>1.905.261,12</w:t>
            </w:r>
            <w:r>
              <w:rPr>
                <w:rFonts w:ascii="Times New Roman" w:eastAsia="Times New Roman" w:hAnsi="Times New Roman" w:cs="Times New Roman"/>
                <w:sz w:val="24"/>
              </w:rPr>
              <w:t xml:space="preserve"> </w:t>
            </w:r>
          </w:p>
        </w:tc>
      </w:tr>
      <w:tr w:rsidR="00E302EC">
        <w:trPr>
          <w:trHeight w:val="264"/>
        </w:trPr>
        <w:tc>
          <w:tcPr>
            <w:tcW w:w="571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PRESUPUESTO DE GASTOS , CERRADOS </w:t>
            </w:r>
          </w:p>
        </w:tc>
        <w:tc>
          <w:tcPr>
            <w:tcW w:w="23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8" w:firstLine="0"/>
              <w:jc w:val="center"/>
            </w:pPr>
            <w:r>
              <w:t>497.596,52</w:t>
            </w:r>
            <w:r>
              <w:rPr>
                <w:rFonts w:ascii="Times New Roman" w:eastAsia="Times New Roman" w:hAnsi="Times New Roman" w:cs="Times New Roman"/>
                <w:sz w:val="24"/>
              </w:rPr>
              <w:t xml:space="preserve"> </w:t>
            </w:r>
          </w:p>
        </w:tc>
      </w:tr>
      <w:tr w:rsidR="00E302EC">
        <w:trPr>
          <w:trHeight w:val="264"/>
        </w:trPr>
        <w:tc>
          <w:tcPr>
            <w:tcW w:w="5711"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firstLine="0"/>
              <w:jc w:val="left"/>
            </w:pPr>
            <w:r>
              <w:t xml:space="preserve">+ DE OPERACIONES NO PRESUPUESTARIAS </w:t>
            </w:r>
          </w:p>
        </w:tc>
        <w:tc>
          <w:tcPr>
            <w:tcW w:w="236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48" w:firstLine="0"/>
              <w:jc w:val="center"/>
            </w:pPr>
            <w:r>
              <w:t>1.410.161,19</w:t>
            </w:r>
            <w:r>
              <w:rPr>
                <w:rFonts w:ascii="Times New Roman" w:eastAsia="Times New Roman" w:hAnsi="Times New Roman" w:cs="Times New Roman"/>
                <w:sz w:val="24"/>
              </w:rPr>
              <w:t xml:space="preserve"> </w:t>
            </w:r>
          </w:p>
        </w:tc>
      </w:tr>
    </w:tbl>
    <w:p w:rsidR="00E302EC" w:rsidRDefault="00FC4F28">
      <w:pPr>
        <w:spacing w:after="35" w:line="259" w:lineRule="auto"/>
        <w:ind w:left="284" w:firstLine="0"/>
        <w:jc w:val="left"/>
      </w:pPr>
      <w:r>
        <w:t xml:space="preserve"> </w:t>
      </w:r>
    </w:p>
    <w:p w:rsidR="00E302EC" w:rsidRDefault="00FC4F28">
      <w:pPr>
        <w:numPr>
          <w:ilvl w:val="0"/>
          <w:numId w:val="34"/>
        </w:numPr>
        <w:pBdr>
          <w:top w:val="single" w:sz="2" w:space="0" w:color="000000"/>
          <w:left w:val="single" w:sz="2" w:space="0" w:color="000000"/>
          <w:bottom w:val="single" w:sz="2" w:space="0" w:color="000000"/>
          <w:right w:val="single" w:sz="2" w:space="0" w:color="000000"/>
        </w:pBdr>
        <w:spacing w:after="52" w:line="231" w:lineRule="auto"/>
        <w:ind w:left="676" w:right="512" w:hanging="295"/>
        <w:jc w:val="left"/>
      </w:pPr>
      <w:r>
        <w:t>PARTIDAS PENDIENTES DE APLICACIÓN.......................................................</w:t>
      </w:r>
      <w:r>
        <w:rPr>
          <w:b/>
        </w:rPr>
        <w:t>132.750,29</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tbl>
      <w:tblPr>
        <w:tblStyle w:val="TableGrid"/>
        <w:tblW w:w="8051" w:type="dxa"/>
        <w:tblInd w:w="797" w:type="dxa"/>
        <w:tblCellMar>
          <w:top w:w="57" w:type="dxa"/>
          <w:left w:w="55" w:type="dxa"/>
          <w:bottom w:w="0" w:type="dxa"/>
          <w:right w:w="0" w:type="dxa"/>
        </w:tblCellMar>
        <w:tblLook w:val="04A0" w:firstRow="1" w:lastRow="0" w:firstColumn="1" w:lastColumn="0" w:noHBand="0" w:noVBand="1"/>
      </w:tblPr>
      <w:tblGrid>
        <w:gridCol w:w="6171"/>
        <w:gridCol w:w="1880"/>
      </w:tblGrid>
      <w:tr w:rsidR="00E302EC">
        <w:trPr>
          <w:trHeight w:val="620"/>
        </w:trPr>
        <w:tc>
          <w:tcPr>
            <w:tcW w:w="6171" w:type="dxa"/>
            <w:tcBorders>
              <w:top w:val="single" w:sz="2" w:space="0" w:color="000000"/>
              <w:left w:val="single" w:sz="2" w:space="0" w:color="000000"/>
              <w:bottom w:val="single" w:sz="2" w:space="0" w:color="000000"/>
              <w:right w:val="single" w:sz="2" w:space="0" w:color="000000"/>
            </w:tcBorders>
          </w:tcPr>
          <w:p w:rsidR="00E302EC" w:rsidRDefault="00FC4F28">
            <w:pPr>
              <w:spacing w:after="0" w:line="259" w:lineRule="auto"/>
              <w:ind w:left="0" w:firstLine="0"/>
              <w:jc w:val="left"/>
            </w:pPr>
            <w:r>
              <w:t xml:space="preserve">- COBROS REALIZADOS PENDIENTES DE APLICACIÓN </w:t>
            </w:r>
          </w:p>
          <w:p w:rsidR="00E302EC" w:rsidRDefault="00FC4F28">
            <w:pPr>
              <w:spacing w:after="0" w:line="259" w:lineRule="auto"/>
              <w:ind w:left="0" w:firstLine="0"/>
              <w:jc w:val="left"/>
            </w:pPr>
            <w:r>
              <w:t xml:space="preserve">DEFINITIVA </w:t>
            </w:r>
          </w:p>
        </w:tc>
        <w:tc>
          <w:tcPr>
            <w:tcW w:w="1880" w:type="dxa"/>
            <w:tcBorders>
              <w:top w:val="single" w:sz="2" w:space="0" w:color="000000"/>
              <w:left w:val="single" w:sz="2" w:space="0" w:color="000000"/>
              <w:bottom w:val="single" w:sz="2" w:space="0" w:color="000000"/>
              <w:right w:val="single" w:sz="2" w:space="0" w:color="000000"/>
            </w:tcBorders>
          </w:tcPr>
          <w:p w:rsidR="00E302EC" w:rsidRDefault="00FC4F28">
            <w:pPr>
              <w:spacing w:after="0" w:line="259" w:lineRule="auto"/>
              <w:ind w:left="0" w:right="53" w:firstLine="0"/>
              <w:jc w:val="center"/>
            </w:pPr>
            <w:r>
              <w:t xml:space="preserve">132.750,29 </w:t>
            </w:r>
          </w:p>
        </w:tc>
      </w:tr>
      <w:tr w:rsidR="00E302EC">
        <w:trPr>
          <w:trHeight w:val="617"/>
        </w:trPr>
        <w:tc>
          <w:tcPr>
            <w:tcW w:w="6171" w:type="dxa"/>
            <w:tcBorders>
              <w:top w:val="single" w:sz="2" w:space="0" w:color="000000"/>
              <w:left w:val="single" w:sz="2" w:space="0" w:color="000000"/>
              <w:bottom w:val="single" w:sz="2" w:space="0" w:color="000000"/>
              <w:right w:val="single" w:sz="2" w:space="0" w:color="000000"/>
            </w:tcBorders>
          </w:tcPr>
          <w:p w:rsidR="00E302EC" w:rsidRDefault="00FC4F28">
            <w:pPr>
              <w:spacing w:after="0" w:line="259" w:lineRule="auto"/>
              <w:ind w:left="0" w:firstLine="0"/>
              <w:jc w:val="left"/>
            </w:pPr>
            <w:r>
              <w:t xml:space="preserve">+ PAGOS REALIZADOS PENDIENTES DE APLICACIÓN </w:t>
            </w:r>
          </w:p>
          <w:p w:rsidR="00E302EC" w:rsidRDefault="00FC4F28">
            <w:pPr>
              <w:spacing w:after="0" w:line="259" w:lineRule="auto"/>
              <w:ind w:left="0" w:firstLine="0"/>
              <w:jc w:val="left"/>
            </w:pPr>
            <w:r>
              <w:t xml:space="preserve">DEFINITIVA </w:t>
            </w:r>
          </w:p>
        </w:tc>
        <w:tc>
          <w:tcPr>
            <w:tcW w:w="1880" w:type="dxa"/>
            <w:tcBorders>
              <w:top w:val="single" w:sz="2" w:space="0" w:color="000000"/>
              <w:left w:val="single" w:sz="2" w:space="0" w:color="000000"/>
              <w:bottom w:val="single" w:sz="2" w:space="0" w:color="000000"/>
              <w:right w:val="single" w:sz="2" w:space="0" w:color="000000"/>
            </w:tcBorders>
          </w:tcPr>
          <w:p w:rsidR="00E302EC" w:rsidRDefault="00FC4F28">
            <w:pPr>
              <w:spacing w:after="0" w:line="259" w:lineRule="auto"/>
              <w:ind w:left="0" w:right="55" w:firstLine="0"/>
              <w:jc w:val="right"/>
            </w:pPr>
            <w:r>
              <w:t xml:space="preserve">0 </w:t>
            </w:r>
          </w:p>
        </w:tc>
      </w:tr>
    </w:tbl>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numPr>
          <w:ilvl w:val="0"/>
          <w:numId w:val="34"/>
        </w:numPr>
        <w:pBdr>
          <w:top w:val="single" w:sz="4" w:space="0" w:color="000000"/>
          <w:left w:val="single" w:sz="4" w:space="0" w:color="000000"/>
          <w:bottom w:val="single" w:sz="4" w:space="0" w:color="000000"/>
          <w:right w:val="single" w:sz="4" w:space="0" w:color="000000"/>
        </w:pBdr>
        <w:spacing w:after="0" w:line="259" w:lineRule="auto"/>
        <w:ind w:left="626" w:right="528" w:hanging="295"/>
        <w:jc w:val="left"/>
      </w:pPr>
      <w:r>
        <w:t xml:space="preserve">FONDOS LÍQUIDOS DE TESORERIA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41" w:right="528"/>
        <w:jc w:val="left"/>
      </w:pPr>
      <w:r>
        <w:rPr>
          <w:b/>
        </w:rPr>
        <w:t>25.414.379,08</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pStyle w:val="Ttulo1"/>
        <w:pBdr>
          <w:top w:val="single" w:sz="4" w:space="0" w:color="000000"/>
          <w:left w:val="single" w:sz="4" w:space="0" w:color="000000"/>
          <w:bottom w:val="single" w:sz="4" w:space="0" w:color="000000"/>
          <w:right w:val="single" w:sz="4" w:space="0" w:color="000000"/>
        </w:pBdr>
        <w:spacing w:after="0"/>
        <w:ind w:left="341" w:right="1055"/>
        <w:jc w:val="left"/>
      </w:pPr>
      <w:r>
        <w:t>F) REMANENTE DE TESORERIA  TOTAL                                          32.674.279,29       ( A – B + C+D)</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15"/>
        <w:jc w:val="left"/>
      </w:pPr>
      <w:r>
        <w:rPr>
          <w:i/>
          <w:color w:val="2E74B5"/>
        </w:rPr>
        <w:t xml:space="preserve">G) SALDOS DE DUDOSO COBRO </w:t>
      </w:r>
      <w:r>
        <w:rPr>
          <w:i/>
          <w:color w:val="2E74B5"/>
        </w:rPr>
        <w:t xml:space="preserve">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15"/>
        <w:jc w:val="left"/>
      </w:pPr>
      <w:r>
        <w:rPr>
          <w:i/>
          <w:color w:val="2E74B5"/>
        </w:rPr>
        <w:t xml:space="preserve">9.397.675,29 </w:t>
      </w:r>
    </w:p>
    <w:p w:rsidR="00E302EC" w:rsidRDefault="00FC4F28">
      <w:pPr>
        <w:spacing w:after="0" w:line="259" w:lineRule="auto"/>
        <w:ind w:left="284" w:firstLine="0"/>
        <w:jc w:val="left"/>
      </w:pPr>
      <w:r>
        <w:t xml:space="preserve"> </w:t>
      </w:r>
    </w:p>
    <w:p w:rsidR="00E302EC" w:rsidRDefault="00FC4F28">
      <w:pPr>
        <w:pStyle w:val="Ttulo1"/>
        <w:pBdr>
          <w:top w:val="single" w:sz="4" w:space="0" w:color="000000"/>
          <w:left w:val="single" w:sz="4" w:space="0" w:color="000000"/>
          <w:bottom w:val="single" w:sz="4" w:space="0" w:color="000000"/>
          <w:right w:val="single" w:sz="4" w:space="0" w:color="000000"/>
        </w:pBdr>
        <w:spacing w:after="0"/>
        <w:ind w:left="341" w:right="528"/>
        <w:jc w:val="left"/>
      </w:pPr>
      <w:r>
        <w:t>H) EXCESO DE FINANCIACION AFECTADA</w:t>
      </w:r>
      <w:r>
        <w:rPr>
          <w:b w:val="0"/>
        </w:rPr>
        <w:t xml:space="preserve">                                                     </w:t>
      </w:r>
    </w:p>
    <w:p w:rsidR="00E302EC" w:rsidRDefault="00FC4F28">
      <w:pPr>
        <w:pBdr>
          <w:top w:val="single" w:sz="4" w:space="0" w:color="000000"/>
          <w:left w:val="single" w:sz="4" w:space="0" w:color="000000"/>
          <w:bottom w:val="single" w:sz="4" w:space="0" w:color="000000"/>
          <w:right w:val="single" w:sz="4" w:space="0" w:color="000000"/>
        </w:pBdr>
        <w:spacing w:after="0" w:line="259" w:lineRule="auto"/>
        <w:ind w:left="341" w:right="528"/>
        <w:jc w:val="left"/>
      </w:pPr>
      <w:r>
        <w:t>4.794.579,85</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7293" name="Group 27729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5631" name="Rectangle 1563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5632" name="Rectangle 1563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7293" style="width:12.7031pt;height:273.276pt;position:absolute;mso-position-horizontal-relative:page;mso-position-horizontal:absolute;margin-left:682.278pt;mso-position-vertical-relative:page;margin-top:538.644pt;" coordsize="1613,34706">
                <v:rect id="Rectangle 1563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563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159 </w:t>
                        </w:r>
                      </w:p>
                    </w:txbxContent>
                  </v:textbox>
                </v:rect>
                <w10:wrap type="square"/>
              </v:group>
            </w:pict>
          </mc:Fallback>
        </mc:AlternateContent>
      </w:r>
      <w:r>
        <w:t xml:space="preserve"> </w:t>
      </w:r>
    </w:p>
    <w:p w:rsidR="00E302EC" w:rsidRDefault="00FC4F28">
      <w:pPr>
        <w:pStyle w:val="Ttulo1"/>
        <w:pBdr>
          <w:top w:val="single" w:sz="4" w:space="0" w:color="000000"/>
          <w:left w:val="single" w:sz="4" w:space="0" w:color="000000"/>
          <w:bottom w:val="single" w:sz="4" w:space="0" w:color="000000"/>
          <w:right w:val="single" w:sz="4" w:space="0" w:color="000000"/>
        </w:pBdr>
        <w:spacing w:after="0"/>
        <w:ind w:left="341" w:right="1055"/>
        <w:jc w:val="left"/>
      </w:pPr>
      <w:r>
        <w:t xml:space="preserve">I) REMANENTE DE TESORERÍA PARA GASTOS GENERALES             </w:t>
      </w:r>
      <w:r>
        <w:t xml:space="preserve">   + </w:t>
      </w:r>
    </w:p>
    <w:p w:rsidR="00E302EC" w:rsidRDefault="00FC4F28">
      <w:pPr>
        <w:pStyle w:val="Ttulo2"/>
        <w:ind w:left="341" w:right="1055"/>
      </w:pPr>
      <w:r>
        <w:t>18.482.024,15   ( F - G - H )</w:t>
      </w:r>
      <w:r>
        <w:rPr>
          <w:rFonts w:ascii="Times New Roman" w:eastAsia="Times New Roman" w:hAnsi="Times New Roman" w:cs="Times New Roman"/>
          <w:b w:val="0"/>
          <w:sz w:val="24"/>
        </w:rPr>
        <w:t xml:space="preserve"> </w:t>
      </w:r>
    </w:p>
    <w:p w:rsidR="00E302EC" w:rsidRDefault="00FC4F28">
      <w:pPr>
        <w:spacing w:after="261" w:line="259" w:lineRule="auto"/>
        <w:ind w:left="284" w:firstLine="0"/>
        <w:jc w:val="left"/>
      </w:pPr>
      <w:r>
        <w:t xml:space="preserve"> </w:t>
      </w:r>
    </w:p>
    <w:p w:rsidR="00E302EC" w:rsidRDefault="00FC4F28">
      <w:pPr>
        <w:ind w:left="279" w:right="184"/>
      </w:pPr>
      <w:r>
        <w:t xml:space="preserve"> </w:t>
      </w:r>
      <w:r>
        <w:t>Así, de los datos obtenidos de ejercicios cerrados, tenemos detallados los importes cobrados en dichos ejercicios, la cantidad que está pendiente de cobro y el saldo de dudoso cobro, de acuerdo con los porcentajes establecidos en las Bases del Presupuesto:</w:t>
      </w:r>
      <w:r>
        <w:t xml:space="preserve"> </w:t>
      </w:r>
    </w:p>
    <w:tbl>
      <w:tblPr>
        <w:tblStyle w:val="TableGrid"/>
        <w:tblW w:w="8620" w:type="dxa"/>
        <w:tblInd w:w="284" w:type="dxa"/>
        <w:tblCellMar>
          <w:top w:w="6" w:type="dxa"/>
          <w:left w:w="0" w:type="dxa"/>
          <w:bottom w:w="0" w:type="dxa"/>
          <w:right w:w="48" w:type="dxa"/>
        </w:tblCellMar>
        <w:tblLook w:val="04A0" w:firstRow="1" w:lastRow="0" w:firstColumn="1" w:lastColumn="0" w:noHBand="0" w:noVBand="1"/>
      </w:tblPr>
      <w:tblGrid>
        <w:gridCol w:w="2050"/>
        <w:gridCol w:w="2257"/>
        <w:gridCol w:w="2015"/>
        <w:gridCol w:w="256"/>
        <w:gridCol w:w="2043"/>
      </w:tblGrid>
      <w:tr w:rsidR="00E302EC">
        <w:trPr>
          <w:trHeight w:val="771"/>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IMPORTES COBRADOS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rPr>
                <w:b/>
              </w:rPr>
              <w:t xml:space="preserve">IMPORTES </w:t>
            </w:r>
          </w:p>
          <w:p w:rsidR="00E302EC" w:rsidRDefault="00FC4F28">
            <w:pPr>
              <w:spacing w:after="0" w:line="259" w:lineRule="auto"/>
              <w:ind w:left="108" w:firstLine="0"/>
              <w:jc w:val="left"/>
            </w:pPr>
            <w:r>
              <w:rPr>
                <w:b/>
              </w:rPr>
              <w:t xml:space="preserve">PENDIENTES </w:t>
            </w:r>
          </w:p>
          <w:p w:rsidR="00E302EC" w:rsidRDefault="00FC4F28">
            <w:pPr>
              <w:spacing w:after="0" w:line="259" w:lineRule="auto"/>
              <w:ind w:left="108" w:firstLine="0"/>
              <w:jc w:val="left"/>
            </w:pPr>
            <w:r>
              <w:rPr>
                <w:b/>
              </w:rPr>
              <w:t xml:space="preserve">31/12/2021 </w:t>
            </w:r>
          </w:p>
        </w:tc>
        <w:tc>
          <w:tcPr>
            <w:tcW w:w="256" w:type="dxa"/>
            <w:tcBorders>
              <w:top w:val="single" w:sz="4" w:space="0" w:color="000000"/>
              <w:left w:val="nil"/>
              <w:bottom w:val="single" w:sz="4" w:space="0" w:color="000000"/>
              <w:right w:val="single" w:sz="4" w:space="0" w:color="000000"/>
            </w:tcBorders>
            <w:vAlign w:val="center"/>
          </w:tcPr>
          <w:p w:rsidR="00E302EC" w:rsidRDefault="00FC4F28">
            <w:pPr>
              <w:spacing w:after="0" w:line="259" w:lineRule="auto"/>
              <w:ind w:left="0" w:firstLine="0"/>
            </w:pPr>
            <w:r>
              <w:rPr>
                <w:b/>
              </w:rPr>
              <w:t xml:space="preserve">A </w:t>
            </w: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rPr>
                <w:b/>
              </w:rPr>
              <w:t>SALDO DUDOSO COBRO</w:t>
            </w:r>
            <w:r>
              <w:rPr>
                <w:rFonts w:ascii="Times New Roman" w:eastAsia="Times New Roman" w:hAnsi="Times New Roman" w:cs="Times New Roman"/>
                <w:sz w:val="24"/>
              </w:rPr>
              <w:t xml:space="preserve">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2020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62.901,90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162.964,06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40.741,02</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52.960,91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375.776,90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93.944,23</w:t>
            </w:r>
            <w:r>
              <w:rPr>
                <w:rFonts w:ascii="Times New Roman" w:eastAsia="Times New Roman" w:hAnsi="Times New Roman" w:cs="Times New Roman"/>
                <w:sz w:val="24"/>
              </w:rPr>
              <w:t xml:space="preserve">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102.762,65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384.248,97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192.124,49</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70.231,84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743.336,24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557.502,18</w:t>
            </w:r>
            <w:r>
              <w:rPr>
                <w:rFonts w:ascii="Times New Roman" w:eastAsia="Times New Roman" w:hAnsi="Times New Roman" w:cs="Times New Roman"/>
                <w:sz w:val="24"/>
              </w:rPr>
              <w:t xml:space="preserve">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2016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16.990,83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212.268,17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159.201,13</w:t>
            </w:r>
            <w:r>
              <w:rPr>
                <w:rFonts w:ascii="Times New Roman" w:eastAsia="Times New Roman" w:hAnsi="Times New Roman" w:cs="Times New Roman"/>
                <w:sz w:val="24"/>
              </w:rPr>
              <w:t xml:space="preserve"> </w:t>
            </w:r>
          </w:p>
        </w:tc>
      </w:tr>
      <w:tr w:rsidR="00E302EC">
        <w:trPr>
          <w:trHeight w:val="262"/>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2015-1991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t xml:space="preserve">49.065,97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t xml:space="preserve">8.354.162,24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t xml:space="preserve">8.354.162,24 </w:t>
            </w:r>
          </w:p>
        </w:tc>
      </w:tr>
      <w:tr w:rsidR="00E302EC">
        <w:trPr>
          <w:trHeight w:val="264"/>
        </w:trPr>
        <w:tc>
          <w:tcPr>
            <w:tcW w:w="2050"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8" w:firstLine="0"/>
              <w:jc w:val="left"/>
            </w:pPr>
            <w:r>
              <w:rPr>
                <w:b/>
              </w:rPr>
              <w:t xml:space="preserve">354.914,10 </w:t>
            </w:r>
          </w:p>
        </w:tc>
        <w:tc>
          <w:tcPr>
            <w:tcW w:w="2015" w:type="dxa"/>
            <w:tcBorders>
              <w:top w:val="single" w:sz="4" w:space="0" w:color="000000"/>
              <w:left w:val="single" w:sz="4" w:space="0" w:color="000000"/>
              <w:bottom w:val="single" w:sz="4" w:space="0" w:color="000000"/>
              <w:right w:val="nil"/>
            </w:tcBorders>
          </w:tcPr>
          <w:p w:rsidR="00E302EC" w:rsidRDefault="00FC4F28">
            <w:pPr>
              <w:spacing w:after="0" w:line="259" w:lineRule="auto"/>
              <w:ind w:left="108" w:firstLine="0"/>
              <w:jc w:val="left"/>
            </w:pPr>
            <w:r>
              <w:rPr>
                <w:b/>
              </w:rPr>
              <w:t xml:space="preserve">10.232.756,58 </w:t>
            </w:r>
          </w:p>
        </w:tc>
        <w:tc>
          <w:tcPr>
            <w:tcW w:w="256" w:type="dxa"/>
            <w:tcBorders>
              <w:top w:val="single" w:sz="4" w:space="0" w:color="000000"/>
              <w:left w:val="nil"/>
              <w:bottom w:val="single" w:sz="4" w:space="0" w:color="000000"/>
              <w:right w:val="single" w:sz="4" w:space="0" w:color="000000"/>
            </w:tcBorders>
          </w:tcPr>
          <w:p w:rsidR="00E302EC" w:rsidRDefault="00E302EC">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106" w:firstLine="0"/>
              <w:jc w:val="left"/>
            </w:pPr>
            <w:r>
              <w:rPr>
                <w:b/>
              </w:rPr>
              <w:t>9.397.675,29</w:t>
            </w:r>
            <w:r>
              <w:rPr>
                <w:rFonts w:ascii="Times New Roman" w:eastAsia="Times New Roman" w:hAnsi="Times New Roman" w:cs="Times New Roman"/>
                <w:sz w:val="24"/>
              </w:rPr>
              <w:t xml:space="preserve"> </w:t>
            </w:r>
          </w:p>
        </w:tc>
      </w:tr>
    </w:tbl>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3.-</w:t>
      </w:r>
      <w:r>
        <w:rPr>
          <w:b/>
        </w:rPr>
        <w:t>INDICADORES DE SANEAMIENTO Y CONDICIONANTES DE LIBRE DISPOSICIÓN, QUE SE IMPONEN PARA LA DISTRIBUCIÓN DEL FONDO CANARIO DE FINANCIACIÓN MUNICIPAL DEL EJERCICIO 2019</w:t>
      </w:r>
      <w:r>
        <w:rPr>
          <w:rFonts w:ascii="Times New Roman" w:eastAsia="Times New Roman" w:hAnsi="Times New Roman" w:cs="Times New Roman"/>
          <w:sz w:val="24"/>
        </w:rPr>
        <w:t xml:space="preserve"> </w:t>
      </w:r>
    </w:p>
    <w:p w:rsidR="00E302EC" w:rsidRDefault="00FC4F28">
      <w:pPr>
        <w:spacing w:after="0" w:line="259" w:lineRule="auto"/>
        <w:ind w:left="992" w:firstLine="0"/>
        <w:jc w:val="left"/>
      </w:pPr>
      <w:r>
        <w:t xml:space="preserve"> </w:t>
      </w:r>
    </w:p>
    <w:p w:rsidR="00E302EC" w:rsidRDefault="00FC4F28">
      <w:pPr>
        <w:spacing w:after="105" w:line="259" w:lineRule="auto"/>
        <w:ind w:left="567" w:firstLine="0"/>
        <w:jc w:val="left"/>
      </w:pPr>
      <w:r>
        <w:t xml:space="preserve"> </w:t>
      </w:r>
      <w:r>
        <w:tab/>
        <w:t xml:space="preserve"> </w:t>
      </w:r>
      <w:r>
        <w:tab/>
        <w:t xml:space="preserve"> </w:t>
      </w:r>
    </w:p>
    <w:p w:rsidR="00E302EC" w:rsidRDefault="00FC4F28">
      <w:pPr>
        <w:spacing w:after="166"/>
        <w:ind w:left="577" w:right="184"/>
      </w:pPr>
      <w:r>
        <w:t>La Ley 3/1999 de 4 de febrero, del Fondo Canario de Financiación Municipal, regula cinco indicadores de saneamiento y condicionantes de libre disposición, esto es, remanente de tesorería para gastos generales, gestión recaudatoria, endeudamiento a largo pl</w:t>
      </w:r>
      <w:r>
        <w:t xml:space="preserve">azo, esfuerzo fiscal y el ratio de Ahorro Neto. </w:t>
      </w:r>
    </w:p>
    <w:p w:rsidR="00E302EC" w:rsidRDefault="00FC4F28">
      <w:pPr>
        <w:numPr>
          <w:ilvl w:val="0"/>
          <w:numId w:val="35"/>
        </w:numPr>
        <w:ind w:right="184" w:hanging="360"/>
      </w:pPr>
      <w:r>
        <w:t>Remanente de Tesorería para Gastos Generales, que importa la cantidad de 18.482.024,15 Euros, se impone que sea superior al 1 %, de los derechos reconocidos netos por capítulos I al V de Ingresos en la Liqui</w:t>
      </w:r>
      <w:r>
        <w:t>dación del Presupuesto, que asciende a 26.844.541,72 Euros, sale positivo en el 67,84 % frente al 68,8 %, también con signo positivo, del ejercicio anterior.</w:t>
      </w:r>
      <w:r>
        <w:rPr>
          <w:rFonts w:ascii="Times New Roman" w:eastAsia="Times New Roman" w:hAnsi="Times New Roman" w:cs="Times New Roman"/>
          <w:sz w:val="24"/>
        </w:rPr>
        <w:t xml:space="preserve"> </w:t>
      </w:r>
    </w:p>
    <w:p w:rsidR="00E302EC" w:rsidRDefault="00FC4F28">
      <w:pPr>
        <w:spacing w:after="29" w:line="259" w:lineRule="auto"/>
        <w:ind w:left="644" w:firstLine="0"/>
        <w:jc w:val="left"/>
      </w:pPr>
      <w:r>
        <w:t xml:space="preserve"> </w:t>
      </w:r>
    </w:p>
    <w:p w:rsidR="00E302EC" w:rsidRDefault="00FC4F28">
      <w:pPr>
        <w:numPr>
          <w:ilvl w:val="0"/>
          <w:numId w:val="35"/>
        </w:numPr>
        <w:ind w:right="184" w:hanging="360"/>
      </w:pPr>
      <w:r>
        <w:t>Ahorro Neto, es un ratio que, a diferencia del ratio de ahorro bruto que mide la capacidad de a</w:t>
      </w:r>
      <w:r>
        <w:t>utofinanciación de las inversiones, es un ratio que nos indica la capacidad  de endeudamiento de la entidad Local, que se establece que sea superior al 6 por 100  de los derechos reconocidos netos por capítulos I al V de Ingresos en la Liquidación del pres</w:t>
      </w:r>
      <w:r>
        <w:t>upuesto, viene dado por la diferencia de los derechos reconocidos netos por los capítulos I al V de Ingresos (26.844.541,72 Euros) y las obligaciones reconocidas netas por los capítulos I, II y IV, una vez deducidas las obligaciones financiadas con remanen</w:t>
      </w:r>
      <w:r>
        <w:t xml:space="preserve">te de tesorería para gastos generales, que importaron la cantidad de 106.807,44 Euros (22.535.480,98 Euros) y una anualidad teórica de amortización (39.375,45 Euros), que incluye los capítulos III y IX.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654" w:right="184"/>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6757" name="Group 23675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5752" name="Rectangle 1575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5753" name="Rectangle 1575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6757" style="width:12.7031pt;height:273.276pt;position:absolute;mso-position-horizontal-relative:page;mso-position-horizontal:absolute;margin-left:682.278pt;mso-position-vertical-relative:page;margin-top:538.644pt;" coordsize="1613,34706">
                <v:rect id="Rectangle 1575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575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159 </w:t>
                        </w:r>
                      </w:p>
                    </w:txbxContent>
                  </v:textbox>
                </v:rect>
                <w10:wrap type="square"/>
              </v:group>
            </w:pict>
          </mc:Fallback>
        </mc:AlternateContent>
      </w:r>
      <w:r>
        <w:t>Ello nos da un Ahorro Neto positivo de 4.269.684,77 Euros (que</w:t>
      </w:r>
      <w:r>
        <w:t xml:space="preserve"> fue negativo en 246.223,93 Euros en el año 2020), esto es, un porcentaje positivo del 15,9 %, frente al -0,01 %, de los derechos reconocidos netos por capítulos I al V de Ingresos en la Liquidación del Presupuesto del ejercicio anterior.  </w:t>
      </w:r>
    </w:p>
    <w:p w:rsidR="00E302EC" w:rsidRDefault="00FC4F28">
      <w:pPr>
        <w:spacing w:after="29" w:line="259" w:lineRule="auto"/>
        <w:ind w:left="644" w:firstLine="0"/>
        <w:jc w:val="left"/>
      </w:pPr>
      <w:r>
        <w:t xml:space="preserve"> </w:t>
      </w:r>
    </w:p>
    <w:p w:rsidR="00E302EC" w:rsidRDefault="00FC4F28">
      <w:pPr>
        <w:numPr>
          <w:ilvl w:val="0"/>
          <w:numId w:val="35"/>
        </w:numPr>
        <w:ind w:right="184" w:hanging="360"/>
      </w:pPr>
      <w:r>
        <w:t xml:space="preserve">Endeudamiento a Largo Plazo que se impone que sea inferior al 70 por 100 de los derechos reconocidos netos por capítulos I al V de Ingresos en la Liquidación del Presupuesto. </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ind w:left="654" w:right="184"/>
      </w:pPr>
      <w:r>
        <w:t>La deuda financiera del Ayuntamiento, a 31 de diciembre de 2021, es nula.</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spacing w:after="0" w:line="259" w:lineRule="auto"/>
        <w:ind w:left="644" w:firstLine="0"/>
        <w:jc w:val="left"/>
      </w:pPr>
      <w:r>
        <w:t xml:space="preserve"> </w:t>
      </w:r>
    </w:p>
    <w:p w:rsidR="00E302EC" w:rsidRDefault="00FC4F28">
      <w:pPr>
        <w:ind w:left="654" w:right="184"/>
      </w:pPr>
      <w:r>
        <w:t>Dado que los derechos reconocidos netos por los capítulos I al V de Ingresos, asciende a 26.320.724,04 Euros, este Ratio importa un 0 %, igual que el obtenido en la Liquidación del presupuesto del ejercicio 2020.</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numPr>
          <w:ilvl w:val="0"/>
          <w:numId w:val="35"/>
        </w:numPr>
        <w:ind w:right="184" w:hanging="360"/>
      </w:pPr>
      <w:r>
        <w:t xml:space="preserve">Gestión Recaudatoria superior al 75 % </w:t>
      </w:r>
      <w:r>
        <w:t>de los derechos reconocidos netos por capítulos I al III de Ingresos en la Liquidación del Presupuesto, viene dado por el cociente entre los derechos recaudados por esos capítulos de ingresos (14.496.125,14 Euros) y los derechos reconocidos netos por los m</w:t>
      </w:r>
      <w:r>
        <w:t xml:space="preserve">ismos capítulos I, II y III (14.926.131,84 Euros), llega al 85,6 %, frente al 98,3 % del ejercicio 2020.  </w:t>
      </w:r>
    </w:p>
    <w:p w:rsidR="00E302EC" w:rsidRDefault="00FC4F28">
      <w:pPr>
        <w:spacing w:after="29" w:line="259" w:lineRule="auto"/>
        <w:ind w:left="644" w:firstLine="0"/>
        <w:jc w:val="left"/>
      </w:pPr>
      <w:r>
        <w:t xml:space="preserve"> </w:t>
      </w:r>
    </w:p>
    <w:p w:rsidR="00E302EC" w:rsidRDefault="00FC4F28">
      <w:pPr>
        <w:numPr>
          <w:ilvl w:val="0"/>
          <w:numId w:val="35"/>
        </w:numPr>
        <w:ind w:right="184" w:hanging="360"/>
      </w:pPr>
      <w:r>
        <w:t>Esfuerzo Fiscal, que se exige que sea superior al 70,66 por 100, se encuentra por encima del ochenta y cinco por ciento, como en el ejercicio del 2</w:t>
      </w:r>
      <w:r>
        <w:t>020.</w:t>
      </w:r>
      <w:r>
        <w:rPr>
          <w:rFonts w:ascii="Times New Roman" w:eastAsia="Times New Roman" w:hAnsi="Times New Roman" w:cs="Times New Roman"/>
          <w:sz w:val="24"/>
        </w:rPr>
        <w:t xml:space="preserve"> </w:t>
      </w:r>
    </w:p>
    <w:p w:rsidR="00E302EC" w:rsidRDefault="00FC4F28">
      <w:pPr>
        <w:spacing w:after="0" w:line="259" w:lineRule="auto"/>
        <w:ind w:left="64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72"/>
        <w:ind w:left="269" w:right="184" w:firstLine="708"/>
      </w:pPr>
      <w:r>
        <w:t>Con respecto al cumplimiento de las Reglas fiscales, esto es, la Estabilidad, Presupuestaria, Regla del Gasto y Deuda Pública, el Congreso de los Diputados en su sesión de 20 de octubre de 2020 apreció, por mayoría absoluta de sus miembros, que e</w:t>
      </w:r>
      <w:r>
        <w:t xml:space="preserve">xiste una situación de emergencia extraordinaria </w:t>
      </w:r>
      <w:r>
        <w:rPr>
          <w:b/>
        </w:rPr>
        <w:t>que motiva la suspensión de las reglas fiscales</w:t>
      </w:r>
      <w:r>
        <w:t>, requisito que establece el artículo 11.3 de la Ley Orgánica 2/2012, de 27 de abril, de Estabilidad Presupuestaria y Sostenibilidad Financiera (en adelante LOE</w:t>
      </w:r>
      <w:r>
        <w:t>PSF).</w:t>
      </w:r>
      <w:r>
        <w:rPr>
          <w:rFonts w:ascii="Times New Roman" w:eastAsia="Times New Roman" w:hAnsi="Times New Roman" w:cs="Times New Roman"/>
          <w:sz w:val="24"/>
        </w:rPr>
        <w:t xml:space="preserve"> </w:t>
      </w:r>
    </w:p>
    <w:p w:rsidR="00E302EC" w:rsidRDefault="00FC4F28">
      <w:pPr>
        <w:spacing w:after="74"/>
        <w:ind w:left="269" w:right="184" w:firstLine="708"/>
      </w:pPr>
      <w:r>
        <w:t xml:space="preserve">En base a dicho acuerdo, quedan </w:t>
      </w:r>
      <w:r>
        <w:rPr>
          <w:b/>
        </w:rPr>
        <w:t>suspendidos</w:t>
      </w:r>
      <w:r>
        <w:t xml:space="preserve"> el Acuerdo de Consejo de Ministros de 11 de febrero de 2020, por el que se adecúan los objetivos de estabilidad presupuestaria y de deuda pública para el conjunto de Administraciones Públicas y de cada uno</w:t>
      </w:r>
      <w:r>
        <w:t xml:space="preserve"> de sus subsectores para el año 2020 para su remisión a las Cortes Generales, así como el Acuerdo de Consejo de Ministros de 11 de febrero de 2020 por el que se fijan los objetivos de estabilidad presupuestaria y de deuda pública para el conjunto de Admini</w:t>
      </w:r>
      <w:r>
        <w:t>straciones Públicas y de cada uno de sus subsectores para el período 2021-2023 para su remisión a las Cortes Generales, y el límite de gasto no financiero del presupuesto del Estado para 2021.</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i/>
        </w:rPr>
        <w:t xml:space="preserve"> </w:t>
      </w:r>
    </w:p>
    <w:p w:rsidR="00E302EC" w:rsidRDefault="00FC4F28">
      <w:pPr>
        <w:tabs>
          <w:tab w:val="center" w:pos="567"/>
          <w:tab w:val="center" w:pos="992"/>
          <w:tab w:val="center" w:pos="3926"/>
        </w:tabs>
        <w:spacing w:after="116"/>
        <w:ind w:left="0" w:firstLine="0"/>
        <w:jc w:val="left"/>
      </w:pPr>
      <w:r>
        <w:rPr>
          <w:rFonts w:ascii="Calibri" w:eastAsia="Calibri" w:hAnsi="Calibri" w:cs="Calibri"/>
        </w:rPr>
        <w:tab/>
      </w:r>
      <w:r>
        <w:t xml:space="preserve"> </w:t>
      </w:r>
      <w:r>
        <w:tab/>
        <w:t xml:space="preserve"> </w:t>
      </w:r>
      <w:r>
        <w:tab/>
        <w:t xml:space="preserve">Por ello, este Concejal de Hacienda Propone: </w:t>
      </w:r>
    </w:p>
    <w:p w:rsidR="00E302EC" w:rsidRDefault="00FC4F28">
      <w:pPr>
        <w:spacing w:after="98" w:line="259" w:lineRule="auto"/>
        <w:ind w:left="567" w:firstLine="0"/>
        <w:jc w:val="left"/>
      </w:pPr>
      <w:r>
        <w:t xml:space="preserve"> </w:t>
      </w:r>
    </w:p>
    <w:p w:rsidR="00E302EC" w:rsidRDefault="00FC4F28">
      <w:pPr>
        <w:ind w:left="279" w:right="184"/>
      </w:pPr>
      <w:r>
        <w:rPr>
          <w:b/>
        </w:rPr>
        <w:t xml:space="preserve">Punto único: </w:t>
      </w:r>
      <w:r>
        <w:t>Dar cuenta al Pleno de la Liquidación del Presupuesto del ejercicio 2021, conforme el art. 90.2 del Real Decreto 500/1990 de 20 de abril.</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6763" name="Group 23676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5889" name="Rectangle 1588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5890" name="Rectangle 1589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6763" style="width:12.7031pt;height:273.276pt;position:absolute;mso-position-horizontal-relative:page;mso-position-horizontal:absolute;margin-left:682.278pt;mso-position-vertical-relative:page;margin-top:538.644pt;" coordsize="1613,34706">
                <v:rect id="Rectangle 1588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589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159 </w:t>
                        </w:r>
                      </w:p>
                    </w:txbxContent>
                  </v:textbox>
                </v:rect>
                <w10:wrap type="square"/>
              </v:group>
            </w:pict>
          </mc:Fallback>
        </mc:AlternateContent>
      </w:r>
      <w:r>
        <w:rPr>
          <w:b/>
        </w:rPr>
        <w:t xml:space="preserve">DICTAMEN FAVORABLE DE LA COMISIÓN INFORMATIVA DE HACIENDA, RECURSOS HUMANOS Y SERVICIOS GENERALES DE 28 DE MARZO DE 2022.  </w:t>
      </w:r>
    </w:p>
    <w:p w:rsidR="00E302EC" w:rsidRDefault="00FC4F28">
      <w:pPr>
        <w:spacing w:after="0" w:line="259" w:lineRule="auto"/>
        <w:ind w:left="284" w:firstLine="0"/>
        <w:jc w:val="left"/>
      </w:pPr>
      <w:r>
        <w:t xml:space="preserve"> </w:t>
      </w:r>
    </w:p>
    <w:p w:rsidR="00E302EC" w:rsidRDefault="00FC4F28">
      <w:pPr>
        <w:ind w:left="279" w:right="184"/>
      </w:pPr>
      <w:r>
        <w:t xml:space="preserve">Los 7 concejales presentes tomaron conocimiento. </w:t>
      </w:r>
    </w:p>
    <w:p w:rsidR="00E302EC" w:rsidRDefault="00FC4F28">
      <w:pPr>
        <w:spacing w:after="0" w:line="259" w:lineRule="auto"/>
        <w:ind w:left="284" w:firstLine="0"/>
        <w:jc w:val="left"/>
      </w:pPr>
      <w:r>
        <w:t xml:space="preserve"> </w:t>
      </w:r>
    </w:p>
    <w:p w:rsidR="00E302EC" w:rsidRDefault="00FC4F28">
      <w:pPr>
        <w:ind w:left="279" w:right="184"/>
      </w:pPr>
      <w:r>
        <w:t xml:space="preserve">Los 4 concejales del Grupo Socialista: Don Airam Pérez Chinea, Don Jorge Baute Delgado, Don José Francisco Pinto Ramos y Don Olegario Francisco Alonso Bello. </w:t>
      </w:r>
    </w:p>
    <w:p w:rsidR="00E302EC" w:rsidRDefault="00FC4F28">
      <w:pPr>
        <w:spacing w:after="0" w:line="259" w:lineRule="auto"/>
        <w:ind w:left="284" w:firstLine="0"/>
        <w:jc w:val="left"/>
      </w:pPr>
      <w:r>
        <w:t xml:space="preserve"> </w:t>
      </w:r>
    </w:p>
    <w:p w:rsidR="00E302EC" w:rsidRDefault="00FC4F28">
      <w:pPr>
        <w:numPr>
          <w:ilvl w:val="0"/>
          <w:numId w:val="36"/>
        </w:numPr>
        <w:ind w:right="184" w:hanging="184"/>
      </w:pPr>
      <w:r>
        <w:t xml:space="preserve">de la concejal del Grupo Popular, Doña Raquel Martín Castro. </w:t>
      </w:r>
    </w:p>
    <w:p w:rsidR="00E302EC" w:rsidRDefault="00FC4F28">
      <w:pPr>
        <w:spacing w:after="0" w:line="259" w:lineRule="auto"/>
        <w:ind w:left="284" w:firstLine="0"/>
        <w:jc w:val="left"/>
      </w:pPr>
      <w:r>
        <w:t xml:space="preserve"> </w:t>
      </w:r>
    </w:p>
    <w:p w:rsidR="00E302EC" w:rsidRDefault="00FC4F28">
      <w:pPr>
        <w:numPr>
          <w:ilvl w:val="0"/>
          <w:numId w:val="36"/>
        </w:numPr>
        <w:ind w:right="184" w:hanging="184"/>
      </w:pPr>
      <w:r>
        <w:t xml:space="preserve">de los concejales del Grupo Mixto: Doña Lourdes del Carmen Mondéjar Rondón y Doña Alicia Mercedes Marrero Meneses.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TOMA DE </w:t>
      </w:r>
      <w:r>
        <w:rPr>
          <w:b/>
        </w:rPr>
        <w:t xml:space="preserve">CONOCIMIENTO EN EL PLENO DE 31 DE MARZO DE 2022. </w:t>
      </w:r>
    </w:p>
    <w:p w:rsidR="00E302EC" w:rsidRDefault="00FC4F28">
      <w:pPr>
        <w:spacing w:after="0" w:line="259" w:lineRule="auto"/>
        <w:ind w:left="284" w:firstLine="0"/>
        <w:jc w:val="left"/>
      </w:pPr>
      <w:r>
        <w:t xml:space="preserve"> </w:t>
      </w:r>
    </w:p>
    <w:p w:rsidR="00E302EC" w:rsidRDefault="00FC4F28">
      <w:pPr>
        <w:ind w:left="279" w:right="184"/>
      </w:pPr>
      <w:r>
        <w:t xml:space="preserve">Los 17 concejales presentes quedaron enterados. </w:t>
      </w:r>
    </w:p>
    <w:p w:rsidR="00E302EC" w:rsidRDefault="00FC4F28">
      <w:pPr>
        <w:spacing w:after="0" w:line="259" w:lineRule="auto"/>
        <w:ind w:left="284" w:firstLine="0"/>
        <w:jc w:val="left"/>
      </w:pPr>
      <w:r>
        <w:t xml:space="preserve"> </w:t>
      </w:r>
    </w:p>
    <w:p w:rsidR="00E302EC" w:rsidRDefault="00FC4F28">
      <w:pPr>
        <w:spacing w:after="93"/>
        <w:ind w:left="279" w:right="184"/>
      </w:pPr>
      <w:r>
        <w:t>11 concejales del Grupo Socialista: Doña María Concepción Brito Núñez, Doña Don Jorge Baute Delgado, Doña Olivia Concepción Pérez Díaz, Don José Francisc</w:t>
      </w:r>
      <w:r>
        <w:t>o Pinto Ramos, Doña Hilaria Cecilia Otazo González, Don Airam Pérez Chinea, Doña Margarita Eva Tendero Barroso, Don Manuel Alberto González Pestano, Doña María del Carmen Clemente Díaz, Don Olegario Francisco Alonso Bello y Don Reinaldo José Triviño Blanco</w:t>
      </w:r>
      <w:r>
        <w:t xml:space="preserve">. </w:t>
      </w:r>
    </w:p>
    <w:p w:rsidR="00E302EC" w:rsidRDefault="00FC4F28">
      <w:pPr>
        <w:spacing w:after="109"/>
        <w:ind w:left="279" w:right="184"/>
      </w:pPr>
      <w:r>
        <w:t xml:space="preserve">2 concejales del Grupo Popular: Don Jacobo López Fariña y Doña Raquel Martín Castro. </w:t>
      </w:r>
    </w:p>
    <w:p w:rsidR="00E302EC" w:rsidRDefault="00FC4F28">
      <w:pPr>
        <w:spacing w:after="114"/>
        <w:ind w:left="279" w:right="184"/>
      </w:pPr>
      <w:r>
        <w:t xml:space="preserve">2 de los concejales del Grupo Mixto (SSP), Doña Lourdes del Carmen Mondéjar Rondón y Don Antonio Delgado García. </w:t>
      </w:r>
    </w:p>
    <w:p w:rsidR="00E302EC" w:rsidRDefault="00FC4F28">
      <w:pPr>
        <w:spacing w:after="109"/>
        <w:ind w:left="279" w:right="184"/>
      </w:pPr>
      <w:r>
        <w:t>1 de la concejal del Grupo Mixto (CC-PNC): Doña Ángel</w:t>
      </w:r>
      <w:r>
        <w:t xml:space="preserve">a Cruz Perera. </w:t>
      </w:r>
    </w:p>
    <w:p w:rsidR="00E302EC" w:rsidRDefault="00FC4F28">
      <w:pPr>
        <w:spacing w:after="109"/>
        <w:ind w:left="279" w:right="184"/>
      </w:pPr>
      <w:r>
        <w:t xml:space="preserve">1 de la concejal del Grupo Mixto (VxC): Doña Alicia Mercedes Marrero Meneses.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1712" w:right="183"/>
      </w:pPr>
      <w:r>
        <w:rPr>
          <w:b/>
        </w:rPr>
        <w:t xml:space="preserve">ACUERDO DEL PLENO DE 31 DE MARZO DE 2022.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Punto único: Dar cuenta al Pleno de la Liquidación del Presupuesto del ejercicio 2021, conforme el </w:t>
      </w:r>
      <w:r>
        <w:rPr>
          <w:b/>
        </w:rPr>
        <w:t>art. 90.2 del Real Decreto 500/1990 de 20 de abril.</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37021" name="Group 23702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5985" name="Rectangle 1598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5986" name="Rectangle 15986"/>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7021" style="width:12.7031pt;height:273.276pt;position:absolute;mso-position-horizontal-relative:page;mso-position-horizontal:absolute;margin-left:682.278pt;mso-position-vertical-relative:page;margin-top:538.644pt;" coordsize="1613,34706">
                <v:rect id="Rectangle 1598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5986"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159 </w:t>
                        </w:r>
                      </w:p>
                    </w:txbxContent>
                  </v:textbox>
                </v:rect>
                <w10:wrap type="topAndBottom"/>
              </v:group>
            </w:pict>
          </mc:Fallback>
        </mc:AlternateContent>
      </w: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98" w:line="259" w:lineRule="auto"/>
        <w:ind w:left="284" w:firstLine="0"/>
        <w:jc w:val="left"/>
      </w:pPr>
      <w:r>
        <w:rPr>
          <w:b/>
          <w:sz w:val="24"/>
        </w:rPr>
        <w:t xml:space="preserve"> </w:t>
      </w:r>
    </w:p>
    <w:p w:rsidR="00E302EC" w:rsidRDefault="00FC4F28">
      <w:pPr>
        <w:spacing w:after="98" w:line="259" w:lineRule="auto"/>
        <w:ind w:left="284" w:firstLine="0"/>
        <w:jc w:val="left"/>
      </w:pPr>
      <w:r>
        <w:rPr>
          <w:b/>
          <w:sz w:val="24"/>
        </w:rPr>
        <w:t xml:space="preserve"> </w:t>
      </w:r>
    </w:p>
    <w:p w:rsidR="00E302EC" w:rsidRDefault="00FC4F28">
      <w:pPr>
        <w:spacing w:after="98" w:line="259" w:lineRule="auto"/>
        <w:ind w:left="284" w:firstLine="0"/>
        <w:jc w:val="left"/>
      </w:pPr>
      <w:r>
        <w:rPr>
          <w:b/>
          <w:sz w:val="24"/>
        </w:rPr>
        <w:t xml:space="preserve"> </w:t>
      </w:r>
    </w:p>
    <w:p w:rsidR="00E302EC" w:rsidRDefault="00FC4F28">
      <w:pPr>
        <w:spacing w:after="0" w:line="259" w:lineRule="auto"/>
        <w:ind w:left="284" w:firstLine="0"/>
        <w:jc w:val="left"/>
      </w:pPr>
      <w:r>
        <w:rPr>
          <w:b/>
          <w:sz w:val="24"/>
        </w:rPr>
        <w:t xml:space="preserve"> </w:t>
      </w:r>
    </w:p>
    <w:p w:rsidR="00E302EC" w:rsidRDefault="00FC4F28">
      <w:pPr>
        <w:spacing w:after="98" w:line="259" w:lineRule="auto"/>
        <w:ind w:left="284" w:firstLine="0"/>
        <w:jc w:val="left"/>
      </w:pPr>
      <w:r>
        <w:rPr>
          <w:b/>
          <w:sz w:val="24"/>
        </w:rPr>
        <w:t xml:space="preserve"> </w:t>
      </w:r>
    </w:p>
    <w:p w:rsidR="00E302EC" w:rsidRDefault="00FC4F28">
      <w:pPr>
        <w:spacing w:after="93" w:line="249" w:lineRule="auto"/>
        <w:ind w:left="279" w:right="183"/>
      </w:pPr>
      <w:r>
        <w:rPr>
          <w:b/>
          <w:sz w:val="24"/>
        </w:rPr>
        <w:t>4.-</w:t>
      </w:r>
      <w:r>
        <w:rPr>
          <w:sz w:val="24"/>
        </w:rPr>
        <w:t xml:space="preserve"> </w:t>
      </w:r>
      <w:r>
        <w:rPr>
          <w:b/>
          <w:sz w:val="24"/>
        </w:rPr>
        <w:t xml:space="preserve">Expediente 761/2022. </w:t>
      </w:r>
      <w:r>
        <w:rPr>
          <w:b/>
          <w:sz w:val="24"/>
        </w:rPr>
        <w:t>Propuesta del Concejal delegado de Hacienda de 23 de marzo de 2022 al Pleno de la aprobación inicial de la modificación de la Ordenanza Fiscal Reguladora del Impuesto sobre el Incremento de Valor de los Terrenos de Naturaleza Urbana (IIVTNU).</w:t>
      </w:r>
      <w:r>
        <w:t xml:space="preserve"> </w:t>
      </w:r>
    </w:p>
    <w:p w:rsidR="00E302EC" w:rsidRDefault="00FC4F28">
      <w:pPr>
        <w:spacing w:after="79" w:line="259" w:lineRule="auto"/>
        <w:ind w:left="284" w:firstLine="0"/>
        <w:jc w:val="left"/>
      </w:pPr>
      <w:r>
        <w:rPr>
          <w:b/>
          <w:sz w:val="24"/>
        </w:rPr>
        <w:t xml:space="preserve"> </w:t>
      </w:r>
    </w:p>
    <w:p w:rsidR="00E302EC" w:rsidRDefault="00FC4F28">
      <w:pPr>
        <w:spacing w:after="8" w:line="248" w:lineRule="auto"/>
        <w:ind w:left="279" w:right="183"/>
      </w:pPr>
      <w:r>
        <w:rPr>
          <w:b/>
        </w:rPr>
        <w:t xml:space="preserve">   Consta </w:t>
      </w:r>
      <w:r>
        <w:rPr>
          <w:b/>
        </w:rPr>
        <w:t xml:space="preserve">en el expediente Informe Tesorería emitido por Don Alejandro Rodríguez Fernández-Oliva, que desempeña el puesto de trabajo de Tesorero Municipal, de 23 de marzo de 2022, del siguiente tenor literal: </w:t>
      </w:r>
    </w:p>
    <w:p w:rsidR="00E302EC" w:rsidRDefault="00FC4F28">
      <w:pPr>
        <w:spacing w:after="0" w:line="259" w:lineRule="auto"/>
        <w:ind w:left="284" w:firstLine="0"/>
        <w:jc w:val="left"/>
      </w:pPr>
      <w:r>
        <w:rPr>
          <w:b/>
        </w:rPr>
        <w:t xml:space="preserve"> </w:t>
      </w:r>
    </w:p>
    <w:p w:rsidR="00E302EC" w:rsidRDefault="00FC4F28">
      <w:pPr>
        <w:spacing w:after="248" w:line="259" w:lineRule="auto"/>
        <w:ind w:left="284" w:firstLine="0"/>
        <w:jc w:val="left"/>
      </w:pPr>
      <w:r>
        <w:t xml:space="preserve"> </w:t>
      </w:r>
    </w:p>
    <w:p w:rsidR="00E302EC" w:rsidRDefault="00FC4F28">
      <w:pPr>
        <w:pStyle w:val="Ttulo1"/>
        <w:spacing w:after="100"/>
        <w:ind w:left="107" w:right="6"/>
      </w:pPr>
      <w:r>
        <w:t>“INFORME</w:t>
      </w:r>
      <w:r>
        <w:rPr>
          <w:b w:val="0"/>
        </w:rPr>
        <w:t xml:space="preserve"> </w:t>
      </w:r>
    </w:p>
    <w:p w:rsidR="00E302EC" w:rsidRDefault="00FC4F28">
      <w:pPr>
        <w:spacing w:after="100" w:line="248" w:lineRule="auto"/>
        <w:ind w:left="279" w:right="183"/>
      </w:pPr>
      <w:r>
        <w:rPr>
          <w:b/>
        </w:rPr>
        <w:t>Visto el expediente antedicho, el funciona</w:t>
      </w:r>
      <w:r>
        <w:rPr>
          <w:b/>
        </w:rPr>
        <w:t>rio, Alejandro Rodríguez Fernández-Oliva, que desempeña el puesto de trabajo de Tesorero, emite el siguiente informe:</w:t>
      </w:r>
      <w:r>
        <w:rPr>
          <w:rFonts w:ascii="Times New Roman" w:eastAsia="Times New Roman" w:hAnsi="Times New Roman" w:cs="Times New Roman"/>
          <w:sz w:val="24"/>
        </w:rPr>
        <w:t xml:space="preserve"> </w:t>
      </w:r>
    </w:p>
    <w:p w:rsidR="00E302EC" w:rsidRDefault="00FC4F28">
      <w:pPr>
        <w:spacing w:after="95" w:line="259" w:lineRule="auto"/>
        <w:ind w:left="284" w:firstLine="0"/>
        <w:jc w:val="left"/>
      </w:pPr>
      <w:r>
        <w:t xml:space="preserve"> </w:t>
      </w:r>
    </w:p>
    <w:p w:rsidR="00E302EC" w:rsidRDefault="00FC4F28">
      <w:pPr>
        <w:pStyle w:val="Ttulo1"/>
        <w:spacing w:after="103"/>
        <w:ind w:left="107" w:right="6"/>
      </w:pPr>
      <w:r>
        <w:t xml:space="preserve">Antecedentes  </w:t>
      </w:r>
    </w:p>
    <w:p w:rsidR="00E302EC" w:rsidRDefault="00FC4F28">
      <w:pPr>
        <w:spacing w:after="243"/>
        <w:ind w:left="279" w:right="252"/>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7145" name="Group 23714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6098" name="Rectangle 1609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6099" name="Rectangle 1609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69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7145" style="width:12.7031pt;height:273.276pt;position:absolute;mso-position-horizontal-relative:page;mso-position-horizontal:absolute;margin-left:682.278pt;mso-position-vertical-relative:page;margin-top:538.644pt;" coordsize="1613,34706">
                <v:rect id="Rectangle 1609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609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159 </w:t>
                        </w:r>
                      </w:p>
                    </w:txbxContent>
                  </v:textbox>
                </v:rect>
                <w10:wrap type="square"/>
              </v:group>
            </w:pict>
          </mc:Fallback>
        </mc:AlternateContent>
      </w:r>
      <w:r>
        <w:t>I.- Consta providencia de la Concejalía de Hacienda, en la que se establece el inicio del expediente de modificación de la Ordenanza Fiscal Reguladora del Impuest</w:t>
      </w:r>
      <w:r>
        <w:t>o sobre el Incremento de Valor de los Terrenos de Naturaleza Urbana (IIVTNU), según la tramitación establecida en el Texto Refundido de la Ley Reguladora de las Haciendas Locales, aprobado por el Real Decreto Legislativo 2/2004, de 5 de marzo (TRLRHL), seg</w:t>
      </w:r>
      <w:r>
        <w:t xml:space="preserve">ún el procedimiento establecido en el Texto Refundido de la Ley Reguladora de las Haciendas Locales, aprobado por el Real Decreto Legislativo 2/2004, de 5 de marzo, cumpliendo con los principios de buena regulación, publicidad y transparencia. </w:t>
      </w:r>
    </w:p>
    <w:p w:rsidR="00E302EC" w:rsidRDefault="00FC4F28">
      <w:pPr>
        <w:spacing w:after="241"/>
        <w:ind w:left="279" w:right="255"/>
      </w:pPr>
      <w:r>
        <w:t>II. De acue</w:t>
      </w:r>
      <w:r>
        <w:t xml:space="preserve">rdo con la citada providencia, se procede a emitir por esta Tesorería municipal previo a la Propuesta del Concejal delegado de Modificación de la Ordenanza Fiscal Reguladores del Impuesto sobre el Incremento de Valor de los Terrenos de Naturaleza Urbana. </w:t>
      </w:r>
    </w:p>
    <w:p w:rsidR="00E302EC" w:rsidRDefault="00FC4F28">
      <w:pPr>
        <w:spacing w:after="98" w:line="259" w:lineRule="auto"/>
        <w:ind w:left="149" w:firstLine="0"/>
        <w:jc w:val="center"/>
      </w:pPr>
      <w:r>
        <w:rPr>
          <w:b/>
        </w:rPr>
        <w:t xml:space="preserve"> </w:t>
      </w:r>
    </w:p>
    <w:p w:rsidR="00E302EC" w:rsidRDefault="00FC4F28">
      <w:pPr>
        <w:spacing w:after="100" w:line="259" w:lineRule="auto"/>
        <w:ind w:left="149" w:firstLine="0"/>
        <w:jc w:val="center"/>
      </w:pPr>
      <w:r>
        <w:rPr>
          <w:b/>
        </w:rPr>
        <w:t xml:space="preserve"> </w:t>
      </w:r>
    </w:p>
    <w:p w:rsidR="00E302EC" w:rsidRDefault="00FC4F28">
      <w:pPr>
        <w:pStyle w:val="Ttulo1"/>
        <w:spacing w:after="98"/>
        <w:ind w:left="107" w:right="9"/>
      </w:pPr>
      <w:r>
        <w:t xml:space="preserve">Fundamentos de derecho  </w:t>
      </w:r>
    </w:p>
    <w:p w:rsidR="00E302EC" w:rsidRDefault="00FC4F28">
      <w:pPr>
        <w:ind w:left="279" w:right="252"/>
      </w:pPr>
      <w:r>
        <w:rPr>
          <w:b/>
        </w:rPr>
        <w:t>PRIMERO.</w:t>
      </w:r>
      <w:r>
        <w:t xml:space="preserve"> De acuerdo con los arts. 15 y 16 Real Decreto-Legislativo 2/2004, de 5 de marzo, por el que se aprueba el Texto Refundido de la Ley Reguladora de las Haciendas Locales (en adelante, TRLRHL), los Ayuntamientos pueden ac</w:t>
      </w:r>
      <w:r>
        <w:t>ordar la imposición y supresión de sus Tributos propios y aprobar las correspondientes Ordenanzas fiscales reguladoras de los mismos. Se procederá a aprobar la modificación de dichas Ordenanzas si es necesario, las cuales deberán contener la nueva redacció</w:t>
      </w:r>
      <w:r>
        <w:t>n de las normas afectadas y las fechas de su aprobación y del comienzo de su aplicación.</w:t>
      </w:r>
      <w:r>
        <w:rPr>
          <w:rFonts w:ascii="Times New Roman" w:eastAsia="Times New Roman" w:hAnsi="Times New Roman" w:cs="Times New Roman"/>
          <w:sz w:val="24"/>
        </w:rPr>
        <w:t xml:space="preserve"> </w:t>
      </w:r>
    </w:p>
    <w:p w:rsidR="00E302EC" w:rsidRDefault="00FC4F28">
      <w:pPr>
        <w:spacing w:after="230" w:line="259" w:lineRule="auto"/>
        <w:ind w:left="284" w:firstLine="0"/>
        <w:jc w:val="left"/>
      </w:pPr>
      <w:r>
        <w:t xml:space="preserve"> </w:t>
      </w:r>
    </w:p>
    <w:p w:rsidR="00E302EC" w:rsidRDefault="00FC4F28">
      <w:pPr>
        <w:ind w:left="279" w:right="184"/>
      </w:pPr>
      <w:r>
        <w:t>El dispone en su artículo 59.2 TRLRHL que los ayuntamientos podrán establecer y exigir el Impuesto sobre el Incremento del Valor de los Terrenos de Naturaleza Urban</w:t>
      </w:r>
      <w:r>
        <w:t xml:space="preserve">a.    </w:t>
      </w:r>
    </w:p>
    <w:p w:rsidR="00E302EC" w:rsidRDefault="00FC4F28">
      <w:pPr>
        <w:spacing w:after="221"/>
        <w:ind w:left="279" w:right="184"/>
      </w:pPr>
      <w:r>
        <w:rPr>
          <w:b/>
        </w:rPr>
        <w:t>SEGUNDO.</w:t>
      </w:r>
      <w:r>
        <w:t xml:space="preserve"> La Legislación aplicable en esta materia está recogida en:</w:t>
      </w:r>
      <w:r>
        <w:rPr>
          <w:rFonts w:ascii="Times New Roman" w:eastAsia="Times New Roman" w:hAnsi="Times New Roman" w:cs="Times New Roman"/>
          <w:sz w:val="24"/>
        </w:rPr>
        <w:t xml:space="preserve"> </w:t>
      </w:r>
    </w:p>
    <w:p w:rsidR="00E302EC" w:rsidRDefault="00FC4F28">
      <w:pPr>
        <w:ind w:left="269" w:right="252" w:firstLine="720"/>
      </w:pPr>
      <w:r>
        <w:t xml:space="preserve">— </w:t>
      </w:r>
      <w:r>
        <w:t xml:space="preserve">Los artículos 15 al 21 y 24 y 25, así como 104 a 110 del Texto Refundido de la Ley Reguladora de las Haciendas Locales, aprobado por el Real Decreto Legislativo 2/2004, de 5 de marzo, en la redacción dada por el Real Decreto-ley 26/2021, de 8 de noviembre </w:t>
      </w:r>
      <w:r>
        <w:t xml:space="preserve">de 2021.  </w:t>
      </w:r>
    </w:p>
    <w:p w:rsidR="00E302EC" w:rsidRDefault="00FC4F28">
      <w:pPr>
        <w:spacing w:after="235"/>
        <w:ind w:left="269" w:right="184" w:firstLine="720"/>
      </w:pPr>
      <w:r>
        <w:t xml:space="preserve"> — Los artículos 22.2.e), 47.1 y 107 de la Ley 7/1985, de 2 de abril, Reguladora de las Bases del Régimen Local. </w:t>
      </w:r>
    </w:p>
    <w:p w:rsidR="00E302EC" w:rsidRDefault="00FC4F28">
      <w:pPr>
        <w:ind w:left="279" w:right="184"/>
      </w:pPr>
      <w:r>
        <w:rPr>
          <w:b/>
        </w:rPr>
        <w:t>TERCERO.</w:t>
      </w:r>
      <w:r>
        <w:t xml:space="preserve"> El procedimiento para la modificación de la Ordenanza fiscal Ordenanza Fiscal del </w:t>
      </w:r>
    </w:p>
    <w:p w:rsidR="00E302EC" w:rsidRDefault="00FC4F28">
      <w:pPr>
        <w:spacing w:after="225"/>
        <w:ind w:left="279" w:right="184"/>
      </w:pPr>
      <w:r>
        <w:t>Impuesto sobre Vehículos de Tracción Me</w:t>
      </w:r>
      <w:r>
        <w:t>cánica viene determinado en los artículos 15 a 19 del TRLRHL.</w:t>
      </w:r>
      <w:r>
        <w:rPr>
          <w:rFonts w:ascii="Times New Roman" w:eastAsia="Times New Roman" w:hAnsi="Times New Roman" w:cs="Times New Roman"/>
          <w:sz w:val="24"/>
        </w:rPr>
        <w:t xml:space="preserve"> </w:t>
      </w:r>
    </w:p>
    <w:p w:rsidR="00E302EC" w:rsidRDefault="00FC4F28">
      <w:pPr>
        <w:spacing w:after="238"/>
        <w:ind w:left="279" w:right="257"/>
      </w:pPr>
      <w:r>
        <w:t>El Acuerdo de aprobación de las modificaciones de las Ordenanzas fiscales es competencia del Pleno, en virtud del artículo 22.2.e) de la Ley 7/1985, de 2 de abril, Reguladora de las Bases del R</w:t>
      </w:r>
      <w:r>
        <w:t xml:space="preserve">égimen Local, y la validez del Acuerdo requiere el voto favorable de la mayoría simple de los miembros presentes, como se establece en el artículo 47.1 de la Ley 7/1985, de 2 de abril, Reguladora de las Bases del Régimen Local. </w:t>
      </w:r>
    </w:p>
    <w:p w:rsidR="00E302EC" w:rsidRDefault="00FC4F28">
      <w:pPr>
        <w:ind w:left="279" w:right="250"/>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8421" name="Group 23842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6200" name="Rectangle 1620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w:t>
                              </w:r>
                              <w:r>
                                <w:rPr>
                                  <w:sz w:val="12"/>
                                </w:rPr>
                                <w:t xml:space="preserve">FLY7JHEN56D753ZS5Q | Verificación: https://candelaria.sedelectronica.es/ </w:t>
                              </w:r>
                            </w:p>
                          </w:txbxContent>
                        </wps:txbx>
                        <wps:bodyPr horzOverflow="overflow" vert="horz" lIns="0" tIns="0" rIns="0" bIns="0" rtlCol="0">
                          <a:noAutofit/>
                        </wps:bodyPr>
                      </wps:wsp>
                      <wps:wsp>
                        <wps:cNvPr id="16201" name="Rectangle 16201"/>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70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8421" style="width:12.7031pt;height:273.276pt;position:absolute;mso-position-horizontal-relative:page;mso-position-horizontal:absolute;margin-left:682.278pt;mso-position-vertical-relative:page;margin-top:538.644pt;" coordsize="1613,34706">
                <v:rect id="Rectangle 1620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6201"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159 </w:t>
                        </w:r>
                      </w:p>
                    </w:txbxContent>
                  </v:textbox>
                </v:rect>
                <w10:wrap type="square"/>
              </v:group>
            </w:pict>
          </mc:Fallback>
        </mc:AlternateContent>
      </w:r>
      <w:r>
        <w:rPr>
          <w:b/>
        </w:rPr>
        <w:t>CUARTO</w:t>
      </w:r>
      <w:r>
        <w:t>. La modificación propuesta tiene por objeto adaptar la Ordenanza fiscal del imp</w:t>
      </w:r>
      <w:r>
        <w:t xml:space="preserve">uesto a lo dispuesto en el Real Decreto-ley 26/2021, de 8 de noviembre, por el que se adapta el texto refundido de la Ley Reguladora de las Haciendas Locales, aprobado por el Real Decreto Legislativo 2/2004, de 5 de marzo, a la reciente jurisprudencia del </w:t>
      </w:r>
      <w:r>
        <w:t>Tribunal Constitucional respecto del Impuesto sobre el Incremento de Valor de los Terrenos de Naturaleza Urbana. Esta norma, que ha sido objeto de convalidación por el Congreso de los Diputados el pasado 2 de diciembre, pretende dar respuesta al mandato de</w:t>
      </w:r>
      <w:r>
        <w:t>l Alto Tribunal de llevar a cabo las modificaciones o adaptaciones pertinentes en el régimen legal del impuesto como consecuencia de la Sentencia 182/2021, de 26 de octubre, que ha venido a declarar la inconstitucionalidad y nulidad de los artículos 107.1,</w:t>
      </w:r>
      <w:r>
        <w:t xml:space="preserve"> segundo párrafo, 107.2.a) y 107.4 del mencionado texto refundido, dejando un vacío normativo sobre la determinación de la base imponible que impide la liquidación, comprobación, recaudación y revisión de este tributo local y, por tanto, su exigibilidad, a</w:t>
      </w:r>
      <w:r>
        <w:t xml:space="preserve">sí como integrar la doctrina contenida en las sentencias 59/2017, de 11 de mayo, y 126/2019, de 31 de octubre, objeto de dar unidad a la normativa del impuesto y cumplir con el principio de capacidad económica.  </w:t>
      </w:r>
      <w:r>
        <w:rPr>
          <w:rFonts w:ascii="Times New Roman" w:eastAsia="Times New Roman" w:hAnsi="Times New Roman" w:cs="Times New Roman"/>
          <w:sz w:val="24"/>
        </w:rPr>
        <w:t xml:space="preserve"> </w:t>
      </w:r>
    </w:p>
    <w:p w:rsidR="00E302EC" w:rsidRDefault="00FC4F28">
      <w:pPr>
        <w:spacing w:after="0" w:line="259" w:lineRule="auto"/>
        <w:ind w:left="269" w:firstLine="0"/>
        <w:jc w:val="left"/>
      </w:pPr>
      <w:r>
        <w:t xml:space="preserve"> </w:t>
      </w:r>
    </w:p>
    <w:p w:rsidR="00E302EC" w:rsidRDefault="00FC4F28">
      <w:pPr>
        <w:ind w:left="279" w:right="251"/>
      </w:pPr>
      <w:r>
        <w:t>De este modo, a fin de cumplir con el ma</w:t>
      </w:r>
      <w:r>
        <w:t xml:space="preserve">ndato del Tribunal Constitucional de no someter a tributación las situaciones de inexistencia de incremento de valor de los terrenos, se introduce un nuevo supuesto de no sujeción para los casos en que se constate, a instancia del interesado, que no se ha </w:t>
      </w:r>
      <w:r>
        <w:t>producido un incremento de valor. Asimismo, se modifica el sistema objetivo de determinación de la base imponible del impuesto, para que, de acuerdo con lo dispuesto en el texto refundido de la Ley Reguladora de las Haciendas Locales y, en su caso, la corr</w:t>
      </w:r>
      <w:r>
        <w:t>espondiente Ley de Presupuestos Generales del Estado, refleje en todo momento la realidad del mercado inmobiliario y sustituyéndose los anteriormente vigentes porcentajes anuales aplicables sobre el valor del terreno para la determinación de la base imponi</w:t>
      </w:r>
      <w:r>
        <w:t xml:space="preserve">ble del impuesto por unos coeficientes máximos establecidos en función del número de años transcurridos desde la adquisición del terreno, que serán actualizados anualmente.  </w:t>
      </w:r>
    </w:p>
    <w:p w:rsidR="00E302EC" w:rsidRDefault="00FC4F28">
      <w:pPr>
        <w:spacing w:after="0" w:line="259" w:lineRule="auto"/>
        <w:ind w:left="269" w:firstLine="0"/>
        <w:jc w:val="left"/>
      </w:pPr>
      <w:r>
        <w:rPr>
          <w:color w:val="FF0000"/>
        </w:rPr>
        <w:t xml:space="preserve"> </w:t>
      </w:r>
    </w:p>
    <w:p w:rsidR="00E302EC" w:rsidRDefault="00FC4F28">
      <w:pPr>
        <w:ind w:left="279" w:right="253"/>
      </w:pPr>
      <w:r>
        <w:t>Además, se introduce una regla de salvaguarda con la finalidad de evitar que la tributación por este impuesto pudiera en algún caso resultar contraria al principio de capacidad económica, permitiendo, a instancia del sujeto pasivo, acomodar la carga tribut</w:t>
      </w:r>
      <w:r>
        <w:t>aria al incremento de valor efectivamente obtenido, convirtiendo esta fórmula de determinación objetiva en un sistema optativo que solo resultará de aplicación en aquellos casos en los que el sujeto pasivo no haga uso de su derecho a determinar la base imp</w:t>
      </w:r>
      <w:r>
        <w:t xml:space="preserve">onible en régimen de estimación directa.  </w:t>
      </w:r>
    </w:p>
    <w:p w:rsidR="00E302EC" w:rsidRDefault="00FC4F28">
      <w:pPr>
        <w:spacing w:after="0" w:line="259" w:lineRule="auto"/>
        <w:ind w:left="269" w:firstLine="0"/>
        <w:jc w:val="left"/>
      </w:pPr>
      <w:r>
        <w:t xml:space="preserve"> </w:t>
      </w:r>
    </w:p>
    <w:p w:rsidR="00E302EC" w:rsidRDefault="00FC4F28">
      <w:pPr>
        <w:ind w:left="279" w:right="253"/>
      </w:pPr>
      <w:r>
        <w:t>En otro orden de cosas, la Ley Orgánica 2/2022, de 21 de marzo, de mejora de la protección de las personas huérfanas víctimas de la violencia de género procede a  la incorporación de un supuesto de no sujeción a</w:t>
      </w:r>
      <w:r>
        <w:t>dicional dentro del apartado 3 del artículo 104 del Real Decreto Legislativo 2/2004, de 5 de marzo, por el que se aprueba el texto refundido de la Ley Reguladora de las Haciendas Locales, a fin de enervar la obligación de pago por las huérfanas y huérfanos</w:t>
      </w:r>
      <w:r>
        <w:t xml:space="preserve"> adquirentes en los casos que traigan causa del fallecimiento de la víctima.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spacing w:after="345"/>
        <w:ind w:left="279" w:right="184"/>
      </w:pPr>
      <w:r>
        <w:rPr>
          <w:b/>
        </w:rPr>
        <w:t xml:space="preserve">QUINTO. - </w:t>
      </w:r>
      <w:r>
        <w:t xml:space="preserve">En cuanto a las modificaciones incluidas en la providencia de la Concejalía de Hacienda cabe destacar que se modifican varios aspectos con respecto a la actual: </w:t>
      </w:r>
      <w:r>
        <w:rPr>
          <w:rFonts w:ascii="Times New Roman" w:eastAsia="Times New Roman" w:hAnsi="Times New Roman" w:cs="Times New Roman"/>
          <w:sz w:val="24"/>
        </w:rPr>
        <w:t xml:space="preserve"> </w:t>
      </w:r>
    </w:p>
    <w:p w:rsidR="00E302EC" w:rsidRDefault="00FC4F28">
      <w:pPr>
        <w:numPr>
          <w:ilvl w:val="0"/>
          <w:numId w:val="37"/>
        </w:numPr>
        <w:spacing w:after="113"/>
        <w:ind w:right="252" w:hanging="360"/>
      </w:pPr>
      <w:r>
        <w:t xml:space="preserve">Se introduce dos nuevos supuestos de no sujeción derivados del Real Decreto-ley 26/2021 y de la Ley Orgánica 2/2022.  </w:t>
      </w:r>
    </w:p>
    <w:p w:rsidR="00E302EC" w:rsidRDefault="00FC4F28">
      <w:pPr>
        <w:numPr>
          <w:ilvl w:val="0"/>
          <w:numId w:val="37"/>
        </w:numPr>
        <w:spacing w:after="115"/>
        <w:ind w:right="252" w:hanging="360"/>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8528" name="Group 23852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6303" name="Rectangle 1630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6304" name="Rectangle 1630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w:t>
                              </w:r>
                              <w:r>
                                <w:rPr>
                                  <w:sz w:val="12"/>
                                </w:rPr>
                                <w:t xml:space="preserve"> desde la plataforma esPublico Gestiona | Página 71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8528" style="width:12.7031pt;height:273.276pt;position:absolute;mso-position-horizontal-relative:page;mso-position-horizontal:absolute;margin-left:682.278pt;mso-position-vertical-relative:page;margin-top:538.644pt;" coordsize="1613,34706">
                <v:rect id="Rectangle 1630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630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159 </w:t>
                        </w:r>
                      </w:p>
                    </w:txbxContent>
                  </v:textbox>
                </v:rect>
                <w10:wrap type="square"/>
              </v:group>
            </w:pict>
          </mc:Fallback>
        </mc:AlternateContent>
      </w:r>
      <w:r>
        <w:t xml:space="preserve">Se modifica la redacción de la base imponible, introduciendo el sistema objetivo de determinación de la base imponible, por referencia a los coeficientes anuales que establezca en cada momento el </w:t>
      </w:r>
      <w:r>
        <w:t xml:space="preserve">TRLRLH, así como dando cabida al derecho de opción del sujeto pasivo a determinar la base imponible en régimen de estimación directa.   </w:t>
      </w:r>
    </w:p>
    <w:p w:rsidR="00E302EC" w:rsidRDefault="00FC4F28">
      <w:pPr>
        <w:numPr>
          <w:ilvl w:val="0"/>
          <w:numId w:val="37"/>
        </w:numPr>
        <w:spacing w:after="111"/>
        <w:ind w:right="252" w:hanging="360"/>
      </w:pPr>
      <w:r>
        <w:t>En cuanto a la regulación de la cuota tributaria, se ajusta el tipo de gravamen para compensar la caída generalizada de</w:t>
      </w:r>
      <w:r>
        <w:t xml:space="preserve"> las bases imponibles y se introduce una nueva bonificación respecto de las transmisiones mortis causa a título lucrativo, referidas a la vivienda habitual, de carácter progresivo, basadas en determinados tramos de renta.  </w:t>
      </w:r>
    </w:p>
    <w:p w:rsidR="00E302EC" w:rsidRDefault="00FC4F28">
      <w:pPr>
        <w:numPr>
          <w:ilvl w:val="0"/>
          <w:numId w:val="37"/>
        </w:numPr>
        <w:spacing w:after="108"/>
        <w:ind w:right="252" w:hanging="360"/>
      </w:pPr>
      <w:r>
        <w:t>Se modifica el capítulo VII relativo a la gestión, renumerándose los artículos afectados, adaptando el actual sistema a la nueva regulación del impuesto, caracterizado por el derecho de opción del contribuyente, introduciendo algunas mejoras técnicas en la</w:t>
      </w:r>
      <w:r>
        <w:t xml:space="preserve"> redacción, e incluyendo las posibilidades de cooperación interadministrativa tributaria con la Agencia Tributaria Canaria y el Consorcio de Tributos de Tenerife y el régimen de infracciones y sanciones. </w:t>
      </w:r>
    </w:p>
    <w:p w:rsidR="00E302EC" w:rsidRDefault="00FC4F28">
      <w:pPr>
        <w:numPr>
          <w:ilvl w:val="0"/>
          <w:numId w:val="37"/>
        </w:numPr>
        <w:spacing w:after="111"/>
        <w:ind w:right="252" w:hanging="360"/>
      </w:pPr>
      <w:r>
        <w:t xml:space="preserve">En algunos artículos se actualizan las referencias </w:t>
      </w:r>
      <w:r>
        <w:t>existentes a normas ya derogadas como las anteriores Leyes General Tributaria o  del Impuesto sobre Sociedades y se procede a mejorar técnicamente, sin modificaciones sustantivas, la redacción de algunos preceptos, incluyendo algunos supuestos de aplicació</w:t>
      </w:r>
      <w:r>
        <w:t xml:space="preserve">n directa previstos en el TRLRHL que no se encontraban recogidos en la Ordenanza fiscal debidos a su antigüedad (p.ej. exención por la dación en pago de la vivienda habitual del deudor hipotecario).  </w:t>
      </w:r>
    </w:p>
    <w:p w:rsidR="00E302EC" w:rsidRDefault="00FC4F28">
      <w:pPr>
        <w:numPr>
          <w:ilvl w:val="0"/>
          <w:numId w:val="37"/>
        </w:numPr>
        <w:ind w:right="252" w:hanging="360"/>
      </w:pPr>
      <w:r>
        <w:t>Se introduce una disposición adicional y una disposició</w:t>
      </w:r>
      <w:r>
        <w:t xml:space="preserve">n final con la entrada en vigor de la norma. </w:t>
      </w:r>
    </w:p>
    <w:p w:rsidR="00E302EC" w:rsidRDefault="00FC4F28">
      <w:pPr>
        <w:spacing w:after="224"/>
        <w:ind w:left="279" w:right="252"/>
      </w:pPr>
      <w:r>
        <w:rPr>
          <w:b/>
        </w:rPr>
        <w:t xml:space="preserve">SEXTO.- </w:t>
      </w:r>
      <w:r>
        <w:t>De acuerdo con el art. 7.3 de la Ley Orgánica 2/2012, de 27 de abril, de Estabilidad Presupuestaria y Sostenibilidad Financiera, las disposiciones legales y reglamentarias, en su fase de elaboración y a</w:t>
      </w:r>
      <w:r>
        <w:t>probación, los actos administrativos, los contratos y los convenios de colaboración, así como cualquier otra actuación de los sujetos incluidos en el ámbito de aplicación de esta Ley que afecten a los gastos o ingresos públicos presentes o futuros, deberán</w:t>
      </w:r>
      <w:r>
        <w:t xml:space="preserve"> valorar sus repercusiones y efectos, y supeditarse de forma estricta al cumplimiento de las exigencias de los principios de estabilidad presupuestaria y sostenibilidad financiera. </w:t>
      </w:r>
      <w:r>
        <w:rPr>
          <w:rFonts w:ascii="Times New Roman" w:eastAsia="Times New Roman" w:hAnsi="Times New Roman" w:cs="Times New Roman"/>
          <w:sz w:val="24"/>
        </w:rPr>
        <w:t xml:space="preserve"> </w:t>
      </w:r>
    </w:p>
    <w:p w:rsidR="00E302EC" w:rsidRDefault="00FC4F28">
      <w:pPr>
        <w:spacing w:after="243"/>
        <w:ind w:left="279" w:right="250"/>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38843" name="Group 23884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6378" name="Rectangle 1637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7MT23JRFLY7JHEN56D753ZS5Q | Verificación: https://can</w:t>
                              </w:r>
                              <w:r>
                                <w:rPr>
                                  <w:sz w:val="12"/>
                                </w:rPr>
                                <w:t xml:space="preserve">delaria.sedelectronica.es/ </w:t>
                              </w:r>
                            </w:p>
                          </w:txbxContent>
                        </wps:txbx>
                        <wps:bodyPr horzOverflow="overflow" vert="horz" lIns="0" tIns="0" rIns="0" bIns="0" rtlCol="0">
                          <a:noAutofit/>
                        </wps:bodyPr>
                      </wps:wsp>
                      <wps:wsp>
                        <wps:cNvPr id="16379" name="Rectangle 1637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72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8843" style="width:12.7031pt;height:273.276pt;position:absolute;mso-position-horizontal-relative:page;mso-position-horizontal:absolute;margin-left:682.278pt;mso-position-vertical-relative:page;margin-top:538.644pt;" coordsize="1613,34706">
                <v:rect id="Rectangle 1637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637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159 </w:t>
                        </w:r>
                      </w:p>
                    </w:txbxContent>
                  </v:textbox>
                </v:rect>
                <w10:wrap type="topAndBottom"/>
              </v:group>
            </w:pict>
          </mc:Fallback>
        </mc:AlternateContent>
      </w:r>
      <w:r>
        <w:t>Atendiendo a los datos obrantes en la Tesorería municipal, y haciendo un análisis de los últimos tres ejercicios, el impacto económi</w:t>
      </w:r>
      <w:r>
        <w:t>co derivado de la entrada en vigor del Real Decreto-ley 26/2021, se cifra en la una cuantía de 136.718,17 euros anuales, lo cual implicaría un descenso del 36,41% en la recaudación del presente impuesto. Dicha cifra deriva directamente del nuevo sistema de</w:t>
      </w:r>
      <w:r>
        <w:t xml:space="preserve"> determinación objetiva que arroja, como regla general, bases imponibles inferiores a las obtenidas mediante la redacción anterior del TRLRHL. Por tal motivo, se propone una medida compensatoria a través del tipo de gravamen, que reduciría el impacto econó</w:t>
      </w:r>
      <w:r>
        <w:t xml:space="preserve">mico a un 29,35%. En todo caso, debe tenerse en cuenta que esta cifra se verá afectada en la medida que los contribuyentes hagan uso de su derecho de opción por el sistema de determinación directa o real de la Base Imponible. En sentido contrario, la FEMP </w:t>
      </w:r>
      <w:r>
        <w:t xml:space="preserve">acordó el pasado 22 de noviembre solicitar un fondo que compense la pérdida recaudatoria sufrida por los Gobiernos Locales y en el debate de enmiendas al proyecto de ley (17/2/22) derivado de la tramitación como proyecto de ley del RD-ley 26/2021 se abrió </w:t>
      </w:r>
      <w:r>
        <w:t>la puerta a un fondo compensatorio, por lo que la evolución final de esta figura resulta incierta. En todo caso, debe recordarse que el Congreso de los Diputados, mediante Acuerdo de 13 de septiembre de 2021, apreció que el mantenimiento de la pandemia sup</w:t>
      </w:r>
      <w:r>
        <w:t xml:space="preserve">one una situación de emergencia extraordinaria, a los efectos previstos en los artículos 135.4 de la Constitución y 11.3 de la Ley Orgánica 2/2012, de 27 de abril, de Estabilidad Presupuestaria y Sostenibilidad Financiera, y en consecuencia se mantiene la </w:t>
      </w:r>
      <w:r>
        <w:t xml:space="preserve">suspensión para 2022, de los objetivos de estabilidad y deuda, así como la regla de gasto, ya acordada previamente para los ejercicios 2020 y 2021. Eb el siguiente cuadro se muestran las estimaciones realizadas sobre la recaudación anual de esta figura, a </w:t>
      </w:r>
      <w:r>
        <w:t xml:space="preserve">lo que habrá que añadir el importe de la estimación de la nueva bonificación introducida (47.746,82 euros anuales).  </w:t>
      </w:r>
    </w:p>
    <w:p w:rsidR="00E302EC" w:rsidRDefault="00FC4F28">
      <w:pPr>
        <w:spacing w:after="0" w:line="259" w:lineRule="auto"/>
        <w:ind w:left="284" w:firstLine="0"/>
        <w:jc w:val="left"/>
      </w:pPr>
      <w:r>
        <w:rPr>
          <w:color w:val="FF0000"/>
        </w:rPr>
        <w:t xml:space="preserve"> </w:t>
      </w:r>
    </w:p>
    <w:tbl>
      <w:tblPr>
        <w:tblStyle w:val="TableGrid"/>
        <w:tblW w:w="8120" w:type="dxa"/>
        <w:tblInd w:w="291" w:type="dxa"/>
        <w:tblCellMar>
          <w:top w:w="63" w:type="dxa"/>
          <w:left w:w="37" w:type="dxa"/>
          <w:bottom w:w="0" w:type="dxa"/>
          <w:right w:w="28" w:type="dxa"/>
        </w:tblCellMar>
        <w:tblLook w:val="04A0" w:firstRow="1" w:lastRow="0" w:firstColumn="1" w:lastColumn="0" w:noHBand="0" w:noVBand="1"/>
      </w:tblPr>
      <w:tblGrid>
        <w:gridCol w:w="1876"/>
        <w:gridCol w:w="1321"/>
        <w:gridCol w:w="1606"/>
        <w:gridCol w:w="1501"/>
        <w:gridCol w:w="1818"/>
      </w:tblGrid>
      <w:tr w:rsidR="00E302EC">
        <w:trPr>
          <w:trHeight w:val="300"/>
        </w:trPr>
        <w:tc>
          <w:tcPr>
            <w:tcW w:w="1876" w:type="dxa"/>
            <w:tcBorders>
              <w:top w:val="single" w:sz="6" w:space="0" w:color="D4D4D4"/>
              <w:left w:val="single" w:sz="6" w:space="0" w:color="D4D4D4"/>
              <w:bottom w:val="single" w:sz="6" w:space="0" w:color="000000"/>
              <w:right w:val="single" w:sz="6" w:space="0" w:color="000000"/>
            </w:tcBorders>
          </w:tcPr>
          <w:p w:rsidR="00E302EC" w:rsidRDefault="00E302EC">
            <w:pPr>
              <w:spacing w:after="160" w:line="259" w:lineRule="auto"/>
              <w:ind w:left="0" w:firstLine="0"/>
              <w:jc w:val="left"/>
            </w:pP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b/>
                <w:sz w:val="23"/>
              </w:rPr>
              <w:t>2019</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b/>
                <w:sz w:val="23"/>
              </w:rPr>
              <w:t>2020</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b/>
                <w:sz w:val="23"/>
              </w:rPr>
              <w:t>2021</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6" w:firstLine="0"/>
              <w:jc w:val="center"/>
            </w:pPr>
            <w:r>
              <w:rPr>
                <w:rFonts w:ascii="Calibri" w:eastAsia="Calibri" w:hAnsi="Calibri" w:cs="Calibri"/>
                <w:b/>
                <w:sz w:val="23"/>
              </w:rPr>
              <w:t>Media</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BI TRLRHL</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120" w:firstLine="0"/>
              <w:jc w:val="left"/>
            </w:pPr>
            <w:r>
              <w:rPr>
                <w:rFonts w:ascii="Calibri" w:eastAsia="Calibri" w:hAnsi="Calibri" w:cs="Calibri"/>
                <w:sz w:val="23"/>
              </w:rPr>
              <w:t>1.390.787,01</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sz w:val="23"/>
              </w:rPr>
              <w:t>1.665.134,69</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sz w:val="23"/>
              </w:rPr>
              <w:t>1.087.740,03</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 w:firstLine="0"/>
              <w:jc w:val="right"/>
            </w:pPr>
            <w:r>
              <w:rPr>
                <w:rFonts w:ascii="Calibri" w:eastAsia="Calibri" w:hAnsi="Calibri" w:cs="Calibri"/>
                <w:sz w:val="23"/>
              </w:rPr>
              <w:t>1.381.220,58</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Cuota TRLRHL</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375.510,94</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449.585,01</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293.688,57</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 w:firstLine="0"/>
              <w:jc w:val="right"/>
            </w:pPr>
            <w:r>
              <w:rPr>
                <w:rFonts w:ascii="Calibri" w:eastAsia="Calibri" w:hAnsi="Calibri" w:cs="Calibri"/>
                <w:sz w:val="23"/>
              </w:rPr>
              <w:t>372.928,17</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Nº. Liquidaciones</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sz w:val="23"/>
              </w:rPr>
              <w:t>305</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sz w:val="23"/>
              </w:rPr>
              <w:t>265</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sz w:val="23"/>
              </w:rPr>
              <w:t>347</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sz w:val="23"/>
              </w:rPr>
              <w:t>306</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Media años</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sz w:val="23"/>
              </w:rPr>
              <w:t>15,38</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sz w:val="23"/>
              </w:rPr>
              <w:t>15,08</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12,59</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sz w:val="23"/>
              </w:rPr>
              <w:t>14,35</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Importe medio</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1.231,18</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1.696,55</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846,36</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 w:firstLine="0"/>
              <w:jc w:val="right"/>
            </w:pPr>
            <w:r>
              <w:rPr>
                <w:rFonts w:ascii="Calibri" w:eastAsia="Calibri" w:hAnsi="Calibri" w:cs="Calibri"/>
                <w:sz w:val="23"/>
              </w:rPr>
              <w:t>1.258,03</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BI RDL 26/21</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924.363,00</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sz w:val="23"/>
              </w:rPr>
              <w:t>1.004.224,52</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695.968,12</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 w:firstLine="0"/>
              <w:jc w:val="right"/>
            </w:pPr>
            <w:r>
              <w:rPr>
                <w:rFonts w:ascii="Calibri" w:eastAsia="Calibri" w:hAnsi="Calibri" w:cs="Calibri"/>
                <w:sz w:val="23"/>
              </w:rPr>
              <w:t>874.851,88</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CT 26/21</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249.578,01</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271.140,62</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sz w:val="23"/>
              </w:rPr>
              <w:t>187.911,39</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 w:firstLine="0"/>
              <w:jc w:val="right"/>
            </w:pPr>
            <w:r>
              <w:rPr>
                <w:rFonts w:ascii="Calibri" w:eastAsia="Calibri" w:hAnsi="Calibri" w:cs="Calibri"/>
                <w:sz w:val="23"/>
              </w:rPr>
              <w:t>236.210,01</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Descenso €</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color w:val="FF0000"/>
                <w:sz w:val="23"/>
              </w:rPr>
              <w:t>-125.932,93</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color w:val="FF0000"/>
                <w:sz w:val="23"/>
              </w:rPr>
              <w:t>-178.444,39</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color w:val="FF0000"/>
                <w:sz w:val="23"/>
              </w:rPr>
              <w:t>-105.777,18</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 w:firstLine="0"/>
              <w:jc w:val="right"/>
            </w:pPr>
            <w:r>
              <w:rPr>
                <w:rFonts w:ascii="Calibri" w:eastAsia="Calibri" w:hAnsi="Calibri" w:cs="Calibri"/>
                <w:color w:val="FF0000"/>
                <w:sz w:val="23"/>
              </w:rPr>
              <w:t>-136.718,17</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sz w:val="23"/>
              </w:rPr>
              <w:t>Descenso %</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4" w:firstLine="0"/>
              <w:jc w:val="right"/>
            </w:pPr>
            <w:r>
              <w:rPr>
                <w:rFonts w:ascii="Calibri" w:eastAsia="Calibri" w:hAnsi="Calibri" w:cs="Calibri"/>
                <w:color w:val="FF0000"/>
                <w:sz w:val="23"/>
              </w:rPr>
              <w:t>-33,54%</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4" w:firstLine="0"/>
              <w:jc w:val="right"/>
            </w:pPr>
            <w:r>
              <w:rPr>
                <w:rFonts w:ascii="Calibri" w:eastAsia="Calibri" w:hAnsi="Calibri" w:cs="Calibri"/>
                <w:color w:val="FF0000"/>
                <w:sz w:val="23"/>
              </w:rPr>
              <w:t>-39,69%</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4" w:firstLine="0"/>
              <w:jc w:val="right"/>
            </w:pPr>
            <w:r>
              <w:rPr>
                <w:rFonts w:ascii="Calibri" w:eastAsia="Calibri" w:hAnsi="Calibri" w:cs="Calibri"/>
                <w:color w:val="FF0000"/>
                <w:sz w:val="23"/>
              </w:rPr>
              <w:t>-36,02%</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6" w:firstLine="0"/>
              <w:jc w:val="right"/>
            </w:pPr>
            <w:r>
              <w:rPr>
                <w:rFonts w:ascii="Calibri" w:eastAsia="Calibri" w:hAnsi="Calibri" w:cs="Calibri"/>
                <w:color w:val="FF0000"/>
                <w:sz w:val="23"/>
              </w:rPr>
              <w:t>-36,41%</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i/>
                <w:sz w:val="23"/>
              </w:rPr>
              <w:t>Proyección CT 30%</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sz w:val="23"/>
              </w:rPr>
              <w:t>277.308,90</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sz w:val="23"/>
              </w:rPr>
              <w:t>301.267,36</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sz w:val="23"/>
              </w:rPr>
              <w:t>208.790,43</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3" w:firstLine="0"/>
              <w:jc w:val="right"/>
            </w:pPr>
            <w:r>
              <w:rPr>
                <w:rFonts w:ascii="Calibri" w:eastAsia="Calibri" w:hAnsi="Calibri" w:cs="Calibri"/>
                <w:i/>
                <w:sz w:val="23"/>
              </w:rPr>
              <w:t>262.455,56</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i/>
                <w:sz w:val="23"/>
              </w:rPr>
              <w:t>Descenso €</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2" w:firstLine="0"/>
              <w:jc w:val="right"/>
            </w:pPr>
            <w:r>
              <w:rPr>
                <w:rFonts w:ascii="Calibri" w:eastAsia="Calibri" w:hAnsi="Calibri" w:cs="Calibri"/>
                <w:i/>
                <w:color w:val="FF0000"/>
                <w:sz w:val="23"/>
              </w:rPr>
              <w:t>-98.202,04</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2" w:firstLine="0"/>
              <w:jc w:val="right"/>
            </w:pPr>
            <w:r>
              <w:rPr>
                <w:rFonts w:ascii="Calibri" w:eastAsia="Calibri" w:hAnsi="Calibri" w:cs="Calibri"/>
                <w:i/>
                <w:color w:val="FF0000"/>
                <w:sz w:val="23"/>
              </w:rPr>
              <w:t>-148.317,65</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2" w:firstLine="0"/>
              <w:jc w:val="right"/>
            </w:pPr>
            <w:r>
              <w:rPr>
                <w:rFonts w:ascii="Calibri" w:eastAsia="Calibri" w:hAnsi="Calibri" w:cs="Calibri"/>
                <w:i/>
                <w:color w:val="FF0000"/>
                <w:sz w:val="23"/>
              </w:rPr>
              <w:t>-84.898,14</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3" w:firstLine="0"/>
              <w:jc w:val="right"/>
            </w:pPr>
            <w:r>
              <w:rPr>
                <w:rFonts w:ascii="Calibri" w:eastAsia="Calibri" w:hAnsi="Calibri" w:cs="Calibri"/>
                <w:i/>
                <w:color w:val="FF0000"/>
                <w:sz w:val="23"/>
              </w:rPr>
              <w:t>-110.472,61</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i/>
                <w:sz w:val="23"/>
              </w:rPr>
              <w:t>Descenso %</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4" w:firstLine="0"/>
              <w:jc w:val="right"/>
            </w:pPr>
            <w:r>
              <w:rPr>
                <w:rFonts w:ascii="Calibri" w:eastAsia="Calibri" w:hAnsi="Calibri" w:cs="Calibri"/>
                <w:i/>
                <w:color w:val="FF0000"/>
                <w:sz w:val="23"/>
              </w:rPr>
              <w:t>-26,15%</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4" w:firstLine="0"/>
              <w:jc w:val="right"/>
            </w:pPr>
            <w:r>
              <w:rPr>
                <w:rFonts w:ascii="Calibri" w:eastAsia="Calibri" w:hAnsi="Calibri" w:cs="Calibri"/>
                <w:i/>
                <w:color w:val="FF0000"/>
                <w:sz w:val="23"/>
              </w:rPr>
              <w:t>-32,99%</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4" w:firstLine="0"/>
              <w:jc w:val="right"/>
            </w:pPr>
            <w:r>
              <w:rPr>
                <w:rFonts w:ascii="Calibri" w:eastAsia="Calibri" w:hAnsi="Calibri" w:cs="Calibri"/>
                <w:i/>
                <w:color w:val="FF0000"/>
                <w:sz w:val="23"/>
              </w:rPr>
              <w:t>-28,91%</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6" w:firstLine="0"/>
              <w:jc w:val="right"/>
            </w:pPr>
            <w:r>
              <w:rPr>
                <w:rFonts w:ascii="Calibri" w:eastAsia="Calibri" w:hAnsi="Calibri" w:cs="Calibri"/>
                <w:color w:val="FF0000"/>
                <w:sz w:val="23"/>
              </w:rPr>
              <w:t>-29,35%</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pPr>
            <w:r>
              <w:rPr>
                <w:rFonts w:ascii="Calibri" w:eastAsia="Calibri" w:hAnsi="Calibri" w:cs="Calibri"/>
                <w:b/>
                <w:i/>
                <w:sz w:val="23"/>
              </w:rPr>
              <w:t>Nueva bonificación</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color w:val="FF0000"/>
                <w:sz w:val="23"/>
              </w:rPr>
              <w:t>49.541,23</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color w:val="FF0000"/>
                <w:sz w:val="23"/>
              </w:rPr>
              <w:t>56.555,41</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color w:val="FF0000"/>
                <w:sz w:val="23"/>
              </w:rPr>
              <w:t>37.143,82</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3" w:firstLine="0"/>
              <w:jc w:val="right"/>
            </w:pPr>
            <w:r>
              <w:rPr>
                <w:rFonts w:ascii="Calibri" w:eastAsia="Calibri" w:hAnsi="Calibri" w:cs="Calibri"/>
                <w:i/>
                <w:color w:val="FF0000"/>
                <w:sz w:val="23"/>
              </w:rPr>
              <w:t>47.746,82</w:t>
            </w:r>
          </w:p>
        </w:tc>
      </w:tr>
    </w:tbl>
    <w:p w:rsidR="00E302EC" w:rsidRDefault="00FC4F28">
      <w:pPr>
        <w:spacing w:after="225" w:line="259" w:lineRule="auto"/>
        <w:ind w:left="284" w:firstLine="0"/>
        <w:jc w:val="left"/>
      </w:pPr>
      <w:r>
        <w:rPr>
          <w:color w:val="FF0000"/>
        </w:rPr>
        <w:t xml:space="preserve"> </w:t>
      </w:r>
    </w:p>
    <w:p w:rsidR="00E302EC" w:rsidRDefault="00FC4F28">
      <w:pPr>
        <w:spacing w:after="231"/>
        <w:ind w:left="279" w:right="250"/>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80429" name="Group 28042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6576" name="Rectangle 1657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6577" name="Rectangle 1657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73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80429" style="width:12.7031pt;height:273.276pt;position:absolute;mso-position-horizontal-relative:page;mso-position-horizontal:absolute;margin-left:682.278pt;mso-position-vertical-relative:page;margin-top:538.644pt;" coordsize="1613,34706">
                <v:rect id="Rectangle 1657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657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159 </w:t>
                        </w:r>
                      </w:p>
                    </w:txbxContent>
                  </v:textbox>
                </v:rect>
                <w10:wrap type="square"/>
              </v:group>
            </w:pict>
          </mc:Fallback>
        </mc:AlternateContent>
      </w:r>
      <w:r>
        <w:rPr>
          <w:b/>
        </w:rPr>
        <w:t xml:space="preserve">SEPTIMO. - </w:t>
      </w:r>
      <w:r>
        <w:t xml:space="preserve"> Realizadas las anteriores consideraciones, debemos resaltar que el nuevo modelo de aplicación del impuesto implica, en líneas generales, un mayor cost</w:t>
      </w:r>
      <w:r>
        <w:t>e de gestión.  Hasta ahora, la gestión tributaria municipal podía liquidar el impuesto con relativa facilidad, en la mayoría de los casos, a través de la carga masiva de los datos procedentes de los índices notariales, a los que se refiere el art. 110.7 TR</w:t>
      </w:r>
      <w:r>
        <w:t>LRHL, puesto que tan solo conociendo los valores catastrales y las fechas de adquisición y transmisión era posible calcular la cuota. Sin embargo, la nueva redacción impide efectuar una liquidación objetiva en tanto en cuanto no se conozca la opción de tri</w:t>
      </w:r>
      <w:r>
        <w:t>butación del sujeto pasivo: bien por método objetivo o bien por método de estimación directa. Además, en el caso de las transmisiones mortis causa, este nuevo IIVTNU se convierte en un impuesto claramente subsidiario del Impuesto de Sucesiones y Donaciones</w:t>
      </w:r>
      <w:r>
        <w:t>, puesto que será el valor declarado a efectos de este último impuesto, el parámetro respecto del que habrá que comparar a efectos de comprobar la correcta aplicación de nuestra plusvalía municipal. Y, en la medida que nos vemos obligados a comprobar no só</w:t>
      </w:r>
      <w:r>
        <w:t>lo los casos de alegación de inexistencia de incremento de valor, será preciso contar con medios a disposición de la Administración tributaria municipal a efectos de realizar las comprobaciones oportunas. Por ello resulta obligado, a partir de ahora, conta</w:t>
      </w:r>
      <w:r>
        <w:t>r con técnicos especialistas en valoraciones y resultará imprescindible la asistencia y cooperación con la Agencia Tributaria Canaria, entidad gestora del ISD.  Por último, resultaría necesario la adopción de un  Plan de Control Tributario, acudiendo en la</w:t>
      </w:r>
      <w:r>
        <w:t xml:space="preserve"> medida de lo posible a técnicas de big data para detectar, con un umbral de tolerancia razonable, basado en el principio de eficiencia y proporcionalidad y eficacia (art. 3.2 LGT), aquellos hechos imponibles que requieran de una comprobación o, en su caso</w:t>
      </w:r>
      <w:r>
        <w:t>, de  una actuación inspectora, con la dificultad añadida de la conexión que esta reforma impone con la aplicación tanto del ITP como del ISD, que tienen una larga historia de conflictividad y litigiosidad en cuanto a las valoraciones de los inmuebles suje</w:t>
      </w:r>
      <w:r>
        <w:t xml:space="preserve">tos a los mismos, si bien han sido recientemente modificados por la Ley 11/2021, de 9 de julio, que ha introducido el valor de referencia, previsto en el texto refundido de la Ley del Catastro Inmobiliario, en la determinación de sus bases imponibles. Por </w:t>
      </w:r>
      <w:r>
        <w:t>todo ello, se recomienda la valoración de la posibilidad de proceder a la encomienda de la gestión integral de esta figura en el Consorcio de Tributos, reconduciendo los recursos liberados para lograr una mejor gestión de aquellas tasas y otros ingresos de</w:t>
      </w:r>
      <w:r>
        <w:t xml:space="preserve"> derecho público que conforman la estructura de recursos de financiación de esta Entidad.</w:t>
      </w:r>
      <w:r>
        <w:rPr>
          <w:rFonts w:ascii="Times New Roman" w:eastAsia="Times New Roman" w:hAnsi="Times New Roman" w:cs="Times New Roman"/>
          <w:sz w:val="24"/>
        </w:rPr>
        <w:t xml:space="preserve"> </w:t>
      </w:r>
    </w:p>
    <w:p w:rsidR="00E302EC" w:rsidRDefault="00FC4F28">
      <w:pPr>
        <w:spacing w:after="227" w:line="259" w:lineRule="auto"/>
        <w:ind w:left="284" w:firstLine="0"/>
        <w:jc w:val="left"/>
      </w:pPr>
      <w:r>
        <w:rPr>
          <w:color w:val="FF0000"/>
        </w:rPr>
        <w:t xml:space="preserve"> </w:t>
      </w:r>
    </w:p>
    <w:p w:rsidR="00E302EC" w:rsidRDefault="00FC4F28">
      <w:pPr>
        <w:spacing w:after="223" w:line="249" w:lineRule="auto"/>
        <w:ind w:left="279" w:right="184"/>
        <w:jc w:val="left"/>
      </w:pPr>
      <w:r>
        <w:rPr>
          <w:b/>
        </w:rPr>
        <w:t xml:space="preserve">OCTAVO. - </w:t>
      </w:r>
      <w:r>
        <w:t xml:space="preserve"> La presente norma se ajusta a los principios de buena regulación en el ejercicio de la potestad reglamentaria previstos en el artículo 129 de la Ley 39/</w:t>
      </w:r>
      <w:r>
        <w:t xml:space="preserve">2015, de 1 de octubre, de Procedimiento Administrativo Común de las Administraciones Públicas. </w:t>
      </w:r>
      <w:r>
        <w:rPr>
          <w:rFonts w:ascii="Times New Roman" w:eastAsia="Times New Roman" w:hAnsi="Times New Roman" w:cs="Times New Roman"/>
          <w:sz w:val="24"/>
        </w:rPr>
        <w:t xml:space="preserve"> </w:t>
      </w:r>
    </w:p>
    <w:p w:rsidR="00E302EC" w:rsidRDefault="00FC4F28">
      <w:pPr>
        <w:spacing w:after="243"/>
        <w:ind w:left="279" w:right="254"/>
      </w:pPr>
      <w:r>
        <w:t>Respecto a la necesidad de modificación de la norma, ésta nace del mandato contenido en la Disposición transitoria única del Real Decreto-ley 26/2021, que esta</w:t>
      </w:r>
      <w:r>
        <w:t xml:space="preserve">blece que los ayuntamientos que tengan establecido el Impuesto deberán modificar sus respectivas ordenanzas fiscales en el plazo de seis meses desde su entrada en vigor para adecuarlas a lo dispuesto en el mismo.  </w:t>
      </w:r>
    </w:p>
    <w:p w:rsidR="00E302EC" w:rsidRDefault="00FC4F28">
      <w:pPr>
        <w:spacing w:after="243"/>
        <w:ind w:left="279" w:right="252"/>
      </w:pPr>
      <w:r>
        <w:t>De este modo, se cumplen los principios d</w:t>
      </w:r>
      <w:r>
        <w:t>e eficacia y eficiencia en la modificación de la norma, así como la seguridad jurídica y transparencia que quedan garantizados a través del trámite de aprobación provisional, exposición pública y aprobación definitiva. A estos efectos, se entiende proceden</w:t>
      </w:r>
      <w:r>
        <w:t xml:space="preserve">te, pese a tratarse de una modificación parcial, proceder a la publicación del texto consolidado de la misma. </w:t>
      </w:r>
    </w:p>
    <w:p w:rsidR="00E302EC" w:rsidRDefault="00FC4F28">
      <w:pPr>
        <w:spacing w:after="243"/>
        <w:ind w:left="279" w:right="254"/>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9116" name="Group 23911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6707" name="Rectangle 1670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6708" name="Rectangle 16708"/>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74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9116" style="width:12.7031pt;height:273.276pt;position:absolute;mso-position-horizontal-relative:page;mso-position-horizontal:absolute;margin-left:682.278pt;mso-position-vertical-relative:page;margin-top:538.644pt;" coordsize="1613,34706">
                <v:rect id="Rectangle 1670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6708"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159 </w:t>
                        </w:r>
                      </w:p>
                    </w:txbxContent>
                  </v:textbox>
                </v:rect>
                <w10:wrap type="square"/>
              </v:group>
            </w:pict>
          </mc:Fallback>
        </mc:AlternateContent>
      </w:r>
      <w:r>
        <w:t xml:space="preserve"> De acuerdo con el Informe de la Dirección General de Tributos, de 19 de enero de 2018, sobre el impacto de la Ley 39/2015 en el procedimiento de aprobación de la</w:t>
      </w:r>
      <w:r>
        <w:t>s ordenanzas fiscales,  el trámite de consulta previa previsto en el art. 133 de dicha Ley sólo debe sustanciarse cuando se trata de la aprobación de una nueva ordenanza fiscal, mientras que en el caso de la modificación de una ordenanza fiscal ya aprobada</w:t>
      </w:r>
      <w:r>
        <w:t xml:space="preserve"> con anterioridad, puede obviarse dicho trámite por tratarse de una regulación parcial de la materia, como exceptúa el apartado 4 de dicho artículo 133. </w:t>
      </w:r>
    </w:p>
    <w:p w:rsidR="00E302EC" w:rsidRDefault="00FC4F28">
      <w:pPr>
        <w:spacing w:after="243"/>
        <w:ind w:left="279" w:right="184"/>
      </w:pPr>
      <w:r>
        <w:t xml:space="preserve">En virtud de lo expuesto, atendiendo a las instrucciones del Sr. Concejal de Hacienda, se formula la presente </w:t>
      </w:r>
    </w:p>
    <w:p w:rsidR="00E302EC" w:rsidRDefault="00FC4F28">
      <w:pPr>
        <w:spacing w:after="232" w:line="251" w:lineRule="auto"/>
        <w:ind w:left="103" w:right="319"/>
        <w:jc w:val="center"/>
      </w:pPr>
      <w:r>
        <w:t xml:space="preserve">Propuesta de acuerdo </w:t>
      </w:r>
    </w:p>
    <w:p w:rsidR="00E302EC" w:rsidRDefault="00FC4F28">
      <w:pPr>
        <w:spacing w:after="219"/>
        <w:ind w:left="279" w:right="253"/>
      </w:pPr>
      <w:r>
        <w:rPr>
          <w:b/>
        </w:rPr>
        <w:t>PRIMERO.</w:t>
      </w:r>
      <w:r>
        <w:t xml:space="preserve"> Aprobar la modificación de la Ordenanza Fiscal del Impuesto sobre Incremento de Valor de los Terrenos de Naturalez</w:t>
      </w:r>
      <w:r>
        <w:t>a Urbana, quedando la redacción consolidada de la siguiente manera:</w:t>
      </w:r>
      <w:r>
        <w:rPr>
          <w:rFonts w:ascii="Times New Roman" w:eastAsia="Times New Roman" w:hAnsi="Times New Roman" w:cs="Times New Roman"/>
          <w:sz w:val="24"/>
        </w:rPr>
        <w:t xml:space="preserve"> </w:t>
      </w:r>
    </w:p>
    <w:p w:rsidR="00E302EC" w:rsidRDefault="00FC4F28">
      <w:pPr>
        <w:spacing w:after="8" w:line="248" w:lineRule="auto"/>
        <w:ind w:left="279" w:right="183"/>
      </w:pPr>
      <w:r>
        <w:rPr>
          <w:b/>
        </w:rPr>
        <w:t>“ORDENANZA FISCAL REGULADORA DEL IMPUESTO SOBRE EL INCREMENTO DE VALOR DE LOS TERRENOS DE NATURALEZAURBANA</w:t>
      </w:r>
      <w:r>
        <w:t>.</w:t>
      </w:r>
      <w:r>
        <w:rPr>
          <w:rFonts w:ascii="Times New Roman" w:eastAsia="Times New Roman" w:hAnsi="Times New Roman" w:cs="Times New Roman"/>
          <w:sz w:val="24"/>
        </w:rPr>
        <w:t xml:space="preserve">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CAPÍTULO I. DISPOSICIÓN GENERAL.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Artículo 1. Establecimiento del impuesto</w:t>
      </w:r>
      <w:r>
        <w:rPr>
          <w:b/>
        </w:rPr>
        <w:t xml:space="preserve"> y normativa aplicable. </w:t>
      </w:r>
    </w:p>
    <w:p w:rsidR="00E302EC" w:rsidRDefault="00FC4F28">
      <w:pPr>
        <w:numPr>
          <w:ilvl w:val="0"/>
          <w:numId w:val="38"/>
        </w:numPr>
        <w:ind w:right="216"/>
      </w:pPr>
      <w:r>
        <w:t>De acuerdo con lo dispuesto en los artículos 15 y 59.2 del Texto Refundido de la Ley Reguladora de las Haciendas Locales, aprobado por Real Decreto Legislativo 2/2004, de 5 de marzo, se acuerda la imposición y ordenación en este mu</w:t>
      </w:r>
      <w:r>
        <w:t xml:space="preserve">nicipio del impuesto sobre el Incremento de Valor de los Terrenos de Naturaleza Urbana. </w:t>
      </w:r>
    </w:p>
    <w:p w:rsidR="00E302EC" w:rsidRDefault="00FC4F28">
      <w:pPr>
        <w:numPr>
          <w:ilvl w:val="0"/>
          <w:numId w:val="38"/>
        </w:numPr>
        <w:ind w:right="216"/>
      </w:pPr>
      <w:r>
        <w:t xml:space="preserve">El impuesto sobre el Incremento de Valor de los Terrenos de Naturaleza Urbana se regirá en este municipio: </w:t>
      </w:r>
    </w:p>
    <w:p w:rsidR="00E302EC" w:rsidRDefault="00FC4F28">
      <w:pPr>
        <w:ind w:left="279" w:right="250"/>
      </w:pPr>
      <w:r>
        <w:t>a) Por las normas reguladoras del mismo, contenidas el Text</w:t>
      </w:r>
      <w:r>
        <w:t xml:space="preserve">o Refundido de la Ley Reguladora de las Haciendas Locales, aprobado por Real Decreto Legislativo 2/2004, de 5 de marzo; y por las demás disposiciones legales y reglamentarias que complementen y desarrollen dicha Ley. b) Por la presente Ordenanza Fiscal.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II. HECHO IMPONIBLE.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2. Hecho Imponible. </w:t>
      </w:r>
    </w:p>
    <w:p w:rsidR="00E302EC" w:rsidRDefault="00FC4F28">
      <w:pPr>
        <w:numPr>
          <w:ilvl w:val="0"/>
          <w:numId w:val="39"/>
        </w:numPr>
        <w:ind w:right="249"/>
      </w:pPr>
      <w:r>
        <w:t xml:space="preserve">Constituye el hecho imponible del impuesto el incremento de valor que experimenten los terrenos de naturaleza urbana manifestado a consecuencia de la transmisión de la propiedad por cualquier </w:t>
      </w:r>
      <w:r>
        <w:t xml:space="preserve">título o de la constitución o transmisión de cualquier derecho real de goce limitativo del dominio sobre los bienes mencionados. </w:t>
      </w:r>
    </w:p>
    <w:p w:rsidR="00E302EC" w:rsidRDefault="00FC4F28">
      <w:pPr>
        <w:ind w:left="279" w:right="184"/>
      </w:pPr>
      <w:r>
        <w:t>El título a que se refiere el apartado anterior será todo hecho, acto o contrato, cualquiera que sea su forma, que origine un cambio del sujeto titular de las facultades dominicales de disposición o aprovechamiento sobre un terreno, tenga lugar por ministe</w:t>
      </w:r>
      <w:r>
        <w:t xml:space="preserve">rio de la Ley, por actos mortis-causa o inter-vivos, a título oneroso o gratuito. </w:t>
      </w:r>
    </w:p>
    <w:p w:rsidR="00E302EC" w:rsidRDefault="00FC4F28">
      <w:pPr>
        <w:numPr>
          <w:ilvl w:val="0"/>
          <w:numId w:val="39"/>
        </w:numPr>
        <w:ind w:right="249"/>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9300" name="Group 23930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6819" name="Rectangle 1681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6820" name="Rectangle 1682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Gesti</w:t>
                              </w:r>
                              <w:r>
                                <w:rPr>
                                  <w:sz w:val="12"/>
                                </w:rPr>
                                <w:t xml:space="preserve">ona | Página 75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9300" style="width:12.7031pt;height:273.276pt;position:absolute;mso-position-horizontal-relative:page;mso-position-horizontal:absolute;margin-left:682.278pt;mso-position-vertical-relative:page;margin-top:538.644pt;" coordsize="1613,34706">
                <v:rect id="Rectangle 1681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682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159 </w:t>
                        </w:r>
                      </w:p>
                    </w:txbxContent>
                  </v:textbox>
                </v:rect>
                <w10:wrap type="square"/>
              </v:group>
            </w:pict>
          </mc:Fallback>
        </mc:AlternateContent>
      </w:r>
      <w:r>
        <w:t>No está sujeto a este impuesto el incremento de valor que experimenten los terrenos que tengan la consideración de rústicos a efectos del impuesto sobre Bienes Inmuebles. En consecuencia, con ello, está sujeto el incremento de valor</w:t>
      </w:r>
      <w:r>
        <w:t xml:space="preserve"> que experimenten los terrenos que deban tener la consideración de urbanos, a efectos de dicho impuesto sobre Bienes Inmuebles, con independencia de que estén o no contemplados como tales en el Catastro o en el Padrón de aquél. A los efectos de este impues</w:t>
      </w:r>
      <w:r>
        <w:t xml:space="preserve">to, estará asimismo sujeto al mismo el incremento de valor que experimenten los terrenos integrados en los bienes inmuebles clasificados como de características especiales a efectos del impuesto sobre Bienes Inmuebles. </w:t>
      </w:r>
    </w:p>
    <w:p w:rsidR="00E302EC" w:rsidRDefault="00FC4F28">
      <w:pPr>
        <w:numPr>
          <w:ilvl w:val="0"/>
          <w:numId w:val="39"/>
        </w:numPr>
        <w:ind w:right="249"/>
      </w:pPr>
      <w:r>
        <w:t>No se devengará este impuesto en las</w:t>
      </w:r>
      <w:r>
        <w:t xml:space="preserve"> transmisiones de terrenos de naturaleza urbana derivadas de operaciones a las cuales resulte aplicable el régimen especial regulado en el Capítulo VII del Título VII de la Ley 27/2014, del impuesto sobre Sociedades, a excepción de los relativos a terrenos</w:t>
      </w:r>
      <w:r>
        <w:t xml:space="preserve"> que se aporten al amparo de lo previsto en el artículo 87 de la citada Ley cuando no se hallen integrados en una rama de actividad </w:t>
      </w:r>
    </w:p>
    <w:p w:rsidR="00E302EC" w:rsidRDefault="00FC4F28">
      <w:pPr>
        <w:numPr>
          <w:ilvl w:val="0"/>
          <w:numId w:val="39"/>
        </w:numPr>
        <w:ind w:right="249"/>
      </w:pPr>
      <w:r>
        <w:t>No se devengará el impuesto con ocasión de las transmisiones de terrenos de naturaleza urbana que se realicen como consecue</w:t>
      </w:r>
      <w:r>
        <w:t>ncia de las operaciones relativas a los procesos de adscripción a una sociedad anónima deportiva de nueva creación, siempre que se ajusten a las normas de la Ley 20/1990, de 15 de octubre, del Deporte y el Real Decreto 1.084/1991, de 15 de julio, sobre soc</w:t>
      </w:r>
      <w:r>
        <w:t xml:space="preserve">iedades anónimas deportivas. </w:t>
      </w:r>
    </w:p>
    <w:p w:rsidR="00E302EC" w:rsidRDefault="00FC4F28">
      <w:pPr>
        <w:numPr>
          <w:ilvl w:val="0"/>
          <w:numId w:val="39"/>
        </w:numPr>
        <w:ind w:right="249"/>
      </w:pPr>
      <w:r>
        <w:t>En la posterior transmisión de los mencionados terrenos se entenderá que el número de años a través de los cuales se ha puesto de manifiesto el incremento de valor no se ha interrumpido por causa de la transmisión de las opera</w:t>
      </w:r>
      <w:r>
        <w:t xml:space="preserve">ciones citadas en los apartados 3 y 4. </w:t>
      </w:r>
    </w:p>
    <w:p w:rsidR="00E302EC" w:rsidRDefault="00FC4F28">
      <w:pPr>
        <w:numPr>
          <w:ilvl w:val="0"/>
          <w:numId w:val="39"/>
        </w:numPr>
        <w:ind w:right="249"/>
      </w:pPr>
      <w:r>
        <w:t>No se producirá la sujeción al impuesto en los supuestos de aportaciones de bienes y derechos realizadas por los cónyuges a la sociedad conyugal, adjudicaciones que a su favor y en pago de ellas se verifiquen y trans</w:t>
      </w:r>
      <w:r>
        <w:t xml:space="preserve">misiones que se hagan a los cónyuges en pago de sus haberes comunes </w:t>
      </w:r>
    </w:p>
    <w:p w:rsidR="00E302EC" w:rsidRDefault="00FC4F28">
      <w:pPr>
        <w:ind w:left="279" w:right="184"/>
      </w:pPr>
      <w:r>
        <w:t xml:space="preserve">Tampoco se producirá la sujeción al impuesto en los supuestos de transmisiones de bienes inmuebles entre cónyuges o a favor de los hijos, como consecuencia del cumplimiento de sentencias </w:t>
      </w:r>
      <w:r>
        <w:t>en los casos de nulidad, separación o divorcio matrimonial, sea cual sea el régimen económico matrimonial. Asimismo, no se producirá la sujeción al impuesto en los supuestos de transmisiones de bienes inmuebles a título lucrativo en beneficio de las hijas,</w:t>
      </w:r>
      <w:r>
        <w:t xml:space="preserve"> hijos, menores o personas con discapacidad sujetas a patria potestad, tutela o con medidas de apoyo para el adecuado ejercicio de su capacidad jurídica, cuyo ejercicio se llevara a cabo por las mujeres fallecidas como consecuencia de violencia contra la m</w:t>
      </w:r>
      <w:r>
        <w:t xml:space="preserve">ujer, en los términos en que se defina por la ley o por los instrumentos internacionales ratificados por España, cuando estas transmisiones lucrativas traigan causa del referido fallecimiento. </w:t>
      </w:r>
    </w:p>
    <w:p w:rsidR="00E302EC" w:rsidRDefault="00FC4F28">
      <w:pPr>
        <w:numPr>
          <w:ilvl w:val="0"/>
          <w:numId w:val="39"/>
        </w:numPr>
        <w:ind w:right="249"/>
      </w:pPr>
      <w:r>
        <w:t>Asimismo no se producirá la sujeción al impuesto en las transm</w:t>
      </w:r>
      <w:r>
        <w:t xml:space="preserve">isiones de terrenos respecto de los cuales se constate la inexistencia de incremento de valor por diferencia entre los valores de dichos terrenos en las fechas de transmisión y adquisición.  </w:t>
      </w:r>
    </w:p>
    <w:p w:rsidR="00E302EC" w:rsidRDefault="00FC4F28">
      <w:pPr>
        <w:ind w:left="279" w:right="184"/>
      </w:pPr>
      <w:r>
        <w:t>Para constatar la inexistencia de incremento de valor, como valo</w:t>
      </w:r>
      <w:r>
        <w:t xml:space="preserve">r de transmisión o de adquisición del terreno se tomará en cada caso el mayor de los siguientes valores, sin que a estos efectos puedan computarse los gastos o tributos que graven dichas operaciones: </w:t>
      </w:r>
    </w:p>
    <w:p w:rsidR="00E302EC" w:rsidRDefault="00FC4F28">
      <w:pPr>
        <w:ind w:left="279" w:right="251"/>
      </w:pPr>
      <w:r>
        <w:t>a) El que conste en el título que documente la operació</w:t>
      </w:r>
      <w:r>
        <w:t xml:space="preserve">n, o, cuando la adquisición o la transmisión hubiera sido a título lucrativo, el declarado en el Impuesto sobre Sucesiones y Donaciones.  b) El comprobado, en su caso, por la Administración tributaria. </w:t>
      </w:r>
    </w:p>
    <w:p w:rsidR="00E302EC" w:rsidRDefault="00FC4F28">
      <w:pPr>
        <w:ind w:left="279" w:right="250"/>
      </w:pPr>
      <w:r>
        <w:t>Cuando se trate de la transmisión de un inmueble en e</w:t>
      </w:r>
      <w:r>
        <w:t>l que haya suelo y construcción, se tomará como valor del suelo a estos efectos el que resulte de aplicar la proporción que represente en la fecha de devengo del impuesto el valor catastral del terreno respecto del valor catastral total y esta proporción s</w:t>
      </w:r>
      <w:r>
        <w:t xml:space="preserve">e aplicará tanto al valor de transmisión como, en su caso, al de adquisición.  El presente supuesto de no sujeción será aplicable a instancia del interesado, mediante la presentación de la correspondiente declaración o autoliquidación. </w:t>
      </w:r>
    </w:p>
    <w:p w:rsidR="00E302EC" w:rsidRDefault="00FC4F28">
      <w:pPr>
        <w:spacing w:after="0" w:line="259" w:lineRule="auto"/>
        <w:ind w:left="269" w:firstLine="0"/>
        <w:jc w:val="left"/>
      </w:pPr>
      <w:r>
        <w:t xml:space="preserve"> </w:t>
      </w:r>
    </w:p>
    <w:p w:rsidR="00E302EC" w:rsidRDefault="00FC4F28">
      <w:pPr>
        <w:spacing w:after="4" w:line="259" w:lineRule="auto"/>
        <w:ind w:left="269" w:firstLine="0"/>
        <w:jc w:val="left"/>
      </w:pPr>
      <w:r>
        <w:rPr>
          <w:b/>
        </w:rPr>
        <w:t xml:space="preserve"> </w:t>
      </w:r>
    </w:p>
    <w:p w:rsidR="00E302EC" w:rsidRDefault="00FC4F28">
      <w:pPr>
        <w:spacing w:after="8" w:line="248" w:lineRule="auto"/>
        <w:ind w:left="279" w:right="183"/>
      </w:pPr>
      <w:r>
        <w:rPr>
          <w:b/>
        </w:rPr>
        <w:t>CAPÍTULO III. EXENCIONES</w:t>
      </w:r>
      <w:r>
        <w:t>.</w:t>
      </w:r>
      <w:r>
        <w:rPr>
          <w:rFonts w:ascii="Times New Roman" w:eastAsia="Times New Roman" w:hAnsi="Times New Roman" w:cs="Times New Roman"/>
          <w:sz w:val="24"/>
        </w:rPr>
        <w:t xml:space="preserve"> </w:t>
      </w:r>
    </w:p>
    <w:p w:rsidR="00E302EC" w:rsidRDefault="00FC4F28">
      <w:pPr>
        <w:spacing w:after="0" w:line="259" w:lineRule="auto"/>
        <w:ind w:left="269"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9537" name="Group 23953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6933" name="Rectangle 1693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6934" name="Rectangle 1693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76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9537" style="width:12.7031pt;height:273.276pt;position:absolute;mso-position-horizontal-relative:page;mso-position-horizontal:absolute;margin-left:682.278pt;mso-position-vertical-relative:page;margin-top:538.644pt;" coordsize="1613,34706">
                <v:rect id="Rectangle 1693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693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159 </w:t>
                        </w:r>
                      </w:p>
                    </w:txbxContent>
                  </v:textbox>
                </v:rect>
                <w10:wrap type="square"/>
              </v:group>
            </w:pict>
          </mc:Fallback>
        </mc:AlternateContent>
      </w:r>
      <w:r>
        <w:t xml:space="preserve"> </w:t>
      </w:r>
    </w:p>
    <w:p w:rsidR="00E302EC" w:rsidRDefault="00FC4F28">
      <w:pPr>
        <w:spacing w:after="8" w:line="248" w:lineRule="auto"/>
        <w:ind w:left="279" w:right="183"/>
      </w:pPr>
      <w:r>
        <w:rPr>
          <w:b/>
        </w:rPr>
        <w:t xml:space="preserve">Artículo 3. Exenciones. </w:t>
      </w:r>
    </w:p>
    <w:p w:rsidR="00E302EC" w:rsidRDefault="00FC4F28">
      <w:pPr>
        <w:ind w:left="279" w:right="184"/>
      </w:pPr>
      <w:r>
        <w:t xml:space="preserve">1. Estarán exentos de este impuesto los incrementos de valor que se manifiesten a consecuencia de los actos siguientes: </w:t>
      </w:r>
    </w:p>
    <w:p w:rsidR="00E302EC" w:rsidRDefault="00FC4F28">
      <w:pPr>
        <w:numPr>
          <w:ilvl w:val="0"/>
          <w:numId w:val="40"/>
        </w:numPr>
        <w:ind w:right="217" w:hanging="722"/>
      </w:pPr>
      <w:r>
        <w:t xml:space="preserve">La constitución y transmisión de derechos de servidumbre. </w:t>
      </w:r>
    </w:p>
    <w:p w:rsidR="00E302EC" w:rsidRDefault="00FC4F28">
      <w:pPr>
        <w:numPr>
          <w:ilvl w:val="0"/>
          <w:numId w:val="40"/>
        </w:numPr>
        <w:ind w:right="217" w:hanging="722"/>
      </w:pPr>
      <w:r>
        <w:t>Las transmisiones de bienes que se encuentren dentro del perímetro delimitad</w:t>
      </w:r>
      <w:r>
        <w:t>o como Conjunto Histórico-Artístico, o hayan sido declarados individualmente de interés cultural, según lo establecido en la Ley 16/1985, de 25 de junio, del Patrimonio Histórico Español, cuando sus propietarios o titulares de derechos reales acrediten que</w:t>
      </w:r>
      <w:r>
        <w:t xml:space="preserve"> han realizado a su cargo obras de conservación, mejora o rehabilitación en dichos inmuebles.  </w:t>
      </w:r>
    </w:p>
    <w:p w:rsidR="00E302EC" w:rsidRDefault="00FC4F28">
      <w:pPr>
        <w:ind w:left="279" w:right="184"/>
      </w:pPr>
      <w:r>
        <w:t xml:space="preserve">Para que proceda aplicar la exención prevista en esta letra, será preciso que concurran las siguientes condiciones. </w:t>
      </w:r>
    </w:p>
    <w:p w:rsidR="00E302EC" w:rsidRDefault="00FC4F28">
      <w:pPr>
        <w:numPr>
          <w:ilvl w:val="0"/>
          <w:numId w:val="41"/>
        </w:numPr>
        <w:ind w:right="218"/>
      </w:pPr>
      <w:r>
        <w:t>Que el importe de las obras de conservación</w:t>
      </w:r>
      <w:r>
        <w:t xml:space="preserve"> y/o rehabilitación ejecutadas en los últimos cinco años sea superior al 25% del valor catastral del inmueble, en el momento del devengo del impuesto. </w:t>
      </w:r>
    </w:p>
    <w:p w:rsidR="00E302EC" w:rsidRDefault="00FC4F28">
      <w:pPr>
        <w:numPr>
          <w:ilvl w:val="0"/>
          <w:numId w:val="41"/>
        </w:numPr>
        <w:ind w:right="218"/>
      </w:pPr>
      <w:r>
        <w:t>Que dichas obras de rehabilitación hayan sido financiadas por el sujeto pasivo, o su ascendiente de prim</w:t>
      </w:r>
      <w:r>
        <w:t xml:space="preserve">er grado. </w:t>
      </w:r>
    </w:p>
    <w:p w:rsidR="00E302EC" w:rsidRDefault="00FC4F28">
      <w:pPr>
        <w:ind w:left="279" w:right="251"/>
      </w:pPr>
      <w:r>
        <w:t>c) Las transmisiones realizadas por personas físicas con ocasión de la dación en pago de la vivienda habitual del deudor hipotecario o garante del mismo, para la cancelación de deudas garantizadas con hipoteca que recaiga sobre la misma, contraídas con ent</w:t>
      </w:r>
      <w:r>
        <w:t xml:space="preserve">idades de crédito o cualquier otra entidad que, de manera profesional, realice la actividad de concesión de préstamos o créditos hipotecarios. </w:t>
      </w:r>
    </w:p>
    <w:p w:rsidR="00E302EC" w:rsidRDefault="00FC4F28">
      <w:pPr>
        <w:ind w:left="279" w:right="184"/>
      </w:pPr>
      <w:r>
        <w:t>Asimismo, estarán exentas las transmisiones de la vivienda en que concurran los requisitos anteriores, realizada</w:t>
      </w:r>
      <w:r>
        <w:t xml:space="preserve">s en ejecuciones hipotecarias judiciales o notariales. </w:t>
      </w:r>
    </w:p>
    <w:p w:rsidR="00E302EC" w:rsidRDefault="00FC4F28">
      <w:pPr>
        <w:ind w:left="279" w:right="184"/>
      </w:pPr>
      <w:r>
        <w:t>Para tener derecho a la exención se requiere que el deudor o garante transmitente o cualquier otro miembro de su unidad familiar no disponga, en el momento de poder evitar la enajenación de la viviend</w:t>
      </w:r>
      <w:r>
        <w:t>a, de otros bienes o derechos en cuantía suficiente para satisfacer la totalidad de la deuda hipotecaria. Se presumirá el cumplimiento de este requisito. No obstante, si con posterioridad se comprobara lo contrario, se procederá a girar la liquidación trib</w:t>
      </w:r>
      <w:r>
        <w:t xml:space="preserve">utaria correspondiente. </w:t>
      </w:r>
    </w:p>
    <w:p w:rsidR="00E302EC" w:rsidRDefault="00FC4F28">
      <w:pPr>
        <w:spacing w:line="249" w:lineRule="auto"/>
        <w:ind w:left="279" w:right="184"/>
        <w:jc w:val="left"/>
      </w:pPr>
      <w:r>
        <w:t>A estos efectos, se considerará vivienda habitual aquella en la que haya figurado empadronado el contribuyente de forma ininterrumpida durante, al menos, los dos años anteriores a la transmisión o desde el momento de la adquisición</w:t>
      </w:r>
      <w:r>
        <w:t xml:space="preserve"> si dicho plazo fuese inferior a los dos años. </w:t>
      </w:r>
    </w:p>
    <w:p w:rsidR="00E302EC" w:rsidRDefault="00FC4F28">
      <w:pPr>
        <w:ind w:left="279" w:right="184"/>
      </w:pPr>
      <w:r>
        <w:t>Respecto al concepto de unidad familiar, se estará a lo dispuesto en la Ley 35/2006, de 28 de noviembre, del Impuesto sobre la Renta de las Personas Físicas y de modificación parcial de las leyes de los Impue</w:t>
      </w:r>
      <w:r>
        <w:t xml:space="preserve">stos sobre Sociedades, sobre la Renta de no Residentes y sobre el Patrimonio. A estos efectos, se equiparará el matrimonio con la pareja de hecho legalmente inscrita. </w:t>
      </w:r>
    </w:p>
    <w:p w:rsidR="00E302EC" w:rsidRDefault="00FC4F28">
      <w:pPr>
        <w:spacing w:after="0" w:line="259" w:lineRule="auto"/>
        <w:ind w:left="269" w:firstLine="0"/>
        <w:jc w:val="left"/>
      </w:pPr>
      <w:r>
        <w:t xml:space="preserve"> </w:t>
      </w:r>
    </w:p>
    <w:p w:rsidR="00E302EC" w:rsidRDefault="00FC4F28">
      <w:pPr>
        <w:ind w:left="279" w:right="184"/>
      </w:pPr>
      <w:r>
        <w:t>2. Asimismo, estarán exentos de este impuesto los correspondientes incrementos de valo</w:t>
      </w:r>
      <w:r>
        <w:t xml:space="preserve">r cuando la obligación de satisfacer aquél recaiga sobre las siguientes personas o entidades: </w:t>
      </w:r>
    </w:p>
    <w:p w:rsidR="00E302EC" w:rsidRDefault="00FC4F28">
      <w:pPr>
        <w:numPr>
          <w:ilvl w:val="0"/>
          <w:numId w:val="42"/>
        </w:numPr>
        <w:ind w:right="184" w:hanging="722"/>
      </w:pPr>
      <w:r>
        <w:t>El Estado, las Comunidades Autónomas y las entidades locales, a las que pertenece este municipio, así como los Organismos Autónomos del Estado y las Entidades de</w:t>
      </w:r>
      <w:r>
        <w:t xml:space="preserve"> Derecho público de análogo carácter de las Comunidades Autónomas y de dichas entidades locales. </w:t>
      </w:r>
    </w:p>
    <w:p w:rsidR="00E302EC" w:rsidRDefault="00FC4F28">
      <w:pPr>
        <w:numPr>
          <w:ilvl w:val="0"/>
          <w:numId w:val="42"/>
        </w:numPr>
        <w:ind w:right="184" w:hanging="722"/>
      </w:pPr>
      <w:r>
        <w:t>Este municipio y demás entidades locales que lo integren o en las que él se integre, así como sus respectivas entidades de derecho público de análogo carácter</w:t>
      </w:r>
      <w:r>
        <w:t xml:space="preserve"> a los Organismos Autónomos del Estado. </w:t>
      </w:r>
    </w:p>
    <w:p w:rsidR="00E302EC" w:rsidRDefault="00FC4F28">
      <w:pPr>
        <w:numPr>
          <w:ilvl w:val="0"/>
          <w:numId w:val="42"/>
        </w:numPr>
        <w:ind w:right="184" w:hanging="722"/>
      </w:pPr>
      <w:r>
        <w:t xml:space="preserve">Las instituciones que tenga la calificación de benéficas o de benéfico-docentes. </w:t>
      </w:r>
    </w:p>
    <w:p w:rsidR="00E302EC" w:rsidRDefault="00FC4F28">
      <w:pPr>
        <w:numPr>
          <w:ilvl w:val="0"/>
          <w:numId w:val="42"/>
        </w:numPr>
        <w:ind w:right="184" w:hanging="722"/>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9747" name="Group 23974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058" name="Rectangle 1705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059" name="Rectangle 1705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w:t>
                              </w:r>
                              <w:r>
                                <w:rPr>
                                  <w:sz w:val="12"/>
                                </w:rPr>
                                <w:t xml:space="preserve">ente desde la plataforma esPublico Gestiona | Página 77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9747" style="width:12.7031pt;height:273.276pt;position:absolute;mso-position-horizontal-relative:page;mso-position-horizontal:absolute;margin-left:682.278pt;mso-position-vertical-relative:page;margin-top:538.644pt;" coordsize="1613,34706">
                <v:rect id="Rectangle 1705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05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159 </w:t>
                        </w:r>
                      </w:p>
                    </w:txbxContent>
                  </v:textbox>
                </v:rect>
                <w10:wrap type="square"/>
              </v:group>
            </w:pict>
          </mc:Fallback>
        </mc:AlternateContent>
      </w:r>
      <w:r>
        <w:t xml:space="preserve">Las entidades gestoras de la Seguridad Social y las Mutualidades de Previsión Social reguladas en la Ley 30/1995, de 8 de noviembre, de Ordenación y Supervisión de los Seguros Privados. </w:t>
      </w:r>
    </w:p>
    <w:p w:rsidR="00E302EC" w:rsidRDefault="00FC4F28">
      <w:pPr>
        <w:numPr>
          <w:ilvl w:val="0"/>
          <w:numId w:val="42"/>
        </w:numPr>
        <w:ind w:right="184" w:hanging="722"/>
      </w:pPr>
      <w:r>
        <w:t>Los t</w:t>
      </w:r>
      <w:r>
        <w:t xml:space="preserve">itulares de concesiones administrativas revertibles respecto a los terrenos afectos a las mismas. </w:t>
      </w:r>
    </w:p>
    <w:p w:rsidR="00E302EC" w:rsidRDefault="00FC4F28">
      <w:pPr>
        <w:numPr>
          <w:ilvl w:val="0"/>
          <w:numId w:val="42"/>
        </w:numPr>
        <w:ind w:right="184" w:hanging="722"/>
      </w:pPr>
      <w:r>
        <w:t xml:space="preserve">La Cruz Roja Española. </w:t>
      </w:r>
    </w:p>
    <w:p w:rsidR="00E302EC" w:rsidRDefault="00FC4F28">
      <w:pPr>
        <w:numPr>
          <w:ilvl w:val="0"/>
          <w:numId w:val="42"/>
        </w:numPr>
        <w:ind w:right="184" w:hanging="722"/>
      </w:pPr>
      <w:r>
        <w:t>Las personas o entidades a cuyo favor se haya reconocido la exención en Tratados o Con-</w:t>
      </w:r>
    </w:p>
    <w:p w:rsidR="00E302EC" w:rsidRDefault="00FC4F28">
      <w:pPr>
        <w:ind w:left="279" w:right="184"/>
      </w:pPr>
      <w:r>
        <w:t xml:space="preserve">venios Internacionales.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CAPÍTULO </w:t>
      </w:r>
      <w:r>
        <w:rPr>
          <w:b/>
        </w:rPr>
        <w:t xml:space="preserve">IV. SUJETOS PASIVOS.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4. Sujetos pasivos. </w:t>
      </w:r>
    </w:p>
    <w:p w:rsidR="00E302EC" w:rsidRDefault="00FC4F28">
      <w:pPr>
        <w:ind w:left="279" w:right="184"/>
      </w:pPr>
      <w:r>
        <w:t xml:space="preserve">1. Es sujeto pasivo del impuesto a título de contribuyente: </w:t>
      </w:r>
    </w:p>
    <w:p w:rsidR="00E302EC" w:rsidRDefault="00FC4F28">
      <w:pPr>
        <w:numPr>
          <w:ilvl w:val="0"/>
          <w:numId w:val="43"/>
        </w:numPr>
        <w:ind w:right="252"/>
      </w:pPr>
      <w:r>
        <w:t>En las transmisiones de terrenos o en la constitución o transmisión de derechos reales de goce limitativos del dominio a título lucrativo, la</w:t>
      </w:r>
      <w:r>
        <w:t xml:space="preserve"> persona física o jurídica, o la entidad a que se refiere el artículo 35.6 de la Ley General Tributaria, que adquiera el terreno, o aquella a favor de la cual se constituya o se transmita el derecho real de que se trate. </w:t>
      </w:r>
    </w:p>
    <w:p w:rsidR="00E302EC" w:rsidRDefault="00FC4F28">
      <w:pPr>
        <w:numPr>
          <w:ilvl w:val="0"/>
          <w:numId w:val="43"/>
        </w:numPr>
        <w:ind w:right="252"/>
      </w:pPr>
      <w:r>
        <w:t>En las transmisiones de terrenos o</w:t>
      </w:r>
      <w:r>
        <w:t xml:space="preserve"> en la constitución o transmisión de derechos reales de goce limitativos del dominio a título oneroso, la persona física o jurídica, o la entidad a que se refiere el artículo 35.6 de la Ley General Tributaria, que trasmita el terreno, o que constituya o tr</w:t>
      </w:r>
      <w:r>
        <w:t xml:space="preserve">ansmita el derecho real de que se trate. </w:t>
      </w:r>
    </w:p>
    <w:p w:rsidR="00E302EC" w:rsidRDefault="00FC4F28">
      <w:pPr>
        <w:ind w:left="279" w:right="249"/>
      </w:pPr>
      <w:r>
        <w:t xml:space="preserve">2. En los supuestos a que se refiere la letra b) del apartado anterior, tendrá la consideración de sujeto pasivo sustituto del contribuyente, la persona física o jurídica, o la entidad a que se refiere el artículo </w:t>
      </w:r>
      <w:r>
        <w:t xml:space="preserve">35.6 de la Ley General Tributaria, que adquiera el terreno o aquélla a favor de la cual se constituya o transmita el derecho real de que se trate, cuando el contribuyente sea una persona física no residente en España.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V. BASE IMPONIBLE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5. Base imponible   </w:t>
      </w:r>
    </w:p>
    <w:p w:rsidR="00E302EC" w:rsidRDefault="00FC4F28">
      <w:pPr>
        <w:numPr>
          <w:ilvl w:val="0"/>
          <w:numId w:val="44"/>
        </w:numPr>
        <w:ind w:right="252"/>
      </w:pPr>
      <w:r>
        <w:t xml:space="preserve">La base imponible de este Impuesto está constituida por el incremento real de valor de los terrenos de naturaleza urbana puesto de manifiesto en el momento del devengo y experimentado a lo largo de un período máximo de veinte </w:t>
      </w:r>
      <w:r>
        <w:t xml:space="preserve">años.  </w:t>
      </w:r>
    </w:p>
    <w:p w:rsidR="00E302EC" w:rsidRDefault="00FC4F28">
      <w:pPr>
        <w:numPr>
          <w:ilvl w:val="0"/>
          <w:numId w:val="44"/>
        </w:numPr>
        <w:ind w:right="252"/>
      </w:pPr>
      <w:r>
        <w:t xml:space="preserve">Para determinar la base imponible, mediante el método de estimación objetiva, se multiplicará el valor del terreno en el momento del devengo por el coeficiente que corresponda al periodo de generación conforme a las reglas previstas en el presente </w:t>
      </w:r>
      <w:r>
        <w:t xml:space="preserve">artículo.  </w:t>
      </w:r>
    </w:p>
    <w:p w:rsidR="00E302EC" w:rsidRDefault="00FC4F28">
      <w:pPr>
        <w:numPr>
          <w:ilvl w:val="0"/>
          <w:numId w:val="44"/>
        </w:numPr>
        <w:ind w:right="252"/>
      </w:pPr>
      <w:r>
        <w:t xml:space="preserve">El valor del terreno en el momento del devengo resultará de lo establecido en las siguientes reglas: </w:t>
      </w:r>
    </w:p>
    <w:p w:rsidR="00E302EC" w:rsidRDefault="00FC4F28">
      <w:pPr>
        <w:numPr>
          <w:ilvl w:val="0"/>
          <w:numId w:val="45"/>
        </w:numPr>
        <w:ind w:right="216"/>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39934" name="Group 23993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171" name="Rectangle 1717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172" name="Rectangle 1717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78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39934" style="width:12.7031pt;height:273.276pt;position:absolute;mso-position-horizontal-relative:page;mso-position-horizontal:absolute;margin-left:682.278pt;mso-position-vertical-relative:page;margin-top:538.644pt;" coordsize="1613,34706">
                <v:rect id="Rectangle 1717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17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159 </w:t>
                        </w:r>
                      </w:p>
                    </w:txbxContent>
                  </v:textbox>
                </v:rect>
                <w10:wrap type="square"/>
              </v:group>
            </w:pict>
          </mc:Fallback>
        </mc:AlternateContent>
      </w:r>
      <w:r>
        <w:t xml:space="preserve">En las transmisiones de terrenos, el valor de estos en el momento del devengo será el que tengan determinado en dicho momento a efectos del Impuesto sobre Bienes </w:t>
      </w:r>
      <w:r>
        <w:t>Inmuebles. No obstante, cuando dicho valor sea consecuencia de una ponencia de valores que no refleje modificaciones de planeamiento aprobadas con posterioridad a la aprobación de la citada ponencia, se podrá liquidar provisionalmente este impuesto con arr</w:t>
      </w:r>
      <w:r>
        <w:t xml:space="preserve">eglo a aquel. En estos casos, en la liquidación definitiva se aplicará el valor de los terrenos una vez se haya obtenido conforme a los procedimientos de valoración colectiva que se instruyan, referido a la fecha del devengo. Cuando esta fecha no coincida </w:t>
      </w:r>
      <w:r>
        <w:t xml:space="preserve">con la de efectividad de los nuevos valores catastrales, estos se corregirán aplicando los coeficientes de actualización que correspondan, establecidos al efecto en las leyes de presupuestos generales del Estado. </w:t>
      </w:r>
    </w:p>
    <w:p w:rsidR="00E302EC" w:rsidRDefault="00FC4F28">
      <w:pPr>
        <w:ind w:left="279" w:right="184"/>
      </w:pPr>
      <w:r>
        <w:t>Cuando el terreno, aun siendo de naturalez</w:t>
      </w:r>
      <w:r>
        <w:t>a urbana o integrado en un bien inmueble de características especiales, en el momento del devengo del impuesto, no tenga determinado valor catastral en dicho momento, el ayuntamiento podrá practicar la liquidación cuando el referido valor catastral sea det</w:t>
      </w:r>
      <w:r>
        <w:t xml:space="preserve">erminado, refiriendo dicho valor al momento del devengo. </w:t>
      </w:r>
    </w:p>
    <w:p w:rsidR="00E302EC" w:rsidRDefault="00FC4F28">
      <w:pPr>
        <w:numPr>
          <w:ilvl w:val="0"/>
          <w:numId w:val="45"/>
        </w:numPr>
        <w:ind w:right="216"/>
      </w:pPr>
      <w:r>
        <w:t>En la constitución y transmisión de derechos reales de goce limitativos del dominio, el coeficiente anual que corresponda al periodo de generación se aplicará sobre la parte del valor definido en el</w:t>
      </w:r>
      <w:r>
        <w:t xml:space="preserve"> párrafo a) anterior que represente, respecto de aquel, el valor de los referidos derechos calculado mediante la aplicación de las normas fijadas a efectos del Impuesto sobre Transmisiones Patrimoniales y Actos Jurídicos Documentados, y en particular las s</w:t>
      </w:r>
      <w:r>
        <w:t xml:space="preserve">iguientes reglas:  </w:t>
      </w:r>
    </w:p>
    <w:p w:rsidR="00E302EC" w:rsidRDefault="00FC4F28">
      <w:pPr>
        <w:numPr>
          <w:ilvl w:val="1"/>
          <w:numId w:val="45"/>
        </w:numPr>
        <w:ind w:right="248" w:hanging="360"/>
      </w:pPr>
      <w:r>
        <w:t xml:space="preserve">Se entiende que el valor del usufructo y derecho de superficie temporal es proporcional al valor del terreno, a razón del 2% por cada período de un año, sin que pueda exceder el 70%. </w:t>
      </w:r>
    </w:p>
    <w:p w:rsidR="00E302EC" w:rsidRDefault="00FC4F28">
      <w:pPr>
        <w:numPr>
          <w:ilvl w:val="1"/>
          <w:numId w:val="45"/>
        </w:numPr>
        <w:ind w:right="248" w:hanging="360"/>
      </w:pPr>
      <w:r>
        <w:t>En los usufructos vitalicios se estimará que el valo</w:t>
      </w:r>
      <w:r>
        <w:t>r es igual al 70 por 100 del valor total de los bienes cuando el usufructuario cuente menos de veinte años, minorando, a medida que aumenta la edad, en la proporción de un 1 por 100 menos por cada año más con el límite mínimo del 10 por 100 del valor total</w:t>
      </w:r>
      <w:r>
        <w:t xml:space="preserve">. </w:t>
      </w:r>
    </w:p>
    <w:p w:rsidR="00E302EC" w:rsidRDefault="00FC4F28">
      <w:pPr>
        <w:numPr>
          <w:ilvl w:val="1"/>
          <w:numId w:val="45"/>
        </w:numPr>
        <w:ind w:right="248" w:hanging="360"/>
      </w:pPr>
      <w:r>
        <w:t xml:space="preserve">El usufructo constituido a favor de una persona jurídica si se estableciera por plazo superior a treinta años o por tiempo indeterminado se considerará fiscalmente como transmisión de plena propiedad sujeta a condición resolutoria. </w:t>
      </w:r>
    </w:p>
    <w:p w:rsidR="00E302EC" w:rsidRDefault="00FC4F28">
      <w:pPr>
        <w:numPr>
          <w:ilvl w:val="1"/>
          <w:numId w:val="45"/>
        </w:numPr>
        <w:spacing w:line="249" w:lineRule="auto"/>
        <w:ind w:right="248" w:hanging="360"/>
      </w:pPr>
      <w:r>
        <w:t>El valor de los dere</w:t>
      </w:r>
      <w:r>
        <w:t xml:space="preserve">chos reales de uso y habitación es el que resulta de aplicar el 75% del valor del terreno sobre el que fue impuesto, de acuerdo con las reglas correspondientes a la valoración de los usufructos temporales o vitalicios, según los casos. </w:t>
      </w:r>
    </w:p>
    <w:p w:rsidR="00E302EC" w:rsidRDefault="00FC4F28">
      <w:pPr>
        <w:numPr>
          <w:ilvl w:val="1"/>
          <w:numId w:val="45"/>
        </w:numPr>
        <w:ind w:right="248" w:hanging="360"/>
      </w:pPr>
      <w:r>
        <w:t>El valor del derech</w:t>
      </w:r>
      <w:r>
        <w:t>o de la nuda propiedad debe fijarse de acuerdo con la diferencia entre el valor del usufructo, uso o habitación y el valor total del terreno. En los usufructos vitalicios que, al mismo tiempo, sean temporales, la nuda propiedad se valorará aplicando, de la</w:t>
      </w:r>
      <w:r>
        <w:t xml:space="preserve">s reglas anteriores, aquella que le atribuya menos valor. </w:t>
      </w:r>
    </w:p>
    <w:p w:rsidR="00E302EC" w:rsidRDefault="00FC4F28">
      <w:pPr>
        <w:numPr>
          <w:ilvl w:val="1"/>
          <w:numId w:val="45"/>
        </w:numPr>
        <w:ind w:right="248" w:hanging="360"/>
      </w:pPr>
      <w:r>
        <w:t xml:space="preserve">En los usufructos sucesivos el valor de la nuda propiedad se calculará teniendo en cuenta el usufructo de mayor porcentaje. </w:t>
      </w:r>
    </w:p>
    <w:p w:rsidR="00E302EC" w:rsidRDefault="00FC4F28">
      <w:pPr>
        <w:numPr>
          <w:ilvl w:val="0"/>
          <w:numId w:val="45"/>
        </w:numPr>
        <w:ind w:right="216"/>
      </w:pPr>
      <w:r>
        <w:t xml:space="preserve">En la constitución o transmisión del derecho a elevar una o más plantas </w:t>
      </w:r>
      <w:r>
        <w:t>sobre un edificio o terreno, o del derecho de realizar la construcción bajo suelo sin implicar la existencia de un derecho real de superficie, los coeficientes anuales contenidos en el apartado 6 de este artículo se aplicarán sobre la parte del valor defin</w:t>
      </w:r>
      <w:r>
        <w:t>ido en el párrafo a) que represente, respecto de aquel, el módulo de proporcionalidad fijado en la escritura de transmisión o, en su defecto, el que resulte de establecer la proporción entre la superficie o volumen de las plantas a construir en vuelo o sub</w:t>
      </w:r>
      <w:r>
        <w:t xml:space="preserve">suelo y la total superficie o volumen edificados una vez construidas aquellas. </w:t>
      </w:r>
    </w:p>
    <w:p w:rsidR="00E302EC" w:rsidRDefault="00FC4F28">
      <w:pPr>
        <w:numPr>
          <w:ilvl w:val="0"/>
          <w:numId w:val="45"/>
        </w:numPr>
        <w:ind w:right="216"/>
      </w:pPr>
      <w:r>
        <w:t xml:space="preserve">En los supuestos de expropiaciones forzosas, los coeficientes anuales contenidos en el apar-tado 6 de este artículo se aplicarán sobre la parte del justiprecio que corresponda </w:t>
      </w:r>
      <w:r>
        <w:t xml:space="preserve">al valor del terreno, salvo que el valor definido en el párrafo a) de este apartado fuese inferior, en cuyo caso prevalecerá este último sobre el justiprecio. </w:t>
      </w:r>
    </w:p>
    <w:p w:rsidR="00E302EC" w:rsidRDefault="00FC4F28">
      <w:pPr>
        <w:numPr>
          <w:ilvl w:val="0"/>
          <w:numId w:val="45"/>
        </w:numPr>
        <w:ind w:right="216"/>
      </w:pPr>
      <w:r>
        <w:t>En las transmisiones de partes indivisas de terrenos o edificios, su valor será proporcional a l</w:t>
      </w:r>
      <w:r>
        <w:t xml:space="preserve">a porción o cuota transmitida. </w:t>
      </w:r>
    </w:p>
    <w:p w:rsidR="00E302EC" w:rsidRDefault="00FC4F28">
      <w:pPr>
        <w:numPr>
          <w:ilvl w:val="0"/>
          <w:numId w:val="45"/>
        </w:numPr>
        <w:ind w:right="216"/>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0348" name="Group 24034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284" name="Rectangle 1728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285" name="Rectangle 17285"/>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79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0348" style="width:12.7031pt;height:273.276pt;position:absolute;mso-position-horizontal-relative:page;mso-position-horizontal:absolute;margin-left:682.278pt;mso-position-vertical-relative:page;margin-top:538.644pt;" coordsize="1613,34706">
                <v:rect id="Rectangle 1728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285"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159 </w:t>
                        </w:r>
                      </w:p>
                    </w:txbxContent>
                  </v:textbox>
                </v:rect>
                <w10:wrap type="square"/>
              </v:group>
            </w:pict>
          </mc:Fallback>
        </mc:AlternateContent>
      </w:r>
      <w:r>
        <w:t xml:space="preserve">En las transmisiones de pisos o locales en régimen de propiedad horizontal, su valor será el específico del suelo que cada finca o local tuviere determinado en el Impuesto sobre Bienes Inmuebles, y si no lo tuviere todavía determinado su valor se estimará </w:t>
      </w:r>
      <w:r>
        <w:t xml:space="preserve">proporcional a la cuota de copropiedad que tengan atribuida en el valor del inmueble y sus elementos comunes. </w:t>
      </w:r>
    </w:p>
    <w:p w:rsidR="00E302EC" w:rsidRDefault="00FC4F28">
      <w:pPr>
        <w:numPr>
          <w:ilvl w:val="0"/>
          <w:numId w:val="46"/>
        </w:numPr>
        <w:ind w:right="218"/>
      </w:pPr>
      <w:r>
        <w:t>El periodo de generación del incremento de valor será el número de años a lo largo de los cuales se haya puesto de manifiesto dicho incremento. P</w:t>
      </w:r>
      <w:r>
        <w:t>ara su cómputo, se tomarán los años completos, es decir, sin tener en cuenta las fracciones de año. En el caso de que el periodo de generación sea inferior a un año, se prorrateará el coeficiente anual teniendo en cuenta el número de meses completos, es de</w:t>
      </w:r>
      <w:r>
        <w:t xml:space="preserve">cir, sin tener en cuenta las fracciones de mes.  </w:t>
      </w:r>
    </w:p>
    <w:p w:rsidR="00E302EC" w:rsidRDefault="00FC4F28">
      <w:pPr>
        <w:ind w:left="279" w:right="250"/>
      </w:pPr>
      <w:r>
        <w:t>En los supuestos de no sujeción, salvo que por ley se indique otra cosa, para el cálculo del periodo de generación del incremento de valor puesto de manifiesto en una posterior transmisión del terreno, se t</w:t>
      </w:r>
      <w:r>
        <w:t xml:space="preserve">omará como fecha de adquisición, a los efectos de lo dispuesto en el párrafo anterior, aquella en la que se produjo el anterior devengo del impuesto. </w:t>
      </w:r>
    </w:p>
    <w:p w:rsidR="00E302EC" w:rsidRDefault="00FC4F28">
      <w:pPr>
        <w:ind w:left="279" w:right="249"/>
      </w:pPr>
      <w:r>
        <w:t>No obstante, en la posterior transmisión de los inmuebles a los que se refiere el apartado 7 del artículo</w:t>
      </w:r>
      <w:r>
        <w:t xml:space="preserve"> 2, para el cómputo del número de años a lo largo de los cuales se ha puesto de manifiesto el incremento de valor de los terrenos, no se tendrá en cuenta el periodo anterior a su adquisición. Lo dispuesto en este párrafo no será de aplicación en los supues</w:t>
      </w:r>
      <w:r>
        <w:t>tos de aportaciones o transmisiones de bienes inmuebles que resulten no sujetas en virtud de lo dispuesto en la letra b) del apartado 1 del artículo 3, o en la disposición adicional segunda de la Ley 27/2014, de 27 de noviembre, del Impuesto sobre Sociedad</w:t>
      </w:r>
      <w:r>
        <w:t xml:space="preserve">es. </w:t>
      </w:r>
    </w:p>
    <w:p w:rsidR="00E302EC" w:rsidRDefault="00FC4F28">
      <w:pPr>
        <w:numPr>
          <w:ilvl w:val="0"/>
          <w:numId w:val="46"/>
        </w:numPr>
        <w:ind w:right="218"/>
      </w:pPr>
      <w:r>
        <w:t xml:space="preserve">Cuando el terreno hubiese sido adquirido por el transmitente por cuotas o porciones en fechas diferentes, se considerarán tantas bases imponibles como fechas de adquisición estableciéndose cada base en la siguiente forma: </w:t>
      </w:r>
    </w:p>
    <w:p w:rsidR="00E302EC" w:rsidRDefault="00FC4F28">
      <w:pPr>
        <w:numPr>
          <w:ilvl w:val="0"/>
          <w:numId w:val="47"/>
        </w:numPr>
        <w:ind w:right="184"/>
      </w:pPr>
      <w:r>
        <w:t xml:space="preserve">Se distribuirá el valor del </w:t>
      </w:r>
      <w:r>
        <w:t xml:space="preserve">terreno proporcionalmente a la porción o cuota adquirida en cada fecha. </w:t>
      </w:r>
    </w:p>
    <w:p w:rsidR="00E302EC" w:rsidRDefault="00FC4F28">
      <w:pPr>
        <w:numPr>
          <w:ilvl w:val="0"/>
          <w:numId w:val="47"/>
        </w:numPr>
        <w:ind w:right="184"/>
      </w:pPr>
      <w:r>
        <w:t xml:space="preserve">A cada parte proporcional, se aplicará el porcentaje de incremento correspondiente al período respectivo de generación del incremento de valor. </w:t>
      </w:r>
    </w:p>
    <w:p w:rsidR="00E302EC" w:rsidRDefault="00FC4F28">
      <w:pPr>
        <w:numPr>
          <w:ilvl w:val="0"/>
          <w:numId w:val="48"/>
        </w:numPr>
        <w:ind w:right="251"/>
      </w:pPr>
      <w:r>
        <w:t>El coeficiente a aplicar sobre el valo</w:t>
      </w:r>
      <w:r>
        <w:t>r del terreno en el momento del devengo será, para cada periodo de generación, el máximo actualizado vigente, de acuerdo con el artículo 107.4 del Real Decreto Legislativo 2/2004, de 5 de marzo, por el que se aprueba el texto refundido de la Ley Reguladora</w:t>
      </w:r>
      <w:r>
        <w:t xml:space="preserve"> de las Haciendas Locales. En el caso de que las Leyes de Presupuestos Generales del Estado, u otra norma dictada al efecto, procedan a su actualización, se entenderán automáticamente modificados, facultándose a la Alcaldía para dar publicidad a los nuevos</w:t>
      </w:r>
      <w:r>
        <w:t xml:space="preserve"> coeficientes que resulten aplicables </w:t>
      </w:r>
    </w:p>
    <w:p w:rsidR="00E302EC" w:rsidRDefault="00FC4F28">
      <w:pPr>
        <w:numPr>
          <w:ilvl w:val="0"/>
          <w:numId w:val="48"/>
        </w:numPr>
        <w:ind w:right="251"/>
      </w:pPr>
      <w:r>
        <w:t>Cuando, a instancia del sujeto pasivo conforme al procedimiento establecido en el apartado 7 del artículo 2, se constate que el importe del incremento de valor es inferior al importe de la base imponible determinada m</w:t>
      </w:r>
      <w:r>
        <w:t xml:space="preserve">ediante el método de estimación objetiva, se tomará como base imponible el importe de dicho incremento de valor.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CAPÍTULO VI. DEUDA TRIBUTARIA.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6. Tipo de gravamen y cuota. </w:t>
      </w:r>
    </w:p>
    <w:p w:rsidR="00E302EC" w:rsidRDefault="00FC4F28">
      <w:pPr>
        <w:numPr>
          <w:ilvl w:val="0"/>
          <w:numId w:val="49"/>
        </w:numPr>
        <w:ind w:right="184"/>
      </w:pPr>
      <w:r>
        <w:t>La cuota íntegra del impuesto será el resultado de aplicar a la bas</w:t>
      </w:r>
      <w:r>
        <w:t xml:space="preserve">e imponible el tipo de gravamen será la resultante de aplicar a la base imponible el tipo impositivo de un 30%. </w:t>
      </w:r>
    </w:p>
    <w:p w:rsidR="00E302EC" w:rsidRDefault="00FC4F28">
      <w:pPr>
        <w:numPr>
          <w:ilvl w:val="0"/>
          <w:numId w:val="49"/>
        </w:numPr>
        <w:ind w:right="184"/>
      </w:pPr>
      <w:r>
        <w:t xml:space="preserve">La cuota líquida del impuesto será el resultado de aplicar sobre la cuota íntegra, en su caso, la bonificación a que se refiere el artículo 7 de esta Ordenanza Fiscal.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7. Bonificación. </w:t>
      </w:r>
    </w:p>
    <w:p w:rsidR="00E302EC" w:rsidRDefault="00FC4F28">
      <w:pPr>
        <w:numPr>
          <w:ilvl w:val="0"/>
          <w:numId w:val="50"/>
        </w:numPr>
        <w:ind w:right="184"/>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0473" name="Group 24047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402" name="Rectangle 1740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403" name="Rectangle 1740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0473" style="width:12.7031pt;height:273.276pt;position:absolute;mso-position-horizontal-relative:page;mso-position-horizontal:absolute;margin-left:682.278pt;mso-position-vertical-relative:page;margin-top:538.644pt;" coordsize="1613,34706">
                <v:rect id="Rectangle 1740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40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159 </w:t>
                        </w:r>
                      </w:p>
                    </w:txbxContent>
                  </v:textbox>
                </v:rect>
                <w10:wrap type="square"/>
              </v:group>
            </w:pict>
          </mc:Fallback>
        </mc:AlternateContent>
      </w:r>
      <w:r>
        <w:t xml:space="preserve">En los supuestos de tributación por transmisiones de terrenos </w:t>
      </w:r>
      <w:r>
        <w:t>y transmisión o constitución de derechos reales de goce limitativos del dominio, realizadas a título lucrativo por causa de muerte, cuando se refieran a la vivienda habitual del causante, los sujetos pasivos que sean cónyuges, ascendientes o adoptantes, as</w:t>
      </w:r>
      <w:r>
        <w:t xml:space="preserve">í como descendientes y adoptados, gozarán de una bonificación en la cuota del impuesto, en los términos previstos en el apartado siguiente.  </w:t>
      </w:r>
    </w:p>
    <w:p w:rsidR="00E302EC" w:rsidRDefault="00FC4F28">
      <w:pPr>
        <w:numPr>
          <w:ilvl w:val="0"/>
          <w:numId w:val="50"/>
        </w:numPr>
        <w:spacing w:after="61"/>
        <w:ind w:right="184"/>
      </w:pPr>
      <w:r>
        <w:t>La bonificación será aplicable de acuerdo con los siguientes porcentajes, en función del importe de la base Imponi</w:t>
      </w:r>
      <w:r>
        <w:t xml:space="preserve">ble general del Impuesto sobre la Renta de las Personas Físicas del adquirente o adquirentes correspondiente al año anterior al del fallecimiento: </w:t>
      </w:r>
    </w:p>
    <w:p w:rsidR="00E302EC" w:rsidRDefault="00FC4F28">
      <w:pPr>
        <w:numPr>
          <w:ilvl w:val="1"/>
          <w:numId w:val="50"/>
        </w:numPr>
        <w:ind w:right="184" w:hanging="360"/>
      </w:pPr>
      <w:r>
        <w:t xml:space="preserve">Hasta 15.025,30 € ...............................95% </w:t>
      </w:r>
    </w:p>
    <w:p w:rsidR="00E302EC" w:rsidRDefault="00FC4F28">
      <w:pPr>
        <w:numPr>
          <w:ilvl w:val="1"/>
          <w:numId w:val="50"/>
        </w:numPr>
        <w:ind w:right="184" w:hanging="360"/>
      </w:pPr>
      <w:r>
        <w:t xml:space="preserve">Entre 15.025,30 y 30.050,61 € ...........75% </w:t>
      </w:r>
    </w:p>
    <w:p w:rsidR="00E302EC" w:rsidRDefault="00FC4F28">
      <w:pPr>
        <w:numPr>
          <w:ilvl w:val="1"/>
          <w:numId w:val="50"/>
        </w:numPr>
        <w:ind w:right="184" w:hanging="360"/>
      </w:pPr>
      <w:r>
        <w:t>Entre 30</w:t>
      </w:r>
      <w:r>
        <w:t xml:space="preserve">.050,61 y 60.101,21 € ...........40%  </w:t>
      </w:r>
    </w:p>
    <w:p w:rsidR="00E302EC" w:rsidRDefault="00FC4F28">
      <w:pPr>
        <w:spacing w:after="26"/>
        <w:ind w:left="279" w:right="184"/>
      </w:pPr>
      <w:r>
        <w:t xml:space="preserve">No se establece bonificación cuando la base imponible general del adquirente supere los 60.101,21 €. </w:t>
      </w:r>
    </w:p>
    <w:p w:rsidR="00E302EC" w:rsidRDefault="00FC4F28">
      <w:pPr>
        <w:numPr>
          <w:ilvl w:val="0"/>
          <w:numId w:val="50"/>
        </w:numPr>
        <w:ind w:right="184"/>
      </w:pPr>
      <w:r>
        <w:t>A los efectos de la concesión de esta bonificación se entenderá exclusivamente por descendiente o ascendiente aquel</w:t>
      </w:r>
      <w:r>
        <w:t xml:space="preserve">las personas que tiene un vínculo de parentesco por consanguinidad de un grado en línea recta conforme a las reglas que se contienen en los artículos 915 y siguiente de Código Civil. </w:t>
      </w:r>
    </w:p>
    <w:p w:rsidR="00E302EC" w:rsidRDefault="00FC4F28">
      <w:pPr>
        <w:ind w:left="279" w:right="251"/>
      </w:pPr>
      <w:r>
        <w:t>Asimismo, se considerará vivienda habitual aquella en la que haya figurado empadronado el causante de forma ininterrumpida durante, al menos, los dos años anteriores al fallecimiento. Si hubiese tenido su último domicilio en un centro residencial o socio-s</w:t>
      </w:r>
      <w:r>
        <w:t xml:space="preserve">anitario se podrá aplicar la reducción sobre el inmueble que hubiese constituido su vivienda inmediatamente antes de su traslado a dicho centro. </w:t>
      </w:r>
    </w:p>
    <w:p w:rsidR="00E302EC" w:rsidRDefault="00FC4F28">
      <w:pPr>
        <w:numPr>
          <w:ilvl w:val="0"/>
          <w:numId w:val="50"/>
        </w:numPr>
        <w:spacing w:after="4" w:line="251" w:lineRule="auto"/>
        <w:ind w:right="184"/>
      </w:pPr>
      <w:r>
        <w:t>La presente bonificación se aplicará de oficio, si bien sólo se concederá cuando el sujeto pasivo haya present</w:t>
      </w:r>
      <w:r>
        <w:t xml:space="preserve">ado voluntariamente, y no como consecuencia de un requerimiento de la Administración tributaria, la correspondiente declaración o autoliquidación dentro del plazo previsto en el art. </w:t>
      </w:r>
    </w:p>
    <w:p w:rsidR="00E302EC" w:rsidRDefault="00FC4F28">
      <w:pPr>
        <w:ind w:left="279" w:right="184"/>
      </w:pPr>
      <w:r>
        <w:t xml:space="preserve">9.1, apartado b).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CAPÍTULO VII. DEVENGO DEL IMPUESTO.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Artículo 8.</w:t>
      </w:r>
      <w:r>
        <w:rPr>
          <w:b/>
        </w:rPr>
        <w:t xml:space="preserve"> Devengo del impuesto. </w:t>
      </w:r>
    </w:p>
    <w:p w:rsidR="00E302EC" w:rsidRDefault="00FC4F28">
      <w:pPr>
        <w:ind w:left="279" w:right="184"/>
      </w:pPr>
      <w:r>
        <w:t xml:space="preserve">1. El impuesto se devenga: </w:t>
      </w:r>
    </w:p>
    <w:p w:rsidR="00E302EC" w:rsidRDefault="00FC4F28">
      <w:pPr>
        <w:numPr>
          <w:ilvl w:val="0"/>
          <w:numId w:val="51"/>
        </w:numPr>
        <w:ind w:right="184"/>
      </w:pPr>
      <w:r>
        <w:t xml:space="preserve">Cuando se transmita la propiedad del terreno, ya sea a título oneroso o gratuito, entre vivos o por causa de muerte, en la fecha de la transmisión. </w:t>
      </w:r>
    </w:p>
    <w:p w:rsidR="00E302EC" w:rsidRDefault="00FC4F28">
      <w:pPr>
        <w:numPr>
          <w:ilvl w:val="0"/>
          <w:numId w:val="51"/>
        </w:numPr>
        <w:ind w:right="184"/>
      </w:pPr>
      <w:r>
        <w:t>Cuando se constituya o transmita cualquier derecho real</w:t>
      </w:r>
      <w:r>
        <w:t xml:space="preserve"> de goce limitativo del dominio, en la fecha en que tenga lugar la constitución o transmisión. </w:t>
      </w:r>
    </w:p>
    <w:p w:rsidR="00E302EC" w:rsidRDefault="00FC4F28">
      <w:pPr>
        <w:ind w:left="279" w:right="184"/>
      </w:pPr>
      <w:r>
        <w:t xml:space="preserve">2. A los efectos de lo que dispone el apartado anterior se considerará como fecha de la transmisión: </w:t>
      </w:r>
    </w:p>
    <w:p w:rsidR="00E302EC" w:rsidRDefault="00FC4F28">
      <w:pPr>
        <w:numPr>
          <w:ilvl w:val="0"/>
          <w:numId w:val="52"/>
        </w:numPr>
        <w:ind w:right="218" w:hanging="722"/>
      </w:pPr>
      <w:r>
        <w:t>En los actos o los contratos entre vivos, la del otorgamie</w:t>
      </w:r>
      <w:r>
        <w:t xml:space="preserve">nto del documento público y cuando se trate de documentos privados, la de su incorporación o inscripción en un registro público, la de defunción de cualquiera de los firmantes o la de entrega a un funcionario público por razón de su oficio. </w:t>
      </w:r>
    </w:p>
    <w:p w:rsidR="00E302EC" w:rsidRDefault="00FC4F28">
      <w:pPr>
        <w:numPr>
          <w:ilvl w:val="0"/>
          <w:numId w:val="52"/>
        </w:numPr>
        <w:ind w:right="218" w:hanging="722"/>
      </w:pPr>
      <w:r>
        <w:t>En las transmi</w:t>
      </w:r>
      <w:r>
        <w:t xml:space="preserve">siones por causa de muerte, la de defunción del causante. </w:t>
      </w:r>
    </w:p>
    <w:p w:rsidR="00E302EC" w:rsidRDefault="00FC4F28">
      <w:pPr>
        <w:numPr>
          <w:ilvl w:val="0"/>
          <w:numId w:val="53"/>
        </w:numPr>
        <w:ind w:right="248"/>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0568" name="Group 24056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534" name="Rectangle 1753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535" name="Rectangle 17535"/>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0568" style="width:12.7031pt;height:273.276pt;position:absolute;mso-position-horizontal-relative:page;mso-position-horizontal:absolute;margin-left:682.278pt;mso-position-vertical-relative:page;margin-top:538.644pt;" coordsize="1613,34706">
                <v:rect id="Rectangle 1753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535"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159 </w:t>
                        </w:r>
                      </w:p>
                    </w:txbxContent>
                  </v:textbox>
                </v:rect>
                <w10:wrap type="square"/>
              </v:group>
            </w:pict>
          </mc:Fallback>
        </mc:AlternateContent>
      </w:r>
      <w:r>
        <w:t>Cuando se declare o reconozca judicial o administrativamente por resolución firme haber tenido lugar la nulidad, rescisión o resolución del acto o contrato determinante de la transmisión del terreno o de la constitución o transmisión del derecho real de go</w:t>
      </w:r>
      <w:r>
        <w:t>ce sobre el mismo, el sujeto pasivo tendrá derecho a la devolución del impuesto satisfecho, siempre que dicho acto o contrato no le hubiere producido efectos lucrativos y que reclame la devolución en el plazo de cuatro años desde que la resolución quedó fi</w:t>
      </w:r>
      <w:r>
        <w:t>rme, entendiéndose que existe efecto lucrativo cuando no se justifique que los interesados deban efectuar las recíprocas devoluciones a que se refiere el artículo 1.295 del Código Civil. Aunque el acto o contrato no haya producido efectos lucrativos, si la</w:t>
      </w:r>
      <w:r>
        <w:t xml:space="preserve"> rescisión o resolución se declarase por incumplimiento de las obligaciones del sujeto pasivo del impuesto, no habrá lugar a devolución alguna. </w:t>
      </w:r>
    </w:p>
    <w:p w:rsidR="00E302EC" w:rsidRDefault="00FC4F28">
      <w:pPr>
        <w:numPr>
          <w:ilvl w:val="0"/>
          <w:numId w:val="53"/>
        </w:numPr>
        <w:ind w:right="248"/>
      </w:pPr>
      <w:r>
        <w:t>Si el contrato queda sin efecto por mutuo acuerdo de las partes contratantes, no procederá la devolución del im</w:t>
      </w:r>
      <w:r>
        <w:t xml:space="preserve">puesto satisfecho y se considerará como un acto nuevo sujeto a tributación. Como tal mutuo acuerdo se estimará la avenencia en acto de conciliación y el simple allanamiento a la demanda. </w:t>
      </w:r>
    </w:p>
    <w:p w:rsidR="00E302EC" w:rsidRDefault="00FC4F28">
      <w:pPr>
        <w:numPr>
          <w:ilvl w:val="0"/>
          <w:numId w:val="53"/>
        </w:numPr>
        <w:ind w:right="248"/>
      </w:pPr>
      <w:r>
        <w:t>En los actos o contratos en que medie alguna condición, su calificac</w:t>
      </w:r>
      <w:r>
        <w:t>ión se hará con arreglo a las prescripciones contenidas en el Código Civil. Si fuese suspensiva no se liquidará el impuesto hasta que ésta se cumpla. Si la condición fuese resolutoria, se exigirá el impuesto, a reserva, cuando la condición se cumpla, de ha</w:t>
      </w:r>
      <w:r>
        <w:t xml:space="preserve">cer la oportuna devolución según la regla del apartado anterior.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VIII. GESTIÓN DEL IMPUESTO.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9.  Gestión del impuesto </w:t>
      </w:r>
    </w:p>
    <w:p w:rsidR="00E302EC" w:rsidRDefault="00FC4F28">
      <w:pPr>
        <w:spacing w:after="0" w:line="259" w:lineRule="auto"/>
        <w:ind w:left="269" w:firstLine="0"/>
        <w:jc w:val="left"/>
      </w:pPr>
      <w:r>
        <w:rPr>
          <w:b/>
        </w:rPr>
        <w:t xml:space="preserve"> </w:t>
      </w:r>
    </w:p>
    <w:p w:rsidR="00E302EC" w:rsidRDefault="00FC4F28">
      <w:pPr>
        <w:ind w:left="279" w:right="253"/>
      </w:pPr>
      <w:r>
        <w:t xml:space="preserve">1. Los sujetos pasivos vendrán obligados a presentar ante el Ayuntamiento la correspondiente autoliquidación e </w:t>
      </w:r>
      <w:r>
        <w:t xml:space="preserve">ingresar el importe resultante de la misma.  Dicha autoliquidación deberá ser presentada en los siguientes plazos, a contar desde la fecha en que se produzca el devengo del impuesto: </w:t>
      </w:r>
    </w:p>
    <w:p w:rsidR="00E302EC" w:rsidRDefault="00FC4F28">
      <w:pPr>
        <w:numPr>
          <w:ilvl w:val="0"/>
          <w:numId w:val="54"/>
        </w:numPr>
        <w:ind w:right="217" w:hanging="259"/>
      </w:pPr>
      <w:r>
        <w:t>Cuando se trate de actos ínter vivos, el plazo será de treinta días hábi</w:t>
      </w:r>
      <w:r>
        <w:t xml:space="preserve">les. </w:t>
      </w:r>
    </w:p>
    <w:p w:rsidR="00E302EC" w:rsidRDefault="00FC4F28">
      <w:pPr>
        <w:numPr>
          <w:ilvl w:val="0"/>
          <w:numId w:val="54"/>
        </w:numPr>
        <w:ind w:right="217" w:hanging="259"/>
      </w:pPr>
      <w:r>
        <w:t>Cuando se trate de actos por causa de muerte, el plazo será de seis meses prorrogables hasta un año a solicitud del sujeto pasivo. Para que pueda estimarse la solicitud de prórroga por la Administración Tributaria Municipal, ésta deberá presentarse a</w:t>
      </w:r>
      <w:r>
        <w:t xml:space="preserve">ntes de que finalice el plazo inicial de seis meses. </w:t>
      </w:r>
    </w:p>
    <w:p w:rsidR="00E302EC" w:rsidRDefault="00FC4F28">
      <w:pPr>
        <w:ind w:left="279" w:right="184"/>
      </w:pPr>
      <w:r>
        <w:t xml:space="preserve">2.  La autoliquidación deberá contener todos los elementos de la relación tributaria que sean imprescindibles para practicar la liquidación procedente y, en todo caso, los siguientes: </w:t>
      </w:r>
    </w:p>
    <w:p w:rsidR="00E302EC" w:rsidRDefault="00FC4F28">
      <w:pPr>
        <w:numPr>
          <w:ilvl w:val="0"/>
          <w:numId w:val="55"/>
        </w:numPr>
        <w:ind w:right="184" w:hanging="247"/>
      </w:pPr>
      <w:r>
        <w:t>Nombre y apellido</w:t>
      </w:r>
      <w:r>
        <w:t>s o razón social del sujeto pasivo, contribuyente y, en su caso, del sustituto del contribuyente, N.I. F .de éstos, y sus domicilios, así como los mismos datos de los demás intervinientes en el hecho, acto o negocio jurídico determinante del devengo del im</w:t>
      </w:r>
      <w:r>
        <w:t xml:space="preserve">puesto. </w:t>
      </w:r>
    </w:p>
    <w:p w:rsidR="00E302EC" w:rsidRDefault="00FC4F28">
      <w:pPr>
        <w:numPr>
          <w:ilvl w:val="0"/>
          <w:numId w:val="55"/>
        </w:numPr>
        <w:ind w:right="184" w:hanging="247"/>
      </w:pPr>
      <w:r>
        <w:t xml:space="preserve">En su caso, nombre y apellidos del representante del sujeto pasivo ante la Administración Municipal, N.I.F. de éste, así como su domicilio. </w:t>
      </w:r>
    </w:p>
    <w:p w:rsidR="00E302EC" w:rsidRDefault="00FC4F28">
      <w:pPr>
        <w:numPr>
          <w:ilvl w:val="0"/>
          <w:numId w:val="55"/>
        </w:numPr>
        <w:ind w:right="184" w:hanging="247"/>
      </w:pPr>
      <w:r>
        <w:t xml:space="preserve">Lugar y Notario autorizante de la escritura, número de protocolo y fecha de la misma. </w:t>
      </w:r>
    </w:p>
    <w:p w:rsidR="00E302EC" w:rsidRDefault="00FC4F28">
      <w:pPr>
        <w:ind w:left="279" w:right="184"/>
      </w:pPr>
      <w:r>
        <w:t xml:space="preserve">d)Situación física y referencia catastral del inmueble. </w:t>
      </w:r>
    </w:p>
    <w:p w:rsidR="00E302EC" w:rsidRDefault="00FC4F28">
      <w:pPr>
        <w:numPr>
          <w:ilvl w:val="0"/>
          <w:numId w:val="56"/>
        </w:numPr>
        <w:ind w:right="184" w:hanging="259"/>
      </w:pPr>
      <w:r>
        <w:t xml:space="preserve">Participación adquirida, cuota de copropiedad y, en su caso, solicitud de división. </w:t>
      </w:r>
    </w:p>
    <w:p w:rsidR="00E302EC" w:rsidRDefault="00FC4F28">
      <w:pPr>
        <w:numPr>
          <w:ilvl w:val="0"/>
          <w:numId w:val="56"/>
        </w:numPr>
        <w:ind w:right="184" w:hanging="259"/>
      </w:pPr>
      <w:r>
        <w:t>Número de años a lo largo de los cuales se ha puesto de manifiesto el incremento del valor de los terrenos y fecha</w:t>
      </w:r>
      <w:r>
        <w:t xml:space="preserve"> de realización anterior del hecho imponible. </w:t>
      </w:r>
    </w:p>
    <w:p w:rsidR="00E302EC" w:rsidRDefault="00FC4F28">
      <w:pPr>
        <w:numPr>
          <w:ilvl w:val="0"/>
          <w:numId w:val="56"/>
        </w:numPr>
        <w:ind w:right="184" w:hanging="259"/>
      </w:pPr>
      <w:r>
        <w:t xml:space="preserve">Opción, en su caso, por el método de determinación directa o real de la base imponible.  </w:t>
      </w:r>
    </w:p>
    <w:p w:rsidR="00E302EC" w:rsidRDefault="00FC4F28">
      <w:pPr>
        <w:numPr>
          <w:ilvl w:val="0"/>
          <w:numId w:val="56"/>
        </w:numPr>
        <w:ind w:right="184" w:hanging="259"/>
      </w:pPr>
      <w:r>
        <w:t xml:space="preserve">En su caso, solicitud de beneficios fiscales que se consideren procedentes y justificación. </w:t>
      </w:r>
    </w:p>
    <w:p w:rsidR="00E302EC" w:rsidRDefault="00FC4F28">
      <w:pPr>
        <w:ind w:left="279" w:right="184"/>
      </w:pPr>
      <w:r>
        <w:t>3. En el caso de actos mor</w:t>
      </w:r>
      <w:r>
        <w:t xml:space="preserve">tis causa, se acompañará además a la autoliquidación la siguiente documentación: </w:t>
      </w:r>
    </w:p>
    <w:p w:rsidR="00E302EC" w:rsidRDefault="00FC4F28">
      <w:pPr>
        <w:numPr>
          <w:ilvl w:val="0"/>
          <w:numId w:val="57"/>
        </w:numPr>
        <w:ind w:right="184" w:hanging="247"/>
      </w:pPr>
      <w:r>
        <w:t xml:space="preserve">Copia simple de la escritura de la partición hereditaria, si la hubiera. </w:t>
      </w:r>
    </w:p>
    <w:p w:rsidR="00E302EC" w:rsidRDefault="00FC4F28">
      <w:pPr>
        <w:numPr>
          <w:ilvl w:val="0"/>
          <w:numId w:val="57"/>
        </w:numPr>
        <w:ind w:right="184" w:hanging="247"/>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1019" name="Group 24101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647" name="Rectangle 1764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648" name="Rectangle 17648"/>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1019" style="width:12.7031pt;height:273.276pt;position:absolute;mso-position-horizontal-relative:page;mso-position-horizontal:absolute;margin-left:682.278pt;mso-position-vertical-relative:page;margin-top:538.644pt;" coordsize="1613,34706">
                <v:rect id="Rectangle 1764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648"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159 </w:t>
                        </w:r>
                      </w:p>
                    </w:txbxContent>
                  </v:textbox>
                </v:rect>
                <w10:wrap type="square"/>
              </v:group>
            </w:pict>
          </mc:Fallback>
        </mc:AlternateContent>
      </w:r>
      <w:r>
        <w:t xml:space="preserve">Copia de la declaración o autoliquidación presentada a efectos del Impuesto sobre Sucesiones y Donaciones. </w:t>
      </w:r>
    </w:p>
    <w:p w:rsidR="00E302EC" w:rsidRDefault="00FC4F28">
      <w:pPr>
        <w:numPr>
          <w:ilvl w:val="0"/>
          <w:numId w:val="57"/>
        </w:numPr>
        <w:ind w:right="184" w:hanging="247"/>
      </w:pPr>
      <w:r>
        <w:t xml:space="preserve">Copia del certificado de defunción. </w:t>
      </w:r>
    </w:p>
    <w:p w:rsidR="00E302EC" w:rsidRDefault="00FC4F28">
      <w:pPr>
        <w:numPr>
          <w:ilvl w:val="0"/>
          <w:numId w:val="57"/>
        </w:numPr>
        <w:ind w:right="184" w:hanging="247"/>
      </w:pPr>
      <w:r>
        <w:t>Copia de certi</w:t>
      </w:r>
      <w:r>
        <w:t xml:space="preserve">ficación de actos de última voluntad. </w:t>
      </w:r>
    </w:p>
    <w:p w:rsidR="00E302EC" w:rsidRDefault="00FC4F28">
      <w:pPr>
        <w:numPr>
          <w:ilvl w:val="0"/>
          <w:numId w:val="57"/>
        </w:numPr>
        <w:ind w:right="184" w:hanging="247"/>
      </w:pPr>
      <w:r>
        <w:t xml:space="preserve">Copia del testamento, en su caso. </w:t>
      </w:r>
    </w:p>
    <w:p w:rsidR="00E302EC" w:rsidRDefault="00FC4F28">
      <w:pPr>
        <w:numPr>
          <w:ilvl w:val="0"/>
          <w:numId w:val="58"/>
        </w:numPr>
        <w:ind w:right="184"/>
      </w:pPr>
      <w:r>
        <w:t>También estará obligado a presentar la autoliquidación sin ingreso el interesado en acreditar la inexistencia de incremento de valor, que deberá declarar la transmisión, así como apo</w:t>
      </w:r>
      <w:r>
        <w:t xml:space="preserve">rtar los títulos que documenten la transmisión y la adquisición, acompañado de los elementos de prueba donde conste el valor de aquél en el momento de su transmisión y adquisición. </w:t>
      </w:r>
    </w:p>
    <w:p w:rsidR="00E302EC" w:rsidRDefault="00FC4F28">
      <w:pPr>
        <w:numPr>
          <w:ilvl w:val="0"/>
          <w:numId w:val="58"/>
        </w:numPr>
        <w:ind w:right="184"/>
      </w:pPr>
      <w:r>
        <w:t>El Ayuntamiento podrá aprobar un modelo normalizado de autoliquidación, qu</w:t>
      </w:r>
      <w:r>
        <w:t xml:space="preserve">e establecerá la forma, lugar y plazos de su presentación y, en su caso, ingreso de la deuda tributaria, así como los supuestos y condiciones de presentación por medios telemáticos.  </w:t>
      </w:r>
    </w:p>
    <w:p w:rsidR="00E302EC" w:rsidRDefault="00FC4F28">
      <w:pPr>
        <w:numPr>
          <w:ilvl w:val="0"/>
          <w:numId w:val="58"/>
        </w:numPr>
        <w:ind w:right="184"/>
      </w:pPr>
      <w:r>
        <w:t>Sin perjuicio de las facultades de comprobación de los valores declarados por el interesado o el sujeto pasivo a los efectos de lo dispuesto en los artículos 2.7 y 5.7 respectivamente, el ayuntamiento solo podrá comprobar que se han efectuado mediante la a</w:t>
      </w:r>
      <w:r>
        <w:t xml:space="preserve">plicación correcta de las normas reguladoras del impuesto, sin que puedan atribuirse valores, bases o cuotas diferentes de las resultantes de tales normas. </w:t>
      </w:r>
    </w:p>
    <w:p w:rsidR="00E302EC" w:rsidRDefault="00FC4F28">
      <w:pPr>
        <w:numPr>
          <w:ilvl w:val="0"/>
          <w:numId w:val="58"/>
        </w:numPr>
        <w:ind w:right="184"/>
      </w:pPr>
      <w:r>
        <w:t>En ningún caso podrá exigirse el impuesto en régimen de autoliquidación cuando se trate del supuest</w:t>
      </w:r>
      <w:r>
        <w:t xml:space="preserve">o a que se refiere el artículo 5.3.a), párrafo tercero, de la presente Ordenanza fiscal.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10.  Obligación de comunicación  </w:t>
      </w:r>
    </w:p>
    <w:p w:rsidR="00E302EC" w:rsidRDefault="00FC4F28">
      <w:pPr>
        <w:spacing w:after="0" w:line="259" w:lineRule="auto"/>
        <w:ind w:left="269" w:firstLine="0"/>
        <w:jc w:val="left"/>
      </w:pPr>
      <w:r>
        <w:t xml:space="preserve">  </w:t>
      </w:r>
    </w:p>
    <w:p w:rsidR="00E302EC" w:rsidRDefault="00FC4F28">
      <w:pPr>
        <w:ind w:left="279" w:right="184"/>
      </w:pPr>
      <w:r>
        <w:t>1. Están obligados a comunicar al Ayuntamiento la realización del hecho imponible en los mismos plazos que los sujeto</w:t>
      </w:r>
      <w:r>
        <w:t xml:space="preserve">s pasivos:  </w:t>
      </w:r>
    </w:p>
    <w:p w:rsidR="00E302EC" w:rsidRDefault="00FC4F28">
      <w:pPr>
        <w:numPr>
          <w:ilvl w:val="0"/>
          <w:numId w:val="59"/>
        </w:numPr>
        <w:ind w:right="184"/>
      </w:pPr>
      <w:r>
        <w:t xml:space="preserve">En los supuestos contemplados en el artículo 3.a) de esta Ordenanza, siempre que se hayan producido por negocio jurídico "inter vivos", el donante o la persona que constituya o transmita el derecho real de que se trate.  </w:t>
      </w:r>
    </w:p>
    <w:p w:rsidR="00E302EC" w:rsidRDefault="00FC4F28">
      <w:pPr>
        <w:numPr>
          <w:ilvl w:val="0"/>
          <w:numId w:val="59"/>
        </w:numPr>
        <w:ind w:right="184"/>
      </w:pPr>
      <w:r>
        <w:t>En los supuestos cont</w:t>
      </w:r>
      <w:r>
        <w:t xml:space="preserve">emplados en el artículo 3.b) de esta Ordenanza, el adquirente o la persona a cuyo favor se constituya o transmita el derecho real de que se trate.   </w:t>
      </w:r>
    </w:p>
    <w:p w:rsidR="00E302EC" w:rsidRDefault="00FC4F28">
      <w:pPr>
        <w:ind w:left="279" w:right="184"/>
      </w:pPr>
      <w:r>
        <w:t>La comunicación que deban realizar las personas indicadas deberá contener los mismos datos que aparecen re</w:t>
      </w:r>
      <w:r>
        <w:t xml:space="preserve">cogidos en el artículo anterior.  </w:t>
      </w:r>
    </w:p>
    <w:p w:rsidR="00E302EC" w:rsidRDefault="00FC4F28">
      <w:pPr>
        <w:numPr>
          <w:ilvl w:val="0"/>
          <w:numId w:val="60"/>
        </w:numPr>
        <w:ind w:right="216"/>
      </w:pPr>
      <w:r>
        <w:t xml:space="preserve">Asimismo, los Notarios estarán obligados a remitir al Ayuntamiento, dentro de la primera quincena de cada trimestre, relación o índice compresivo de todos los documentos por ellos autorizados en el trimestre anterior, en </w:t>
      </w:r>
      <w:r>
        <w:t xml:space="preserve">los que se contengan hechos, actos o negocios jurídicos que pongan de manifiesto la realización del hecho imponible de este Impuesto, con excepción de los actos de última voluntad.  </w:t>
      </w:r>
    </w:p>
    <w:p w:rsidR="00E302EC" w:rsidRDefault="00FC4F28">
      <w:pPr>
        <w:ind w:left="279" w:right="250"/>
      </w:pPr>
      <w:r>
        <w:t xml:space="preserve">También estarán obligados a remitir, dentro del mismo plazo, relación de </w:t>
      </w:r>
      <w:r>
        <w:t xml:space="preserve">los documentos privados, compresivos de los mismos hechos, actos negocios jurídicos, que les hayan sido presentados para conocimiento o legitimación de firmas.  </w:t>
      </w:r>
    </w:p>
    <w:p w:rsidR="00E302EC" w:rsidRDefault="00FC4F28">
      <w:pPr>
        <w:ind w:left="279" w:right="249"/>
      </w:pPr>
      <w:r>
        <w:t>Las relaciones o índices citados contendrán, como mínimo, los datos señalados en el artículo 9</w:t>
      </w:r>
      <w:r>
        <w:t xml:space="preserve"> y, además, el nombre y apellidos del adquirente, su N.I.F. y su domicilio, así como la referencia catastral de los bienes inmuebles cuando dicha referencia se corresponda con los que sean objeto de transmisión.  </w:t>
      </w:r>
    </w:p>
    <w:p w:rsidR="00E302EC" w:rsidRDefault="00FC4F28">
      <w:pPr>
        <w:numPr>
          <w:ilvl w:val="0"/>
          <w:numId w:val="60"/>
        </w:numPr>
        <w:ind w:right="216"/>
      </w:pPr>
      <w:r>
        <w:t>Lo prevenido en el apartado anterior se en</w:t>
      </w:r>
      <w:r>
        <w:t xml:space="preserve">tiende sin perjuicio del deber general de colaboración establecido en la Ley General Tributaria.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11.  Colaboración y cooperación interadministrativa.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1698" name="Group 24169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765" name="Rectangle 1776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766" name="Rectangle 17766"/>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1698" style="width:12.7031pt;height:273.276pt;position:absolute;mso-position-horizontal-relative:page;mso-position-horizontal:absolute;margin-left:682.278pt;mso-position-vertical-relative:page;margin-top:538.644pt;" coordsize="1613,34706">
                <v:rect id="Rectangle 1776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766"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159 </w:t>
                        </w:r>
                      </w:p>
                    </w:txbxContent>
                  </v:textbox>
                </v:rect>
                <w10:wrap type="square"/>
              </v:group>
            </w:pict>
          </mc:Fallback>
        </mc:AlternateContent>
      </w:r>
      <w:r>
        <w:t xml:space="preserve">A los efectos de la aplicación del impuesto, en particular en </w:t>
      </w:r>
      <w:r>
        <w:t>relación con el supuesto de no sujeción previsto en el artículo 2.7, así como para la determinación de la base imponible mediante el método de estimación directa, de acuerdo con el artículo 5.7 podrá suscribirse el correspondiente convenio de intercambio d</w:t>
      </w:r>
      <w:r>
        <w:t xml:space="preserve">e información tributaria y de colaboración con la Agencia Tributaria Canaria.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12. Competencias sobre gestión y recaudación </w:t>
      </w:r>
    </w:p>
    <w:p w:rsidR="00E302EC" w:rsidRDefault="00FC4F28">
      <w:pPr>
        <w:numPr>
          <w:ilvl w:val="0"/>
          <w:numId w:val="61"/>
        </w:numPr>
        <w:ind w:right="218"/>
      </w:pPr>
      <w:r>
        <w:t>La recaudación de este impuesto se realizará de acuerdo con lo previsto en la Ley General Tributaria, el Reglamento Gen</w:t>
      </w:r>
      <w:r>
        <w:t xml:space="preserve">eral de Recaudación y en las demás Leyes del Estado reguladores de la materia, así como en las disposiciones dictadas para su desarrollo. </w:t>
      </w:r>
    </w:p>
    <w:p w:rsidR="00E302EC" w:rsidRDefault="00FC4F28">
      <w:pPr>
        <w:numPr>
          <w:ilvl w:val="0"/>
          <w:numId w:val="61"/>
        </w:numPr>
        <w:ind w:right="218"/>
      </w:pPr>
      <w:r>
        <w:t xml:space="preserve">En el caso de que la gestión y recaudación del presente impuesto se encontrara atribuida al Consorcio de Tributos de </w:t>
      </w:r>
      <w:r>
        <w:t>Tenerife, en virtud de un acuerdo de encomienda vigente, le corresponderán las competencias sobre gestión, liquidación, inspección y recaudación, así como la revisión de los actos dictados en vía de gestión tributaria, siendo de aplicación la Ordenanza fis</w:t>
      </w:r>
      <w:r>
        <w:t xml:space="preserve">cal general de dicho Organismo, relativa a los tributos y demás ingresos de derecho público encomendados.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13.  Infracciones y sanciones </w:t>
      </w:r>
    </w:p>
    <w:p w:rsidR="00E302EC" w:rsidRDefault="00FC4F28">
      <w:pPr>
        <w:numPr>
          <w:ilvl w:val="0"/>
          <w:numId w:val="62"/>
        </w:numPr>
        <w:ind w:right="250"/>
      </w:pPr>
      <w:r>
        <w:t>En todo lo relativo a infracciones tributarias y sanciones se aplicará el régimen establecido en el Título IV de la Ley General Tributaria, en las disposiciones que la complementen y desarrollen, así como en la Ordenanza Fiscal General de Gestión, Recaudac</w:t>
      </w:r>
      <w:r>
        <w:t xml:space="preserve">ión e Inspección. </w:t>
      </w:r>
    </w:p>
    <w:p w:rsidR="00E302EC" w:rsidRDefault="00FC4F28">
      <w:pPr>
        <w:numPr>
          <w:ilvl w:val="0"/>
          <w:numId w:val="62"/>
        </w:numPr>
        <w:ind w:right="250"/>
      </w:pPr>
      <w:r>
        <w:t>En particular, se considerará infracción tributaria simple, de acuerdo con lo previsto en el art. 198 de la Ley General Tributaria, la no presentación en plazo de la autoliquidación o declaración tributaria, en los casos de no sujeción p</w:t>
      </w:r>
      <w:r>
        <w:t xml:space="preserve">or razón de inexistencia de incremento de valor.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rPr>
          <w:b/>
        </w:rPr>
        <w:t xml:space="preserve"> </w:t>
      </w:r>
    </w:p>
    <w:p w:rsidR="00E302EC" w:rsidRDefault="00FC4F28">
      <w:pPr>
        <w:spacing w:after="0" w:line="259" w:lineRule="auto"/>
        <w:ind w:left="269" w:firstLine="0"/>
        <w:jc w:val="left"/>
      </w:pPr>
      <w:r>
        <w:rPr>
          <w:b/>
        </w:rPr>
        <w:t xml:space="preserv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Disposición Adicional Única. Modificaciones del impuesto. </w:t>
      </w:r>
    </w:p>
    <w:p w:rsidR="00E302EC" w:rsidRDefault="00FC4F28">
      <w:pPr>
        <w:ind w:left="279" w:right="249"/>
      </w:pPr>
      <w:r>
        <w:t>Las modificaciones que se introduzcan en la regulación del impuesto, por las Leyes de Presupuestos Generales del Estado o por cualesquiera</w:t>
      </w:r>
      <w:r>
        <w:t xml:space="preserve"> otras leyes o disposiciones, y que resulten de aplicación directa, producirán, en su caso, la correspondiente modificación tácita de la presente Ordenanza Fiscal. </w:t>
      </w:r>
    </w:p>
    <w:p w:rsidR="00E302EC" w:rsidRDefault="00FC4F28">
      <w:pPr>
        <w:spacing w:after="0" w:line="259" w:lineRule="auto"/>
        <w:ind w:left="269" w:firstLine="0"/>
        <w:jc w:val="left"/>
      </w:pPr>
      <w:r>
        <w:t xml:space="preserve"> </w:t>
      </w:r>
    </w:p>
    <w:p w:rsidR="00E302EC" w:rsidRDefault="00FC4F28">
      <w:pPr>
        <w:spacing w:after="44" w:line="248" w:lineRule="auto"/>
        <w:ind w:left="279" w:right="183"/>
      </w:pPr>
      <w:r>
        <w:rPr>
          <w:b/>
        </w:rPr>
        <w:t xml:space="preserve">Disposición final única. Entrada en vigor.  </w:t>
      </w:r>
    </w:p>
    <w:p w:rsidR="00E302EC" w:rsidRDefault="00FC4F28">
      <w:pPr>
        <w:ind w:left="279" w:right="184"/>
      </w:pPr>
      <w:r>
        <w:t xml:space="preserve">Esta Ordenanza entrará en vigor al día siguiente a su publicación.”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spacing w:after="224"/>
        <w:ind w:left="279" w:right="249"/>
      </w:pPr>
      <w:r>
        <w:rPr>
          <w:b/>
        </w:rPr>
        <w:t>SEGUNDO.</w:t>
      </w:r>
      <w:r>
        <w:t xml:space="preserve"> Dar al expediente la tramitación y publicidad preceptiva, mediante exposición del mismo en el tablón de anuncios de este Ayuntamiento y en el Boletín Oficial de la Provincia,</w:t>
      </w:r>
      <w:r>
        <w:t xml:space="preserve"> por plazo de treinta días hábiles, dentro de los cuales los interesados podrán examinarlo y plantear las reclamaciones que estimen oportunas.</w:t>
      </w:r>
      <w:r>
        <w:rPr>
          <w:rFonts w:ascii="Times New Roman" w:eastAsia="Times New Roman" w:hAnsi="Times New Roman" w:cs="Times New Roman"/>
          <w:sz w:val="24"/>
        </w:rPr>
        <w:t xml:space="preserve"> </w:t>
      </w:r>
    </w:p>
    <w:p w:rsidR="00E302EC" w:rsidRDefault="00FC4F28">
      <w:pPr>
        <w:spacing w:after="221"/>
        <w:ind w:left="269" w:right="184" w:firstLine="720"/>
      </w:pPr>
      <w:r>
        <w:t xml:space="preserve">Asimismo, estará a disposición de los interesados en la sede electrónica de este Ayuntamiento [ </w:t>
      </w:r>
      <w:r>
        <w:rPr>
          <w:color w:val="0563C1"/>
          <w:u w:val="single" w:color="0563C1"/>
        </w:rPr>
        <w:t>https://www.cand</w:t>
      </w:r>
      <w:r>
        <w:rPr>
          <w:color w:val="0563C1"/>
          <w:u w:val="single" w:color="0563C1"/>
        </w:rPr>
        <w:t>elaria.es/sede-electronica/</w:t>
      </w:r>
      <w:r>
        <w:t>].</w:t>
      </w:r>
      <w:r>
        <w:rPr>
          <w:rFonts w:ascii="Times New Roman" w:eastAsia="Times New Roman" w:hAnsi="Times New Roman" w:cs="Times New Roman"/>
          <w:sz w:val="24"/>
        </w:rPr>
        <w:t xml:space="preserve"> </w:t>
      </w:r>
    </w:p>
    <w:p w:rsidR="00E302EC" w:rsidRDefault="00FC4F28">
      <w:pPr>
        <w:spacing w:after="472"/>
        <w:ind w:left="279" w:right="258"/>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1786" name="Group 24178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877" name="Rectangle 1787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878" name="Rectangle 17878"/>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1786" style="width:12.7031pt;height:273.276pt;position:absolute;mso-position-horizontal-relative:page;mso-position-horizontal:absolute;margin-left:682.278pt;mso-position-vertical-relative:page;margin-top:538.644pt;" coordsize="1613,34706">
                <v:rect id="Rectangle 1787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878"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159 </w:t>
                        </w:r>
                      </w:p>
                    </w:txbxContent>
                  </v:textbox>
                </v:rect>
                <w10:wrap type="square"/>
              </v:group>
            </w:pict>
          </mc:Fallback>
        </mc:AlternateContent>
      </w:r>
      <w:r>
        <w:rPr>
          <w:b/>
        </w:rPr>
        <w:t>TERCERO.</w:t>
      </w:r>
      <w:r>
        <w:t xml:space="preserve"> Considerar, en el s</w:t>
      </w:r>
      <w:r>
        <w:t>upuesto de que no se presentasen reclamaciones al expediente, en el plazo anteriormente indicado, que el Acuerdo es definitivo, de conformidad con el artículo 17.3 del TRLRHL.”</w:t>
      </w:r>
      <w:r>
        <w:rPr>
          <w:rFonts w:ascii="Times New Roman" w:eastAsia="Times New Roman" w:hAnsi="Times New Roman" w:cs="Times New Roman"/>
          <w:sz w:val="24"/>
        </w:rPr>
        <w:t xml:space="preserve"> </w:t>
      </w:r>
    </w:p>
    <w:p w:rsidR="00E302EC" w:rsidRDefault="00FC4F28">
      <w:pPr>
        <w:spacing w:after="482" w:line="259" w:lineRule="auto"/>
        <w:ind w:left="269" w:firstLine="0"/>
        <w:jc w:val="left"/>
      </w:pPr>
      <w:r>
        <w:rPr>
          <w:b/>
        </w:rPr>
        <w:t xml:space="preserve"> </w:t>
      </w:r>
    </w:p>
    <w:p w:rsidR="00E302EC" w:rsidRDefault="00FC4F28">
      <w:pPr>
        <w:spacing w:after="519" w:line="248" w:lineRule="auto"/>
        <w:ind w:left="279" w:right="183"/>
      </w:pPr>
      <w:r>
        <w:rPr>
          <w:b/>
        </w:rPr>
        <w:t>Consta en el expediente propuesta del Concejal delegado de Hacienda, D. Airam Pérez Chinea, de fecha 23 de marzo de 2022, que transcrito literalmente dice:</w:t>
      </w:r>
      <w:r>
        <w:rPr>
          <w:rFonts w:ascii="Times New Roman" w:eastAsia="Times New Roman" w:hAnsi="Times New Roman" w:cs="Times New Roman"/>
          <w:sz w:val="24"/>
        </w:rPr>
        <w:t xml:space="preserve"> </w:t>
      </w:r>
    </w:p>
    <w:p w:rsidR="00E302EC" w:rsidRDefault="00FC4F28">
      <w:pPr>
        <w:pStyle w:val="Ttulo1"/>
        <w:spacing w:after="98"/>
        <w:ind w:left="107" w:right="10"/>
      </w:pPr>
      <w:r>
        <w:t>“PROPUESTA DEL CONCEJAL DELEGADO DE HACIENDA</w:t>
      </w:r>
      <w:r>
        <w:rPr>
          <w:b w:val="0"/>
        </w:rPr>
        <w:t xml:space="preserve"> </w:t>
      </w:r>
    </w:p>
    <w:p w:rsidR="00E302EC" w:rsidRDefault="00FC4F28">
      <w:pPr>
        <w:spacing w:after="116" w:line="248" w:lineRule="auto"/>
        <w:ind w:left="279" w:right="183"/>
      </w:pPr>
      <w:r>
        <w:rPr>
          <w:b/>
        </w:rPr>
        <w:t>ASUNTO: Modificación de la Ordenanza Fiscal Regulador</w:t>
      </w:r>
      <w:r>
        <w:rPr>
          <w:b/>
        </w:rPr>
        <w:t>a del Impuesto sobre el Incremento de Valor de los Terrenos Naturaleza Urbana.</w:t>
      </w:r>
      <w:r>
        <w:t xml:space="preserve"> </w:t>
      </w:r>
    </w:p>
    <w:p w:rsidR="00E302EC" w:rsidRDefault="00FC4F28">
      <w:pPr>
        <w:spacing w:after="95" w:line="259" w:lineRule="auto"/>
        <w:ind w:left="284" w:firstLine="0"/>
        <w:jc w:val="left"/>
      </w:pPr>
      <w:r>
        <w:t xml:space="preserve"> </w:t>
      </w:r>
    </w:p>
    <w:p w:rsidR="00E302EC" w:rsidRDefault="00FC4F28">
      <w:pPr>
        <w:pStyle w:val="Ttulo1"/>
        <w:spacing w:after="103"/>
        <w:ind w:left="107" w:right="6"/>
      </w:pPr>
      <w:r>
        <w:t xml:space="preserve">Antecedentes  </w:t>
      </w:r>
    </w:p>
    <w:p w:rsidR="00E302EC" w:rsidRDefault="00FC4F28">
      <w:pPr>
        <w:spacing w:after="224"/>
        <w:ind w:left="279" w:right="251"/>
      </w:pPr>
      <w:r>
        <w:t>I.- Consta providencia de la Concejalía de Hacienda, de fecha 27 de enero de 2022, en la que se establece el inicio y tramitación del expediente de modificació</w:t>
      </w:r>
      <w:r>
        <w:t>n de la Ordenanza Fiscal Reguladora del Impuesto sobre el Incremento de Valor de los Terrenos de Naturaleza Urbana (IIVTNU), según el procedimiento establecido en el Texto Refundido de la Ley Reguladora de las Haciendas Locales, aprobado por el Real Decret</w:t>
      </w:r>
      <w:r>
        <w:t>o Legislativo 2/2004, de 5 de marzo, cumpliendo con los principios de buena regulación, publicidad y transparencia.</w:t>
      </w:r>
      <w:r>
        <w:rPr>
          <w:rFonts w:ascii="Times New Roman" w:eastAsia="Times New Roman" w:hAnsi="Times New Roman" w:cs="Times New Roman"/>
          <w:sz w:val="24"/>
        </w:rPr>
        <w:t xml:space="preserve"> </w:t>
      </w:r>
    </w:p>
    <w:p w:rsidR="00E302EC" w:rsidRDefault="00FC4F28">
      <w:pPr>
        <w:ind w:left="279" w:right="184"/>
      </w:pPr>
      <w:r>
        <w:t>II.- Consta informe del Tesorero municipal, de fecha 23</w:t>
      </w:r>
      <w:r>
        <w:rPr>
          <w:color w:val="FF0000"/>
        </w:rPr>
        <w:t xml:space="preserve"> </w:t>
      </w:r>
      <w:r>
        <w:t>de marzo de 2022, en el que se establece el procedimiento de modificación de la Ord</w:t>
      </w:r>
      <w:r>
        <w:t>enanza Fiscal Reguladora del Impuesto sobre el Incremento de Valor de los Terrenos Naturaleza Urbana, según el procedimiento establecido en el Texto Refundido de la Ley Reguladora de las Haciendas Locales, aprobado por el Real Decreto Legislativo 2/2004, d</w:t>
      </w:r>
      <w:r>
        <w:t>e 5 de marzo, cumpliendo con los principios de buena regulación, publicidad y transparencia.</w:t>
      </w:r>
      <w:r>
        <w:rPr>
          <w:rFonts w:ascii="Times New Roman" w:eastAsia="Times New Roman" w:hAnsi="Times New Roman" w:cs="Times New Roman"/>
          <w:sz w:val="24"/>
        </w:rPr>
        <w:t xml:space="preserve"> </w:t>
      </w:r>
    </w:p>
    <w:p w:rsidR="00E302EC" w:rsidRDefault="00FC4F28">
      <w:pPr>
        <w:spacing w:after="98" w:line="259" w:lineRule="auto"/>
        <w:ind w:left="284" w:firstLine="0"/>
        <w:jc w:val="left"/>
      </w:pPr>
      <w:r>
        <w:rPr>
          <w:b/>
        </w:rPr>
        <w:t xml:space="preserve"> </w:t>
      </w:r>
    </w:p>
    <w:p w:rsidR="00E302EC" w:rsidRDefault="00FC4F28">
      <w:pPr>
        <w:pStyle w:val="Ttulo1"/>
        <w:spacing w:after="103"/>
        <w:ind w:left="107" w:right="9"/>
      </w:pPr>
      <w:r>
        <w:t xml:space="preserve">Fundamentos de derecho  </w:t>
      </w:r>
    </w:p>
    <w:p w:rsidR="00E302EC" w:rsidRDefault="00FC4F28">
      <w:pPr>
        <w:ind w:left="279" w:right="253"/>
      </w:pPr>
      <w:r>
        <w:t>Primero. - De acuerdo con los artículos 15 y 16 Real Decreto-</w:t>
      </w:r>
      <w:r>
        <w:t>Legislativo 2/2004, de 5 de marzo, por el que se aprueba el Texto Refundido de la Ley Reguladora de las Haciendas Locales (en adelante, TRLRHL), los Ayuntamientos pueden acordar la imposición y supresión de sus Tributos propios y aprobar las correspondient</w:t>
      </w:r>
      <w:r>
        <w:t>es Ordenanzas fiscales reguladoras de los mismos. Se procederá a aprobar la modificación de dichas Ordenanzas si es necesario, las cuales deberán contener la nueva redacción de las normas afectadas y las fechas de su aprobación y del comienzo de su aplicac</w:t>
      </w:r>
      <w:r>
        <w:t>ión.</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El dispone en su artículo 59.2 TRLRHL que los ayuntamientos podrán establecer y exigir el Impuesto sobre el Incremento del Valor de los Terrenos de Naturaleza Urbana.    </w:t>
      </w:r>
    </w:p>
    <w:p w:rsidR="00E302EC" w:rsidRDefault="00FC4F28">
      <w:pPr>
        <w:spacing w:after="0" w:line="259" w:lineRule="auto"/>
        <w:ind w:left="284" w:firstLine="0"/>
        <w:jc w:val="left"/>
      </w:pPr>
      <w:r>
        <w:t xml:space="preserve"> </w:t>
      </w:r>
    </w:p>
    <w:p w:rsidR="00E302EC" w:rsidRDefault="00FC4F28">
      <w:pPr>
        <w:spacing w:after="217"/>
        <w:ind w:left="279" w:right="184"/>
      </w:pPr>
      <w:r>
        <w:t>Segundo. - La Legislación aplicable en esta materia está recogida en:</w:t>
      </w:r>
      <w:r>
        <w:rPr>
          <w:rFonts w:ascii="Times New Roman" w:eastAsia="Times New Roman" w:hAnsi="Times New Roman" w:cs="Times New Roman"/>
          <w:sz w:val="24"/>
        </w:rPr>
        <w:t xml:space="preserve"> </w:t>
      </w:r>
    </w:p>
    <w:p w:rsidR="00E302EC" w:rsidRDefault="00FC4F28">
      <w:pPr>
        <w:ind w:left="269" w:right="255" w:firstLine="720"/>
      </w:pPr>
      <w:r>
        <w:t xml:space="preserve">— </w:t>
      </w:r>
      <w:r>
        <w:t xml:space="preserve">Los artículos 15 al 21 y 24 y 25, así como 104 a 110 del Texto Refundido de la Ley Reguladora de las Haciendas Locales, aprobado por el Real Decreto Legislativo 2/2004, de 5 de marzo, en la redacción dada por el Real Decreto-ley 26/2021, de 8 de noviembre </w:t>
      </w:r>
      <w:r>
        <w:t xml:space="preserve">de 2021.  </w:t>
      </w:r>
    </w:p>
    <w:p w:rsidR="00E302EC" w:rsidRDefault="00FC4F28">
      <w:pPr>
        <w:spacing w:after="234"/>
        <w:ind w:left="269" w:right="184" w:firstLine="720"/>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2050" name="Group 24205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7991" name="Rectangle 1799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7992" name="Rectangle 1799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2050" style="width:12.7031pt;height:273.276pt;position:absolute;mso-position-horizontal-relative:page;mso-position-horizontal:absolute;margin-left:682.278pt;mso-position-vertical-relative:page;margin-top:538.644pt;" coordsize="1613,34706">
                <v:rect id="Rectangle 1799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799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159 </w:t>
                        </w:r>
                      </w:p>
                    </w:txbxContent>
                  </v:textbox>
                </v:rect>
                <w10:wrap type="square"/>
              </v:group>
            </w:pict>
          </mc:Fallback>
        </mc:AlternateContent>
      </w:r>
      <w:r>
        <w:t xml:space="preserve"> — Los artículos 22.2.e), 47.1 y 107 de la Ley 7</w:t>
      </w:r>
      <w:r>
        <w:t xml:space="preserve">/1985, de 2 de abril, Reguladora de las Bases del Régimen Local. </w:t>
      </w:r>
    </w:p>
    <w:p w:rsidR="00E302EC" w:rsidRDefault="00FC4F28">
      <w:pPr>
        <w:ind w:left="279" w:right="184"/>
      </w:pPr>
      <w:r>
        <w:t xml:space="preserve">Tercero. - El procedimiento para la modificación de la Ordenanza Fiscal del Impuesto sobre el </w:t>
      </w:r>
    </w:p>
    <w:p w:rsidR="00E302EC" w:rsidRDefault="00FC4F28">
      <w:pPr>
        <w:spacing w:after="226"/>
        <w:ind w:left="279" w:right="184"/>
      </w:pPr>
      <w:r>
        <w:t>Incremento de Valor de los Terrenos Naturaleza Urbana viene determinado en los artículos 15 a 1</w:t>
      </w:r>
      <w:r>
        <w:t>9 del TRLRHL.</w:t>
      </w:r>
      <w:r>
        <w:rPr>
          <w:rFonts w:ascii="Times New Roman" w:eastAsia="Times New Roman" w:hAnsi="Times New Roman" w:cs="Times New Roman"/>
          <w:sz w:val="24"/>
        </w:rPr>
        <w:t xml:space="preserve"> </w:t>
      </w:r>
    </w:p>
    <w:p w:rsidR="00E302EC" w:rsidRDefault="00FC4F28">
      <w:pPr>
        <w:spacing w:after="243"/>
        <w:ind w:left="279" w:right="252"/>
      </w:pPr>
      <w:r>
        <w:t xml:space="preserve">El Acuerdo de aprobación de las modificaciones de las Ordenanzas fiscales es competencia del Pleno, en virtud del artículo 22.2.e) de la Ley 7/1985, de 2 de abril, Reguladora de las Bases del Régimen Local, y la validez del Acuerdo requiere </w:t>
      </w:r>
      <w:r>
        <w:t xml:space="preserve">el voto favorable de la mayoría simple de los miembros presentes, como se establece en el artículo 47.1 de la Ley 7/1985, de 2 de abril, Reguladora de las Bases del Régimen Local. </w:t>
      </w:r>
    </w:p>
    <w:p w:rsidR="00E302EC" w:rsidRDefault="00FC4F28">
      <w:pPr>
        <w:ind w:left="279" w:right="253"/>
      </w:pPr>
      <w:r>
        <w:t>Cuarto. - La modificación propuesta tiene por objeto adaptar la Ordenanza f</w:t>
      </w:r>
      <w:r>
        <w:t>iscal del impuesto a lo dispuesto en el Real Decreto-ley 26/2021, de 8 de noviembre, por el que se adapta el texto refundido de la Ley Reguladora de las Haciendas Locales, aprobado por el Real Decreto Legislativo 2/2004, de 5 de marzo, a la reciente jurisp</w:t>
      </w:r>
      <w:r>
        <w:t xml:space="preserve">rudencia del Tribunal Constitucional respecto del Impuesto sobre el Incremento de Valor de los Terrenos de Naturaleza Urbana. Esta norma, que ha sido objeto de convalidación por el Congreso de los Diputados el pasado 2 de diciembre, pretende dar respuesta </w:t>
      </w:r>
      <w:r>
        <w:t>al mandato del Alto Tribunal de llevar a cabo las modificaciones o adaptaciones pertinentes en el régimen legal del impuesto como consecuencia de la Sentencia 182/2021, de 26 de octubre, que ha venido a declarar la inconstitucionalidad y nulidad de los art</w:t>
      </w:r>
      <w:r>
        <w:t>ículos 107.1, segundo párrafo, 107.2.a) y 107.4 del mencionado texto refundido, dejando un vacío normativo sobre la determinación de la base imponible que impide la liquidación, comprobación, recaudación y revisión de este tributo local y, por tanto, su ex</w:t>
      </w:r>
      <w:r>
        <w:t xml:space="preserve">igibilidad, así como integrar la doctrina contenida en las sentencias 59/2017, de 11 de mayo, y 126/2019, de 31 de octubre, objeto de dar unidad a la normativa del impuesto y cumplir con el principio de capacidad económica.   </w:t>
      </w:r>
    </w:p>
    <w:p w:rsidR="00E302EC" w:rsidRDefault="00FC4F28">
      <w:pPr>
        <w:spacing w:after="0" w:line="259" w:lineRule="auto"/>
        <w:ind w:left="267" w:firstLine="0"/>
        <w:jc w:val="left"/>
      </w:pPr>
      <w:r>
        <w:t xml:space="preserve"> </w:t>
      </w:r>
    </w:p>
    <w:p w:rsidR="00E302EC" w:rsidRDefault="00FC4F28">
      <w:pPr>
        <w:ind w:left="279" w:right="253"/>
      </w:pPr>
      <w:r>
        <w:t>De este modo, a fin de cumplir con el mandato del Tribunal Constitucional de no someter a tributación las situaciones de inexistencia de incremento de valor de los terrenos, se introduce un nuevo supuesto de no sujeción para los casos en que se constate, a</w:t>
      </w:r>
      <w:r>
        <w:t xml:space="preserve"> instancia del interesado, que no se ha producido un incremento de valor. Asimismo, se modifica el sistema objetivo de determinación de la base imponible del impuesto, para que, de acuerdo con lo dispuesto en el texto refundido de la Ley Reguladora de las </w:t>
      </w:r>
      <w:r>
        <w:t>Haciendas Locales y, en su caso, la correspondiente Ley de Presupuestos Generales del Estado, refleje en todo momento la realidad del mercado inmobiliario y sustituyéndose los anteriormente vigentes porcentajes anuales aplicables sobre el valor del terreno</w:t>
      </w:r>
      <w:r>
        <w:t xml:space="preserve"> para la determinación de la base imponible del impuesto por unos coeficientes máximos establecidos en función del número de años transcurridos desde la adquisición del terreno, que serán actualizados anualmente.  </w:t>
      </w:r>
    </w:p>
    <w:p w:rsidR="00E302EC" w:rsidRDefault="00FC4F28">
      <w:pPr>
        <w:spacing w:after="0" w:line="259" w:lineRule="auto"/>
        <w:ind w:left="269" w:firstLine="0"/>
        <w:jc w:val="left"/>
      </w:pPr>
      <w:r>
        <w:rPr>
          <w:color w:val="FF0000"/>
        </w:rPr>
        <w:t xml:space="preserve"> </w:t>
      </w:r>
    </w:p>
    <w:p w:rsidR="00E302EC" w:rsidRDefault="00FC4F28">
      <w:pPr>
        <w:ind w:left="279" w:right="254"/>
      </w:pPr>
      <w:r>
        <w:t>Además, se introduce una regla de salva</w:t>
      </w:r>
      <w:r>
        <w:t>guarda con la finalidad de evitar que la tributación por este impuesto pudiera en algún caso resultar contraria al principio de capacidad económica, permitiendo, a instancia del sujeto pasivo, acomodar la carga tributaria al incremento de valor efectivamen</w:t>
      </w:r>
      <w:r>
        <w:t>te obtenido, convirtiendo esta fórmula de determinación objetiva en un sistema optativo que solo resultará de aplicación en aquellos casos en los que el sujeto pasivo no haga uso de su derecho a determinar la base imponible en régimen de estimación directa</w:t>
      </w:r>
      <w:r>
        <w:t xml:space="preserve">.  </w:t>
      </w:r>
    </w:p>
    <w:p w:rsidR="00E302EC" w:rsidRDefault="00FC4F28">
      <w:pPr>
        <w:spacing w:after="0" w:line="259" w:lineRule="auto"/>
        <w:ind w:left="269" w:firstLine="0"/>
        <w:jc w:val="left"/>
      </w:pPr>
      <w:r>
        <w:t xml:space="preserve"> </w:t>
      </w:r>
    </w:p>
    <w:p w:rsidR="00E302EC" w:rsidRDefault="00FC4F28">
      <w:pPr>
        <w:ind w:left="279" w:right="255"/>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2051" name="Group 24205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099" name="Rectangle 1809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8100" name="Rectangle 1810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2051" style="width:12.7031pt;height:273.276pt;position:absolute;mso-position-horizontal-relative:page;mso-position-horizontal:absolute;margin-left:682.278pt;mso-position-vertical-relative:page;margin-top:538.644pt;" coordsize="1613,34706">
                <v:rect id="Rectangle 1809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10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159 </w:t>
                        </w:r>
                      </w:p>
                    </w:txbxContent>
                  </v:textbox>
                </v:rect>
                <w10:wrap type="square"/>
              </v:group>
            </w:pict>
          </mc:Fallback>
        </mc:AlternateContent>
      </w:r>
      <w:r>
        <w:t>En otro orden de cosas, la Ley Orgánica 2/2022, de 21</w:t>
      </w:r>
      <w:r>
        <w:t xml:space="preserve"> de marzo, de mejora de la protección de las personas huérfanas víctimas de la violencia de género procede a  la incorporación de un supuesto de no sujeción adicional dentro del apartado 3 del artículo 104 del Real Decreto Legislativo 2/2004, de 5 de marzo</w:t>
      </w:r>
      <w:r>
        <w:t xml:space="preserve">, por el que se aprueba el texto refundido de la Ley Reguladora de las Haciendas Locales, a fin de enervar la obligación de pago por las huérfanas y huérfanos adquirentes en los casos que traigan causa del fallecimiento de la víctima.  </w:t>
      </w:r>
    </w:p>
    <w:p w:rsidR="00E302EC" w:rsidRDefault="00FC4F28">
      <w:pPr>
        <w:spacing w:after="0" w:line="259" w:lineRule="auto"/>
        <w:ind w:left="267" w:firstLine="0"/>
        <w:jc w:val="left"/>
      </w:pPr>
      <w:r>
        <w:t xml:space="preserve"> </w:t>
      </w:r>
    </w:p>
    <w:p w:rsidR="00E302EC" w:rsidRDefault="00FC4F28">
      <w:pPr>
        <w:spacing w:after="363"/>
        <w:ind w:left="279" w:right="184"/>
      </w:pPr>
      <w:r>
        <w:t>Quinto. - En cuan</w:t>
      </w:r>
      <w:r>
        <w:t xml:space="preserve">to a las modificaciones incluidas en la providencia de la Concejalía de Hacienda cabe destacar que se modifican varios aspectos con respecto a la actual:  </w:t>
      </w:r>
    </w:p>
    <w:p w:rsidR="00E302EC" w:rsidRDefault="00FC4F28">
      <w:pPr>
        <w:numPr>
          <w:ilvl w:val="0"/>
          <w:numId w:val="63"/>
        </w:numPr>
        <w:spacing w:after="116"/>
        <w:ind w:right="218" w:hanging="360"/>
      </w:pPr>
      <w:r>
        <w:t xml:space="preserve">Se introduce dos nuevos supuestos de no sujeción derivados del Real Decreto-ley 26/2021 y de la Ley </w:t>
      </w:r>
      <w:r>
        <w:t xml:space="preserve">Orgánica 2/2022.  </w:t>
      </w:r>
    </w:p>
    <w:p w:rsidR="00E302EC" w:rsidRDefault="00FC4F28">
      <w:pPr>
        <w:numPr>
          <w:ilvl w:val="0"/>
          <w:numId w:val="63"/>
        </w:numPr>
        <w:spacing w:after="115"/>
        <w:ind w:right="218" w:hanging="360"/>
      </w:pPr>
      <w:r>
        <w:t>Se modifica la redacción de la base imponible, introduciendo el sistema objetivo de determinación de la base imponible, por referencia a los coeficientes anuales que establezca en cada momento el TRLRLH, así como dando cabida al derecho de opción del sujet</w:t>
      </w:r>
      <w:r>
        <w:t xml:space="preserve">o pasivo a determinar la base imponible en régimen de estimación directa.   </w:t>
      </w:r>
    </w:p>
    <w:p w:rsidR="00E302EC" w:rsidRDefault="00FC4F28">
      <w:pPr>
        <w:numPr>
          <w:ilvl w:val="0"/>
          <w:numId w:val="63"/>
        </w:numPr>
        <w:spacing w:after="109"/>
        <w:ind w:right="218" w:hanging="360"/>
      </w:pPr>
      <w:r>
        <w:t xml:space="preserve">En cuanto a la regulación de la cuota tributaria, se ajusta el tipo de gravamen para compensar la caída generalizada de las bases imponibles y se introduce una nueva bonificación </w:t>
      </w:r>
      <w:r>
        <w:t xml:space="preserve">respecto de las transmisiones mortis causa a título lucrativo, referidas a la vivienda habitual, de carácter progresivo, basadas en determinados tramos de renta.  </w:t>
      </w:r>
    </w:p>
    <w:p w:rsidR="00E302EC" w:rsidRDefault="00FC4F28">
      <w:pPr>
        <w:numPr>
          <w:ilvl w:val="0"/>
          <w:numId w:val="63"/>
        </w:numPr>
        <w:spacing w:after="109"/>
        <w:ind w:right="218" w:hanging="360"/>
      </w:pPr>
      <w:r>
        <w:t>Se modifica el capítulo VII relativo a la gestión, renumerándose los artículos afectados, ad</w:t>
      </w:r>
      <w:r>
        <w:t>aptando el actual sistema a la nueva regulación del impuesto, caracterizado por el derecho de opción del contribuyente, introduciendo algunas mejoras técnicas en la redacción, e incluyendo las posibilidades de cooperación interadministrativa tributaria con</w:t>
      </w:r>
      <w:r>
        <w:t xml:space="preserve"> la Agencia Tributaria Canaria y el Consorcio de Tributos de Tenerife y el régimen de infracciones y sanciones. </w:t>
      </w:r>
    </w:p>
    <w:p w:rsidR="00E302EC" w:rsidRDefault="00FC4F28">
      <w:pPr>
        <w:numPr>
          <w:ilvl w:val="0"/>
          <w:numId w:val="63"/>
        </w:numPr>
        <w:spacing w:after="111"/>
        <w:ind w:right="218" w:hanging="360"/>
      </w:pPr>
      <w:r>
        <w:t>En algunos artículos se actualizan las referencias existentes a normas ya derogadas como las anteriores Leyes General Tributaria o  del Impuest</w:t>
      </w:r>
      <w:r>
        <w:t>o sobre Sociedades y se procede a mejorar técnicamente, sin modificaciones sustantivas, la redacción de algunos preceptos, incluyendo algunos supuestos de aplicación directa previstos en el TRLRHL que no se encontraban recogidos en la Ordenanza fiscal debi</w:t>
      </w:r>
      <w:r>
        <w:t xml:space="preserve">dos a su antigüedad (p.ej. exención por la dación en pago de la vivienda habitual del deudor hipotecario).  </w:t>
      </w:r>
    </w:p>
    <w:p w:rsidR="00E302EC" w:rsidRDefault="00FC4F28">
      <w:pPr>
        <w:numPr>
          <w:ilvl w:val="0"/>
          <w:numId w:val="63"/>
        </w:numPr>
        <w:spacing w:after="492"/>
        <w:ind w:right="218" w:hanging="360"/>
      </w:pPr>
      <w:r>
        <w:t xml:space="preserve">Se introduce una disposición adicional y una disposición final con la entrada en vigor de la norma. </w:t>
      </w:r>
    </w:p>
    <w:p w:rsidR="00E302EC" w:rsidRDefault="00FC4F28">
      <w:pPr>
        <w:spacing w:after="243"/>
        <w:ind w:left="279" w:right="250"/>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2481" name="Group 24248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199" name="Rectangle 1819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w:t>
                              </w:r>
                              <w:r>
                                <w:rPr>
                                  <w:sz w:val="12"/>
                                </w:rPr>
                                <w:t xml:space="preserve">| Verificación: https://candelaria.sedelectronica.es/ </w:t>
                              </w:r>
                            </w:p>
                          </w:txbxContent>
                        </wps:txbx>
                        <wps:bodyPr horzOverflow="overflow" vert="horz" lIns="0" tIns="0" rIns="0" bIns="0" rtlCol="0">
                          <a:noAutofit/>
                        </wps:bodyPr>
                      </wps:wsp>
                      <wps:wsp>
                        <wps:cNvPr id="18200" name="Rectangle 1820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2481" style="width:12.7031pt;height:273.276pt;position:absolute;mso-position-horizontal-relative:page;mso-position-horizontal:absolute;margin-left:682.278pt;mso-position-vertical-relative:page;margin-top:538.644pt;" coordsize="1613,34706">
                <v:rect id="Rectangle 1819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20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159 </w:t>
                        </w:r>
                      </w:p>
                    </w:txbxContent>
                  </v:textbox>
                </v:rect>
                <w10:wrap type="square"/>
              </v:group>
            </w:pict>
          </mc:Fallback>
        </mc:AlternateContent>
      </w:r>
      <w:r>
        <w:t xml:space="preserve">Sexto.- </w:t>
      </w:r>
      <w:r>
        <w:t xml:space="preserve">De acuerdo con el art. 7.3 de la Ley Orgánica 2/2012, de 27 de abril, de Estabilidad Presupuestaria y Sostenibilidad Financiera, las disposiciones legales y reglamentarias, en su fase de elaboración y aprobación, los actos administrativos, los contratos y </w:t>
      </w:r>
      <w:r>
        <w:t>los convenios de colaboración, así como cualquier otra actuación de los sujetos incluidos en el ámbito de aplicación de esta Ley que afecten a los gastos o ingresos públicos presentes o futuros, deberán valorar sus repercusiones y efectos, y supeditarse de</w:t>
      </w:r>
      <w:r>
        <w:t xml:space="preserve"> forma estricta al cumplimiento de las exigencias de los principios de estabilidad presupuestaria y sostenibilidad financiera.  </w:t>
      </w:r>
    </w:p>
    <w:p w:rsidR="00E302EC" w:rsidRDefault="00FC4F28">
      <w:pPr>
        <w:ind w:left="279" w:right="251"/>
      </w:pPr>
      <w:r>
        <w:t>Atendiendo a los datos obrantes en la Tesorería municipal, y haciendo un análisis de los últimos tres ejercicios, el impacto ec</w:t>
      </w:r>
      <w:r>
        <w:t>onómico derivado de la entrada en vigor del Real Decreto-ley 26/2021, se cifra en la una cuantía de 136.718,17 euros anuales, lo cual implicaría un descenso del 36,41% en la recaudación del presente impuesto. Dicha cifra deriva directamente del nuevo siste</w:t>
      </w:r>
      <w:r>
        <w:t xml:space="preserve">ma de determinación objetiva que arroja, como regla general, bases imponibles inferiores a las obtenidas mediante la redacción anterior del TRLRHL. Por tal motivo, se propone una medida compensatoria a través del tipo de gravamen, que reduciría el impacto </w:t>
      </w:r>
      <w:r>
        <w:t xml:space="preserve">económico a un 29,35%. En todo caso, debe tenerse en cuenta que esta cifra se verá afectada en la medida que los contribuyentes hagan uso de su derecho de opción por el sistema de determinación directa o real de la Base Imponible. En sentido contrario, la </w:t>
      </w:r>
      <w:r>
        <w:t>FEMP acordó el pasado 22 de noviembre solicitar un fondo que compense la pérdida recaudatoria sufrida por los Gobiernos Locales y en el debate de enmiendas al proyecto de ley (17/2/22) derivado de la tramitación como proyecto de ley del RD-ley 26/2021 se a</w:t>
      </w:r>
      <w:r>
        <w:t>brió la puerta a un fondo compensatorio, por lo que la evolución final de esta figura resulta incierta. En todo caso, debe recordarse que el Congreso de los Diputados, mediante Acuerdo de 13 de septiembre de 2021, apreció que el mantenimiento de la pandemi</w:t>
      </w:r>
      <w:r>
        <w:t>a supone una situación de emergencia extraordinaria, a los efectos previstos en los artículos 135.4 de la Constitución y 11.3 de la Ley Orgánica 2/2012, de 27 de abril, de Estabilidad Presupuestaria y Sostenibilidad Financiera, y en consecuencia se mantien</w:t>
      </w:r>
      <w:r>
        <w:t>e la suspensión para 2022, de los objetivos de estabilidad y deuda, así como la regla de gasto, ya acordada previamente para los ejercicios 2020 y 2021. Eb el siguiente cuadro se muestran las estimaciones realizadas sobre la recaudación anual de esta figur</w:t>
      </w:r>
      <w:r>
        <w:t xml:space="preserve">a, a lo que habrá que añadir el importe de la estimación de la nueva bonificación introducida (47.746,82 euros anuales) </w:t>
      </w:r>
    </w:p>
    <w:p w:rsidR="00E302EC" w:rsidRDefault="00FC4F28">
      <w:pPr>
        <w:spacing w:after="230" w:line="259" w:lineRule="auto"/>
        <w:ind w:left="284" w:firstLine="0"/>
        <w:jc w:val="left"/>
      </w:pPr>
      <w:r>
        <w:t xml:space="preserve"> </w:t>
      </w:r>
    </w:p>
    <w:p w:rsidR="00E302EC" w:rsidRDefault="00FC4F28">
      <w:pPr>
        <w:spacing w:after="0" w:line="259" w:lineRule="auto"/>
        <w:ind w:left="284" w:firstLine="0"/>
        <w:jc w:val="left"/>
      </w:pPr>
      <w:r>
        <w:rPr>
          <w:color w:val="FF0000"/>
        </w:rPr>
        <w:t xml:space="preserve"> </w:t>
      </w:r>
    </w:p>
    <w:tbl>
      <w:tblPr>
        <w:tblStyle w:val="TableGrid"/>
        <w:tblW w:w="8120" w:type="dxa"/>
        <w:tblInd w:w="975" w:type="dxa"/>
        <w:tblCellMar>
          <w:top w:w="63" w:type="dxa"/>
          <w:left w:w="37" w:type="dxa"/>
          <w:bottom w:w="0" w:type="dxa"/>
          <w:right w:w="28" w:type="dxa"/>
        </w:tblCellMar>
        <w:tblLook w:val="04A0" w:firstRow="1" w:lastRow="0" w:firstColumn="1" w:lastColumn="0" w:noHBand="0" w:noVBand="1"/>
      </w:tblPr>
      <w:tblGrid>
        <w:gridCol w:w="1876"/>
        <w:gridCol w:w="1321"/>
        <w:gridCol w:w="1606"/>
        <w:gridCol w:w="1501"/>
        <w:gridCol w:w="1818"/>
      </w:tblGrid>
      <w:tr w:rsidR="00E302EC">
        <w:trPr>
          <w:trHeight w:val="300"/>
        </w:trPr>
        <w:tc>
          <w:tcPr>
            <w:tcW w:w="1876" w:type="dxa"/>
            <w:tcBorders>
              <w:top w:val="single" w:sz="6" w:space="0" w:color="D4D4D4"/>
              <w:left w:val="single" w:sz="6" w:space="0" w:color="D4D4D4"/>
              <w:bottom w:val="single" w:sz="6" w:space="0" w:color="000000"/>
              <w:right w:val="single" w:sz="6" w:space="0" w:color="000000"/>
            </w:tcBorders>
          </w:tcPr>
          <w:p w:rsidR="00E302EC" w:rsidRDefault="00E302EC">
            <w:pPr>
              <w:spacing w:after="160" w:line="259" w:lineRule="auto"/>
              <w:ind w:left="0" w:firstLine="0"/>
              <w:jc w:val="left"/>
            </w:pP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b/>
              </w:rPr>
              <w:t>2019</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b/>
              </w:rPr>
              <w:t>2020</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b/>
              </w:rPr>
              <w:t>2021</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6" w:firstLine="0"/>
              <w:jc w:val="center"/>
            </w:pPr>
            <w:r>
              <w:rPr>
                <w:rFonts w:ascii="Calibri" w:eastAsia="Calibri" w:hAnsi="Calibri" w:cs="Calibri"/>
                <w:b/>
              </w:rPr>
              <w:t>Media</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BI TRLRHL</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120" w:firstLine="0"/>
              <w:jc w:val="left"/>
            </w:pPr>
            <w:r>
              <w:rPr>
                <w:rFonts w:ascii="Calibri" w:eastAsia="Calibri" w:hAnsi="Calibri" w:cs="Calibri"/>
              </w:rPr>
              <w:t>1.390.787,01</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rPr>
              <w:t>1.665.134,69</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rPr>
              <w:t>1.087.740,03</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 w:firstLine="0"/>
              <w:jc w:val="right"/>
            </w:pPr>
            <w:r>
              <w:rPr>
                <w:rFonts w:ascii="Calibri" w:eastAsia="Calibri" w:hAnsi="Calibri" w:cs="Calibri"/>
              </w:rPr>
              <w:t>1.381.220,58</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Cuota TRLRHL</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375.510,94</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449.585,01</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293.688,57</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 w:firstLine="0"/>
              <w:jc w:val="right"/>
            </w:pPr>
            <w:r>
              <w:rPr>
                <w:rFonts w:ascii="Calibri" w:eastAsia="Calibri" w:hAnsi="Calibri" w:cs="Calibri"/>
              </w:rPr>
              <w:t>372.928,17</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Nº. Liquidaciones</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rPr>
              <w:t>305</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rPr>
              <w:t>265</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rPr>
              <w:t>347</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rPr>
              <w:t>306</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Media años</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rPr>
              <w:t>15,38</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right"/>
            </w:pPr>
            <w:r>
              <w:rPr>
                <w:rFonts w:ascii="Calibri" w:eastAsia="Calibri" w:hAnsi="Calibri" w:cs="Calibri"/>
              </w:rPr>
              <w:t>15,08</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12,59</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rPr>
              <w:t>14,35</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Importe medio</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1.231,18</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1.696,55</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846,36</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 w:firstLine="0"/>
              <w:jc w:val="right"/>
            </w:pPr>
            <w:r>
              <w:rPr>
                <w:rFonts w:ascii="Calibri" w:eastAsia="Calibri" w:hAnsi="Calibri" w:cs="Calibri"/>
              </w:rPr>
              <w:t>1.258,03</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BI RDL 26/21</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924.363,00</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rPr>
              <w:t>1.004.224,52</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695.968,12</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 w:firstLine="0"/>
              <w:jc w:val="right"/>
            </w:pPr>
            <w:r>
              <w:rPr>
                <w:rFonts w:ascii="Calibri" w:eastAsia="Calibri" w:hAnsi="Calibri" w:cs="Calibri"/>
              </w:rPr>
              <w:t>874.851,88</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CT 26/21</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249.578,01</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271.140,62</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rPr>
              <w:t>187.911,39</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 w:firstLine="0"/>
              <w:jc w:val="right"/>
            </w:pPr>
            <w:r>
              <w:rPr>
                <w:rFonts w:ascii="Calibri" w:eastAsia="Calibri" w:hAnsi="Calibri" w:cs="Calibri"/>
              </w:rPr>
              <w:t>236.210,01</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Descenso €</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color w:val="FF0000"/>
              </w:rPr>
              <w:t>-125.932,93</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 w:firstLine="0"/>
              <w:jc w:val="right"/>
            </w:pPr>
            <w:r>
              <w:rPr>
                <w:rFonts w:ascii="Calibri" w:eastAsia="Calibri" w:hAnsi="Calibri" w:cs="Calibri"/>
                <w:color w:val="FF0000"/>
              </w:rPr>
              <w:t>-178.444,39</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2" w:firstLine="0"/>
              <w:jc w:val="right"/>
            </w:pPr>
            <w:r>
              <w:rPr>
                <w:rFonts w:ascii="Calibri" w:eastAsia="Calibri" w:hAnsi="Calibri" w:cs="Calibri"/>
                <w:color w:val="FF0000"/>
              </w:rPr>
              <w:t>-105.777,18</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 w:firstLine="0"/>
              <w:jc w:val="right"/>
            </w:pPr>
            <w:r>
              <w:rPr>
                <w:rFonts w:ascii="Calibri" w:eastAsia="Calibri" w:hAnsi="Calibri" w:cs="Calibri"/>
                <w:color w:val="FF0000"/>
              </w:rPr>
              <w:t>-136.718,17</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rPr>
              <w:t>Descenso %</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4" w:firstLine="0"/>
              <w:jc w:val="right"/>
            </w:pPr>
            <w:r>
              <w:rPr>
                <w:rFonts w:ascii="Calibri" w:eastAsia="Calibri" w:hAnsi="Calibri" w:cs="Calibri"/>
                <w:color w:val="FF0000"/>
              </w:rPr>
              <w:t>-33,54%</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4" w:firstLine="0"/>
              <w:jc w:val="right"/>
            </w:pPr>
            <w:r>
              <w:rPr>
                <w:rFonts w:ascii="Calibri" w:eastAsia="Calibri" w:hAnsi="Calibri" w:cs="Calibri"/>
                <w:color w:val="FF0000"/>
              </w:rPr>
              <w:t>-39,69%</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4" w:firstLine="0"/>
              <w:jc w:val="right"/>
            </w:pPr>
            <w:r>
              <w:rPr>
                <w:rFonts w:ascii="Calibri" w:eastAsia="Calibri" w:hAnsi="Calibri" w:cs="Calibri"/>
                <w:color w:val="FF0000"/>
              </w:rPr>
              <w:t>-36,02%</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6" w:firstLine="0"/>
              <w:jc w:val="right"/>
            </w:pPr>
            <w:r>
              <w:rPr>
                <w:rFonts w:ascii="Calibri" w:eastAsia="Calibri" w:hAnsi="Calibri" w:cs="Calibri"/>
                <w:color w:val="FF0000"/>
              </w:rPr>
              <w:t>-36,41%</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i/>
              </w:rPr>
              <w:t>Proyección CT 30%</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rPr>
              <w:t>277.308,90</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rPr>
              <w:t>301.267,36</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rPr>
              <w:t>208.790,43</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3" w:firstLine="0"/>
              <w:jc w:val="right"/>
            </w:pPr>
            <w:r>
              <w:rPr>
                <w:rFonts w:ascii="Calibri" w:eastAsia="Calibri" w:hAnsi="Calibri" w:cs="Calibri"/>
                <w:i/>
              </w:rPr>
              <w:t>262.455,56</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i/>
              </w:rPr>
              <w:t>Descenso €</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2" w:firstLine="0"/>
              <w:jc w:val="right"/>
            </w:pPr>
            <w:r>
              <w:rPr>
                <w:rFonts w:ascii="Calibri" w:eastAsia="Calibri" w:hAnsi="Calibri" w:cs="Calibri"/>
                <w:i/>
                <w:color w:val="FF0000"/>
              </w:rPr>
              <w:t>-98.202,04</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2" w:firstLine="0"/>
              <w:jc w:val="right"/>
            </w:pPr>
            <w:r>
              <w:rPr>
                <w:rFonts w:ascii="Calibri" w:eastAsia="Calibri" w:hAnsi="Calibri" w:cs="Calibri"/>
                <w:i/>
                <w:color w:val="FF0000"/>
              </w:rPr>
              <w:t>-148.317,65</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2" w:firstLine="0"/>
              <w:jc w:val="right"/>
            </w:pPr>
            <w:r>
              <w:rPr>
                <w:rFonts w:ascii="Calibri" w:eastAsia="Calibri" w:hAnsi="Calibri" w:cs="Calibri"/>
                <w:i/>
                <w:color w:val="FF0000"/>
              </w:rPr>
              <w:t>-84.898,14</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3" w:firstLine="0"/>
              <w:jc w:val="right"/>
            </w:pPr>
            <w:r>
              <w:rPr>
                <w:rFonts w:ascii="Calibri" w:eastAsia="Calibri" w:hAnsi="Calibri" w:cs="Calibri"/>
                <w:i/>
                <w:color w:val="FF0000"/>
              </w:rPr>
              <w:t>-110.472,61</w:t>
            </w:r>
          </w:p>
        </w:tc>
      </w:tr>
      <w:tr w:rsidR="00E302EC">
        <w:trPr>
          <w:trHeight w:val="300"/>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jc w:val="left"/>
            </w:pPr>
            <w:r>
              <w:rPr>
                <w:rFonts w:ascii="Calibri" w:eastAsia="Calibri" w:hAnsi="Calibri" w:cs="Calibri"/>
                <w:b/>
                <w:i/>
              </w:rPr>
              <w:t>Descenso %</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4" w:firstLine="0"/>
              <w:jc w:val="right"/>
            </w:pPr>
            <w:r>
              <w:rPr>
                <w:rFonts w:ascii="Calibri" w:eastAsia="Calibri" w:hAnsi="Calibri" w:cs="Calibri"/>
                <w:i/>
                <w:color w:val="FF0000"/>
              </w:rPr>
              <w:t>-26,15%</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4" w:firstLine="0"/>
              <w:jc w:val="right"/>
            </w:pPr>
            <w:r>
              <w:rPr>
                <w:rFonts w:ascii="Calibri" w:eastAsia="Calibri" w:hAnsi="Calibri" w:cs="Calibri"/>
                <w:i/>
                <w:color w:val="FF0000"/>
              </w:rPr>
              <w:t>-32,99%</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44" w:firstLine="0"/>
              <w:jc w:val="right"/>
            </w:pPr>
            <w:r>
              <w:rPr>
                <w:rFonts w:ascii="Calibri" w:eastAsia="Calibri" w:hAnsi="Calibri" w:cs="Calibri"/>
                <w:i/>
                <w:color w:val="FF0000"/>
              </w:rPr>
              <w:t>-28,91%</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16" w:firstLine="0"/>
              <w:jc w:val="right"/>
            </w:pPr>
            <w:r>
              <w:rPr>
                <w:rFonts w:ascii="Calibri" w:eastAsia="Calibri" w:hAnsi="Calibri" w:cs="Calibri"/>
                <w:color w:val="FF0000"/>
              </w:rPr>
              <w:t>-29,35%</w:t>
            </w:r>
          </w:p>
        </w:tc>
      </w:tr>
      <w:tr w:rsidR="00E302EC">
        <w:trPr>
          <w:trHeight w:val="299"/>
        </w:trPr>
        <w:tc>
          <w:tcPr>
            <w:tcW w:w="187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firstLine="0"/>
            </w:pPr>
            <w:r>
              <w:rPr>
                <w:rFonts w:ascii="Calibri" w:eastAsia="Calibri" w:hAnsi="Calibri" w:cs="Calibri"/>
                <w:b/>
                <w:i/>
              </w:rPr>
              <w:t>Nueva bonificación</w:t>
            </w:r>
          </w:p>
        </w:tc>
        <w:tc>
          <w:tcPr>
            <w:tcW w:w="132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color w:val="FF0000"/>
              </w:rPr>
              <w:t>49.541,23</w:t>
            </w:r>
          </w:p>
        </w:tc>
        <w:tc>
          <w:tcPr>
            <w:tcW w:w="1606"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color w:val="FF0000"/>
              </w:rPr>
              <w:t>56.555,41</w:t>
            </w:r>
          </w:p>
        </w:tc>
        <w:tc>
          <w:tcPr>
            <w:tcW w:w="1501"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1" w:firstLine="0"/>
              <w:jc w:val="right"/>
            </w:pPr>
            <w:r>
              <w:rPr>
                <w:rFonts w:ascii="Calibri" w:eastAsia="Calibri" w:hAnsi="Calibri" w:cs="Calibri"/>
                <w:i/>
                <w:color w:val="FF0000"/>
              </w:rPr>
              <w:t>37.143,82</w:t>
            </w:r>
          </w:p>
        </w:tc>
        <w:tc>
          <w:tcPr>
            <w:tcW w:w="1818" w:type="dxa"/>
            <w:tcBorders>
              <w:top w:val="single" w:sz="6" w:space="0" w:color="000000"/>
              <w:left w:val="single" w:sz="6" w:space="0" w:color="000000"/>
              <w:bottom w:val="single" w:sz="6" w:space="0" w:color="000000"/>
              <w:right w:val="single" w:sz="6" w:space="0" w:color="000000"/>
            </w:tcBorders>
          </w:tcPr>
          <w:p w:rsidR="00E302EC" w:rsidRDefault="00FC4F28">
            <w:pPr>
              <w:spacing w:after="0" w:line="259" w:lineRule="auto"/>
              <w:ind w:left="0" w:right="33" w:firstLine="0"/>
              <w:jc w:val="right"/>
            </w:pPr>
            <w:r>
              <w:rPr>
                <w:rFonts w:ascii="Calibri" w:eastAsia="Calibri" w:hAnsi="Calibri" w:cs="Calibri"/>
                <w:i/>
                <w:color w:val="FF0000"/>
              </w:rPr>
              <w:t>47.746,82</w:t>
            </w:r>
          </w:p>
        </w:tc>
      </w:tr>
    </w:tbl>
    <w:p w:rsidR="00E302EC" w:rsidRDefault="00FC4F28">
      <w:pPr>
        <w:ind w:left="279" w:right="254"/>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81215" name="Group 28121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391" name="Rectangle 1839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8392" name="Rectangle 1839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88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81215" style="width:12.7031pt;height:273.276pt;position:absolute;mso-position-horizontal-relative:page;mso-position-horizontal:absolute;margin-left:682.278pt;mso-position-vertical-relative:page;margin-top:538.644pt;" coordsize="1613,34706">
                <v:rect id="Rectangle 1839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39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159 </w:t>
                        </w:r>
                      </w:p>
                    </w:txbxContent>
                  </v:textbox>
                </v:rect>
                <w10:wrap type="square"/>
              </v:group>
            </w:pict>
          </mc:Fallback>
        </mc:AlternateContent>
      </w:r>
      <w:r>
        <w:t>Séptimo. - Realizadas las anteriores consideraciones, debemos resaltar que el nuevo modelo de aplicación del impuesto implica, en líneas generales, un mayor coste</w:t>
      </w:r>
      <w:r>
        <w:t xml:space="preserve"> de gestión.  Hasta ahora, la gestión tributaria municipal podía liquidar el impuesto con relativa facilidad, en la mayoría de los casos, a través de la carga masiva de los datos procedentes de los índices notariales, a los que se refiere el art. 110.7 TRL</w:t>
      </w:r>
      <w:r>
        <w:t>RHL, puesto que tan solo conociendo los valores catastrales y las fechas de adquisición y transmisión era posible calcular la cuota. Sin embargo, la nueva redacción impide efectuar una liquidación objetiva en tanto en cuanto no se conozca la opción de trib</w:t>
      </w:r>
      <w:r>
        <w:t>utación del sujeto pasivo: bien por método objetivo o bien por método de estimación directa. Además, en el caso de las transmisiones mortis causa, este nuevo IIVTNU se convierte en un impuesto claramente subsidiario del Impuesto de Sucesiones y Donaciones,</w:t>
      </w:r>
      <w:r>
        <w:t xml:space="preserve"> puesto que será el valor declarado a efectos de este último impuesto, el parámetro respecto del que habrá que comparar a efectos de comprobar la correcta aplicación de nuestra plusvalía municipal. Y, en la medida que nos vemos obligados a comprobar no sól</w:t>
      </w:r>
      <w:r>
        <w:t>o los casos de alegación de inexistencia de incremento de valor, será preciso contar con medios a disposición de la Administración tributaria municipal a efectos de realizar las comprobaciones oportunas. Por ello resulta obligado, a partir de ahora, contar</w:t>
      </w:r>
      <w:r>
        <w:t xml:space="preserve"> con técnicos especialistas en valoraciones y resultará imprescindible la asistencia y cooperación con la Agencia Tributaria Canaria, entidad gestora del ISD.  Por último, resultaría necesario la adopción de un  Plan de Control Tributario, acudiendo en la </w:t>
      </w:r>
      <w:r>
        <w:t>medida de lo posible a técnicas de big data para detectar, con un umbral de tolerancia razonable, basado en el principio de eficiencia y proporcionalidad y eficacia (art. 3.2 LGT), aquellos hechos imponibles que requieran de una comprobación o, en su caso,</w:t>
      </w:r>
      <w:r>
        <w:t xml:space="preserve"> de  una actuación inspectora, con la dificultad añadida de la conexión que esta reforma impone con la aplicación tanto del ITP como del ISD, que tienen una larga historia de conflictividad y litigiosidad en cuanto a las valoraciones de los inmuebles sujet</w:t>
      </w:r>
      <w:r>
        <w:t>os a los mismos, si bien han sido recientemente modificados por la Ley 11/2021, de 9 de julio, que ha introducido el valor de referencia, previsto en el texto refundido de la Ley del Catastro Inmobiliario, en la determinación de sus bases imponibles. Por t</w:t>
      </w:r>
      <w:r>
        <w:t xml:space="preserve">odo ello, se recomienda la valoración de la posibilidad de proceder a la encomienda de la gestión integral de esta figura en el Consorcio de Tributos, reconduciendo los recursos liberados para lograr una mejor gestión de aquellas tasas y otros ingresos de </w:t>
      </w:r>
      <w:r>
        <w:t xml:space="preserve">derecho público que conforman la estructura de recursos de financiación de esta Entidad. </w:t>
      </w:r>
    </w:p>
    <w:p w:rsidR="00E302EC" w:rsidRDefault="00FC4F28">
      <w:pPr>
        <w:spacing w:after="0" w:line="259" w:lineRule="auto"/>
        <w:ind w:left="267" w:firstLine="0"/>
        <w:jc w:val="left"/>
      </w:pPr>
      <w:r>
        <w:t xml:space="preserve"> </w:t>
      </w:r>
    </w:p>
    <w:p w:rsidR="00E302EC" w:rsidRDefault="00FC4F28">
      <w:pPr>
        <w:spacing w:after="243"/>
        <w:ind w:left="279" w:right="254"/>
      </w:pPr>
      <w:r>
        <w:t>Octavo. - La presente norma se ajusta a los principios de buena regulación en el ejercicio de la potestad reglamentaria previstos en el artículo 129 de la Ley 39/20</w:t>
      </w:r>
      <w:r>
        <w:t xml:space="preserve">15, de 1 de octubre, de Procedimiento Administrativo Común de las Administraciones Públicas.  </w:t>
      </w:r>
    </w:p>
    <w:p w:rsidR="00E302EC" w:rsidRDefault="00FC4F28">
      <w:pPr>
        <w:spacing w:after="243"/>
        <w:ind w:left="279" w:right="254"/>
      </w:pPr>
      <w:r>
        <w:t>Respecto a la necesidad de modificación de la norma, ésta nace del mandato contenido en la Disposición transitoria única del Real Decreto-ley 26/2021, que establ</w:t>
      </w:r>
      <w:r>
        <w:t xml:space="preserve">ece que los ayuntamientos que tengan establecido el Impuesto deberán modificar sus respectivas ordenanzas fiscales en el plazo de seis meses desde su entrada en vigor para adecuarlas a lo dispuesto en el mismo.  </w:t>
      </w:r>
    </w:p>
    <w:p w:rsidR="00E302EC" w:rsidRDefault="00FC4F28">
      <w:pPr>
        <w:spacing w:after="243"/>
        <w:ind w:left="279" w:right="251"/>
      </w:pPr>
      <w:r>
        <w:t xml:space="preserve">De este modo, se cumplen los principios de </w:t>
      </w:r>
      <w:r>
        <w:t>eficacia y eficiencia en la modificación de la norma, así como la seguridad jurídica y transparencia que quedan garantizados a través del trámite de aprobación provisional, exposición pública y aprobación definitiva. A estos efectos, se entiende procedente</w:t>
      </w:r>
      <w:r>
        <w:t xml:space="preserve">, pese a tratarse de una modificación parcial, proceder a la publicación del texto consolidado de la misma. </w:t>
      </w:r>
    </w:p>
    <w:p w:rsidR="00E302EC" w:rsidRDefault="00FC4F28">
      <w:pPr>
        <w:spacing w:after="240"/>
        <w:ind w:left="279" w:right="250"/>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3059" name="Group 24305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518" name="Rectangle 1851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8519" name="Rectangle 18519"/>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w:t>
                              </w:r>
                              <w:r>
                                <w:rPr>
                                  <w:sz w:val="12"/>
                                </w:rPr>
                                <w:t xml:space="preserve">plataforma esPublico Gestiona | Página 89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3059" style="width:12.7031pt;height:273.276pt;position:absolute;mso-position-horizontal-relative:page;mso-position-horizontal:absolute;margin-left:682.278pt;mso-position-vertical-relative:page;margin-top:538.644pt;" coordsize="1613,34706">
                <v:rect id="Rectangle 1851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519"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159 </w:t>
                        </w:r>
                      </w:p>
                    </w:txbxContent>
                  </v:textbox>
                </v:rect>
                <w10:wrap type="square"/>
              </v:group>
            </w:pict>
          </mc:Fallback>
        </mc:AlternateContent>
      </w:r>
      <w:r>
        <w:t xml:space="preserve"> De acuerdo con el Informe de la Dirección General de Tributos, de 19 de enero de 2018, sobre el impacto de la Ley 39/2015 en el procedimiento de aprobación de las ordenanzas fiscales,  el trámite de consul</w:t>
      </w:r>
      <w:r>
        <w:t>ta previa previsto en el art. 133 de dicha Ley sólo debe sustanciarse cuando se trata de la aprobación de una nueva ordenanza fiscal, mientras que en el caso de la modificación de una ordenanza fiscal ya aprobada con anterioridad, puede obviarse dicho trám</w:t>
      </w:r>
      <w:r>
        <w:t xml:space="preserve">ite por tratarse de una regulación parcial de la materia, como exceptúa el apartado 4 de dicho artículo 133. </w:t>
      </w:r>
    </w:p>
    <w:p w:rsidR="00E302EC" w:rsidRDefault="00FC4F28">
      <w:pPr>
        <w:spacing w:after="98" w:line="259" w:lineRule="auto"/>
        <w:ind w:left="149" w:firstLine="0"/>
        <w:jc w:val="center"/>
      </w:pPr>
      <w:r>
        <w:rPr>
          <w:b/>
        </w:rPr>
        <w:t xml:space="preserve"> </w:t>
      </w:r>
    </w:p>
    <w:p w:rsidR="00E302EC" w:rsidRDefault="00FC4F28">
      <w:pPr>
        <w:pStyle w:val="Ttulo1"/>
        <w:spacing w:after="103"/>
        <w:ind w:left="107" w:right="4"/>
      </w:pPr>
      <w:r>
        <w:t xml:space="preserve">Propuesta de acuerdo </w:t>
      </w:r>
    </w:p>
    <w:p w:rsidR="00E302EC" w:rsidRDefault="00FC4F28">
      <w:pPr>
        <w:ind w:left="279" w:right="184"/>
      </w:pPr>
      <w:r>
        <w:t xml:space="preserve">Es por lo que, esta Concejalía delegada, en uso de las atribuciones legalmente conferidas, PROPONE:  </w:t>
      </w:r>
    </w:p>
    <w:p w:rsidR="00E302EC" w:rsidRDefault="00FC4F28">
      <w:pPr>
        <w:spacing w:after="0" w:line="259" w:lineRule="auto"/>
        <w:ind w:left="284" w:firstLine="0"/>
        <w:jc w:val="left"/>
      </w:pPr>
      <w:r>
        <w:rPr>
          <w:b/>
        </w:rPr>
        <w:t xml:space="preserve"> </w:t>
      </w:r>
      <w:r>
        <w:rPr>
          <w:b/>
        </w:rPr>
        <w:tab/>
        <w:t xml:space="preserve"> </w:t>
      </w:r>
    </w:p>
    <w:p w:rsidR="00E302EC" w:rsidRDefault="00FC4F28">
      <w:pPr>
        <w:ind w:left="279" w:right="184"/>
      </w:pPr>
      <w:r>
        <w:t xml:space="preserve">PRIMERO. - </w:t>
      </w:r>
      <w:r>
        <w:t xml:space="preserve">Aprobar la modificación de la Ordenanza Fiscal Reguladora del Impuesto sobre el Incremento de Valor de los Terrenos Naturaleza Urbana, quedando la redacción consolidada de la siguiente manera: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69" w:right="183" w:firstLine="1138"/>
      </w:pPr>
      <w:r>
        <w:t xml:space="preserve"> </w:t>
      </w:r>
      <w:r>
        <w:rPr>
          <w:b/>
        </w:rPr>
        <w:t>“ORDENANZA FISCAL REGULADORA DEL IMPUESTO SOBRE EL INCREM</w:t>
      </w:r>
      <w:r>
        <w:rPr>
          <w:b/>
        </w:rPr>
        <w:t>ENTO DE VALOR DE LOS TERRENOS DE NATURALEZA URBANA</w:t>
      </w:r>
      <w:r>
        <w:t>.</w:t>
      </w:r>
      <w:r>
        <w:rPr>
          <w:rFonts w:ascii="Times New Roman" w:eastAsia="Times New Roman" w:hAnsi="Times New Roman" w:cs="Times New Roman"/>
          <w:sz w:val="24"/>
        </w:rPr>
        <w:t xml:space="preserve">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CAPÍTULO I. DISPOSICIÓN GENERAL.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1. Establecimiento del impuesto y normativa aplicable.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numPr>
          <w:ilvl w:val="0"/>
          <w:numId w:val="64"/>
        </w:numPr>
        <w:ind w:right="184"/>
      </w:pPr>
      <w:r>
        <w:t>De acuerdo con lo dispuesto en los artículos 15 y 59.2 del Texto Refundido de la Ley Regulador</w:t>
      </w:r>
      <w:r>
        <w:t xml:space="preserve">a de las Haciendas Locales, aprobado por Real Decreto Legislativo  </w:t>
      </w:r>
    </w:p>
    <w:p w:rsidR="00E302EC" w:rsidRDefault="00FC4F28">
      <w:pPr>
        <w:ind w:left="279" w:right="184"/>
      </w:pPr>
      <w:r>
        <w:t xml:space="preserve">2/2004, de 5 de marzo, se acuerda la imposición y ordenación en este municipio del impuesto sobre el Incremento de Valor de los Terrenos de Naturaleza Urbana. </w:t>
      </w:r>
    </w:p>
    <w:p w:rsidR="00E302EC" w:rsidRDefault="00FC4F28">
      <w:pPr>
        <w:numPr>
          <w:ilvl w:val="0"/>
          <w:numId w:val="64"/>
        </w:numPr>
        <w:ind w:right="184"/>
      </w:pPr>
      <w:r>
        <w:t>El impuesto sobre el Increme</w:t>
      </w:r>
      <w:r>
        <w:t xml:space="preserve">nto de Valor de los Terrenos de Naturaleza Urbana se regirá en este municipio: </w:t>
      </w:r>
    </w:p>
    <w:p w:rsidR="00E302EC" w:rsidRDefault="00FC4F28">
      <w:pPr>
        <w:ind w:left="279" w:right="250"/>
      </w:pPr>
      <w:r>
        <w:t xml:space="preserve">a) </w:t>
      </w:r>
      <w:r>
        <w:t>Por las normas reguladoras del mismo, contenidas el Texto Refundido de la Ley Reguladora de las Haciendas Locales, aprobado por Real Decreto Legislativo 2/2004, de 5 de marzo; y por las demás disposiciones legales y reglamentarias que complementen y desarr</w:t>
      </w:r>
      <w:r>
        <w:t xml:space="preserve">ollen dicha Ley. b) Por la presente Ordenanza Fiscal.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II. HECHO IMPONIBLE.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2. Hecho Imponible. </w:t>
      </w:r>
    </w:p>
    <w:p w:rsidR="00E302EC" w:rsidRDefault="00FC4F28">
      <w:pPr>
        <w:numPr>
          <w:ilvl w:val="0"/>
          <w:numId w:val="65"/>
        </w:numPr>
        <w:ind w:right="249"/>
      </w:pPr>
      <w:r>
        <w:t>Constituye el hecho imponible del impuesto el incremento de valor que experimenten los terrenos de naturaleza urbana manifestado a consecuencia de la transmisión de la propiedad por cualquier título o de la constitución o transmisión de cualquier derecho r</w:t>
      </w:r>
      <w:r>
        <w:t xml:space="preserve">eal de goce limitativo del dominio sobre los bienes mencionados. </w:t>
      </w:r>
    </w:p>
    <w:p w:rsidR="00E302EC" w:rsidRDefault="00FC4F28">
      <w:pPr>
        <w:ind w:left="279" w:right="184"/>
      </w:pPr>
      <w:r>
        <w:t>El título a que se refiere el apartado anterior será todo hecho, acto o contrato, cualquiera que sea su forma, que origine un cambio del sujeto titular de las facultades dominicales de dispo</w:t>
      </w:r>
      <w:r>
        <w:t xml:space="preserve">sición o aprovechamiento sobre un terreno, tenga lugar por ministerio de la Ley, por actos mortis-causa o inter-vivos, a título oneroso o gratuito. </w:t>
      </w:r>
    </w:p>
    <w:p w:rsidR="00E302EC" w:rsidRDefault="00FC4F28">
      <w:pPr>
        <w:numPr>
          <w:ilvl w:val="0"/>
          <w:numId w:val="65"/>
        </w:numPr>
        <w:ind w:right="249"/>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3311" name="Group 24331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636" name="Rectangle 1863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8637" name="Rectangle 18637"/>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w:t>
                              </w:r>
                              <w:r>
                                <w:rPr>
                                  <w:sz w:val="12"/>
                                </w:rPr>
                                <w:t xml:space="preserve">mento firmado electrónicamente desde la plataforma esPublico Gestiona | Página 90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3311" style="width:12.7031pt;height:273.276pt;position:absolute;mso-position-horizontal-relative:page;mso-position-horizontal:absolute;margin-left:682.278pt;mso-position-vertical-relative:page;margin-top:538.644pt;" coordsize="1613,34706">
                <v:rect id="Rectangle 1863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637"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159 </w:t>
                        </w:r>
                      </w:p>
                    </w:txbxContent>
                  </v:textbox>
                </v:rect>
                <w10:wrap type="square"/>
              </v:group>
            </w:pict>
          </mc:Fallback>
        </mc:AlternateContent>
      </w:r>
      <w:r>
        <w:t>No está sujeto a este impuesto el incremento de valor que experimenten los terrenos que tengan la consideración de rústicos a efectos del impuesto sobre Bienes Inmueb</w:t>
      </w:r>
      <w:r>
        <w:t>les. En consecuencia, con ello, está sujeto el incremento de valor que experimenten los terrenos que deban tener la consideración de urbanos, a efectos de dicho impuesto sobre Bienes Inmuebles, con independencia de que estén o no contemplados como tales en</w:t>
      </w:r>
      <w:r>
        <w:t xml:space="preserve"> el Catastro o en el Padrón de aquél. A los efectos de este impuesto, estará asimismo sujeto al mismo el incremento de valor que experimenten los terrenos integrados en los bienes inmuebles clasificados como de características especiales a efectos del impu</w:t>
      </w:r>
      <w:r>
        <w:t xml:space="preserve">esto sobre Bienes Inmuebles. </w:t>
      </w:r>
    </w:p>
    <w:p w:rsidR="00E302EC" w:rsidRDefault="00FC4F28">
      <w:pPr>
        <w:numPr>
          <w:ilvl w:val="0"/>
          <w:numId w:val="65"/>
        </w:numPr>
        <w:ind w:right="249"/>
      </w:pPr>
      <w:r>
        <w:t xml:space="preserve">No se devengará este impuesto en las transmisiones de terrenos de naturaleza urbana derivadas de operaciones a las cuales resulte aplicable el régimen especial regulado en el Capítulo VII del Título VII de la Ley 27/2014, del </w:t>
      </w:r>
      <w:r>
        <w:t xml:space="preserve">impuesto sobre Sociedades, a excepción de los relativos a terrenos que se aporten al amparo de lo previsto en el artículo 87 de la citada Ley cuando no se hallen integrados en una rama de actividad. </w:t>
      </w:r>
    </w:p>
    <w:p w:rsidR="00E302EC" w:rsidRDefault="00FC4F28">
      <w:pPr>
        <w:numPr>
          <w:ilvl w:val="0"/>
          <w:numId w:val="65"/>
        </w:numPr>
        <w:ind w:right="249"/>
      </w:pPr>
      <w:r>
        <w:t>No se devengará el impuesto con ocasión de las transmisi</w:t>
      </w:r>
      <w:r>
        <w:t xml:space="preserve">ones de terrenos de naturaleza urbana que se realicen como consecuencia de las operaciones relativas a los procesos de adscripción a una sociedad anónima deportiva de nueva creación, siempre que se ajusten a las normas de la Ley 20/1990, de 15 de octubre, </w:t>
      </w:r>
      <w:r>
        <w:t xml:space="preserve">del Deporte y el Real Decreto 1.084/1991, de 15 de julio, sobre sociedades anónimas deportivas. </w:t>
      </w:r>
    </w:p>
    <w:p w:rsidR="00E302EC" w:rsidRDefault="00FC4F28">
      <w:pPr>
        <w:numPr>
          <w:ilvl w:val="0"/>
          <w:numId w:val="65"/>
        </w:numPr>
        <w:ind w:right="249"/>
      </w:pPr>
      <w:r>
        <w:t>En la posterior transmisión de los mencionados terrenos se entenderá que el número de años a través de los cuales se ha puesto de manifiesto el incremento de v</w:t>
      </w:r>
      <w:r>
        <w:t xml:space="preserve">alor no se ha interrumpido por causa de la transmisión de las operaciones citadas en los apartados 3 y 4. </w:t>
      </w:r>
    </w:p>
    <w:p w:rsidR="00E302EC" w:rsidRDefault="00FC4F28">
      <w:pPr>
        <w:numPr>
          <w:ilvl w:val="0"/>
          <w:numId w:val="65"/>
        </w:numPr>
        <w:ind w:right="249"/>
      </w:pPr>
      <w:r>
        <w:t>No se producirá la sujeción al impuesto en los supuestos de aportaciones de bienes y derechos realizadas por los cónyuges a la sociedad conyugal, adj</w:t>
      </w:r>
      <w:r>
        <w:t xml:space="preserve">udicaciones  </w:t>
      </w:r>
    </w:p>
    <w:p w:rsidR="00E302EC" w:rsidRDefault="00FC4F28">
      <w:pPr>
        <w:spacing w:after="0" w:line="259" w:lineRule="auto"/>
        <w:ind w:left="269" w:firstLine="0"/>
        <w:jc w:val="left"/>
      </w:pPr>
      <w:r>
        <w:t xml:space="preserve"> </w:t>
      </w:r>
    </w:p>
    <w:p w:rsidR="00E302EC" w:rsidRDefault="00FC4F28">
      <w:pPr>
        <w:ind w:left="279" w:right="184"/>
      </w:pPr>
      <w:r>
        <w:t xml:space="preserve">que a su favor y en pago de ellas se verifiquen y transmisiones que se hagan a los cónyuges en pago de sus haberes comunes </w:t>
      </w:r>
    </w:p>
    <w:p w:rsidR="00E302EC" w:rsidRDefault="00FC4F28">
      <w:pPr>
        <w:ind w:left="279" w:right="248"/>
      </w:pPr>
      <w:r>
        <w:t xml:space="preserve">Tampoco se producirá la sujeción al impuesto en los supuestos de transmisiones de bienes inmuebles entre cónyuges o a favor de los hijos, como consecuencia del cumplimiento de sentencias en los casos de nulidad, separación o divorcio matrimonial, sea cual </w:t>
      </w:r>
      <w:r>
        <w:t>sea el régimen económico matrimonial. Asimismo, no se producirá la sujeción al impuesto en los supuestos de transmisiones de bienes inmuebles a título lucrativo en beneficio de las hijas, hijos, menores o personas con discapacidad sujetas a patria potestad</w:t>
      </w:r>
      <w:r>
        <w:t>, tutela o con medidas de apoyo para el adecuado ejercicio de su capacidad jurídica, cuyo ejercicio se llevara a cabo por las mujeres fallecidas como consecuencia de violencia contra la mujer, en los términos en que se defina por la ley o por los instrumen</w:t>
      </w:r>
      <w:r>
        <w:t xml:space="preserve">tos internacionales ratificados por España, cuando estas transmisiones lucrativas traigan causa del referido fallecimiento. </w:t>
      </w:r>
    </w:p>
    <w:p w:rsidR="00E302EC" w:rsidRDefault="00FC4F28">
      <w:pPr>
        <w:numPr>
          <w:ilvl w:val="0"/>
          <w:numId w:val="65"/>
        </w:numPr>
        <w:ind w:right="249"/>
      </w:pPr>
      <w:r>
        <w:t>Asimismo no se producirá la sujeción al impuesto en las transmisiones de terrenos respecto de los cuales se constate la inexistenci</w:t>
      </w:r>
      <w:r>
        <w:t xml:space="preserve">a de incremento de valor por diferencia entre los valores de dichos terrenos en las fechas de transmisión y adquisición.  </w:t>
      </w:r>
    </w:p>
    <w:p w:rsidR="00E302EC" w:rsidRDefault="00FC4F28">
      <w:pPr>
        <w:ind w:left="279" w:right="250"/>
      </w:pPr>
      <w:r>
        <w:t xml:space="preserve">Para constatar la inexistencia de incremento de valor, como valor de transmisión o de adquisición del terreno se tomará en cada caso </w:t>
      </w:r>
      <w:r>
        <w:t xml:space="preserve">el mayor de los siguientes valores, sin que a estos efectos puedan computarse los gastos o tributos que graven dichas operaciones: </w:t>
      </w:r>
    </w:p>
    <w:p w:rsidR="00E302EC" w:rsidRDefault="00FC4F28">
      <w:pPr>
        <w:ind w:left="279" w:right="249"/>
      </w:pPr>
      <w:r>
        <w:t>a) El que conste en el título que documente la operación, o, cuando la adquisición o la transmisión hubiera sido a título lu</w:t>
      </w:r>
      <w:r>
        <w:t xml:space="preserve">crativo, el declarado en el Impuesto sobre Sucesiones y Donaciones.  b) El comprobado, en su caso, por la Administración tributaria.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3511" name="Group 24351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753" name="Rectangle 1875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8754" name="Rectangle 1875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w:t>
                              </w:r>
                              <w:r>
                                <w:rPr>
                                  <w:sz w:val="12"/>
                                </w:rPr>
                                <w:t xml:space="preserve">lectrónicamente desde la plataforma esPublico Gestiona | Página 91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3511" style="width:12.7031pt;height:273.276pt;position:absolute;mso-position-horizontal-relative:page;mso-position-horizontal:absolute;margin-left:682.278pt;mso-position-vertical-relative:page;margin-top:538.644pt;" coordsize="1613,34706">
                <v:rect id="Rectangle 1875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75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159 </w:t>
                        </w:r>
                      </w:p>
                    </w:txbxContent>
                  </v:textbox>
                </v:rect>
                <w10:wrap type="square"/>
              </v:group>
            </w:pict>
          </mc:Fallback>
        </mc:AlternateContent>
      </w:r>
      <w:r>
        <w:t>Cuando se trate de la transmisión de un inmueble en el que haya suelo y construcción, se tomará como valor del suelo a estos efectos el que resulte de aplicar la proporción que repr</w:t>
      </w:r>
      <w:r>
        <w:t>esente en la fecha de devengo del impuesto el valor catastral del terreno respecto del valor catastral total y esta proporción se aplicará tanto al valor de transmisión como, en su caso, al de adquisición.  El presente supuesto de no sujeción será aplicabl</w:t>
      </w:r>
      <w:r>
        <w:t xml:space="preserve">e a instancia del interesado, mediante la presentación de la correspondiente declaración o autoliquidación. </w:t>
      </w:r>
    </w:p>
    <w:p w:rsidR="00E302EC" w:rsidRDefault="00FC4F28">
      <w:pPr>
        <w:spacing w:after="4" w:line="259" w:lineRule="auto"/>
        <w:ind w:left="269" w:firstLine="0"/>
        <w:jc w:val="left"/>
      </w:pPr>
      <w:r>
        <w:t xml:space="preserve"> </w:t>
      </w:r>
    </w:p>
    <w:p w:rsidR="00E302EC" w:rsidRDefault="00FC4F28">
      <w:pPr>
        <w:spacing w:after="8" w:line="248" w:lineRule="auto"/>
        <w:ind w:left="279" w:right="183"/>
      </w:pPr>
      <w:r>
        <w:rPr>
          <w:b/>
        </w:rPr>
        <w:t>CAPÍTULO III. EXENCIONES</w:t>
      </w:r>
      <w:r>
        <w:t>.</w:t>
      </w:r>
      <w:r>
        <w:rPr>
          <w:rFonts w:ascii="Times New Roman" w:eastAsia="Times New Roman" w:hAnsi="Times New Roman" w:cs="Times New Roman"/>
          <w:sz w:val="24"/>
        </w:rPr>
        <w:t xml:space="preserve">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3. Exenciones. </w:t>
      </w:r>
    </w:p>
    <w:p w:rsidR="00E302EC" w:rsidRDefault="00FC4F28">
      <w:pPr>
        <w:ind w:left="279" w:right="184"/>
      </w:pPr>
      <w:r>
        <w:t xml:space="preserve">1. Estarán exentos de este impuesto los incrementos de valor que se manifiesten a consecuencia de los actos siguientes: </w:t>
      </w:r>
    </w:p>
    <w:p w:rsidR="00E302EC" w:rsidRDefault="00FC4F28">
      <w:pPr>
        <w:numPr>
          <w:ilvl w:val="0"/>
          <w:numId w:val="66"/>
        </w:numPr>
        <w:ind w:right="216" w:hanging="722"/>
      </w:pPr>
      <w:r>
        <w:t xml:space="preserve">La constitución y transmisión de derechos de servidumbre. </w:t>
      </w:r>
    </w:p>
    <w:p w:rsidR="00E302EC" w:rsidRDefault="00FC4F28">
      <w:pPr>
        <w:numPr>
          <w:ilvl w:val="0"/>
          <w:numId w:val="66"/>
        </w:numPr>
        <w:ind w:right="216" w:hanging="722"/>
      </w:pPr>
      <w:r>
        <w:t>Las transmisiones de bienes que se encuentren dentro del perímetro delimitad</w:t>
      </w:r>
      <w:r>
        <w:t>o como Conjunto Histórico-Artístico, o hayan sido declarados individualmente de interés cultural, según lo establecido en la Ley 16/1985, de 25 de junio, del Patrimonio Histórico Español, cuando sus propietarios o titulares de derechos reales acrediten que</w:t>
      </w:r>
      <w:r>
        <w:t xml:space="preserve"> han realizado a su cargo obras de conservación, mejora o rehabilitación en dichos inmuebles.  </w:t>
      </w:r>
    </w:p>
    <w:p w:rsidR="00E302EC" w:rsidRDefault="00FC4F28">
      <w:pPr>
        <w:ind w:left="279" w:right="184"/>
      </w:pPr>
      <w:r>
        <w:t xml:space="preserve">Para que proceda aplicar la exención prevista en esta letra, será preciso que concurran las siguientes condiciones.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numPr>
          <w:ilvl w:val="0"/>
          <w:numId w:val="67"/>
        </w:numPr>
        <w:ind w:right="218"/>
      </w:pPr>
      <w:r>
        <w:t>Que el importe de las obras de conser</w:t>
      </w:r>
      <w:r>
        <w:t xml:space="preserve">vación y/o rehabilitación ejecutadas en los últimos cinco años sea superior al 25% del valor catastral del inmueble, en el momento del devengo del impuesto. </w:t>
      </w:r>
    </w:p>
    <w:p w:rsidR="00E302EC" w:rsidRDefault="00FC4F28">
      <w:pPr>
        <w:numPr>
          <w:ilvl w:val="0"/>
          <w:numId w:val="67"/>
        </w:numPr>
        <w:ind w:right="218"/>
      </w:pPr>
      <w:r>
        <w:t>Que dichas obras de rehabilitación hayan sido financiadas por el sujeto pasivo, o su ascendiente d</w:t>
      </w:r>
      <w:r>
        <w:t xml:space="preserve">e primer grado. </w:t>
      </w:r>
    </w:p>
    <w:p w:rsidR="00E302EC" w:rsidRDefault="00FC4F28">
      <w:pPr>
        <w:ind w:left="279" w:right="250"/>
      </w:pPr>
      <w:r>
        <w:t>c) Las transmisiones realizadas por personas físicas con ocasión de la dación en pago de la vivienda habitual del deudor hipotecario o garante del mismo, para la cancelación de deudas garantizadas con hipoteca que recaiga sobre la misma, contraídas con ent</w:t>
      </w:r>
      <w:r>
        <w:t xml:space="preserve">idades de crédito o cualquier otra entidad que, de manera profesional, realice la actividad de concesión de préstamos o créditos hipotecarios. </w:t>
      </w:r>
    </w:p>
    <w:p w:rsidR="00E302EC" w:rsidRDefault="00FC4F28">
      <w:pPr>
        <w:ind w:left="279" w:right="184"/>
      </w:pPr>
      <w:r>
        <w:t>Asimismo, estarán exentas las transmisiones de la vivienda en que concurran los requisitos anteriores, realizada</w:t>
      </w:r>
      <w:r>
        <w:t xml:space="preserve">s en ejecuciones hipotecarias judiciales o notariales. </w:t>
      </w:r>
    </w:p>
    <w:p w:rsidR="00E302EC" w:rsidRDefault="00FC4F28">
      <w:pPr>
        <w:ind w:left="279" w:right="250"/>
      </w:pPr>
      <w:r>
        <w:t>Para tener derecho a la exención se requiere que el deudor o garante transmitente o cualquier otro miembro de su unidad familiar no disponga, en el momento de poder evitar la enajenación de la viviend</w:t>
      </w:r>
      <w:r>
        <w:t>a, de otros bienes o derechos en cuantía suficiente para satisfacer la totalidad de la deuda hipotecaria. Se presumirá el cumplimiento de este requisito. No obstante, si con posterioridad se comprobara lo contrario, se procederá a girar la liquidación trib</w:t>
      </w:r>
      <w:r>
        <w:t xml:space="preserve">utaria correspondiente. </w:t>
      </w:r>
    </w:p>
    <w:p w:rsidR="00E302EC" w:rsidRDefault="00FC4F28">
      <w:pPr>
        <w:spacing w:line="249" w:lineRule="auto"/>
        <w:ind w:left="279" w:right="184"/>
        <w:jc w:val="left"/>
      </w:pPr>
      <w:r>
        <w:t>A estos efectos, se considerará vivienda habitual aquella en la que haya figurado empadronado el contribuyente de forma ininterrumpida durante, al menos, los dos años anteriores a la transmisión o desde el momento de la adquisición</w:t>
      </w:r>
      <w:r>
        <w:t xml:space="preserve"> si dicho plazo fuese inferior a los dos años. </w:t>
      </w:r>
    </w:p>
    <w:p w:rsidR="00E302EC" w:rsidRDefault="00FC4F28">
      <w:pPr>
        <w:ind w:left="279" w:right="249"/>
      </w:pPr>
      <w:r>
        <w:t>Respecto al concepto de unidad familiar, se estará a lo dispuesto en la Ley 35/2006, de 28 de noviembre, del Impuesto sobre la Renta de las Personas Físicas y de modificación parcial de las leyes de los Impue</w:t>
      </w:r>
      <w:r>
        <w:t xml:space="preserve">stos sobre Sociedades, sobre la Renta de no Residentes y sobre el Patrimonio. A estos efectos, se equiparará el matrimonio con la pareja de hecho legalmente inscrita. </w:t>
      </w:r>
    </w:p>
    <w:p w:rsidR="00E302EC" w:rsidRDefault="00FC4F28">
      <w:pPr>
        <w:spacing w:after="0" w:line="259" w:lineRule="auto"/>
        <w:ind w:left="269"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3832" name="Group 24383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877" name="Rectangle 1887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8878" name="Rectangle 18878"/>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92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3832" style="width:12.7031pt;height:273.276pt;position:absolute;mso-position-horizontal-relative:page;mso-position-horizontal:absolute;margin-left:682.278pt;mso-position-vertical-relative:page;margin-top:538.644pt;" coordsize="1613,34706">
                <v:rect id="Rectangle 1887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878"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159 </w:t>
                        </w:r>
                      </w:p>
                    </w:txbxContent>
                  </v:textbox>
                </v:rect>
                <w10:wrap type="square"/>
              </v:group>
            </w:pict>
          </mc:Fallback>
        </mc:AlternateContent>
      </w:r>
      <w:r>
        <w:t>2. Asimismo, estarán exentos de este impuesto los correspondie</w:t>
      </w:r>
      <w:r>
        <w:t xml:space="preserve">ntes incrementos de valor cuando la obligación de satisfacer aquél recaiga sobre las siguientes personas o entidades: </w:t>
      </w:r>
    </w:p>
    <w:p w:rsidR="00E302EC" w:rsidRDefault="00FC4F28">
      <w:pPr>
        <w:numPr>
          <w:ilvl w:val="0"/>
          <w:numId w:val="68"/>
        </w:numPr>
        <w:ind w:right="184" w:hanging="722"/>
      </w:pPr>
      <w:r>
        <w:t>El Estado, las Comunidades Autónomas y las entidades locales, a las que pertenece este municipio, así como los Organismos Autónomos del E</w:t>
      </w:r>
      <w:r>
        <w:t xml:space="preserve">stado y las Entidades de Derecho público de análogo carácter de las Comunidades Autónomas y de dichas entidades locales. </w:t>
      </w:r>
    </w:p>
    <w:p w:rsidR="00E302EC" w:rsidRDefault="00FC4F28">
      <w:pPr>
        <w:numPr>
          <w:ilvl w:val="0"/>
          <w:numId w:val="68"/>
        </w:numPr>
        <w:ind w:right="184" w:hanging="722"/>
      </w:pPr>
      <w:r>
        <w:t>Este municipio y demás entidades locales que lo integren o en las que él se integre, así como sus respectivas entidades de derecho púb</w:t>
      </w:r>
      <w:r>
        <w:t xml:space="preserve">lico de análogo carácter a los Organismos Autónomos del Estado. </w:t>
      </w:r>
    </w:p>
    <w:p w:rsidR="00E302EC" w:rsidRDefault="00FC4F28">
      <w:pPr>
        <w:numPr>
          <w:ilvl w:val="0"/>
          <w:numId w:val="68"/>
        </w:numPr>
        <w:ind w:right="184" w:hanging="722"/>
      </w:pPr>
      <w:r>
        <w:t xml:space="preserve">Las instituciones que tenga la calificación de benéficas o de benéfico-docentes. </w:t>
      </w:r>
    </w:p>
    <w:p w:rsidR="00E302EC" w:rsidRDefault="00FC4F28">
      <w:pPr>
        <w:numPr>
          <w:ilvl w:val="0"/>
          <w:numId w:val="68"/>
        </w:numPr>
        <w:ind w:right="184" w:hanging="722"/>
      </w:pPr>
      <w:r>
        <w:t>Las entidades gestoras de la Seguridad Social y las Mutualidades de Previsión Social reguladas en la Ley 30/1</w:t>
      </w:r>
      <w:r>
        <w:t xml:space="preserve">995, de 8 de noviembre, de Ordenación y Supervisión de los Seguros Privados. </w:t>
      </w:r>
    </w:p>
    <w:p w:rsidR="00E302EC" w:rsidRDefault="00FC4F28">
      <w:pPr>
        <w:numPr>
          <w:ilvl w:val="0"/>
          <w:numId w:val="68"/>
        </w:numPr>
        <w:ind w:right="184" w:hanging="722"/>
      </w:pPr>
      <w:r>
        <w:t xml:space="preserve">Los titulares de concesiones administrativas revertibles respecto a los terrenos afectos a las mismas. </w:t>
      </w:r>
    </w:p>
    <w:p w:rsidR="00E302EC" w:rsidRDefault="00FC4F28">
      <w:pPr>
        <w:numPr>
          <w:ilvl w:val="0"/>
          <w:numId w:val="68"/>
        </w:numPr>
        <w:ind w:right="184" w:hanging="722"/>
      </w:pPr>
      <w:r>
        <w:t xml:space="preserve">La Cruz Roja Española. </w:t>
      </w:r>
    </w:p>
    <w:p w:rsidR="00E302EC" w:rsidRDefault="00FC4F28">
      <w:pPr>
        <w:numPr>
          <w:ilvl w:val="0"/>
          <w:numId w:val="68"/>
        </w:numPr>
        <w:ind w:right="184" w:hanging="722"/>
      </w:pPr>
      <w:r>
        <w:t>Las personas o entidades a cuyo favor se haya reco</w:t>
      </w:r>
      <w:r>
        <w:t>nocido la exención en Tratados o Con-</w:t>
      </w:r>
    </w:p>
    <w:p w:rsidR="00E302EC" w:rsidRDefault="00FC4F28">
      <w:pPr>
        <w:ind w:left="279" w:right="184"/>
      </w:pPr>
      <w:r>
        <w:t xml:space="preserve">venios Internacionales.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IV. SUJETOS PASIVOS.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4. Sujetos pasivos. </w:t>
      </w:r>
    </w:p>
    <w:p w:rsidR="00E302EC" w:rsidRDefault="00FC4F28">
      <w:pPr>
        <w:ind w:left="279" w:right="184"/>
      </w:pPr>
      <w:r>
        <w:t xml:space="preserve">1. Es sujeto pasivo del impuesto a título de contribuyente: </w:t>
      </w:r>
    </w:p>
    <w:p w:rsidR="00E302EC" w:rsidRDefault="00FC4F28">
      <w:pPr>
        <w:numPr>
          <w:ilvl w:val="0"/>
          <w:numId w:val="69"/>
        </w:numPr>
        <w:ind w:right="218"/>
      </w:pPr>
      <w:r>
        <w:t>En las transmisiones de terrenos o en la constitución o transmisi</w:t>
      </w:r>
      <w:r>
        <w:t>ón de derechos reales de goce limitativos del dominio a título lucrativo, la persona física o jurídica, o la entidad a que se refiere el artículo 35.6 de la Ley General Tributaria, que adquiera el terreno, o aquella a favor de la cual se constituya o se tr</w:t>
      </w:r>
      <w:r>
        <w:t xml:space="preserve">ansmita el derecho real de que se trate. </w:t>
      </w:r>
    </w:p>
    <w:p w:rsidR="00E302EC" w:rsidRDefault="00FC4F28">
      <w:pPr>
        <w:numPr>
          <w:ilvl w:val="0"/>
          <w:numId w:val="69"/>
        </w:numPr>
        <w:ind w:right="218"/>
      </w:pPr>
      <w:r>
        <w:t xml:space="preserve">En las transmisiones de terrenos o en la constitución o transmisión de derechos reales de goce limitativos del dominio a título oneroso, la persona física o jurídica, o la entidad a que se </w:t>
      </w:r>
      <w:r>
        <w:t xml:space="preserve">refiere el artículo 35.6 de la Ley General Tributaria, que trasmita el terreno, o que constituya o transmita el derecho real de que se trate. </w:t>
      </w:r>
    </w:p>
    <w:p w:rsidR="00E302EC" w:rsidRDefault="00FC4F28">
      <w:pPr>
        <w:ind w:left="279" w:right="184"/>
      </w:pPr>
      <w:r>
        <w:t xml:space="preserve">2. En los supuestos a que se refiere la letra b) del apartado anterior, tendrá la consideración de sujeto pasivo </w:t>
      </w:r>
      <w:r>
        <w:t>sustituto del contribuyente, la persona física o jurídica, o la entidad a que se refiere el artículo 35.6 de la Ley General Tributaria, que adquiera el terreno o aquélla a favor de la cual se constituya o transmita el derecho real de que se trate, cuando e</w:t>
      </w:r>
      <w:r>
        <w:t xml:space="preserve">l contribuyente sea una persona física no residente en España.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V. BASE IMPONIBLE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5. Base imponible   </w:t>
      </w:r>
    </w:p>
    <w:p w:rsidR="00E302EC" w:rsidRDefault="00FC4F28">
      <w:pPr>
        <w:numPr>
          <w:ilvl w:val="0"/>
          <w:numId w:val="70"/>
        </w:numPr>
        <w:ind w:right="184"/>
      </w:pPr>
      <w:r>
        <w:t>La base imponible de este Impuesto está constituida por el incremento real de valor de los terrenos de naturaleza urbana puesto de</w:t>
      </w:r>
      <w:r>
        <w:t xml:space="preserve"> manifiesto en el momento del devengo y experimentado a lo largo de un período máximo de veinte años.  </w:t>
      </w:r>
    </w:p>
    <w:p w:rsidR="00E302EC" w:rsidRDefault="00FC4F28">
      <w:pPr>
        <w:numPr>
          <w:ilvl w:val="0"/>
          <w:numId w:val="70"/>
        </w:numPr>
        <w:ind w:right="184"/>
      </w:pPr>
      <w:r>
        <w:t>Para determinar la base imponible, mediante el método de estimación objetiva, se multiplicará el valor del terreno en el momento del devengo por el coef</w:t>
      </w:r>
      <w:r>
        <w:t xml:space="preserve">iciente que corresponda al periodo de generación conforme a las reglas previstas en el presente artículo.  </w:t>
      </w:r>
    </w:p>
    <w:p w:rsidR="00E302EC" w:rsidRDefault="00FC4F28">
      <w:pPr>
        <w:numPr>
          <w:ilvl w:val="0"/>
          <w:numId w:val="70"/>
        </w:numPr>
        <w:ind w:right="184"/>
      </w:pPr>
      <w:r>
        <w:t xml:space="preserve">El valor del terreno en el momento del devengo resultará de lo establecido en las siguientes reglas: </w:t>
      </w:r>
    </w:p>
    <w:p w:rsidR="00E302EC" w:rsidRDefault="00FC4F28">
      <w:pPr>
        <w:numPr>
          <w:ilvl w:val="0"/>
          <w:numId w:val="71"/>
        </w:numPr>
        <w:ind w:right="248"/>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4077" name="Group 24407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8983" name="Rectangle 1898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w:t>
                              </w:r>
                              <w:r>
                                <w:rPr>
                                  <w:sz w:val="12"/>
                                </w:rPr>
                                <w:t xml:space="preserve">| Verificación: https://candelaria.sedelectronica.es/ </w:t>
                              </w:r>
                            </w:p>
                          </w:txbxContent>
                        </wps:txbx>
                        <wps:bodyPr horzOverflow="overflow" vert="horz" lIns="0" tIns="0" rIns="0" bIns="0" rtlCol="0">
                          <a:noAutofit/>
                        </wps:bodyPr>
                      </wps:wsp>
                      <wps:wsp>
                        <wps:cNvPr id="18984" name="Rectangle 1898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93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4077" style="width:12.7031pt;height:273.276pt;position:absolute;mso-position-horizontal-relative:page;mso-position-horizontal:absolute;margin-left:682.278pt;mso-position-vertical-relative:page;margin-top:538.644pt;" coordsize="1613,34706">
                <v:rect id="Rectangle 1898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898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159 </w:t>
                        </w:r>
                      </w:p>
                    </w:txbxContent>
                  </v:textbox>
                </v:rect>
                <w10:wrap type="square"/>
              </v:group>
            </w:pict>
          </mc:Fallback>
        </mc:AlternateContent>
      </w:r>
      <w:r>
        <w:t>En las transmisiones de terrenos, el valor de estos en el momento del devengo será el que tengan determin</w:t>
      </w:r>
      <w:r>
        <w:t>ado en dicho momento a efectos del Impuesto sobre Bienes Inmuebles. No obstante, cuando dicho valor sea consecuencia de una ponencia de valores que no refleje modificaciones de planeamiento aprobadas con posterioridad a la aprobación de la citada ponencia,</w:t>
      </w:r>
      <w:r>
        <w:t xml:space="preserve"> se podrá liquidar provisionalmente este impuesto con arreglo a aquel. En estos casos, en la liquidación definitiva se aplicará el valor de los terrenos una vez se haya obtenido conforme a los procedimientos de valoración colectiva que se instruyan, referi</w:t>
      </w:r>
      <w:r>
        <w:t>do a la fecha del devengo. Cuando esta fecha no coincida con la de efectividad de los nuevos valores catastrales, estos se corregirán aplicando los coeficientes de actualización que correspondan, establecidos al efecto en las leyes de presupuestos generale</w:t>
      </w:r>
      <w:r>
        <w:t xml:space="preserve">s del Estado. </w:t>
      </w:r>
    </w:p>
    <w:p w:rsidR="00E302EC" w:rsidRDefault="00FC4F28">
      <w:pPr>
        <w:ind w:left="279" w:right="184"/>
      </w:pPr>
      <w:r>
        <w:t xml:space="preserve">Cuando el terreno, aun siendo de naturaleza urbana o integrado en un bien inmueble de características especiales, en el momento del devengo del impuesto, no tenga determinado valor catastral en dicho momento, el ayuntamiento podrá practicar </w:t>
      </w:r>
      <w:r>
        <w:t xml:space="preserve">la liquidación cuando el referido valor catastral sea determinado, refiriendo dicho valor al momento del devengo.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numPr>
          <w:ilvl w:val="0"/>
          <w:numId w:val="71"/>
        </w:numPr>
        <w:ind w:right="248"/>
      </w:pPr>
      <w:r>
        <w:t xml:space="preserve">En la constitución y transmisión de derechos reales de goce limitativos del </w:t>
      </w:r>
      <w:r>
        <w:t>dominio, el coeficiente anual que corresponda al periodo de generación se aplicará sobre la parte del valor definido en el párrafo a) anterior que represente, respecto de aquel, el valor de los referidos derechos calculado mediante la aplicación de las nor</w:t>
      </w:r>
      <w:r>
        <w:t xml:space="preserve">mas fijadas a efectos del Impuesto sobre Transmisiones Patrimoniales y Actos Jurídicos Documentados, y en particular las siguientes reglas:  </w:t>
      </w:r>
    </w:p>
    <w:p w:rsidR="00E302EC" w:rsidRDefault="00FC4F28">
      <w:pPr>
        <w:numPr>
          <w:ilvl w:val="1"/>
          <w:numId w:val="71"/>
        </w:numPr>
        <w:ind w:right="250" w:hanging="360"/>
      </w:pPr>
      <w:r>
        <w:t>Se entiende que el valor del usufructo y derecho de superficie temporal es proporcional al valor del terreno, a ra</w:t>
      </w:r>
      <w:r>
        <w:t xml:space="preserve">zón del 2% por cada período de un año, sin que pueda exceder el 70%. </w:t>
      </w:r>
    </w:p>
    <w:p w:rsidR="00E302EC" w:rsidRDefault="00FC4F28">
      <w:pPr>
        <w:numPr>
          <w:ilvl w:val="1"/>
          <w:numId w:val="71"/>
        </w:numPr>
        <w:ind w:right="250" w:hanging="360"/>
      </w:pPr>
      <w:r>
        <w:t>En los usufructos vitalicios se estimará que el valor es igual al 70 por 100 del valor total de los bienes cuando el usufructuario cuente menos de veinte años, minorando, a medida que au</w:t>
      </w:r>
      <w:r>
        <w:t xml:space="preserve">menta la edad, en la proporción de un 1 por 100 menos por cada año más con el límite mínimo del 10 por 100 del valor total. </w:t>
      </w:r>
    </w:p>
    <w:p w:rsidR="00E302EC" w:rsidRDefault="00FC4F28">
      <w:pPr>
        <w:numPr>
          <w:ilvl w:val="1"/>
          <w:numId w:val="71"/>
        </w:numPr>
        <w:ind w:right="250" w:hanging="360"/>
      </w:pPr>
      <w:r>
        <w:t>El usufructo constituido a favor de una persona jurídica si se estableciera por plazo superior a treinta años o por tiempo indeterm</w:t>
      </w:r>
      <w:r>
        <w:t xml:space="preserve">inado se considerará fiscalmente como transmisión de plena propiedad sujeta a condición resolutoria. </w:t>
      </w:r>
    </w:p>
    <w:p w:rsidR="00E302EC" w:rsidRDefault="00FC4F28">
      <w:pPr>
        <w:numPr>
          <w:ilvl w:val="1"/>
          <w:numId w:val="71"/>
        </w:numPr>
        <w:spacing w:line="249" w:lineRule="auto"/>
        <w:ind w:right="250" w:hanging="360"/>
      </w:pPr>
      <w:r>
        <w:t>El valor de los derechos reales de uso y habitación es el que resulta de aplicar el 75% del valor del terreno sobre el que fue impuesto, de acuerdo con la</w:t>
      </w:r>
      <w:r>
        <w:t xml:space="preserve">s reglas correspondientes a la valoración de los usufructos temporales o vitalicios, según los casos. </w:t>
      </w:r>
    </w:p>
    <w:p w:rsidR="00E302EC" w:rsidRDefault="00FC4F28">
      <w:pPr>
        <w:numPr>
          <w:ilvl w:val="1"/>
          <w:numId w:val="71"/>
        </w:numPr>
        <w:ind w:right="250" w:hanging="360"/>
      </w:pPr>
      <w:r>
        <w:t>El valor del derecho de la nuda propiedad debe fijarse de acuerdo con la diferencia entre el valor del usufructo, uso o habitación y el valor total del t</w:t>
      </w:r>
      <w:r>
        <w:t xml:space="preserve">erreno. En los usufructos vitalicios que, al mismo tiempo, sean temporales, la nuda propiedad se valorará aplicando, de las reglas anteriores, aquella que le atribuya menos valor. </w:t>
      </w:r>
    </w:p>
    <w:p w:rsidR="00E302EC" w:rsidRDefault="00FC4F28">
      <w:pPr>
        <w:numPr>
          <w:ilvl w:val="1"/>
          <w:numId w:val="71"/>
        </w:numPr>
        <w:ind w:right="250" w:hanging="360"/>
      </w:pPr>
      <w:r>
        <w:t>En los usufructos sucesivos el valor de la nuda propiedad se calculará teni</w:t>
      </w:r>
      <w:r>
        <w:t xml:space="preserve">endo en cuenta el usufructo de mayor porcentaje. </w:t>
      </w:r>
    </w:p>
    <w:p w:rsidR="00E302EC" w:rsidRDefault="00FC4F28">
      <w:pPr>
        <w:numPr>
          <w:ilvl w:val="0"/>
          <w:numId w:val="71"/>
        </w:numPr>
        <w:ind w:right="248"/>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4249" name="Group 24424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9102" name="Rectangle 1910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9103" name="Rectangle 19103"/>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94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4249" style="width:12.7031pt;height:273.276pt;position:absolute;mso-position-horizontal-relative:page;mso-position-horizontal:absolute;margin-left:682.278pt;mso-position-vertical-relative:page;margin-top:538.644pt;" coordsize="1613,34706">
                <v:rect id="Rectangle 1910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9103"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159 </w:t>
                        </w:r>
                      </w:p>
                    </w:txbxContent>
                  </v:textbox>
                </v:rect>
                <w10:wrap type="square"/>
              </v:group>
            </w:pict>
          </mc:Fallback>
        </mc:AlternateContent>
      </w:r>
      <w:r>
        <w:t>En la con</w:t>
      </w:r>
      <w:r>
        <w:t>stitución o transmisión del derecho a elevar una o más plantas sobre un edificio o terreno, o del derecho de realizar la construcción bajo suelo sin implicar la existencia de un derecho real de superficie, los coeficientes anuales contenidos en el apartado</w:t>
      </w:r>
      <w:r>
        <w:t xml:space="preserve"> 6 de este artículo se aplicarán sobre la parte del valor definido en el párrafo a) que represente, respecto de aquel, el módulo de proporcionalidad fijado en la escritura de transmisión o, en su defecto, el que resulte de establecer la proporción entre la</w:t>
      </w:r>
      <w:r>
        <w:t xml:space="preserve"> superficie o volumen de las plantas a construir en vuelo o subsuelo y la total superficie o volumen edificados una vez construidas aquellas. </w:t>
      </w:r>
    </w:p>
    <w:p w:rsidR="00E302EC" w:rsidRDefault="00FC4F28">
      <w:pPr>
        <w:numPr>
          <w:ilvl w:val="0"/>
          <w:numId w:val="71"/>
        </w:numPr>
        <w:ind w:right="248"/>
      </w:pPr>
      <w:r>
        <w:t>En los supuestos de expropiaciones forzosas, los coeficientes anuales contenidos en el apartado 6 de este artícul</w:t>
      </w:r>
      <w:r>
        <w:t xml:space="preserve">o se aplicarán sobre la parte del justiprecio que corresponda al valor del terreno, salvo que el valor definido en el párrafo a) de este apartado fuese inferior, en cuyo caso prevalecerá este último sobre el justiprecio. </w:t>
      </w:r>
    </w:p>
    <w:p w:rsidR="00E302EC" w:rsidRDefault="00FC4F28">
      <w:pPr>
        <w:numPr>
          <w:ilvl w:val="0"/>
          <w:numId w:val="71"/>
        </w:numPr>
        <w:ind w:right="248"/>
      </w:pPr>
      <w:r>
        <w:t>En las transmisiones de partes ind</w:t>
      </w:r>
      <w:r>
        <w:t xml:space="preserve">ivisas de terrenos o edificios, su valor será proporcional a la porción o cuota transmitida. </w:t>
      </w:r>
    </w:p>
    <w:p w:rsidR="00E302EC" w:rsidRDefault="00FC4F28">
      <w:pPr>
        <w:numPr>
          <w:ilvl w:val="0"/>
          <w:numId w:val="71"/>
        </w:numPr>
        <w:ind w:right="248"/>
      </w:pPr>
      <w:r>
        <w:t>En las transmisiones de pisos o locales en régimen de propiedad horizontal, su valor será el específico del suelo que cada finca o local tuviere determinado en el</w:t>
      </w:r>
      <w:r>
        <w:t xml:space="preserve"> Impuesto sobre Bienes Inmuebles, y si no lo tuviere todavía determinado su valor se estimará proporcional a la cuota de copropiedad que tengan atribuida en el valor del inmueble y sus elementos comunes. </w:t>
      </w:r>
    </w:p>
    <w:p w:rsidR="00E302EC" w:rsidRDefault="00FC4F28">
      <w:pPr>
        <w:numPr>
          <w:ilvl w:val="0"/>
          <w:numId w:val="72"/>
        </w:numPr>
        <w:ind w:right="184"/>
      </w:pPr>
      <w:r>
        <w:t>El periodo de generación del incremento de valor se</w:t>
      </w:r>
      <w:r>
        <w:t xml:space="preserve">rá el número de años a lo largo de los cuales se haya puesto de manifiesto dicho incremento. Para su cómputo, se  </w:t>
      </w:r>
    </w:p>
    <w:p w:rsidR="00E302EC" w:rsidRDefault="00FC4F28">
      <w:pPr>
        <w:spacing w:after="0" w:line="259" w:lineRule="auto"/>
        <w:ind w:left="269" w:firstLine="0"/>
        <w:jc w:val="left"/>
      </w:pPr>
      <w:r>
        <w:t xml:space="preserve"> </w:t>
      </w:r>
    </w:p>
    <w:p w:rsidR="00E302EC" w:rsidRDefault="00FC4F28">
      <w:pPr>
        <w:ind w:left="279" w:right="184"/>
      </w:pPr>
      <w:r>
        <w:t>tomarán los años completos, es decir, sin tener en cuenta las fracciones de año. En el caso de que el periodo de generación sea inferior a un año, se prorrateará el coeficiente anual teniendo en cuenta el número de meses completos, es decir, sin tener en c</w:t>
      </w:r>
      <w:r>
        <w:t xml:space="preserve">uenta las fracciones de mes.  En los supuestos de no sujeción, salvo que por ley se indique otra cosa, para el cálculo del periodo de generación del incremento de valor puesto de manifiesto en una posterior transmisión del terreno, se tomará como fecha de </w:t>
      </w:r>
      <w:r>
        <w:t xml:space="preserve">adquisición, a los efectos de lo dispuesto en el párrafo anterior, aquella en la que se produjo el anterior devengo del impuesto. </w:t>
      </w:r>
    </w:p>
    <w:p w:rsidR="00E302EC" w:rsidRDefault="00FC4F28">
      <w:pPr>
        <w:ind w:left="279" w:right="184"/>
      </w:pPr>
      <w:r>
        <w:t xml:space="preserve">No obstante, en la posterior transmisión de los inmuebles a los que se refiere el apartado 7 del artículo 2, para el cómputo </w:t>
      </w:r>
      <w:r>
        <w:t xml:space="preserve">del número de años a lo largo de los cuales se ha puesto de manifiesto el incremento de valor de los terrenos, no se tendrá en cuenta el periodo anterior a su adquisición. </w:t>
      </w:r>
    </w:p>
    <w:p w:rsidR="00E302EC" w:rsidRDefault="00FC4F28">
      <w:pPr>
        <w:ind w:left="279" w:right="249"/>
      </w:pPr>
      <w:r>
        <w:t>Lo dispuesto en este párrafo no será de aplicación en los supuestos de aportaciones</w:t>
      </w:r>
      <w:r>
        <w:t xml:space="preserve"> o transmisiones de bienes inmuebles que resulten no sujetas en virtud de lo dispuesto en la letra b) del apartado 1 del artículo 3, o en la disposición adicional segunda de la Ley 27/2014, de 27 de noviembre, del Impuesto sobre Sociedades. </w:t>
      </w:r>
    </w:p>
    <w:p w:rsidR="00E302EC" w:rsidRDefault="00FC4F28">
      <w:pPr>
        <w:numPr>
          <w:ilvl w:val="0"/>
          <w:numId w:val="72"/>
        </w:numPr>
        <w:ind w:right="184"/>
      </w:pPr>
      <w:r>
        <w:t>Cuando el terr</w:t>
      </w:r>
      <w:r>
        <w:t xml:space="preserve">eno hubiese sido adquirido por el transmitente por cuotas o porciones en fechas diferentes, se considerarán tantas bases imponibles como fechas de adquisición estableciéndose cada base en la siguiente forma: </w:t>
      </w:r>
    </w:p>
    <w:p w:rsidR="00E302EC" w:rsidRDefault="00FC4F28">
      <w:pPr>
        <w:numPr>
          <w:ilvl w:val="0"/>
          <w:numId w:val="73"/>
        </w:numPr>
        <w:ind w:right="184"/>
      </w:pPr>
      <w:r>
        <w:t>Se distribuirá el valor del terreno proporciona</w:t>
      </w:r>
      <w:r>
        <w:t xml:space="preserve">lmente a la porción o cuota adquirida en cada fecha. </w:t>
      </w:r>
    </w:p>
    <w:p w:rsidR="00E302EC" w:rsidRDefault="00FC4F28">
      <w:pPr>
        <w:numPr>
          <w:ilvl w:val="0"/>
          <w:numId w:val="73"/>
        </w:numPr>
        <w:ind w:right="184"/>
      </w:pPr>
      <w:r>
        <w:t xml:space="preserve">A cada parte proporcional, se aplicará el porcentaje de incremento correspondiente al período respectivo de generación del incremento de valor. </w:t>
      </w:r>
    </w:p>
    <w:p w:rsidR="00E302EC" w:rsidRDefault="00FC4F28">
      <w:pPr>
        <w:numPr>
          <w:ilvl w:val="0"/>
          <w:numId w:val="74"/>
        </w:numPr>
        <w:ind w:right="216"/>
      </w:pPr>
      <w:r>
        <w:t>El coeficiente a aplicar sobre el valor del terreno en el</w:t>
      </w:r>
      <w:r>
        <w:t xml:space="preserve"> momento del devengo será, para cada periodo de generación, el máximo actualizado vigente, de acuerdo con el artículo 107.4 del Real Decreto Legislativo 2/2004, de 5 de marzo, por el que se aprueba el texto refundido de la Ley Reguladora de las Haciendas L</w:t>
      </w:r>
      <w:r>
        <w:t>ocales. En el caso de que las Leyes de Presupuestos Generales del Estado, u otra norma dictada al efecto, procedan a su actualización, se entenderán automáticamente modificados, facultándose a la Alcaldía para dar publicidad a los nuevos coeficientes que r</w:t>
      </w:r>
      <w:r>
        <w:t xml:space="preserve">esulten aplicables </w:t>
      </w:r>
    </w:p>
    <w:p w:rsidR="00E302EC" w:rsidRDefault="00FC4F28">
      <w:pPr>
        <w:numPr>
          <w:ilvl w:val="0"/>
          <w:numId w:val="74"/>
        </w:numPr>
        <w:ind w:right="216"/>
      </w:pPr>
      <w:r>
        <w:t>Cuando, a instancia del sujeto pasivo conforme al procedimiento establecido en el apartado 7 del artículo 2, se constate que el importe del incremento de valor es inferior al importe de la base imponible determinada mediante el método d</w:t>
      </w:r>
      <w:r>
        <w:t xml:space="preserve">e estimación objetiva, se tomará como base imponible el importe de dicho incremento de valor.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4546" name="Group 24454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9211" name="Rectangle 1921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9212" name="Rectangle 19212"/>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w:t>
                              </w:r>
                              <w:r>
                                <w:rPr>
                                  <w:sz w:val="12"/>
                                </w:rPr>
                                <w:t xml:space="preserve">sPublico Gestiona | Página 95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4546" style="width:12.7031pt;height:273.276pt;position:absolute;mso-position-horizontal-relative:page;mso-position-horizontal:absolute;margin-left:682.278pt;mso-position-vertical-relative:page;margin-top:538.644pt;" coordsize="1613,34706">
                <v:rect id="Rectangle 1921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9212"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159 </w:t>
                        </w:r>
                      </w:p>
                    </w:txbxContent>
                  </v:textbox>
                </v:rect>
                <w10:wrap type="square"/>
              </v:group>
            </w:pict>
          </mc:Fallback>
        </mc:AlternateContent>
      </w:r>
      <w:r>
        <w:rPr>
          <w:b/>
        </w:rPr>
        <w:t xml:space="preserve">CAPÍTULO VI. DEUDA TRIBUTARIA.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6. Tipo de gravamen y cuota. </w:t>
      </w:r>
    </w:p>
    <w:p w:rsidR="00E302EC" w:rsidRDefault="00FC4F28">
      <w:pPr>
        <w:numPr>
          <w:ilvl w:val="0"/>
          <w:numId w:val="75"/>
        </w:numPr>
        <w:ind w:right="184"/>
      </w:pPr>
      <w:r>
        <w:t xml:space="preserve">La cuota íntegra del impuesto será el resultado de aplicar a la base imponible el tipo de gravamen será la resultante de aplicar a la base imponible el tipo impositivo de un 30%. </w:t>
      </w:r>
    </w:p>
    <w:p w:rsidR="00E302EC" w:rsidRDefault="00FC4F28">
      <w:pPr>
        <w:numPr>
          <w:ilvl w:val="0"/>
          <w:numId w:val="75"/>
        </w:numPr>
        <w:ind w:right="184"/>
      </w:pPr>
      <w:r>
        <w:t>La cuota líquida del impuesto será el resultado de aplicar sobre la cuota ín</w:t>
      </w:r>
      <w:r>
        <w:t xml:space="preserve">tegra, en su caso, la bonificación a que se refiere el artículo 7 de esta Ordenanza Fiscal.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7. Bonificación. </w:t>
      </w:r>
    </w:p>
    <w:p w:rsidR="00E302EC" w:rsidRDefault="00FC4F28">
      <w:pPr>
        <w:numPr>
          <w:ilvl w:val="0"/>
          <w:numId w:val="76"/>
        </w:numPr>
        <w:ind w:right="184"/>
      </w:pPr>
      <w:r>
        <w:t xml:space="preserve">En los supuestos de tributación por transmisiones de terrenos y transmisión o constitución de derechos reales de goce limitativos del </w:t>
      </w:r>
      <w:r>
        <w:t xml:space="preserve">dominio, realizadas a título  </w:t>
      </w:r>
    </w:p>
    <w:p w:rsidR="00E302EC" w:rsidRDefault="00FC4F28">
      <w:pPr>
        <w:spacing w:after="0" w:line="259" w:lineRule="auto"/>
        <w:ind w:left="269" w:firstLine="0"/>
        <w:jc w:val="left"/>
      </w:pPr>
      <w:r>
        <w:t xml:space="preserve"> </w:t>
      </w:r>
    </w:p>
    <w:p w:rsidR="00E302EC" w:rsidRDefault="00FC4F28">
      <w:pPr>
        <w:ind w:left="279" w:right="251"/>
      </w:pPr>
      <w:r>
        <w:t>lucrativo por causa de muerte, cuando se refieran a la vivienda habitual del causante, los sujetos pasivos que sean cónyuges, ascendientes o adoptantes así como descendientes y adoptados, gozarán de una bonificación en la c</w:t>
      </w:r>
      <w:r>
        <w:t xml:space="preserve">uota del impuesto, en los términos previstos en el apartado siguiente.  </w:t>
      </w:r>
    </w:p>
    <w:p w:rsidR="00E302EC" w:rsidRDefault="00FC4F28">
      <w:pPr>
        <w:numPr>
          <w:ilvl w:val="0"/>
          <w:numId w:val="76"/>
        </w:numPr>
        <w:spacing w:after="60"/>
        <w:ind w:right="184"/>
      </w:pPr>
      <w:r>
        <w:t>La bonificación será aplicable de acuerdo con los siguientes porcentajes, en función del importe de la base Imponible general del Impuesto sobre la Renta de las Personas Físicas del a</w:t>
      </w:r>
      <w:r>
        <w:t xml:space="preserve">dquirente o adquirentes correspondiente al año anterior al del fallecimiento: </w:t>
      </w:r>
    </w:p>
    <w:p w:rsidR="00E302EC" w:rsidRDefault="00FC4F28">
      <w:pPr>
        <w:numPr>
          <w:ilvl w:val="1"/>
          <w:numId w:val="76"/>
        </w:numPr>
        <w:ind w:right="184" w:hanging="360"/>
      </w:pPr>
      <w:r>
        <w:t xml:space="preserve">Hasta 15.025,30 € ...............................95% </w:t>
      </w:r>
    </w:p>
    <w:p w:rsidR="00E302EC" w:rsidRDefault="00FC4F28">
      <w:pPr>
        <w:numPr>
          <w:ilvl w:val="1"/>
          <w:numId w:val="76"/>
        </w:numPr>
        <w:ind w:right="184" w:hanging="360"/>
      </w:pPr>
      <w:r>
        <w:t xml:space="preserve">Entre 15.025,30 y 30.050,61 € ...........75% </w:t>
      </w:r>
    </w:p>
    <w:p w:rsidR="00E302EC" w:rsidRDefault="00FC4F28">
      <w:pPr>
        <w:numPr>
          <w:ilvl w:val="1"/>
          <w:numId w:val="76"/>
        </w:numPr>
        <w:ind w:right="184" w:hanging="360"/>
      </w:pPr>
      <w:r>
        <w:t xml:space="preserve">Entre 30.050,61 y 60.101,21 € ...........40%  </w:t>
      </w:r>
    </w:p>
    <w:p w:rsidR="00E302EC" w:rsidRDefault="00FC4F28">
      <w:pPr>
        <w:spacing w:after="28"/>
        <w:ind w:left="279" w:right="184"/>
      </w:pPr>
      <w:r>
        <w:t xml:space="preserve">No se establece bonificación cuando la base imponible general del adquirente supere los </w:t>
      </w:r>
    </w:p>
    <w:p w:rsidR="00E302EC" w:rsidRDefault="00FC4F28">
      <w:pPr>
        <w:ind w:left="279" w:right="184"/>
      </w:pPr>
      <w:r>
        <w:t xml:space="preserve">60.101,21 €. </w:t>
      </w:r>
    </w:p>
    <w:p w:rsidR="00E302EC" w:rsidRDefault="00FC4F28">
      <w:pPr>
        <w:numPr>
          <w:ilvl w:val="0"/>
          <w:numId w:val="76"/>
        </w:numPr>
        <w:ind w:right="184"/>
      </w:pPr>
      <w:r>
        <w:t>A los efectos de la concesión de esta bonificación se entenderá exclusivamente por descendiente o ascendiente aquellas personas que tiene un vínculo de p</w:t>
      </w:r>
      <w:r>
        <w:t xml:space="preserve">arentesco por consanguinidad de un grado en línea recta conforme a las reglas que se contienen en los artículos 915 y siguiente de Código Civil. </w:t>
      </w:r>
    </w:p>
    <w:p w:rsidR="00E302EC" w:rsidRDefault="00FC4F28">
      <w:pPr>
        <w:ind w:left="279" w:right="249"/>
      </w:pPr>
      <w:r>
        <w:t>Asimismo, se considerará vivienda habitual aquella en la que haya figurado empadronado el causante de forma in</w:t>
      </w:r>
      <w:r>
        <w:t>interrumpida durante, al menos, los dos años anteriores al fallecimiento. Si hubiese tenido su último domicilio en un centro residencial o socio-sanitario se podrá aplicar la reducción sobre el inmueble que hubiese constituido su vivienda inmediatamente an</w:t>
      </w:r>
      <w:r>
        <w:t xml:space="preserve">tes de su traslado a dicho centro. </w:t>
      </w:r>
    </w:p>
    <w:p w:rsidR="00E302EC" w:rsidRDefault="00FC4F28">
      <w:pPr>
        <w:numPr>
          <w:ilvl w:val="0"/>
          <w:numId w:val="76"/>
        </w:numPr>
        <w:spacing w:after="4" w:line="251" w:lineRule="auto"/>
        <w:ind w:right="184"/>
      </w:pPr>
      <w:r>
        <w:t xml:space="preserve">La presente bonificación se aplicará de oficio, si bien sólo se concederá cuando el sujeto pasivo haya presentado voluntariamente, y no como consecuencia de un requerimiento de la Administración tributaria, la correspondiente declaración o autoliquidación </w:t>
      </w:r>
      <w:r>
        <w:t xml:space="preserve">dentro del plazo previsto en el art. </w:t>
      </w:r>
    </w:p>
    <w:p w:rsidR="00E302EC" w:rsidRDefault="00FC4F28">
      <w:pPr>
        <w:ind w:left="279" w:right="184"/>
      </w:pPr>
      <w:r>
        <w:t xml:space="preserve">9.1, apartado b).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CAPÍTULO VII. DEVENGO DEL IMPUESTO.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8. Devengo del impuesto. </w:t>
      </w:r>
    </w:p>
    <w:p w:rsidR="00E302EC" w:rsidRDefault="00FC4F28">
      <w:pPr>
        <w:ind w:left="279" w:right="184"/>
      </w:pPr>
      <w:r>
        <w:t xml:space="preserve">1. El impuesto se devenga: </w:t>
      </w:r>
    </w:p>
    <w:p w:rsidR="00E302EC" w:rsidRDefault="00FC4F28">
      <w:pPr>
        <w:numPr>
          <w:ilvl w:val="0"/>
          <w:numId w:val="77"/>
        </w:numPr>
        <w:ind w:right="184"/>
      </w:pPr>
      <w:r>
        <w:t xml:space="preserve">Cuando se transmita la propiedad del terreno, ya sea a título oneroso o gratuito, entre vivos </w:t>
      </w:r>
      <w:r>
        <w:t xml:space="preserve">o por causa de muerte, en la fecha de la transmisión. </w:t>
      </w:r>
    </w:p>
    <w:p w:rsidR="00E302EC" w:rsidRDefault="00FC4F28">
      <w:pPr>
        <w:numPr>
          <w:ilvl w:val="0"/>
          <w:numId w:val="77"/>
        </w:numPr>
        <w:ind w:right="184"/>
      </w:pPr>
      <w:r>
        <w:t xml:space="preserve">Cuando se constituya o transmita cualquier derecho real de goce limitativo del dominio, en la fecha en que tenga lugar la constitución o transmisión.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4809" name="Group 24480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9349" name="Rectangle 1934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7MT23JRFLY7JHEN56D753ZS5Q | Ve</w:t>
                              </w:r>
                              <w:r>
                                <w:rPr>
                                  <w:sz w:val="12"/>
                                </w:rPr>
                                <w:t xml:space="preserve">rificación: https://candelaria.sedelectronica.es/ </w:t>
                              </w:r>
                            </w:p>
                          </w:txbxContent>
                        </wps:txbx>
                        <wps:bodyPr horzOverflow="overflow" vert="horz" lIns="0" tIns="0" rIns="0" bIns="0" rtlCol="0">
                          <a:noAutofit/>
                        </wps:bodyPr>
                      </wps:wsp>
                      <wps:wsp>
                        <wps:cNvPr id="19350" name="Rectangle 1935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96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4809" style="width:12.7031pt;height:273.276pt;position:absolute;mso-position-horizontal-relative:page;mso-position-horizontal:absolute;margin-left:682.278pt;mso-position-vertical-relative:page;margin-top:538.644pt;" coordsize="1613,34706">
                <v:rect id="Rectangle 1934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935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159 </w:t>
                        </w:r>
                      </w:p>
                    </w:txbxContent>
                  </v:textbox>
                </v:rect>
                <w10:wrap type="square"/>
              </v:group>
            </w:pict>
          </mc:Fallback>
        </mc:AlternateContent>
      </w:r>
      <w:r>
        <w:t xml:space="preserve">2. A los efectos de lo que dispone el apartado anterior se considerará como fecha de la transmisión: </w:t>
      </w:r>
    </w:p>
    <w:p w:rsidR="00E302EC" w:rsidRDefault="00FC4F28">
      <w:pPr>
        <w:numPr>
          <w:ilvl w:val="0"/>
          <w:numId w:val="78"/>
        </w:numPr>
        <w:ind w:right="184" w:hanging="722"/>
      </w:pPr>
      <w:r>
        <w:t xml:space="preserve">En los </w:t>
      </w:r>
      <w:r>
        <w:t>actos o los contratos entre vivos, la del otorgamiento del documento público y cuando se trate de documentos privados, la de su incorporación o inscripción en un registro público, la de defunción de cualquiera de los firmantes o la de entrega a un funciona</w:t>
      </w:r>
      <w:r>
        <w:t xml:space="preserve">rio público por razón de su oficio. </w:t>
      </w:r>
    </w:p>
    <w:p w:rsidR="00E302EC" w:rsidRDefault="00FC4F28">
      <w:pPr>
        <w:numPr>
          <w:ilvl w:val="0"/>
          <w:numId w:val="78"/>
        </w:numPr>
        <w:ind w:right="184" w:hanging="722"/>
      </w:pPr>
      <w:r>
        <w:t xml:space="preserve">En las transmisiones por causa de muerte, la de defunción del causante. </w:t>
      </w:r>
    </w:p>
    <w:p w:rsidR="00E302EC" w:rsidRDefault="00FC4F28">
      <w:pPr>
        <w:numPr>
          <w:ilvl w:val="0"/>
          <w:numId w:val="79"/>
        </w:numPr>
        <w:ind w:right="184"/>
      </w:pPr>
      <w:r>
        <w:t>Cuando se declare o reconozca judicial o administrativamente por resolución firme haber tenido lugar la nulidad, rescisión o resolución del acto o contrato determinante de la transmisión del terreno o de la constitución o transmisión del derecho real de go</w:t>
      </w:r>
      <w:r>
        <w:t>ce sobre el mismo, el sujeto pasivo tendrá derecho a la devolución del impuesto satisfecho, siempre que dicho acto o contrato no le hubiere producido efectos lucrativos y que reclame la devolución en el plazo de cuatro años desde que la resolución quedó fi</w:t>
      </w:r>
      <w:r>
        <w:t>rme, entendiéndose que existe efecto lucrativo cuando no se justifique que los interesados deban efectuar las recíprocas devoluciones a que se refiere el artículo 1.295 del Código Civil. Aunque el acto o contrato no haya producido efectos lucrativos, si la</w:t>
      </w:r>
      <w:r>
        <w:t xml:space="preserve"> rescisión o resolución se declarase por incumplimiento de las obligaciones del sujeto pasivo del impuesto, no habrá lugar a devolución alguna. </w:t>
      </w:r>
    </w:p>
    <w:p w:rsidR="00E302EC" w:rsidRDefault="00FC4F28">
      <w:pPr>
        <w:numPr>
          <w:ilvl w:val="0"/>
          <w:numId w:val="79"/>
        </w:numPr>
        <w:ind w:right="184"/>
      </w:pPr>
      <w:r>
        <w:t>Si el contrato queda sin efecto por mutuo acuerdo de las partes contratantes, no procederá la devolución del im</w:t>
      </w:r>
      <w:r>
        <w:t xml:space="preserve">puesto satisfecho y se considerará como un acto nuevo sujeto a tributación. Como tal mutuo acuerdo se estimará la avenencia en acto de conciliación y el simple allanamiento a la demanda. </w:t>
      </w:r>
    </w:p>
    <w:p w:rsidR="00E302EC" w:rsidRDefault="00FC4F28">
      <w:pPr>
        <w:numPr>
          <w:ilvl w:val="0"/>
          <w:numId w:val="79"/>
        </w:numPr>
        <w:ind w:right="184"/>
      </w:pPr>
      <w:r>
        <w:t>En los actos o contratos en que medie alguna condición, su calificac</w:t>
      </w:r>
      <w:r>
        <w:t>ión se hará con arreglo a las prescripciones contenidas en el Código Civil. Si fuese suspensiva no se liquidará el impuesto hasta que ésta se cumpla. Si la condición fuese resolutoria, se exigirá el impuesto, a reserva, cuando la condición se cumpla, de ha</w:t>
      </w:r>
      <w:r>
        <w:t xml:space="preserve">cer la oportuna devolución según la regla del apartado anterior.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VIII. GESTIÓN DEL IMPUESTO.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9.  Gestión del impuesto </w:t>
      </w:r>
    </w:p>
    <w:p w:rsidR="00E302EC" w:rsidRDefault="00FC4F28">
      <w:pPr>
        <w:spacing w:after="0" w:line="259" w:lineRule="auto"/>
        <w:ind w:left="269" w:firstLine="0"/>
        <w:jc w:val="left"/>
      </w:pPr>
      <w:r>
        <w:rPr>
          <w:b/>
        </w:rPr>
        <w:t xml:space="preserve"> </w:t>
      </w:r>
    </w:p>
    <w:p w:rsidR="00E302EC" w:rsidRDefault="00FC4F28">
      <w:pPr>
        <w:ind w:left="279" w:right="248"/>
      </w:pPr>
      <w:r>
        <w:t xml:space="preserve">1. Los sujetos pasivos vendrán obligados a presentar ante el Ayuntamiento la correspondiente autoliquidación e </w:t>
      </w:r>
      <w:r>
        <w:t xml:space="preserve">ingresar el importe resultante de la misma.  Dicha autoliquidación deberá ser presentada en los siguientes plazos, a contar desde la fecha en que se produzca el devengo del impuesto: </w:t>
      </w:r>
    </w:p>
    <w:p w:rsidR="00E302EC" w:rsidRDefault="00FC4F28">
      <w:pPr>
        <w:numPr>
          <w:ilvl w:val="0"/>
          <w:numId w:val="80"/>
        </w:numPr>
        <w:ind w:right="218" w:hanging="259"/>
      </w:pPr>
      <w:r>
        <w:t>Cuando se trate de actos ínter vivos, el plazo será de treinta días hábi</w:t>
      </w:r>
      <w:r>
        <w:t xml:space="preserve">les. </w:t>
      </w:r>
    </w:p>
    <w:p w:rsidR="00E302EC" w:rsidRDefault="00FC4F28">
      <w:pPr>
        <w:numPr>
          <w:ilvl w:val="0"/>
          <w:numId w:val="80"/>
        </w:numPr>
        <w:ind w:right="218" w:hanging="259"/>
      </w:pPr>
      <w:r>
        <w:t>Cuando se trate de actos por causa de muerte, el plazo será de seis meses prorrogables hasta un año a solicitud del sujeto pasivo. Para que pueda estimarse la solicitud de prórroga por la Administración Tributaria Municipal, ésta deberá presentarse a</w:t>
      </w:r>
      <w:r>
        <w:t xml:space="preserve">ntes de que finalice el plazo inicial de seis meses. </w:t>
      </w:r>
    </w:p>
    <w:p w:rsidR="00E302EC" w:rsidRDefault="00FC4F28">
      <w:pPr>
        <w:ind w:left="279" w:right="184"/>
      </w:pPr>
      <w:r>
        <w:t xml:space="preserve">2.  La autoliquidación deberá contener todos los elementos de la relación tributaria que sean imprescindibles para practicar la liquidación procedente y, en todo caso, los siguientes: </w:t>
      </w:r>
    </w:p>
    <w:p w:rsidR="00E302EC" w:rsidRDefault="00FC4F28">
      <w:pPr>
        <w:numPr>
          <w:ilvl w:val="0"/>
          <w:numId w:val="81"/>
        </w:numPr>
        <w:ind w:right="184" w:hanging="247"/>
      </w:pPr>
      <w:r>
        <w:t>Nombre y apellido</w:t>
      </w:r>
      <w:r>
        <w:t>s o razón social del sujeto pasivo, contribuyente y, en su caso, del sustituto del contribuyente, N.I.F de éstos, y sus domicilios, así como los mismos datos de los demás intervinientes en el hecho, acto o negocio jurídico determinante del devengo del impu</w:t>
      </w:r>
      <w:r>
        <w:t xml:space="preserve">esto. </w:t>
      </w:r>
    </w:p>
    <w:p w:rsidR="00E302EC" w:rsidRDefault="00FC4F28">
      <w:pPr>
        <w:numPr>
          <w:ilvl w:val="0"/>
          <w:numId w:val="81"/>
        </w:numPr>
        <w:ind w:right="184" w:hanging="247"/>
      </w:pPr>
      <w:r>
        <w:t xml:space="preserve">En su caso, nombre y apellidos del representante del sujeto pasivo ante la Administración Mu-nicipal, N.I.F. de éste, así como su domicilio. </w:t>
      </w:r>
    </w:p>
    <w:p w:rsidR="00E302EC" w:rsidRDefault="00FC4F28">
      <w:pPr>
        <w:numPr>
          <w:ilvl w:val="0"/>
          <w:numId w:val="81"/>
        </w:numPr>
        <w:ind w:right="184" w:hanging="247"/>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5073" name="Group 24507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9463" name="Rectangle 1946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9464" name="Rectangle 19464"/>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97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5073" style="width:12.7031pt;height:273.276pt;position:absolute;mso-position-horizontal-relative:page;mso-position-horizontal:absolute;margin-left:682.278pt;mso-position-vertical-relative:page;margin-top:538.644pt;" coordsize="1613,34706">
                <v:rect id="Rectangle 1946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9464"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159 </w:t>
                        </w:r>
                      </w:p>
                    </w:txbxContent>
                  </v:textbox>
                </v:rect>
                <w10:wrap type="square"/>
              </v:group>
            </w:pict>
          </mc:Fallback>
        </mc:AlternateContent>
      </w:r>
      <w:r>
        <w:t xml:space="preserve">Lugar y Notario autorizante de la escritura, número de protocolo y fecha de la misma. </w:t>
      </w:r>
    </w:p>
    <w:p w:rsidR="00E302EC" w:rsidRDefault="00FC4F28">
      <w:pPr>
        <w:ind w:left="279" w:right="184"/>
      </w:pPr>
      <w:r>
        <w:t xml:space="preserve">d)Situación física y referencia catastral del inmueble. </w:t>
      </w:r>
    </w:p>
    <w:p w:rsidR="00E302EC" w:rsidRDefault="00FC4F28">
      <w:pPr>
        <w:numPr>
          <w:ilvl w:val="0"/>
          <w:numId w:val="82"/>
        </w:numPr>
        <w:ind w:right="184" w:hanging="259"/>
      </w:pPr>
      <w:r>
        <w:t>Participación adqu</w:t>
      </w:r>
      <w:r>
        <w:t xml:space="preserve">irida, cuota de copropiedad y, en su caso, solicitud de división. </w:t>
      </w:r>
    </w:p>
    <w:p w:rsidR="00E302EC" w:rsidRDefault="00FC4F28">
      <w:pPr>
        <w:numPr>
          <w:ilvl w:val="0"/>
          <w:numId w:val="82"/>
        </w:numPr>
        <w:ind w:right="184" w:hanging="259"/>
      </w:pPr>
      <w:r>
        <w:t xml:space="preserve">Número de años a lo largo de los cuales se ha puesto de manifiesto el incremento del valor de los terrenos y fecha de realización anterior del hecho imponible. </w:t>
      </w:r>
    </w:p>
    <w:p w:rsidR="00E302EC" w:rsidRDefault="00FC4F28">
      <w:pPr>
        <w:numPr>
          <w:ilvl w:val="0"/>
          <w:numId w:val="82"/>
        </w:numPr>
        <w:ind w:right="184" w:hanging="259"/>
      </w:pPr>
      <w:r>
        <w:t xml:space="preserve">Opción, en su caso, por el método de determinación directa o real de la base imponible.  </w:t>
      </w:r>
    </w:p>
    <w:p w:rsidR="00E302EC" w:rsidRDefault="00FC4F28">
      <w:pPr>
        <w:numPr>
          <w:ilvl w:val="0"/>
          <w:numId w:val="82"/>
        </w:numPr>
        <w:ind w:right="184" w:hanging="259"/>
      </w:pPr>
      <w:r>
        <w:t xml:space="preserve">En su caso, solicitud de beneficios fiscales que se consideren procedentes y justificación. </w:t>
      </w:r>
    </w:p>
    <w:p w:rsidR="00E302EC" w:rsidRDefault="00FC4F28">
      <w:pPr>
        <w:ind w:left="279" w:right="184"/>
      </w:pPr>
      <w:r>
        <w:t>3. En el caso de actos mortis causa, se acompañará además a la autoliquid</w:t>
      </w:r>
      <w:r>
        <w:t xml:space="preserve">ación la siguiente documentación: </w:t>
      </w:r>
    </w:p>
    <w:p w:rsidR="00E302EC" w:rsidRDefault="00FC4F28">
      <w:pPr>
        <w:numPr>
          <w:ilvl w:val="0"/>
          <w:numId w:val="83"/>
        </w:numPr>
        <w:ind w:right="184" w:hanging="247"/>
      </w:pPr>
      <w:r>
        <w:t xml:space="preserve">Copia simple de la escritura de la partición hereditaria, si la hubiera.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numPr>
          <w:ilvl w:val="0"/>
          <w:numId w:val="83"/>
        </w:numPr>
        <w:ind w:right="184" w:hanging="247"/>
      </w:pPr>
      <w:r>
        <w:t xml:space="preserve">Copia de la declaración o autoliquidación presentada a efectos del Impuesto sobre Sucesiones y Donaciones. </w:t>
      </w:r>
    </w:p>
    <w:p w:rsidR="00E302EC" w:rsidRDefault="00FC4F28">
      <w:pPr>
        <w:numPr>
          <w:ilvl w:val="0"/>
          <w:numId w:val="83"/>
        </w:numPr>
        <w:ind w:right="184" w:hanging="247"/>
      </w:pPr>
      <w:r>
        <w:t>Copia del certificado de defunción.</w:t>
      </w:r>
      <w:r>
        <w:t xml:space="preserve"> </w:t>
      </w:r>
    </w:p>
    <w:p w:rsidR="00E302EC" w:rsidRDefault="00FC4F28">
      <w:pPr>
        <w:numPr>
          <w:ilvl w:val="0"/>
          <w:numId w:val="83"/>
        </w:numPr>
        <w:ind w:right="184" w:hanging="247"/>
      </w:pPr>
      <w:r>
        <w:t xml:space="preserve">Copia de certificación de actos de última voluntad. </w:t>
      </w:r>
    </w:p>
    <w:p w:rsidR="00E302EC" w:rsidRDefault="00FC4F28">
      <w:pPr>
        <w:numPr>
          <w:ilvl w:val="0"/>
          <w:numId w:val="83"/>
        </w:numPr>
        <w:ind w:right="184" w:hanging="247"/>
      </w:pPr>
      <w:r>
        <w:t xml:space="preserve">Copia del testamento, en su caso. </w:t>
      </w:r>
    </w:p>
    <w:p w:rsidR="00E302EC" w:rsidRDefault="00FC4F28">
      <w:pPr>
        <w:numPr>
          <w:ilvl w:val="0"/>
          <w:numId w:val="84"/>
        </w:numPr>
        <w:ind w:right="250"/>
      </w:pPr>
      <w:r>
        <w:t>También estará obligado a presentar la autoliquidación sin ingreso el interesado en acreditar la inexistencia de incremento de valor, que deberá declarar la transmisi</w:t>
      </w:r>
      <w:r>
        <w:t xml:space="preserve">ón, así como aportar los títulos que documenten la transmisión y la adquisición, acompañado de los elementos de prueba donde conste el valor de aquél en el momento de su transmisión y adquisición. </w:t>
      </w:r>
    </w:p>
    <w:p w:rsidR="00E302EC" w:rsidRDefault="00FC4F28">
      <w:pPr>
        <w:numPr>
          <w:ilvl w:val="0"/>
          <w:numId w:val="84"/>
        </w:numPr>
        <w:ind w:right="250"/>
      </w:pPr>
      <w:r>
        <w:t>El Ayuntamiento podrá aprobar un modelo normalizado de aut</w:t>
      </w:r>
      <w:r>
        <w:t xml:space="preserve">oliquidación, que establecerá la forma, lugar y plazos de su presentación y, en su caso, ingreso de la deuda tributaria, así como los supuestos y condiciones de presentación por medios telemáticos.  </w:t>
      </w:r>
    </w:p>
    <w:p w:rsidR="00E302EC" w:rsidRDefault="00FC4F28">
      <w:pPr>
        <w:numPr>
          <w:ilvl w:val="0"/>
          <w:numId w:val="84"/>
        </w:numPr>
        <w:ind w:right="250"/>
      </w:pPr>
      <w:r>
        <w:t>Sin perjuicio de las facultades de comprobación de los v</w:t>
      </w:r>
      <w:r>
        <w:t>alores declarados por el interesado o el sujeto pasivo a los efectos de lo dispuesto en los artículos 2.7 y 5.7 respectivamente, el ayuntamiento solo podrá comprobar que se han efectuado mediante la aplicación correcta de las normas reguladoras del impuest</w:t>
      </w:r>
      <w:r>
        <w:t xml:space="preserve">o, sin que puedan atribuirse valores, bases o cuotas diferentes de las resultantes de tales normas. </w:t>
      </w:r>
    </w:p>
    <w:p w:rsidR="00E302EC" w:rsidRDefault="00FC4F28">
      <w:pPr>
        <w:numPr>
          <w:ilvl w:val="0"/>
          <w:numId w:val="84"/>
        </w:numPr>
        <w:ind w:right="250"/>
      </w:pPr>
      <w:r>
        <w:t xml:space="preserve">En ningún caso podrá exigirse el impuesto en régimen de autoliquidación cuando se trate del supuesto a que se refiere el artículo 5.3.a), párrafo tercero, de la presente Ordenanza fiscal.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10.  Obligación de comunicación. </w:t>
      </w:r>
    </w:p>
    <w:p w:rsidR="00E302EC" w:rsidRDefault="00FC4F28">
      <w:pPr>
        <w:spacing w:after="0" w:line="259" w:lineRule="auto"/>
        <w:ind w:left="269" w:firstLine="0"/>
        <w:jc w:val="left"/>
      </w:pPr>
      <w:r>
        <w:t xml:space="preserve">  </w:t>
      </w:r>
    </w:p>
    <w:p w:rsidR="00E302EC" w:rsidRDefault="00FC4F28">
      <w:pPr>
        <w:ind w:left="279" w:right="184"/>
      </w:pPr>
      <w:r>
        <w:t>1. Están obligados</w:t>
      </w:r>
      <w:r>
        <w:t xml:space="preserve"> a comunicar al Ayuntamiento la realización del hecho imponible en los mismos plazos que los sujetos pasivos:  </w:t>
      </w:r>
    </w:p>
    <w:p w:rsidR="00E302EC" w:rsidRDefault="00FC4F28">
      <w:pPr>
        <w:numPr>
          <w:ilvl w:val="0"/>
          <w:numId w:val="85"/>
        </w:numPr>
        <w:ind w:right="218"/>
      </w:pPr>
      <w:r>
        <w:t>En los supuestos contemplados en el artículo 3.a) de esta Ordenanza, siempre que se hayan producido por negocio jurídico "inter vivos", el donan</w:t>
      </w:r>
      <w:r>
        <w:t xml:space="preserve">te o la persona que constituya o transmita el derecho real de que se trate.  </w:t>
      </w:r>
    </w:p>
    <w:p w:rsidR="00E302EC" w:rsidRDefault="00FC4F28">
      <w:pPr>
        <w:numPr>
          <w:ilvl w:val="0"/>
          <w:numId w:val="85"/>
        </w:numPr>
        <w:ind w:right="218"/>
      </w:pPr>
      <w:r>
        <w:t xml:space="preserve">En los supuestos contemplados en el artículo 3.b) de esta Ordenanza, el adquirente o la persona a cuyo favor se constituya o transmita el derecho real de que se trate.   </w:t>
      </w:r>
    </w:p>
    <w:p w:rsidR="00E302EC" w:rsidRDefault="00FC4F28">
      <w:pPr>
        <w:ind w:left="279" w:right="184"/>
      </w:pPr>
      <w:r>
        <w:t>La comu</w:t>
      </w:r>
      <w:r>
        <w:t xml:space="preserve">nicación que deban realizar las personas indicadas deberá contener los mismos datos que aparecen recogidos en el artículo anterior.  </w:t>
      </w:r>
    </w:p>
    <w:p w:rsidR="00E302EC" w:rsidRDefault="00FC4F28">
      <w:pPr>
        <w:numPr>
          <w:ilvl w:val="0"/>
          <w:numId w:val="86"/>
        </w:numPr>
        <w:ind w:right="217"/>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4694" name="Group 24469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9577" name="Rectangle 1957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9578" name="Rectangle 19578"/>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Documento firmado e</w:t>
                              </w:r>
                              <w:r>
                                <w:rPr>
                                  <w:sz w:val="12"/>
                                </w:rPr>
                                <w:t xml:space="preserve">lectrónicamente desde la plataforma esPublico Gestiona | Página 98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4694" style="width:12.7031pt;height:273.276pt;position:absolute;mso-position-horizontal-relative:page;mso-position-horizontal:absolute;margin-left:682.278pt;mso-position-vertical-relative:page;margin-top:538.644pt;" coordsize="1613,34706">
                <v:rect id="Rectangle 1957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9578"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159 </w:t>
                        </w:r>
                      </w:p>
                    </w:txbxContent>
                  </v:textbox>
                </v:rect>
                <w10:wrap type="square"/>
              </v:group>
            </w:pict>
          </mc:Fallback>
        </mc:AlternateContent>
      </w:r>
      <w:r>
        <w:t>Asimismo, los Notarios estarán obligados a remitir al Ayuntamiento, dentro de la primera quincena de cada trimestre, relación o índice compresivo de todos los documentos por ellos a</w:t>
      </w:r>
      <w:r>
        <w:t xml:space="preserve">utorizados en el trimestre anterior, en los que se contengan hechos, actos o negocios jurídicos que pongan de manifiesto la realización del hecho imponible de este Impuesto, con excepción de los actos de última voluntad.  </w:t>
      </w:r>
    </w:p>
    <w:p w:rsidR="00E302EC" w:rsidRDefault="00FC4F28">
      <w:pPr>
        <w:ind w:left="279" w:right="252"/>
      </w:pPr>
      <w:r>
        <w:t>También estarán obligados a remit</w:t>
      </w:r>
      <w:r>
        <w:t xml:space="preserve">ir, dentro del mismo plazo, relación de los documentos privados, compresivos de los mismos hechos, actos negocios jurídicos, que les hayan sido presentados para conocimiento o legitimación de firmas.  </w:t>
      </w:r>
    </w:p>
    <w:p w:rsidR="00E302EC" w:rsidRDefault="00FC4F28">
      <w:pPr>
        <w:ind w:left="279" w:right="252"/>
      </w:pPr>
      <w:r>
        <w:t>Las relaciones o índices citados contendrán, como míni</w:t>
      </w:r>
      <w:r>
        <w:t xml:space="preserve">mo, los datos señalados en el artículo 9 y, además, el nombre y apellidos del adquirente, su N.I.F. y su domicilio, así como la referencia catastral de los bienes inmuebles cuando dicha referencia se corresponda con los que sean objeto de transmisión.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numPr>
          <w:ilvl w:val="0"/>
          <w:numId w:val="86"/>
        </w:numPr>
        <w:ind w:right="217"/>
      </w:pPr>
      <w:r>
        <w:t xml:space="preserve">Lo prevenido en el apartado anterior se entiende sin perjuicio del deber general de colaboración establecido en la Ley General Tributaria.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11.  Colaboración y cooperación interadministrativa. </w:t>
      </w:r>
    </w:p>
    <w:p w:rsidR="00E302EC" w:rsidRDefault="00FC4F28">
      <w:pPr>
        <w:ind w:left="279" w:right="248"/>
      </w:pPr>
      <w:r>
        <w:t>A los efectos de la aplicación del impuesto, en</w:t>
      </w:r>
      <w:r>
        <w:t xml:space="preserve"> particular en relación con el supuesto de no sujeción previsto en el artículo 2.7, así como para la determinación de la base imponible mediante el método de estimación directa, de acuerdo con el artículo 5.7 podrá suscribirse el correspondiente convenio d</w:t>
      </w:r>
      <w:r>
        <w:t xml:space="preserve">e intercambio de información tributaria y de colaboración con la Agencia Tributaria Canaria.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12. Competencias sobre gestión y recaudación </w:t>
      </w:r>
    </w:p>
    <w:p w:rsidR="00E302EC" w:rsidRDefault="00FC4F28">
      <w:pPr>
        <w:numPr>
          <w:ilvl w:val="0"/>
          <w:numId w:val="87"/>
        </w:numPr>
        <w:ind w:right="218"/>
      </w:pPr>
      <w:r>
        <w:t>La recaudación de este impuesto se realizará de acuerdo con lo previsto en la Ley General Tributaria, el</w:t>
      </w:r>
      <w:r>
        <w:t xml:space="preserve"> Reglamento General de Recaudación y en las demás Leyes del Estado reguladores de la materia, así como en las disposiciones dictadas para su desarrollo. </w:t>
      </w:r>
    </w:p>
    <w:p w:rsidR="00E302EC" w:rsidRDefault="00FC4F28">
      <w:pPr>
        <w:numPr>
          <w:ilvl w:val="0"/>
          <w:numId w:val="87"/>
        </w:numPr>
        <w:ind w:right="218"/>
      </w:pPr>
      <w:r>
        <w:t xml:space="preserve">En el caso de que la gestión y recaudación del presente impuesto se encontrara atribuida al Consorcio </w:t>
      </w:r>
      <w:r>
        <w:t>de Tributos de Tenerife, en virtud de un acuerdo de encomienda vigente, le corresponderán las competencias sobre gestión, liquidación, inspección y recaudación, así como la revisión de los actos dictados en vía de gestión tributaria, siendo de aplicación l</w:t>
      </w:r>
      <w:r>
        <w:t xml:space="preserve">a Ordenanza fiscal general de dicho Organismo, relativa a los tributos y demás ingresos de derecho público encomendados.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13.  Infracciones y sanciones </w:t>
      </w:r>
    </w:p>
    <w:p w:rsidR="00E302EC" w:rsidRDefault="00FC4F28">
      <w:pPr>
        <w:numPr>
          <w:ilvl w:val="0"/>
          <w:numId w:val="88"/>
        </w:numPr>
        <w:ind w:right="218"/>
      </w:pPr>
      <w:r>
        <w:t>En todo lo relativo a infracciones tributarias y sanciones se aplicará el régimen estableci</w:t>
      </w:r>
      <w:r>
        <w:t xml:space="preserve">do en el Título IV de la Ley General Tributaria, en las disposiciones que la complementen y desarrollen, así como en la Ordenanza Fiscal General de Gestión, Recaudación e Inspección. </w:t>
      </w:r>
    </w:p>
    <w:p w:rsidR="00E302EC" w:rsidRDefault="00FC4F28">
      <w:pPr>
        <w:numPr>
          <w:ilvl w:val="0"/>
          <w:numId w:val="88"/>
        </w:numPr>
        <w:ind w:right="218"/>
      </w:pPr>
      <w:r>
        <w:t>En particular, se considerará infracción tributaria simple, de acuerdo c</w:t>
      </w:r>
      <w:r>
        <w:t xml:space="preserve">on lo previsto en el art. 198 de la Ley General Tributaria, la no presentación en plazo de la autoliquidación o declaración tributaria, en los casos de no sujeción por razón de inexistencia de incremento de valor.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Disposición Adicional Única. Modificaciones del impuesto. </w:t>
      </w:r>
    </w:p>
    <w:p w:rsidR="00E302EC" w:rsidRDefault="00FC4F28">
      <w:pPr>
        <w:ind w:left="279" w:right="252"/>
      </w:pPr>
      <w:r>
        <w:t xml:space="preserve">Las modificaciones que se introduzcan en la regulación del impuesto, por las Leyes de Presupuestos Generales del Estado o por cualesquiera otras leyes o disposiciones, y que resulten de aplicación </w:t>
      </w:r>
      <w:r>
        <w:t xml:space="preserve">directa, producirán, en su caso, la correspondiente modificación tácita de la presente Ordenanza Fiscal. </w:t>
      </w:r>
    </w:p>
    <w:p w:rsidR="00E302EC" w:rsidRDefault="00FC4F28">
      <w:pPr>
        <w:spacing w:after="0" w:line="259" w:lineRule="auto"/>
        <w:ind w:left="269" w:firstLine="0"/>
        <w:jc w:val="left"/>
      </w:pPr>
      <w:r>
        <w:t xml:space="preserve"> </w:t>
      </w:r>
    </w:p>
    <w:p w:rsidR="00E302EC" w:rsidRDefault="00FC4F28">
      <w:pPr>
        <w:spacing w:after="44" w:line="248" w:lineRule="auto"/>
        <w:ind w:left="279" w:right="183"/>
      </w:pPr>
      <w:r>
        <w:rPr>
          <w:b/>
        </w:rPr>
        <w:t xml:space="preserve">Disposición final única. Entrada en vigor.  </w:t>
      </w:r>
    </w:p>
    <w:p w:rsidR="00E302EC" w:rsidRDefault="00FC4F28">
      <w:pPr>
        <w:ind w:left="279" w:right="184"/>
      </w:pPr>
      <w:r>
        <w:t xml:space="preserve">Esta Ordenanza entrará en vigor al día siguiente a su publicación.”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5348" name="Group 24534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9699" name="Rectangle 1969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9700" name="Rectangle 19700"/>
                        <wps:cNvSpPr/>
                        <wps:spPr>
                          <a:xfrm rot="-5399999">
                            <a:off x="-2070397" y="1210783"/>
                            <a:ext cx="440642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99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5348" style="width:12.7031pt;height:273.276pt;position:absolute;mso-position-horizontal-relative:page;mso-position-horizontal:absolute;margin-left:682.278pt;mso-position-vertical-relative:page;margin-top:538.644pt;" coordsize="1613,34706">
                <v:rect id="Rectangle 1969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9700" style="position:absolute;width:44064;height:1132;left:-20703;top:12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159 </w:t>
                        </w:r>
                      </w:p>
                    </w:txbxContent>
                  </v:textbox>
                </v:rect>
                <w10:wrap type="square"/>
              </v:group>
            </w:pict>
          </mc:Fallback>
        </mc:AlternateContent>
      </w:r>
      <w:r>
        <w:t xml:space="preserve"> </w:t>
      </w:r>
    </w:p>
    <w:p w:rsidR="00E302EC" w:rsidRDefault="00FC4F28">
      <w:pPr>
        <w:ind w:left="279" w:right="184"/>
      </w:pPr>
      <w:r>
        <w:t>SEGUNDO. - Dar al expediente la tramitación y publicidad pre</w:t>
      </w:r>
      <w:r>
        <w:t>ceptiva, mediante exposición del mismo en el Tablón de Anuncios de este Ayuntamiento y en el Boletín Oficial de la Provincia de Santa Cruz de Tenerife, por plazo de treinta días, dentro de los cuales los interesados podrán examinarlo y plantear las reclama</w:t>
      </w:r>
      <w:r>
        <w:t xml:space="preserve">ciones que estimen oportunas. </w:t>
      </w:r>
    </w:p>
    <w:p w:rsidR="00E302EC" w:rsidRDefault="00FC4F28">
      <w:pPr>
        <w:spacing w:after="0" w:line="259" w:lineRule="auto"/>
        <w:ind w:left="284" w:firstLine="0"/>
        <w:jc w:val="left"/>
      </w:pPr>
      <w:r>
        <w:t xml:space="preserve"> </w:t>
      </w:r>
    </w:p>
    <w:p w:rsidR="00E302EC" w:rsidRDefault="00FC4F28">
      <w:pPr>
        <w:ind w:left="279" w:right="184"/>
      </w:pPr>
      <w:r>
        <w:t xml:space="preserve">Asimismo, estará a disposición de los interesados en la sede electrónica de este  </w:t>
      </w:r>
    </w:p>
    <w:p w:rsidR="00E302EC" w:rsidRDefault="00FC4F28">
      <w:pPr>
        <w:spacing w:after="0" w:line="259" w:lineRule="auto"/>
        <w:ind w:left="284" w:firstLine="0"/>
        <w:jc w:val="left"/>
      </w:pPr>
      <w:r>
        <w:t xml:space="preserve"> </w:t>
      </w:r>
    </w:p>
    <w:p w:rsidR="00E302EC" w:rsidRDefault="00FC4F28">
      <w:pPr>
        <w:ind w:left="279" w:right="184"/>
      </w:pPr>
      <w:r>
        <w:t xml:space="preserve">Ayuntamiento en las siguientes direcciones electrónicas: </w:t>
      </w:r>
    </w:p>
    <w:p w:rsidR="00E302EC" w:rsidRDefault="00FC4F28">
      <w:pPr>
        <w:spacing w:after="0" w:line="259" w:lineRule="auto"/>
        <w:ind w:left="284" w:firstLine="0"/>
        <w:jc w:val="left"/>
      </w:pPr>
      <w:r>
        <w:t xml:space="preserve"> </w:t>
      </w:r>
    </w:p>
    <w:p w:rsidR="00E302EC" w:rsidRDefault="00FC4F28">
      <w:pPr>
        <w:spacing w:after="0" w:line="259" w:lineRule="auto"/>
        <w:ind w:left="279"/>
        <w:jc w:val="left"/>
      </w:pPr>
      <w:r>
        <w:rPr>
          <w:color w:val="0000FF"/>
          <w:u w:val="single" w:color="0000FF"/>
        </w:rPr>
        <w:t>https://sedeelectronica.candelaria.es/publico/tablon</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jc w:val="left"/>
      </w:pPr>
      <w:r>
        <w:rPr>
          <w:color w:val="3C61AA"/>
          <w:u w:val="single" w:color="3C61AA"/>
        </w:rPr>
        <w:t>https://sedeelectronic</w:t>
      </w:r>
      <w:r>
        <w:rPr>
          <w:color w:val="3C61AA"/>
          <w:u w:val="single" w:color="3C61AA"/>
        </w:rPr>
        <w:t>a.candelaria.es/transparencia/indice/indicador/IT20/153</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ind w:left="279" w:right="184"/>
      </w:pPr>
      <w:r>
        <w:t>TERCERO. - Considerar, en el supuesto de que no se presenten reclamaciones al expediente, en el plazo anteriormente indicado, que el Acuerdo es definitivo, de conformidad con el artículo 17.3 del</w:t>
      </w:r>
      <w:r>
        <w:t xml:space="preserve"> TRLRHL.”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DICTAMEN FAVORABLE DE LA COMISIÓN INFORMATIVA DE HACIENDA, RECURSOS HUMANOS Y SERVICIOS GENERALES DE 28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4. </w:t>
      </w:r>
    </w:p>
    <w:p w:rsidR="00E302EC" w:rsidRDefault="00FC4F28">
      <w:pPr>
        <w:ind w:left="279" w:right="184"/>
      </w:pPr>
      <w:r>
        <w:t xml:space="preserve">Los 4 concejales del Grupo Socialista: Don Airam Pérez Chinea, Don Jorge Baute Delgado, Don José Francisco Pinto Ramos y Don Olegario Francisco Alonso Bello. </w:t>
      </w:r>
    </w:p>
    <w:p w:rsidR="00E302EC" w:rsidRDefault="00FC4F28">
      <w:pPr>
        <w:spacing w:after="111"/>
        <w:ind w:left="279" w:right="184"/>
      </w:pPr>
      <w:r>
        <w:t xml:space="preserve">Votos en contra: 0. </w:t>
      </w:r>
    </w:p>
    <w:p w:rsidR="00E302EC" w:rsidRDefault="00FC4F28">
      <w:pPr>
        <w:spacing w:after="109"/>
        <w:ind w:left="279" w:right="184"/>
      </w:pPr>
      <w:r>
        <w:t xml:space="preserve">Abstenciones: 3. </w:t>
      </w:r>
    </w:p>
    <w:p w:rsidR="00E302EC" w:rsidRDefault="00FC4F28">
      <w:pPr>
        <w:spacing w:after="109"/>
        <w:ind w:left="279" w:right="184"/>
      </w:pPr>
      <w:r>
        <w:t xml:space="preserve">El concejal del Grupo Popular, Doña Raquel Martín Castro. </w:t>
      </w:r>
    </w:p>
    <w:p w:rsidR="00E302EC" w:rsidRDefault="00FC4F28">
      <w:pPr>
        <w:spacing w:after="111"/>
        <w:ind w:left="279" w:right="184"/>
      </w:pPr>
      <w:r>
        <w:t xml:space="preserve">La concejal del Grupo Mixto (SSP), Doña Lourdes del Carmen Mondéjar Rondón. </w:t>
      </w:r>
    </w:p>
    <w:p w:rsidR="00E302EC" w:rsidRDefault="00FC4F28">
      <w:pPr>
        <w:spacing w:after="107"/>
        <w:ind w:left="279" w:right="184"/>
      </w:pPr>
      <w:r>
        <w:t xml:space="preserve">La concejal del Grupo Mixto (VxC): Doña Alicia Mercedes Marrero Meneses.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VOTACIÓN EN EL PLENO DE 31 DE MARZO DE 2022. </w:t>
      </w:r>
    </w:p>
    <w:p w:rsidR="00E302EC" w:rsidRDefault="00FC4F28">
      <w:pPr>
        <w:spacing w:after="0" w:line="259" w:lineRule="auto"/>
        <w:ind w:left="284" w:firstLine="0"/>
        <w:jc w:val="left"/>
      </w:pPr>
      <w:r>
        <w:rPr>
          <w:b/>
        </w:rPr>
        <w:t xml:space="preserve"> </w:t>
      </w:r>
    </w:p>
    <w:p w:rsidR="00E302EC" w:rsidRDefault="00FC4F28">
      <w:pPr>
        <w:spacing w:after="109"/>
        <w:ind w:left="279" w:right="184"/>
      </w:pPr>
      <w:r>
        <w:t xml:space="preserve">Votos a favor: 13. </w:t>
      </w:r>
    </w:p>
    <w:p w:rsidR="00E302EC" w:rsidRDefault="00FC4F28">
      <w:pPr>
        <w:spacing w:after="112"/>
        <w:ind w:left="279" w:right="184"/>
      </w:pPr>
      <w:r>
        <w:t>11 concejales del Grupo Socialista: Doña María Concepción Brito Núñez, Doña Don Jorge Baute Delgado, Doña Olivia Concepción Pérez Díaz, Don José Francisco Pinto Ramos, Doña Hilaria Cecilia</w:t>
      </w:r>
      <w:r>
        <w:t xml:space="preserve"> Otazo González, Don Airam Pérez Chinea, Doña Margarita Eva Tendero Barroso, Don Manuel Alberto González Pestano, Doña María del Carmen Clemente Díaz, Don Olegario Francisco Alonso Bello y Don Reinaldo José Triviño Blanco. </w:t>
      </w:r>
    </w:p>
    <w:p w:rsidR="00E302EC" w:rsidRDefault="00FC4F28">
      <w:pPr>
        <w:spacing w:after="111"/>
        <w:ind w:left="279" w:right="184"/>
      </w:pPr>
      <w:r>
        <w:t>1 concejal del Grupo Popular: Do</w:t>
      </w:r>
      <w:r>
        <w:t xml:space="preserve">n Jacobo López Fariña. </w:t>
      </w:r>
    </w:p>
    <w:p w:rsidR="00E302EC" w:rsidRDefault="00FC4F28">
      <w:pPr>
        <w:numPr>
          <w:ilvl w:val="0"/>
          <w:numId w:val="89"/>
        </w:numPr>
        <w:spacing w:after="109"/>
        <w:ind w:right="184" w:hanging="184"/>
      </w:pPr>
      <w:r>
        <w:t xml:space="preserve">concejal del Grupo Mixto (VxC): Doña Alicia Mercedes Marrero Meneses. </w:t>
      </w:r>
    </w:p>
    <w:p w:rsidR="00E302EC" w:rsidRDefault="00FC4F28">
      <w:pPr>
        <w:spacing w:after="109"/>
        <w:ind w:left="279" w:right="184"/>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5584" name="Group 24558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9827" name="Rectangle 1982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9828" name="Rectangle 19828"/>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5584" style="width:12.7031pt;height:273.276pt;position:absolute;mso-position-horizontal-relative:page;mso-position-horizontal:absolute;margin-left:682.278pt;mso-position-vertical-relative:page;margin-top:538.644pt;" coordsize="1613,34706">
                <v:rect id="Rectangle 1982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9828"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159 </w:t>
                        </w:r>
                      </w:p>
                    </w:txbxContent>
                  </v:textbox>
                </v:rect>
                <w10:wrap type="square"/>
              </v:group>
            </w:pict>
          </mc:Fallback>
        </mc:AlternateContent>
      </w:r>
      <w:r>
        <w:t xml:space="preserve">Votos en contra: 0. </w:t>
      </w:r>
    </w:p>
    <w:p w:rsidR="00E302EC" w:rsidRDefault="00FC4F28">
      <w:pPr>
        <w:spacing w:after="111"/>
        <w:ind w:left="279" w:right="184"/>
      </w:pPr>
      <w:r>
        <w:t xml:space="preserve">Abstenciones: 3. </w:t>
      </w:r>
    </w:p>
    <w:p w:rsidR="00E302EC" w:rsidRDefault="00FC4F28">
      <w:pPr>
        <w:numPr>
          <w:ilvl w:val="0"/>
          <w:numId w:val="89"/>
        </w:numPr>
        <w:spacing w:after="114"/>
        <w:ind w:right="184" w:hanging="184"/>
      </w:pPr>
      <w:r>
        <w:t xml:space="preserve">de los concejales del Grupo Mixto (SSP), Doña Lourdes del Carmen Mondéjar Rondón y Don Antonio Delgado García. </w:t>
      </w:r>
    </w:p>
    <w:p w:rsidR="00E302EC" w:rsidRDefault="00FC4F28">
      <w:pPr>
        <w:spacing w:after="106"/>
        <w:ind w:left="279" w:right="184"/>
      </w:pPr>
      <w:r>
        <w:t>1 de la co</w:t>
      </w:r>
      <w:r>
        <w:t xml:space="preserve">ncejal del Grupo Mixto (CC-PNC): Doña Ángela Cruz Perera.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1712" w:right="183"/>
      </w:pPr>
      <w:r>
        <w:rPr>
          <w:b/>
        </w:rPr>
        <w:t xml:space="preserve">ACUERDO DEL PLENO DE 31 DE MARZO DE 2022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PRIMERO. - </w:t>
      </w:r>
      <w:r>
        <w:rPr>
          <w:b/>
        </w:rPr>
        <w:t xml:space="preserve">Aprobar la modificación de la Ordenanza Fiscal Reguladora del Impuesto sobre el Incremento de Valor de los Terrenos Naturaleza Urbana, quedando la redacción consolidada de la siguiente manera: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“ORDENANZA FISCAL REGULADORA DEL IMPUESTO SOBRE EL INCREME</w:t>
      </w:r>
      <w:r>
        <w:rPr>
          <w:b/>
        </w:rPr>
        <w:t>NTO DE VALOR DE LOS TERRENOS DE NATURALEZA URBANA</w:t>
      </w:r>
      <w:r>
        <w:t>.</w:t>
      </w:r>
      <w:r>
        <w:rPr>
          <w:rFonts w:ascii="Times New Roman" w:eastAsia="Times New Roman" w:hAnsi="Times New Roman" w:cs="Times New Roman"/>
          <w:sz w:val="24"/>
        </w:rPr>
        <w:t xml:space="preserve">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CAPÍTULO I. DISPOSICIÓN GENERAL.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1. Establecimiento del impuesto y normativa aplicable. </w:t>
      </w:r>
    </w:p>
    <w:p w:rsidR="00E302EC" w:rsidRDefault="00FC4F28">
      <w:pPr>
        <w:spacing w:after="0" w:line="259" w:lineRule="auto"/>
        <w:ind w:left="269" w:firstLine="0"/>
        <w:jc w:val="left"/>
      </w:pPr>
      <w:r>
        <w:t xml:space="preserve"> </w:t>
      </w:r>
    </w:p>
    <w:p w:rsidR="00E302EC" w:rsidRDefault="00FC4F28">
      <w:pPr>
        <w:numPr>
          <w:ilvl w:val="0"/>
          <w:numId w:val="90"/>
        </w:numPr>
        <w:ind w:right="184"/>
      </w:pPr>
      <w:r>
        <w:t xml:space="preserve">De acuerdo con lo dispuesto en los artículos 15 y 59.2 del Texto Refundido de la Ley Reguladora de </w:t>
      </w:r>
      <w:r>
        <w:t xml:space="preserve">las Haciendas Locales, aprobado por Real Decreto Legislativo  </w:t>
      </w:r>
    </w:p>
    <w:p w:rsidR="00E302EC" w:rsidRDefault="00FC4F28">
      <w:pPr>
        <w:ind w:left="279" w:right="184"/>
      </w:pPr>
      <w:r>
        <w:t xml:space="preserve">2/2004, de 5 de marzo, se acuerda la imposición y ordenación en este municipio del impuesto sobre el Incremento de Valor de los Terrenos de Naturaleza Urbana. </w:t>
      </w:r>
    </w:p>
    <w:p w:rsidR="00E302EC" w:rsidRDefault="00FC4F28">
      <w:pPr>
        <w:numPr>
          <w:ilvl w:val="0"/>
          <w:numId w:val="90"/>
        </w:numPr>
        <w:ind w:right="184"/>
      </w:pPr>
      <w:r>
        <w:t>El impuesto sobre el Incremento d</w:t>
      </w:r>
      <w:r>
        <w:t xml:space="preserve">e Valor de los Terrenos de Naturaleza Urbana se regirá en este municipio: </w:t>
      </w:r>
    </w:p>
    <w:p w:rsidR="00E302EC" w:rsidRDefault="00FC4F28">
      <w:pPr>
        <w:ind w:left="279" w:right="249"/>
      </w:pPr>
      <w:r>
        <w:t xml:space="preserve">a) Por las normas reguladoras del mismo, contenidas el Texto Refundido de la Ley Reguladora de las Haciendas Locales, aprobado por Real Decreto Legislativo 2/2004, de 5 de marzo; y </w:t>
      </w:r>
      <w:r>
        <w:t xml:space="preserve">por las demás disposiciones legales y reglamentarias que complementen y desarrollen dicha Ley. b) Por la presente Ordenanza Fiscal.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II. HECHO IMPONIBLE.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2. Hecho Imponible. </w:t>
      </w:r>
    </w:p>
    <w:p w:rsidR="00E302EC" w:rsidRDefault="00FC4F28">
      <w:pPr>
        <w:numPr>
          <w:ilvl w:val="0"/>
          <w:numId w:val="91"/>
        </w:numPr>
        <w:ind w:right="249"/>
      </w:pPr>
      <w:r>
        <w:t>Constituye el hecho imponible del impuesto el incremento d</w:t>
      </w:r>
      <w:r>
        <w:t>e valor que experimenten los terrenos de naturaleza urbana manifestado a consecuencia de la transmisión de la propiedad por cualquier título o de la constitución o transmisión de cualquier derecho real de goce limitativo del dominio sobre los bienes mencio</w:t>
      </w:r>
      <w:r>
        <w:t xml:space="preserve">nados. </w:t>
      </w:r>
    </w:p>
    <w:p w:rsidR="00E302EC" w:rsidRDefault="00FC4F28">
      <w:pPr>
        <w:ind w:left="279" w:right="184"/>
      </w:pPr>
      <w:r>
        <w:t>El título a que se refiere el apartado anterior será todo hecho, acto o contrato, cualquiera que sea su forma, que origine un cambio del sujeto titular de las facultades dominicales de disposición o aprovechamiento sobre un terreno, tenga lugar por</w:t>
      </w:r>
      <w:r>
        <w:t xml:space="preserve"> ministerio de la Ley, por actos mortis-causa o inter-vivos, a título oneroso o gratuito. </w:t>
      </w:r>
    </w:p>
    <w:p w:rsidR="00E302EC" w:rsidRDefault="00FC4F28">
      <w:pPr>
        <w:numPr>
          <w:ilvl w:val="0"/>
          <w:numId w:val="91"/>
        </w:numPr>
        <w:ind w:right="249"/>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6459" name="Group 24645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19955" name="Rectangle 1995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19956" name="Rectangle 19956"/>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6459" style="width:12.7031pt;height:273.276pt;position:absolute;mso-position-horizontal-relative:page;mso-position-horizontal:absolute;margin-left:682.278pt;mso-position-vertical-relative:page;margin-top:538.644pt;" coordsize="1613,34706">
                <v:rect id="Rectangle 1995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19956"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159 </w:t>
                        </w:r>
                      </w:p>
                    </w:txbxContent>
                  </v:textbox>
                </v:rect>
                <w10:wrap type="square"/>
              </v:group>
            </w:pict>
          </mc:Fallback>
        </mc:AlternateContent>
      </w:r>
      <w:r>
        <w:t>No está sujeto a este impuesto el incremento de valor que experimenten los terrenos que tengan la consideración de rústicos a efectos del impuesto sobre Bienes I</w:t>
      </w:r>
      <w:r>
        <w:t>nmuebles. En consecuencia, con ello, está sujeto el incremento de valor que experimenten los terrenos que deban tener la consideración de urbanos, a efectos de dicho impuesto sobre Bienes Inmuebles, con independencia de que estén o no contemplados como tal</w:t>
      </w:r>
      <w:r>
        <w:t>es en el Catastro o en el Padrón de aquél. A los efectos de este impuesto, estará asimismo sujeto al mismo el incremento de valor que experimenten los terrenos integrados en los bienes inmuebles clasificados como de características especiales a efectos del</w:t>
      </w:r>
      <w:r>
        <w:t xml:space="preserve"> impuesto sobre Bienes Inmuebles. </w:t>
      </w:r>
    </w:p>
    <w:p w:rsidR="00E302EC" w:rsidRDefault="00FC4F28">
      <w:pPr>
        <w:numPr>
          <w:ilvl w:val="0"/>
          <w:numId w:val="91"/>
        </w:numPr>
        <w:ind w:right="249"/>
      </w:pPr>
      <w:r>
        <w:t>No se devengará este impuesto en las transmisiones de terrenos de naturaleza urbana derivadas de operaciones a las cuales resulte aplicable el régimen especial regulado en el Capítulo VII del Título VII de la Ley 27/2014,</w:t>
      </w:r>
      <w:r>
        <w:t xml:space="preserve"> del impuesto sobre Sociedades, a excepción de los relativos a terrenos que se aporten al amparo de lo previsto en el artículo 87 de la citada Ley cuando no se hallen integrados en una rama de actividad. </w:t>
      </w:r>
    </w:p>
    <w:p w:rsidR="00E302EC" w:rsidRDefault="00FC4F28">
      <w:pPr>
        <w:numPr>
          <w:ilvl w:val="0"/>
          <w:numId w:val="91"/>
        </w:numPr>
        <w:ind w:right="249"/>
      </w:pPr>
      <w:r>
        <w:t>No se devengará el impuesto con ocasión de las tran</w:t>
      </w:r>
      <w:r>
        <w:t>smisiones de terrenos de naturaleza urbana que se realicen como consecuencia de las operaciones relativas a los procesos de adscripción a una sociedad anónima deportiva de nueva creación, siempre que se ajusten a las normas de la Ley 20/1990, de 15 de octu</w:t>
      </w:r>
      <w:r>
        <w:t xml:space="preserve">bre, del Deporte y el Real Decreto 1.084/1991, de 15 de julio, sobre sociedades anónimas deportivas. </w:t>
      </w:r>
    </w:p>
    <w:p w:rsidR="00E302EC" w:rsidRDefault="00FC4F28">
      <w:pPr>
        <w:numPr>
          <w:ilvl w:val="0"/>
          <w:numId w:val="91"/>
        </w:numPr>
        <w:ind w:right="249"/>
      </w:pPr>
      <w:r>
        <w:t>En la posterior transmisión de los mencionados terrenos se entenderá que el número de años a través de los cuales se ha puesto de manifiesto el incremento</w:t>
      </w:r>
      <w:r>
        <w:t xml:space="preserve"> de valor no se ha interrumpido por causa de la transmisión de las operaciones citadas en los apartados 3 y 4. </w:t>
      </w:r>
    </w:p>
    <w:p w:rsidR="00E302EC" w:rsidRDefault="00FC4F28">
      <w:pPr>
        <w:numPr>
          <w:ilvl w:val="0"/>
          <w:numId w:val="91"/>
        </w:numPr>
        <w:ind w:right="249"/>
      </w:pPr>
      <w:r>
        <w:t>No se producirá la sujeción al impuesto en los supuestos de aportaciones de bienes y derechos realizadas por los cónyuges a la sociedad conyugal</w:t>
      </w:r>
      <w:r>
        <w:t xml:space="preserve">, adjudicaciones  que a su favor y en pago de ellas se verifiquen y transmisiones que se hagan a los cónyuges en pago de sus haberes comunes </w:t>
      </w:r>
    </w:p>
    <w:p w:rsidR="00E302EC" w:rsidRDefault="00FC4F28">
      <w:pPr>
        <w:ind w:left="279" w:right="184"/>
      </w:pPr>
      <w:r>
        <w:t xml:space="preserve">Tampoco se producirá la sujeción al impuesto en los supuestos de transmisiones de bienes inmuebles entre cónyuges </w:t>
      </w:r>
      <w:r>
        <w:t>o a favor de los hijos, como consecuencia del cumplimiento de sentencias en los casos de nulidad, separación o divorcio matrimonial, sea cual sea el régimen económico matrimonial. Asimismo, no se producirá la sujeción al impuesto en los supuestos de transm</w:t>
      </w:r>
      <w:r>
        <w:t>isiones de bienes inmuebles a título lucrativo en beneficio de las hijas, hijos, menores o personas con discapacidad sujetas a patria potestad, tutela o con medidas de apoyo para el adecuado ejercicio de su capacidad jurídica, cuyo ejercicio se llevara a c</w:t>
      </w:r>
      <w:r>
        <w:t>abo por las mujeres fallecidas como consecuencia de violencia contra la mujer, en los términos en que se defina por la ley o por los instrumentos internacionales ratificados por España, cuando estas transmisiones lucrativas traigan causa del referido falle</w:t>
      </w:r>
      <w:r>
        <w:t xml:space="preserve">cimiento. </w:t>
      </w:r>
    </w:p>
    <w:p w:rsidR="00E302EC" w:rsidRDefault="00FC4F28">
      <w:pPr>
        <w:numPr>
          <w:ilvl w:val="0"/>
          <w:numId w:val="91"/>
        </w:numPr>
        <w:ind w:right="249"/>
      </w:pPr>
      <w:r>
        <w:t>Asimismo no se producirá la sujeción al impuesto en las transmisiones de terrenos respecto de los cuales se constate la inexistencia de incremento de valor por diferencia entre los valores de dichos terrenos en las fechas de transmisión y adquis</w:t>
      </w:r>
      <w:r>
        <w:t xml:space="preserve">ición.  </w:t>
      </w:r>
    </w:p>
    <w:p w:rsidR="00E302EC" w:rsidRDefault="00FC4F28">
      <w:pPr>
        <w:ind w:left="279" w:right="252"/>
      </w:pPr>
      <w:r>
        <w:t>Para constatar la inexistencia de incremento de valor, como valor de transmisión o de adquisición del terreno se tomará en cada caso el mayor de los siguientes valores, sin que a estos efectos puedan computarse los gastos o tributos que graven dic</w:t>
      </w:r>
      <w:r>
        <w:t xml:space="preserve">has operaciones: </w:t>
      </w:r>
    </w:p>
    <w:p w:rsidR="00E302EC" w:rsidRDefault="00FC4F28">
      <w:pPr>
        <w:ind w:left="279" w:right="251"/>
      </w:pPr>
      <w:r>
        <w:t>a) El que conste en el título que documente la operación, o, cuando la adquisición o la transmisión hubiera sido a título lucrativo, el declarado en el Impuesto sobre Sucesiones y Donaciones.  b) El comprobado, en su caso, por la Administ</w:t>
      </w:r>
      <w:r>
        <w:t xml:space="preserve">ración tributaria. </w:t>
      </w:r>
    </w:p>
    <w:p w:rsidR="00E302EC" w:rsidRDefault="00FC4F28">
      <w:pPr>
        <w:ind w:left="279" w:right="251"/>
      </w:pPr>
      <w:r>
        <w:t>Cuando se trate de la transmisión de un inmueble en el que haya suelo y construcción, se tomará como valor del suelo a estos efectos el que resulte de aplicar la proporción que represente en la fecha de devengo del impuesto el valor cat</w:t>
      </w:r>
      <w:r>
        <w:t xml:space="preserve">astral del terreno respecto del valor catastral total y esta proporción se aplicará tanto al valor de transmisión como, en su caso, al de adquisición.  El presente supuesto de no sujeción será aplicable a instancia del interesado, mediante la presentación </w:t>
      </w:r>
      <w:r>
        <w:t xml:space="preserve">de la correspondiente declaración o autoliquidación. </w:t>
      </w:r>
    </w:p>
    <w:p w:rsidR="00E302EC" w:rsidRDefault="00FC4F28">
      <w:pPr>
        <w:spacing w:after="4" w:line="259" w:lineRule="auto"/>
        <w:ind w:left="269" w:firstLine="0"/>
        <w:jc w:val="left"/>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6645" name="Group 24664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0072" name="Rectangle 2007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0073" name="Rectangle 20073"/>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6645" style="width:12.7031pt;height:273.276pt;position:absolute;mso-position-horizontal-relative:page;mso-position-horizontal:absolute;margin-left:682.278pt;mso-position-vertical-relative:page;margin-top:538.644pt;" coordsize="1613,34706">
                <v:rect id="Rectangle 2007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0073"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159 </w:t>
                        </w:r>
                      </w:p>
                    </w:txbxContent>
                  </v:textbox>
                </v:rect>
                <w10:wrap type="square"/>
              </v:group>
            </w:pict>
          </mc:Fallback>
        </mc:AlternateContent>
      </w:r>
      <w:r>
        <w:t xml:space="preserve"> </w:t>
      </w:r>
    </w:p>
    <w:p w:rsidR="00E302EC" w:rsidRDefault="00FC4F28">
      <w:pPr>
        <w:spacing w:after="8" w:line="248" w:lineRule="auto"/>
        <w:ind w:left="279" w:right="183"/>
      </w:pPr>
      <w:r>
        <w:rPr>
          <w:b/>
        </w:rPr>
        <w:t>CAPÍTULO III. EXENCIONES</w:t>
      </w:r>
      <w:r>
        <w:t>.</w:t>
      </w:r>
      <w:r>
        <w:rPr>
          <w:rFonts w:ascii="Times New Roman" w:eastAsia="Times New Roman" w:hAnsi="Times New Roman" w:cs="Times New Roman"/>
          <w:sz w:val="24"/>
        </w:rPr>
        <w:t xml:space="preserve">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3. Exenciones. </w:t>
      </w:r>
    </w:p>
    <w:p w:rsidR="00E302EC" w:rsidRDefault="00FC4F28">
      <w:pPr>
        <w:ind w:left="279" w:right="184"/>
      </w:pPr>
      <w:r>
        <w:t xml:space="preserve">1. Estarán exentos de este impuesto los incrementos de valor que se manifiesten a consecuencia de los actos siguientes: </w:t>
      </w:r>
    </w:p>
    <w:p w:rsidR="00E302EC" w:rsidRDefault="00FC4F28">
      <w:pPr>
        <w:numPr>
          <w:ilvl w:val="0"/>
          <w:numId w:val="92"/>
        </w:numPr>
        <w:ind w:right="184" w:hanging="722"/>
      </w:pPr>
      <w:r>
        <w:t xml:space="preserve">La constitución y transmisión de derechos de servidumbre. </w:t>
      </w:r>
    </w:p>
    <w:p w:rsidR="00E302EC" w:rsidRDefault="00FC4F28">
      <w:pPr>
        <w:numPr>
          <w:ilvl w:val="0"/>
          <w:numId w:val="92"/>
        </w:numPr>
        <w:ind w:right="184" w:hanging="722"/>
      </w:pPr>
      <w:r>
        <w:t>Las transmisiones de b</w:t>
      </w:r>
      <w:r>
        <w:t>ienes que se encuentren dentro del perímetro delimitado como Conjunto Histórico-Artístico, o hayan sido declarados individualmente de interés cultural, según lo establecido en la Ley 16/1985, de 25 de junio, del Patrimonio Histórico Español, cuando sus pro</w:t>
      </w:r>
      <w:r>
        <w:t xml:space="preserve">pietarios o titulares de derechos reales acrediten que han realizado a su cargo obras de conservación, mejora o rehabilitación en dichos inmuebles.  </w:t>
      </w:r>
    </w:p>
    <w:p w:rsidR="00E302EC" w:rsidRDefault="00FC4F28">
      <w:pPr>
        <w:ind w:left="279" w:right="184"/>
      </w:pPr>
      <w:r>
        <w:t>Para que proceda aplicar la exención prevista en esta letra, será preciso que concurran las siguientes con</w:t>
      </w:r>
      <w:r>
        <w:t xml:space="preserve">diciones. </w:t>
      </w:r>
    </w:p>
    <w:p w:rsidR="00E302EC" w:rsidRDefault="00FC4F28">
      <w:pPr>
        <w:ind w:left="279" w:right="184"/>
      </w:pPr>
      <w:r>
        <w:t xml:space="preserve">-Que el importe de las obras de conservación y/o rehabilitación ejecutadas en los últimos cinco años sea superior al 25% del valor catastral del inmueble, en el momento del devengo del impuesto. </w:t>
      </w:r>
    </w:p>
    <w:p w:rsidR="00E302EC" w:rsidRDefault="00FC4F28">
      <w:pPr>
        <w:ind w:left="279" w:right="184"/>
      </w:pPr>
      <w:r>
        <w:t>-Que dichas obras de rehabilitación hayan sido fi</w:t>
      </w:r>
      <w:r>
        <w:t xml:space="preserve">nanciadas por el sujeto pasivo, o su ascendiente de primer grado. </w:t>
      </w:r>
    </w:p>
    <w:p w:rsidR="00E302EC" w:rsidRDefault="00FC4F28">
      <w:pPr>
        <w:numPr>
          <w:ilvl w:val="0"/>
          <w:numId w:val="92"/>
        </w:numPr>
        <w:ind w:right="184" w:hanging="722"/>
      </w:pPr>
      <w:r>
        <w:t>Las transmisiones realizadas por personas físicas con ocasión de la dación en pago de la vivienda habitual del deudor hipotecario o garante del mismo, para la cancelación de deudas garantiz</w:t>
      </w:r>
      <w:r>
        <w:t xml:space="preserve">adas con hipoteca que recaiga sobre la misma, contraídas con entidades de crédito o cualquier otra entidad que, de manera profesional, realice la actividad de concesión de préstamos o créditos hipotecarios. </w:t>
      </w:r>
    </w:p>
    <w:p w:rsidR="00E302EC" w:rsidRDefault="00FC4F28">
      <w:pPr>
        <w:ind w:left="279" w:right="184"/>
      </w:pPr>
      <w:r>
        <w:t>Asimismo, estarán exentas las transmisiones de l</w:t>
      </w:r>
      <w:r>
        <w:t xml:space="preserve">a vivienda en que concurran los requisitos anteriores, realizadas en ejecuciones hipotecarias judiciales o notariales. </w:t>
      </w:r>
    </w:p>
    <w:p w:rsidR="00E302EC" w:rsidRDefault="00FC4F28">
      <w:pPr>
        <w:ind w:left="279" w:right="249"/>
      </w:pPr>
      <w:r>
        <w:t>Para tener derecho a la exención se requiere que el deudor o garante transmitente o cualquier otro miembro de su unidad familiar no disp</w:t>
      </w:r>
      <w:r>
        <w:t>onga, en el momento de poder evitar la enajenación de la vivienda, de otros bienes o derechos en cuantía suficiente para satisfacer la totalidad de la deuda hipotecaria. Se presumirá el cumplimiento de este requisito. No obstante, si con posterioridad se c</w:t>
      </w:r>
      <w:r>
        <w:t xml:space="preserve">omprobara lo contrario, se procederá a girar la liquidación tributaria correspondiente. </w:t>
      </w:r>
    </w:p>
    <w:p w:rsidR="00E302EC" w:rsidRDefault="00FC4F28">
      <w:pPr>
        <w:spacing w:line="249" w:lineRule="auto"/>
        <w:ind w:left="279" w:right="184"/>
        <w:jc w:val="left"/>
      </w:pPr>
      <w:r>
        <w:t xml:space="preserve">A estos efectos, se considerará vivienda habitual aquella en la que haya figurado empadronado el contribuyente de forma ininterrumpida durante, al menos, los dos años </w:t>
      </w:r>
      <w:r>
        <w:t xml:space="preserve">anteriores a la transmisión o desde el momento de la adquisición si dicho plazo fuese inferior a los dos años. </w:t>
      </w:r>
    </w:p>
    <w:p w:rsidR="00E302EC" w:rsidRDefault="00FC4F28">
      <w:pPr>
        <w:ind w:left="279" w:right="248"/>
      </w:pPr>
      <w:r>
        <w:t>Respecto al concepto de unidad familiar, se estará a lo dispuesto en la Ley 35/2006, de 28 de noviembre, del Impuesto sobre la Renta de las Personas Físicas y de modificación parcial de las leyes de los Impuestos sobre Sociedades, sobre la Renta de no Resi</w:t>
      </w:r>
      <w:r>
        <w:t xml:space="preserve">dentes y sobre el Patrimonio. A estos efectos, se equiparará el matrimonio con la pareja de hecho legalmente inscrita. </w:t>
      </w:r>
    </w:p>
    <w:p w:rsidR="00E302EC" w:rsidRDefault="00FC4F28">
      <w:pPr>
        <w:spacing w:after="0" w:line="259" w:lineRule="auto"/>
        <w:ind w:left="269" w:firstLine="0"/>
        <w:jc w:val="left"/>
      </w:pPr>
      <w:r>
        <w:t xml:space="preserve"> </w:t>
      </w:r>
    </w:p>
    <w:p w:rsidR="00E302EC" w:rsidRDefault="00FC4F28">
      <w:pPr>
        <w:ind w:left="279" w:right="184"/>
      </w:pPr>
      <w:r>
        <w:t>2. Asimismo, estarán exentos de este impuesto los correspondientes incrementos de valor cuando la obligación de satisfacer aquél recai</w:t>
      </w:r>
      <w:r>
        <w:t xml:space="preserve">ga sobre las siguientes personas o entidades: </w:t>
      </w:r>
    </w:p>
    <w:p w:rsidR="00E302EC" w:rsidRDefault="00FC4F28">
      <w:pPr>
        <w:numPr>
          <w:ilvl w:val="0"/>
          <w:numId w:val="93"/>
        </w:numPr>
        <w:ind w:right="184" w:hanging="722"/>
      </w:pPr>
      <w:r>
        <w:t>El Estado, las Comunidades Autónomas y las entidades locales, a las que pertenece este municipio, así como los Organismos Autónomos del Estado y las Entidades de Derecho público de análogo carácter de las Comu</w:t>
      </w:r>
      <w:r>
        <w:t xml:space="preserve">nidades Autónomas y de dichas entidades locales. </w:t>
      </w:r>
    </w:p>
    <w:p w:rsidR="00E302EC" w:rsidRDefault="00FC4F28">
      <w:pPr>
        <w:numPr>
          <w:ilvl w:val="0"/>
          <w:numId w:val="93"/>
        </w:numPr>
        <w:ind w:right="184" w:hanging="722"/>
      </w:pPr>
      <w:r>
        <w:t xml:space="preserve">Este municipio y demás entidades locales que lo integren o en las que él se integre, así como sus respectivas entidades de derecho público de análogo carácter a los Organismos Autónomos del Estado. </w:t>
      </w:r>
    </w:p>
    <w:p w:rsidR="00E302EC" w:rsidRDefault="00FC4F28">
      <w:pPr>
        <w:numPr>
          <w:ilvl w:val="0"/>
          <w:numId w:val="93"/>
        </w:numPr>
        <w:ind w:right="184" w:hanging="722"/>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6795" name="Group 24679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0196" name="Rectangle 2019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w:t>
                              </w:r>
                              <w:r>
                                <w:rPr>
                                  <w:sz w:val="12"/>
                                </w:rPr>
                                <w:t xml:space="preserve"> Validación: 7MT23JRFLY7JHEN56D753ZS5Q | Verificación: https://candelaria.sedelectronica.es/ </w:t>
                              </w:r>
                            </w:p>
                          </w:txbxContent>
                        </wps:txbx>
                        <wps:bodyPr horzOverflow="overflow" vert="horz" lIns="0" tIns="0" rIns="0" bIns="0" rtlCol="0">
                          <a:noAutofit/>
                        </wps:bodyPr>
                      </wps:wsp>
                      <wps:wsp>
                        <wps:cNvPr id="20197" name="Rectangle 20197"/>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6795" style="width:12.7031pt;height:273.276pt;position:absolute;mso-position-horizontal-relative:page;mso-position-horizontal:absolute;margin-left:682.278pt;mso-position-vertical-relative:page;margin-top:538.644pt;" coordsize="1613,34706">
                <v:rect id="Rectangle 2019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0197"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159 </w:t>
                        </w:r>
                      </w:p>
                    </w:txbxContent>
                  </v:textbox>
                </v:rect>
                <w10:wrap type="square"/>
              </v:group>
            </w:pict>
          </mc:Fallback>
        </mc:AlternateContent>
      </w:r>
      <w:r>
        <w:t xml:space="preserve">Las instituciones que tenga la calificación de benéficas o de benéfico-docentes. </w:t>
      </w:r>
    </w:p>
    <w:p w:rsidR="00E302EC" w:rsidRDefault="00FC4F28">
      <w:pPr>
        <w:numPr>
          <w:ilvl w:val="0"/>
          <w:numId w:val="93"/>
        </w:numPr>
        <w:ind w:right="184" w:hanging="722"/>
      </w:pPr>
      <w:r>
        <w:t>Las entidades gestoras de la Seguridad Social y las Mutualidades de Previsión Social reguladas en la Ley 30/1995, de 8 de noviembre, de Ordenación y Supervisión de los Seguro</w:t>
      </w:r>
      <w:r>
        <w:t xml:space="preserve">s Privados. </w:t>
      </w:r>
    </w:p>
    <w:p w:rsidR="00E302EC" w:rsidRDefault="00FC4F28">
      <w:pPr>
        <w:numPr>
          <w:ilvl w:val="0"/>
          <w:numId w:val="93"/>
        </w:numPr>
        <w:ind w:right="184" w:hanging="722"/>
      </w:pPr>
      <w:r>
        <w:t xml:space="preserve">Los titulares de concesiones administrativas revertibles respecto a los terrenos afectos a las mismas. </w:t>
      </w:r>
    </w:p>
    <w:p w:rsidR="00E302EC" w:rsidRDefault="00FC4F28">
      <w:pPr>
        <w:numPr>
          <w:ilvl w:val="0"/>
          <w:numId w:val="93"/>
        </w:numPr>
        <w:ind w:right="184" w:hanging="722"/>
      </w:pPr>
      <w:r>
        <w:t xml:space="preserve">La Cruz Roja Española. </w:t>
      </w:r>
    </w:p>
    <w:p w:rsidR="00E302EC" w:rsidRDefault="00FC4F28">
      <w:pPr>
        <w:numPr>
          <w:ilvl w:val="0"/>
          <w:numId w:val="93"/>
        </w:numPr>
        <w:ind w:right="184" w:hanging="722"/>
      </w:pPr>
      <w:r>
        <w:t>Las personas o entidades a cuyo favor se haya reconocido la exención en Tratados o Con-</w:t>
      </w:r>
    </w:p>
    <w:p w:rsidR="00E302EC" w:rsidRDefault="00FC4F28">
      <w:pPr>
        <w:ind w:left="279" w:right="184"/>
      </w:pPr>
      <w:r>
        <w:t xml:space="preserve">venios Internacionales.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IV. SUJETOS PASIVOS.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4. Sujetos pasivos. </w:t>
      </w:r>
    </w:p>
    <w:p w:rsidR="00E302EC" w:rsidRDefault="00FC4F28">
      <w:pPr>
        <w:ind w:left="279" w:right="184"/>
      </w:pPr>
      <w:r>
        <w:t xml:space="preserve">1. Es sujeto pasivo del impuesto a título de contribuyente: </w:t>
      </w:r>
    </w:p>
    <w:p w:rsidR="00E302EC" w:rsidRDefault="00FC4F28">
      <w:pPr>
        <w:numPr>
          <w:ilvl w:val="0"/>
          <w:numId w:val="94"/>
        </w:numPr>
        <w:ind w:right="252"/>
      </w:pPr>
      <w:r>
        <w:t>En las transmisiones de terrenos o en la constitución o transmisión de derechos reales de goce limitativos del dominio a título lucrativo, la persona física o jurídica, o la entidad a que se refiere el artículo 35.6 de la Ley General Tributaria, que adquie</w:t>
      </w:r>
      <w:r>
        <w:t xml:space="preserve">ra el terreno, o aquella a favor de la cual se constituya o se transmita el derecho real de que se trate. </w:t>
      </w:r>
    </w:p>
    <w:p w:rsidR="00E302EC" w:rsidRDefault="00FC4F28">
      <w:pPr>
        <w:numPr>
          <w:ilvl w:val="0"/>
          <w:numId w:val="94"/>
        </w:numPr>
        <w:ind w:right="252"/>
      </w:pPr>
      <w:r>
        <w:t>En las transmisiones de terrenos o en la constitución o transmisión de derechos reales de goce limitativos del dominio a título oneroso, la persona f</w:t>
      </w:r>
      <w:r>
        <w:t xml:space="preserve">ísica o jurídica, o la entidad a que se refiere el artículo 35.6 de la Ley General Tributaria, que trasmita el terreno, o que constituya o transmita el derecho real de que se trate. </w:t>
      </w:r>
    </w:p>
    <w:p w:rsidR="00E302EC" w:rsidRDefault="00FC4F28">
      <w:pPr>
        <w:ind w:left="279" w:right="249"/>
      </w:pPr>
      <w:r>
        <w:t>2. En los supuestos a que se refiere la letra b) del apartado anterior, t</w:t>
      </w:r>
      <w:r>
        <w:t>endrá la consideración de sujeto pasivo sustituto del contribuyente, la persona física o jurídica, o la entidad a que se refiere el artículo 35.6 de la Ley General Tributaria, que adquiera el terreno o aquélla a favor de la cual se constituya o transmita e</w:t>
      </w:r>
      <w:r>
        <w:t xml:space="preserve">l derecho real de que se trate, cuando el contribuyente sea una persona física no residente en España.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V. BASE IMPONIBLE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5. Base imponible   </w:t>
      </w:r>
    </w:p>
    <w:p w:rsidR="00E302EC" w:rsidRDefault="00FC4F28">
      <w:pPr>
        <w:numPr>
          <w:ilvl w:val="0"/>
          <w:numId w:val="95"/>
        </w:numPr>
        <w:ind w:right="252"/>
      </w:pPr>
      <w:r>
        <w:t>La base imponible de este Impuesto está constituida por el incremento real de valor de los</w:t>
      </w:r>
      <w:r>
        <w:t xml:space="preserve"> terrenos de naturaleza urbana puesto de manifiesto en el momento del devengo y experimentado a lo largo de un período máximo de veinte años.  </w:t>
      </w:r>
    </w:p>
    <w:p w:rsidR="00E302EC" w:rsidRDefault="00FC4F28">
      <w:pPr>
        <w:numPr>
          <w:ilvl w:val="0"/>
          <w:numId w:val="95"/>
        </w:numPr>
        <w:ind w:right="252"/>
      </w:pPr>
      <w:r>
        <w:t>Para determinar la base imponible, mediante el método de estimación objetiva, se multiplicará el valor del terre</w:t>
      </w:r>
      <w:r>
        <w:t xml:space="preserve">no en el momento del devengo por el coeficiente que corresponda al periodo de generación conforme a las reglas previstas en el presente artículo.  </w:t>
      </w:r>
    </w:p>
    <w:p w:rsidR="00E302EC" w:rsidRDefault="00FC4F28">
      <w:pPr>
        <w:numPr>
          <w:ilvl w:val="0"/>
          <w:numId w:val="95"/>
        </w:numPr>
        <w:ind w:right="252"/>
      </w:pPr>
      <w:r>
        <w:t xml:space="preserve">El valor del terreno en el momento del devengo resultará de lo establecido en las siguientes reglas: </w:t>
      </w:r>
    </w:p>
    <w:p w:rsidR="00E302EC" w:rsidRDefault="00FC4F28">
      <w:pPr>
        <w:numPr>
          <w:ilvl w:val="0"/>
          <w:numId w:val="96"/>
        </w:numPr>
        <w:ind w:right="249"/>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7110" name="Group 24711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0300" name="Rectangle 2030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w:t>
                              </w:r>
                              <w:r>
                                <w:rPr>
                                  <w:sz w:val="12"/>
                                </w:rPr>
                                <w:t xml:space="preserve">. Validación: 7MT23JRFLY7JHEN56D753ZS5Q | Verificación: https://candelaria.sedelectronica.es/ </w:t>
                              </w:r>
                            </w:p>
                          </w:txbxContent>
                        </wps:txbx>
                        <wps:bodyPr horzOverflow="overflow" vert="horz" lIns="0" tIns="0" rIns="0" bIns="0" rtlCol="0">
                          <a:noAutofit/>
                        </wps:bodyPr>
                      </wps:wsp>
                      <wps:wsp>
                        <wps:cNvPr id="20301" name="Rectangle 20301"/>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7110" style="width:12.7031pt;height:273.276pt;position:absolute;mso-position-horizontal-relative:page;mso-position-horizontal:absolute;margin-left:682.278pt;mso-position-vertical-relative:page;margin-top:538.644pt;" coordsize="1613,34706">
                <v:rect id="Rectangle 2030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0301"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159 </w:t>
                        </w:r>
                      </w:p>
                    </w:txbxContent>
                  </v:textbox>
                </v:rect>
                <w10:wrap type="square"/>
              </v:group>
            </w:pict>
          </mc:Fallback>
        </mc:AlternateContent>
      </w:r>
      <w:r>
        <w:t xml:space="preserve">En las transmisiones de terrenos, el valor de estos en el momento del devengo será el que tengan determinado en dicho momento a efectos del Impuesto sobre Bienes Inmuebles. No obstante, cuando dicho valor sea consecuencia de una ponencia de valores que no </w:t>
      </w:r>
      <w:r>
        <w:t>refleje modificaciones de planeamiento aprobadas con posterioridad a la aprobación de la citada ponencia, se podrá liquidar provisionalmente este impuesto con arreglo a aquel. En estos casos, en la liquidación definitiva se aplicará el valor de los terreno</w:t>
      </w:r>
      <w:r>
        <w:t>s una vez se haya obtenido conforme a los procedimientos de valoración colectiva que se instruyan, referido a la fecha del devengo. Cuando esta fecha no coincida con la de efectividad de los nuevos valores catastrales, estos se corregirán aplicando los coe</w:t>
      </w:r>
      <w:r>
        <w:t xml:space="preserve">ficientes de actualización que correspondan, establecidos al efecto en las leyes de presupuestos generales del Estado. </w:t>
      </w:r>
    </w:p>
    <w:p w:rsidR="00E302EC" w:rsidRDefault="00FC4F28">
      <w:pPr>
        <w:ind w:left="279" w:right="250"/>
      </w:pPr>
      <w:r>
        <w:t>Cuando el terreno, aun siendo de naturaleza urbana o integrado en un bien inmueble de características especiales, en el momento del deve</w:t>
      </w:r>
      <w:r>
        <w:t xml:space="preserve">ngo del impuesto, no tenga determinado valor catastral en dicho momento, el ayuntamiento podrá practicar la liquidación cuando el referido valor catastral sea determinado, refiriendo dicho valor al momento del devengo.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t xml:space="preserve"> </w:t>
      </w:r>
    </w:p>
    <w:p w:rsidR="00E302EC" w:rsidRDefault="00FC4F28">
      <w:pPr>
        <w:numPr>
          <w:ilvl w:val="0"/>
          <w:numId w:val="96"/>
        </w:numPr>
        <w:ind w:right="249"/>
      </w:pPr>
      <w:r>
        <w:t>En la constitución y transmisión</w:t>
      </w:r>
      <w:r>
        <w:t xml:space="preserve"> de derechos reales de goce limitativos del dominio, el coeficiente anual que corresponda al periodo de generación se aplicará sobre la parte del valor definido en el párrafo a) anterior que represente, respecto de aquel, el valor de los referidos derechos</w:t>
      </w:r>
      <w:r>
        <w:t xml:space="preserve"> calculado mediante la aplicación de las normas fijadas a efectos del Impuesto sobre Transmisiones Patrimoniales y Actos Jurídicos Documentados, y en particular las siguientes reglas:  </w:t>
      </w:r>
    </w:p>
    <w:p w:rsidR="00E302EC" w:rsidRDefault="00FC4F28">
      <w:pPr>
        <w:numPr>
          <w:ilvl w:val="1"/>
          <w:numId w:val="96"/>
        </w:numPr>
        <w:ind w:right="217" w:hanging="360"/>
      </w:pPr>
      <w:r>
        <w:t>Se entiende que el valor del usufructo y derecho de superficie tempora</w:t>
      </w:r>
      <w:r>
        <w:t xml:space="preserve">l es proporcional al valor del terreno, a razón del 2% por cada período de un año, sin que pueda exceder el 70%. </w:t>
      </w:r>
    </w:p>
    <w:p w:rsidR="00E302EC" w:rsidRDefault="00FC4F28">
      <w:pPr>
        <w:numPr>
          <w:ilvl w:val="1"/>
          <w:numId w:val="96"/>
        </w:numPr>
        <w:ind w:right="217" w:hanging="360"/>
      </w:pPr>
      <w:r>
        <w:t>En los usufructos vitalicios se estimará que el valor es igual al 70 por 100 del valor total de los bienes cuando el usufructuario cuente meno</w:t>
      </w:r>
      <w:r>
        <w:t xml:space="preserve">s de veinte años, minorando, a medida que aumenta la edad, en la proporción de un 1 por 100 menos por cada año más con el límite mínimo del 10 por 100 del valor total. </w:t>
      </w:r>
    </w:p>
    <w:p w:rsidR="00E302EC" w:rsidRDefault="00FC4F28">
      <w:pPr>
        <w:numPr>
          <w:ilvl w:val="1"/>
          <w:numId w:val="96"/>
        </w:numPr>
        <w:ind w:right="217" w:hanging="360"/>
      </w:pPr>
      <w:r>
        <w:t>El usufructo constituido a favor de una persona jurídica si se estableciera por plazo s</w:t>
      </w:r>
      <w:r>
        <w:t xml:space="preserve">uperior a treinta años o por tiempo indeterminado se considerará fiscalmente como transmisión de plena propiedad sujeta a condición resolutoria. </w:t>
      </w:r>
    </w:p>
    <w:p w:rsidR="00E302EC" w:rsidRDefault="00FC4F28">
      <w:pPr>
        <w:numPr>
          <w:ilvl w:val="1"/>
          <w:numId w:val="96"/>
        </w:numPr>
        <w:spacing w:line="249" w:lineRule="auto"/>
        <w:ind w:right="217" w:hanging="360"/>
      </w:pPr>
      <w:r>
        <w:t xml:space="preserve">El valor de los derechos reales de uso y habitación es el que resulta de aplicar el 75% del valor del terreno </w:t>
      </w:r>
      <w:r>
        <w:t xml:space="preserve">sobre el que fue impuesto, de acuerdo con las reglas correspondientes a la valoración de los usufructos temporales o vitalicios, según los casos. </w:t>
      </w:r>
    </w:p>
    <w:p w:rsidR="00E302EC" w:rsidRDefault="00FC4F28">
      <w:pPr>
        <w:numPr>
          <w:ilvl w:val="1"/>
          <w:numId w:val="96"/>
        </w:numPr>
        <w:ind w:right="217" w:hanging="360"/>
      </w:pPr>
      <w:r>
        <w:t>El valor del derecho de la nuda propiedad debe fijarse de acuerdo con la diferencia entre el valor del usufru</w:t>
      </w:r>
      <w:r>
        <w:t xml:space="preserve">cto, uso o habitación y el valor total del terreno. En los usufructos vitalicios que, al mismo tiempo, sean temporales, la nuda propiedad se valorará aplicando, de las reglas anteriores, aquella que le atribuya menos valor. </w:t>
      </w:r>
    </w:p>
    <w:p w:rsidR="00E302EC" w:rsidRDefault="00FC4F28">
      <w:pPr>
        <w:numPr>
          <w:ilvl w:val="1"/>
          <w:numId w:val="96"/>
        </w:numPr>
        <w:ind w:right="217" w:hanging="360"/>
      </w:pPr>
      <w:r>
        <w:t xml:space="preserve">En los usufructos sucesivos el </w:t>
      </w:r>
      <w:r>
        <w:t xml:space="preserve">valor de la nuda propiedad se calculará teniendo en cuenta el usufructo de mayor porcentaje. </w:t>
      </w:r>
    </w:p>
    <w:p w:rsidR="00E302EC" w:rsidRDefault="00FC4F28">
      <w:pPr>
        <w:numPr>
          <w:ilvl w:val="0"/>
          <w:numId w:val="96"/>
        </w:numPr>
        <w:ind w:right="249"/>
      </w:pPr>
      <w:r>
        <w:t>En la constitución o transmisión del derecho a elevar una o más plantas sobre un edificio o terreno, o del derecho de realizar la construcción bajo suelo sin impl</w:t>
      </w:r>
      <w:r>
        <w:t>icar la existencia de un derecho real de superficie, los coeficientes anuales contenidos en el apartado 6 de este artículo se aplicarán sobre la parte del valor definido en el párrafo a) que represente, respecto de aquel, el módulo de proporcionalidad fija</w:t>
      </w:r>
      <w:r>
        <w:t xml:space="preserve">do en la escritura de transmisión o, en su defecto, el que resulte de establecer la proporción entre la superficie o volumen de las plantas a construir en vuelo o subsuelo y la total superficie o volumen edificados una vez construidas aquellas. </w:t>
      </w:r>
    </w:p>
    <w:p w:rsidR="00E302EC" w:rsidRDefault="00FC4F28">
      <w:pPr>
        <w:numPr>
          <w:ilvl w:val="0"/>
          <w:numId w:val="96"/>
        </w:numPr>
        <w:ind w:right="249"/>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7280" name="Group 24728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0411" name="Rectangle 2041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w:t>
                              </w:r>
                              <w:r>
                                <w:rPr>
                                  <w:sz w:val="12"/>
                                </w:rPr>
                                <w:t xml:space="preserve">lidación: 7MT23JRFLY7JHEN56D753ZS5Q | Verificación: https://candelaria.sedelectronica.es/ </w:t>
                              </w:r>
                            </w:p>
                          </w:txbxContent>
                        </wps:txbx>
                        <wps:bodyPr horzOverflow="overflow" vert="horz" lIns="0" tIns="0" rIns="0" bIns="0" rtlCol="0">
                          <a:noAutofit/>
                        </wps:bodyPr>
                      </wps:wsp>
                      <wps:wsp>
                        <wps:cNvPr id="20412" name="Rectangle 20412"/>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7280" style="width:12.7031pt;height:273.276pt;position:absolute;mso-position-horizontal-relative:page;mso-position-horizontal:absolute;margin-left:682.278pt;mso-position-vertical-relative:page;margin-top:538.644pt;" coordsize="1613,34706">
                <v:rect id="Rectangle 2041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0412"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159 </w:t>
                        </w:r>
                      </w:p>
                    </w:txbxContent>
                  </v:textbox>
                </v:rect>
                <w10:wrap type="square"/>
              </v:group>
            </w:pict>
          </mc:Fallback>
        </mc:AlternateContent>
      </w:r>
      <w:r>
        <w:t>En los supuestos de expropiaciones forzosas, los coeficientes anuales contenidos en el apar-tado 6 de este artículo se aplicarán sobre la parte del justiprecio que corresponda al valor del terreno, salvo que el valor definido en el párrafo a) de este apart</w:t>
      </w:r>
      <w:r>
        <w:t xml:space="preserve">ado fuese inferior, en cuyo caso prevalecerá este último sobre el justiprecio. </w:t>
      </w:r>
    </w:p>
    <w:p w:rsidR="00E302EC" w:rsidRDefault="00FC4F28">
      <w:pPr>
        <w:numPr>
          <w:ilvl w:val="0"/>
          <w:numId w:val="96"/>
        </w:numPr>
        <w:ind w:right="249"/>
      </w:pPr>
      <w:r>
        <w:t xml:space="preserve">En las transmisiones de partes indivisas de terrenos o edificios, su valor será proporcional a la porción o cuota transmitida. </w:t>
      </w:r>
    </w:p>
    <w:p w:rsidR="00E302EC" w:rsidRDefault="00FC4F28">
      <w:pPr>
        <w:numPr>
          <w:ilvl w:val="0"/>
          <w:numId w:val="96"/>
        </w:numPr>
        <w:ind w:right="249"/>
      </w:pPr>
      <w:r>
        <w:t>En las transmisiones de pisos o locales en régim</w:t>
      </w:r>
      <w:r>
        <w:t>en de propiedad horizontal, su valor será el específico del suelo que cada finca o local tuviere determinado en el Impuesto sobre Bienes Inmuebles, y si no lo tuviere todavía determinado su valor se estimará proporcional a la cuota de copropiedad que tenga</w:t>
      </w:r>
      <w:r>
        <w:t xml:space="preserve">n atribuida en el valor del inmueble y sus elementos comunes. </w:t>
      </w:r>
    </w:p>
    <w:p w:rsidR="00E302EC" w:rsidRDefault="00FC4F28">
      <w:pPr>
        <w:numPr>
          <w:ilvl w:val="0"/>
          <w:numId w:val="97"/>
        </w:numPr>
        <w:ind w:right="250"/>
      </w:pPr>
      <w:r>
        <w:t>El periodo de generación del incremento de valor será el número de años a lo largo de los cuales se haya puesto de manifiesto dicho incremento. Para su cómputo, se tomarán los años completos, e</w:t>
      </w:r>
      <w:r>
        <w:t xml:space="preserve">s decir, sin tener en cuenta las fracciones de año. En el caso de que el periodo de generación sea inferior a un año, se prorrateará el coeficiente anual teniendo en cuenta el número de meses completos, es decir, sin tener en cuenta las fracciones de mes. </w:t>
      </w:r>
      <w:r>
        <w:t xml:space="preserve"> </w:t>
      </w:r>
    </w:p>
    <w:p w:rsidR="00E302EC" w:rsidRDefault="00FC4F28">
      <w:pPr>
        <w:ind w:left="279" w:right="184"/>
      </w:pPr>
      <w:r>
        <w:t>En los supuestos de no sujeción, salvo que por ley se indique otra cosa, para el cálculo del periodo de generación del incremento de valor puesto de manifiesto en una posterior transmisión del terreno, se tomará como fecha de adquisición, a los efectos d</w:t>
      </w:r>
      <w:r>
        <w:t xml:space="preserve">e lo dispuesto en el párrafo anterior, aquella en la que se produjo el anterior devengo del impuesto. </w:t>
      </w:r>
    </w:p>
    <w:p w:rsidR="00E302EC" w:rsidRDefault="00FC4F28">
      <w:pPr>
        <w:ind w:left="279" w:right="249"/>
      </w:pPr>
      <w:r>
        <w:t>No obstante, en la posterior transmisión de los inmuebles a los que se refiere el apartado 7 del artículo 2, para el cómputo del número de años a lo larg</w:t>
      </w:r>
      <w:r>
        <w:t>o de los cuales se ha puesto de manifiesto el incremento de valor de los terrenos, no se tendrá en cuenta el periodo anterior a su adquisición. Lo dispuesto en este párrafo no será de aplicación en los supuestos de aportaciones o transmisiones de bienes in</w:t>
      </w:r>
      <w:r>
        <w:t xml:space="preserve">muebles que resulten no sujetas en virtud de lo dispuesto en la letra b) del apartado 1 del artículo 3, o en la disposición adicional segunda de la Ley 27/2014, de 27 de noviembre, del Impuesto sobre Sociedades. </w:t>
      </w:r>
    </w:p>
    <w:p w:rsidR="00E302EC" w:rsidRDefault="00FC4F28">
      <w:pPr>
        <w:numPr>
          <w:ilvl w:val="0"/>
          <w:numId w:val="97"/>
        </w:numPr>
        <w:ind w:right="250"/>
      </w:pPr>
      <w:r>
        <w:t>Cuando el terreno hubiese sido adquirido po</w:t>
      </w:r>
      <w:r>
        <w:t xml:space="preserve">r el transmitente por cuotas o porciones en fechas diferentes, se considerarán tantas bases imponibles como fechas de adquisición estableciéndose cada base en la siguiente forma: </w:t>
      </w:r>
    </w:p>
    <w:p w:rsidR="00E302EC" w:rsidRDefault="00FC4F28">
      <w:pPr>
        <w:numPr>
          <w:ilvl w:val="0"/>
          <w:numId w:val="98"/>
        </w:numPr>
        <w:ind w:right="184"/>
      </w:pPr>
      <w:r>
        <w:t>Se distribuirá el valor del terreno proporcionalmente a la porción o cuota a</w:t>
      </w:r>
      <w:r>
        <w:t xml:space="preserve">dquirida en cada fecha. </w:t>
      </w:r>
    </w:p>
    <w:p w:rsidR="00E302EC" w:rsidRDefault="00FC4F28">
      <w:pPr>
        <w:numPr>
          <w:ilvl w:val="0"/>
          <w:numId w:val="98"/>
        </w:numPr>
        <w:ind w:right="184"/>
      </w:pPr>
      <w:r>
        <w:t xml:space="preserve">A cada parte proporcional, se aplicará el porcentaje de incremento correspondiente al período respectivo de generación del incremento de valor. </w:t>
      </w:r>
    </w:p>
    <w:p w:rsidR="00E302EC" w:rsidRDefault="00FC4F28">
      <w:pPr>
        <w:numPr>
          <w:ilvl w:val="0"/>
          <w:numId w:val="99"/>
        </w:numPr>
        <w:ind w:right="250"/>
      </w:pPr>
      <w:r>
        <w:t>El coeficiente a aplicar sobre el valor del terreno en el momento del devengo será, pa</w:t>
      </w:r>
      <w:r>
        <w:t>ra cada periodo de generación, el máximo actualizado vigente, de acuerdo con el artículo 107.4 del Real Decreto Legislativo 2/2004, de 5 de marzo, por el que se aprueba el texto refundido de la Ley Reguladora de las Haciendas Locales. En el caso de que las</w:t>
      </w:r>
      <w:r>
        <w:t xml:space="preserve"> Leyes de Presupuestos Generales del Estado, u otra norma dictada al efecto, procedan a su actualización, se entenderán automáticamente modificados, facultándose a la Alcaldía para dar publicidad a los nuevos coeficientes que resulten aplicables </w:t>
      </w:r>
    </w:p>
    <w:p w:rsidR="00E302EC" w:rsidRDefault="00FC4F28">
      <w:pPr>
        <w:numPr>
          <w:ilvl w:val="0"/>
          <w:numId w:val="99"/>
        </w:numPr>
        <w:ind w:right="250"/>
      </w:pPr>
      <w:r>
        <w:t>Cuando, a</w:t>
      </w:r>
      <w:r>
        <w:t xml:space="preserve"> instancia del sujeto pasivo conforme al procedimiento establecido en el apartado 7 del artículo 2, se constate que el importe del incremento de valor es inferior al importe de la base imponible determinada mediante el método de estimación objetiva, se tom</w:t>
      </w:r>
      <w:r>
        <w:t xml:space="preserve">ará como base imponible el importe de dicho incremento de valor.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CAPÍTULO VI. DEUDA TRIBUTARIA.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6. Tipo de gravamen y cuota. </w:t>
      </w:r>
    </w:p>
    <w:p w:rsidR="00E302EC" w:rsidRDefault="00FC4F28">
      <w:pPr>
        <w:numPr>
          <w:ilvl w:val="0"/>
          <w:numId w:val="100"/>
        </w:numPr>
        <w:ind w:right="184"/>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7034" name="Group 24703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0519" name="Rectangle 2051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0520" name="Rectangle 20520"/>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7034" style="width:12.7031pt;height:273.276pt;position:absolute;mso-position-horizontal-relative:page;mso-position-horizontal:absolute;margin-left:682.278pt;mso-position-vertical-relative:page;margin-top:538.644pt;" coordsize="1613,34706">
                <v:rect id="Rectangle 2051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0520"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159 </w:t>
                        </w:r>
                      </w:p>
                    </w:txbxContent>
                  </v:textbox>
                </v:rect>
                <w10:wrap type="square"/>
              </v:group>
            </w:pict>
          </mc:Fallback>
        </mc:AlternateContent>
      </w:r>
      <w:r>
        <w:t>La cuota íntegra del impuesto será el resultado de aplicar a la base imponible el tipo de gravamen será la resultante de aplicar a la base imponible el tipo impo</w:t>
      </w:r>
      <w:r>
        <w:t xml:space="preserve">sitivo de un 30%. </w:t>
      </w:r>
    </w:p>
    <w:p w:rsidR="00E302EC" w:rsidRDefault="00FC4F28">
      <w:pPr>
        <w:numPr>
          <w:ilvl w:val="0"/>
          <w:numId w:val="100"/>
        </w:numPr>
        <w:ind w:right="184"/>
      </w:pPr>
      <w:r>
        <w:t xml:space="preserve">La cuota líquida del impuesto será el resultado de aplicar sobre la cuota íntegra, en su caso, la bonificación a que se refiere el artículo 7 de esta Ordenanza Fiscal.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7. Bonificación. </w:t>
      </w:r>
    </w:p>
    <w:p w:rsidR="00E302EC" w:rsidRDefault="00FC4F28">
      <w:pPr>
        <w:numPr>
          <w:ilvl w:val="0"/>
          <w:numId w:val="101"/>
        </w:numPr>
        <w:ind w:right="216"/>
      </w:pPr>
      <w:r>
        <w:t>En los supuestos de tributación por tra</w:t>
      </w:r>
      <w:r>
        <w:t xml:space="preserve">nsmisiones de terrenos y transmisión o constitución de derechos reales de goce limitativos del dominio, realizadas a título  </w:t>
      </w:r>
    </w:p>
    <w:p w:rsidR="00E302EC" w:rsidRDefault="00FC4F28">
      <w:pPr>
        <w:spacing w:after="0" w:line="259" w:lineRule="auto"/>
        <w:ind w:left="269" w:firstLine="0"/>
        <w:jc w:val="left"/>
      </w:pPr>
      <w:r>
        <w:t xml:space="preserve"> </w:t>
      </w:r>
    </w:p>
    <w:p w:rsidR="00E302EC" w:rsidRDefault="00FC4F28">
      <w:pPr>
        <w:ind w:left="279" w:right="184"/>
      </w:pPr>
      <w:r>
        <w:t>lucrativo por causa de muerte, cuando se refieran a la vivienda habitual del causante, los sujetos pasivos que sean cónyuges, as</w:t>
      </w:r>
      <w:r>
        <w:t xml:space="preserve">cendientes o adoptantes así como descendientes y adoptados, gozarán de una bonificación en la cuota del impuesto, en los términos previstos en el apartado siguiente.  </w:t>
      </w:r>
    </w:p>
    <w:p w:rsidR="00E302EC" w:rsidRDefault="00FC4F28">
      <w:pPr>
        <w:numPr>
          <w:ilvl w:val="0"/>
          <w:numId w:val="101"/>
        </w:numPr>
        <w:spacing w:after="61"/>
        <w:ind w:right="216"/>
      </w:pPr>
      <w:r>
        <w:t>La bonificación será aplicable de acuerdo con los siguientes porcentajes, en función del</w:t>
      </w:r>
      <w:r>
        <w:t xml:space="preserve"> importe de la base Imponible general del Impuesto sobre la Renta de las Personas Físicas del adquirente o adquirentes correspondiente al año anterior al del fallecimiento: </w:t>
      </w:r>
    </w:p>
    <w:p w:rsidR="00E302EC" w:rsidRDefault="00FC4F28">
      <w:pPr>
        <w:numPr>
          <w:ilvl w:val="1"/>
          <w:numId w:val="101"/>
        </w:numPr>
        <w:ind w:right="184" w:hanging="360"/>
      </w:pPr>
      <w:r>
        <w:t xml:space="preserve">Hasta 15.025,30 € ...............................95% </w:t>
      </w:r>
    </w:p>
    <w:p w:rsidR="00E302EC" w:rsidRDefault="00FC4F28">
      <w:pPr>
        <w:numPr>
          <w:ilvl w:val="1"/>
          <w:numId w:val="101"/>
        </w:numPr>
        <w:ind w:right="184" w:hanging="360"/>
      </w:pPr>
      <w:r>
        <w:t xml:space="preserve">Entre 15.025,30 y 30.050,61 </w:t>
      </w:r>
      <w:r>
        <w:t xml:space="preserve">€ ...........75% </w:t>
      </w:r>
    </w:p>
    <w:p w:rsidR="00E302EC" w:rsidRDefault="00FC4F28">
      <w:pPr>
        <w:numPr>
          <w:ilvl w:val="1"/>
          <w:numId w:val="101"/>
        </w:numPr>
        <w:ind w:right="184" w:hanging="360"/>
      </w:pPr>
      <w:r>
        <w:t xml:space="preserve">Entre 30.050,61 y 60.101,21 € ...........40%  </w:t>
      </w:r>
    </w:p>
    <w:p w:rsidR="00E302EC" w:rsidRDefault="00FC4F28">
      <w:pPr>
        <w:spacing w:after="26"/>
        <w:ind w:left="279" w:right="184"/>
      </w:pPr>
      <w:r>
        <w:t xml:space="preserve">No se establece bonificación cuando la base imponible general del adquirente supere los 60.101,21 €. </w:t>
      </w:r>
    </w:p>
    <w:p w:rsidR="00E302EC" w:rsidRDefault="00FC4F28">
      <w:pPr>
        <w:numPr>
          <w:ilvl w:val="0"/>
          <w:numId w:val="101"/>
        </w:numPr>
        <w:ind w:right="216"/>
      </w:pPr>
      <w:r>
        <w:t>A los efectos de la concesión de esta bonificación se entenderá exclusivamente por descendiente o ascendiente aquellas personas que tiene un vínculo de parentesco por consanguinidad de un grado en línea recta conforme a las reglas que se contienen en los a</w:t>
      </w:r>
      <w:r>
        <w:t xml:space="preserve">rtículos 915 y siguiente de Código Civil. </w:t>
      </w:r>
    </w:p>
    <w:p w:rsidR="00E302EC" w:rsidRDefault="00FC4F28">
      <w:pPr>
        <w:ind w:left="279" w:right="184"/>
      </w:pPr>
      <w:r>
        <w:t>Asimismo, se considerará vivienda habitual aquella en la que haya figurado empadronado el causante de forma ininterrumpida durante, al menos, los dos años anteriores al fallecimiento. Si hubiese tenido su último d</w:t>
      </w:r>
      <w:r>
        <w:t xml:space="preserve">omicilio en un centro residencial o socio-sanitario se podrá aplicar la reducción sobre el inmueble que hubiese constituido su vivienda inmediatamente antes de su traslado a dicho centro. </w:t>
      </w:r>
    </w:p>
    <w:p w:rsidR="00E302EC" w:rsidRDefault="00FC4F28">
      <w:pPr>
        <w:numPr>
          <w:ilvl w:val="0"/>
          <w:numId w:val="101"/>
        </w:numPr>
        <w:spacing w:after="4" w:line="251" w:lineRule="auto"/>
        <w:ind w:right="216"/>
      </w:pPr>
      <w:r>
        <w:t>La presente bonificación se aplicará de oficio, si bien sólo se con</w:t>
      </w:r>
      <w:r>
        <w:t xml:space="preserve">cederá cuando el sujeto pasivo haya presentado voluntariamente, y no como consecuencia de un requerimiento de la Administración tributaria, la correspondiente declaración o autoliquidación dentro del plazo previsto en el art. </w:t>
      </w:r>
    </w:p>
    <w:p w:rsidR="00E302EC" w:rsidRDefault="00FC4F28">
      <w:pPr>
        <w:ind w:left="279" w:right="184"/>
      </w:pPr>
      <w:r>
        <w:t xml:space="preserve">9.1, apartado b).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CAPÍTUL</w:t>
      </w:r>
      <w:r>
        <w:rPr>
          <w:b/>
        </w:rPr>
        <w:t xml:space="preserve">O VII. DEVENGO DEL IMPUESTO.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8. Devengo del impuesto. </w:t>
      </w:r>
    </w:p>
    <w:p w:rsidR="00E302EC" w:rsidRDefault="00FC4F28">
      <w:pPr>
        <w:ind w:left="279" w:right="184"/>
      </w:pPr>
      <w:r>
        <w:t xml:space="preserve">1. El impuesto se devenga: </w:t>
      </w:r>
    </w:p>
    <w:p w:rsidR="00E302EC" w:rsidRDefault="00FC4F28">
      <w:pPr>
        <w:numPr>
          <w:ilvl w:val="0"/>
          <w:numId w:val="102"/>
        </w:numPr>
        <w:ind w:right="184"/>
      </w:pPr>
      <w:r>
        <w:t xml:space="preserve">Cuando se transmita la propiedad del terreno, ya sea a título oneroso o gratuito, entre vivos o por causa de muerte, en la fecha de la transmisión. </w:t>
      </w:r>
    </w:p>
    <w:p w:rsidR="00E302EC" w:rsidRDefault="00FC4F28">
      <w:pPr>
        <w:numPr>
          <w:ilvl w:val="0"/>
          <w:numId w:val="102"/>
        </w:numPr>
        <w:ind w:right="184"/>
      </w:pPr>
      <w:r>
        <w:t>Cuando se co</w:t>
      </w:r>
      <w:r>
        <w:t xml:space="preserve">nstituya o transmita cualquier derecho real de goce limitativo del dominio, en la fecha en que tenga lugar la constitución o transmisión. </w:t>
      </w:r>
    </w:p>
    <w:p w:rsidR="00E302EC" w:rsidRDefault="00FC4F28">
      <w:pPr>
        <w:ind w:left="279" w:right="184"/>
      </w:pPr>
      <w:r>
        <w:t xml:space="preserve">2. A los efectos de lo que dispone el apartado anterior se considerará como fecha de la transmisión: </w:t>
      </w:r>
    </w:p>
    <w:p w:rsidR="00E302EC" w:rsidRDefault="00FC4F28">
      <w:pPr>
        <w:numPr>
          <w:ilvl w:val="0"/>
          <w:numId w:val="103"/>
        </w:numPr>
        <w:ind w:right="217" w:hanging="722"/>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7504" name="Group 24750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0659" name="Rectangle 2065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0660" name="Rectangle 20660"/>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7504" style="width:12.7031pt;height:273.276pt;position:absolute;mso-position-horizontal-relative:page;mso-position-horizontal:absolute;margin-left:682.278pt;mso-position-vertical-relative:page;margin-top:538.644pt;" coordsize="1613,34706">
                <v:rect id="Rectangle 2065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0660"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159 </w:t>
                        </w:r>
                      </w:p>
                    </w:txbxContent>
                  </v:textbox>
                </v:rect>
                <w10:wrap type="square"/>
              </v:group>
            </w:pict>
          </mc:Fallback>
        </mc:AlternateContent>
      </w:r>
      <w:r>
        <w:t>En los actos o los contratos entre vivos, la del otorgamiento</w:t>
      </w:r>
      <w:r>
        <w:t xml:space="preserve"> del documento público y cuando se trate de documentos privados, la de su incorporación o inscripción en un registro público, la de defunción de cualquiera de los firmantes o la de entrega a un funcionario público por razón de su oficio. </w:t>
      </w:r>
    </w:p>
    <w:p w:rsidR="00E302EC" w:rsidRDefault="00FC4F28">
      <w:pPr>
        <w:numPr>
          <w:ilvl w:val="0"/>
          <w:numId w:val="103"/>
        </w:numPr>
        <w:ind w:right="217" w:hanging="722"/>
      </w:pPr>
      <w:r>
        <w:t>En las transmisio</w:t>
      </w:r>
      <w:r>
        <w:t xml:space="preserve">nes por causa de muerte, la de defunción del causante. </w:t>
      </w:r>
    </w:p>
    <w:p w:rsidR="00E302EC" w:rsidRDefault="00FC4F28">
      <w:pPr>
        <w:numPr>
          <w:ilvl w:val="0"/>
          <w:numId w:val="104"/>
        </w:numPr>
        <w:ind w:right="248"/>
      </w:pPr>
      <w:r>
        <w:t>Cuando se declare o reconozca judicial o administrativamente por resolución firme haber tenido lugar la nulidad, rescisión o resolución del acto o contrato determinante de la transmisión del terreno o</w:t>
      </w:r>
      <w:r>
        <w:t xml:space="preserve"> de la constitución o transmisión del derecho real de goce sobre el mismo, el sujeto pasivo tendrá derecho a la devolución del impuesto satisfecho, siempre que dicho acto o contrato no le hubiere producido efectos lucrativos y que reclame la devolución en </w:t>
      </w:r>
      <w:r>
        <w:t>el plazo de cuatro años desde que la resolución quedó firme, entendiéndose que existe efecto lucrativo cuando no se justifique que los interesados deban efectuar las recíprocas devoluciones a que se refiere el artículo 1.295 del Código Civil. Aunque el act</w:t>
      </w:r>
      <w:r>
        <w:t xml:space="preserve">o o contrato no haya producido efectos lucrativos, si la rescisión o resolución se declarase por incumplimiento de las obligaciones del sujeto pasivo del impuesto, no habrá lugar a devolución alguna. </w:t>
      </w:r>
    </w:p>
    <w:p w:rsidR="00E302EC" w:rsidRDefault="00FC4F28">
      <w:pPr>
        <w:numPr>
          <w:ilvl w:val="0"/>
          <w:numId w:val="104"/>
        </w:numPr>
        <w:ind w:right="248"/>
      </w:pPr>
      <w:r>
        <w:t>Si el contrato queda sin efecto por mutuo acuerdo de la</w:t>
      </w:r>
      <w:r>
        <w:t xml:space="preserve">s partes contratantes, no procederá la devolución del impuesto satisfecho y se considerará como un acto nuevo sujeto a tributación. Como tal mutuo acuerdo se estimará la avenencia en acto de conciliación y el simple allanamiento a la demanda. </w:t>
      </w:r>
    </w:p>
    <w:p w:rsidR="00E302EC" w:rsidRDefault="00FC4F28">
      <w:pPr>
        <w:numPr>
          <w:ilvl w:val="0"/>
          <w:numId w:val="104"/>
        </w:numPr>
        <w:ind w:right="248"/>
      </w:pPr>
      <w:r>
        <w:t>En los actos</w:t>
      </w:r>
      <w:r>
        <w:t xml:space="preserve"> o contratos en que medie alguna condición, su calificación se hará con arreglo a las prescripciones contenidas en el Código Civil. Si fuese suspensiva no se liquidará el impuesto hasta que ésta se cumpla. Si la condición fuese resolutoria, se exigirá el i</w:t>
      </w:r>
      <w:r>
        <w:t xml:space="preserve">mpuesto, a reserva, cuando la condición se cumpla, de hacer la oportuna devolución según la regla del apartado anterior. </w:t>
      </w:r>
    </w:p>
    <w:p w:rsidR="00E302EC" w:rsidRDefault="00FC4F28">
      <w:pPr>
        <w:spacing w:after="0" w:line="259" w:lineRule="auto"/>
        <w:ind w:left="269" w:firstLine="0"/>
        <w:jc w:val="left"/>
      </w:pPr>
      <w:r>
        <w:rPr>
          <w:b/>
        </w:rPr>
        <w:t xml:space="preserve"> </w:t>
      </w:r>
    </w:p>
    <w:p w:rsidR="00E302EC" w:rsidRDefault="00FC4F28">
      <w:pPr>
        <w:spacing w:after="0" w:line="259" w:lineRule="auto"/>
        <w:ind w:left="269" w:firstLine="0"/>
        <w:jc w:val="left"/>
      </w:pPr>
      <w:r>
        <w:rPr>
          <w:b/>
        </w:rPr>
        <w:t xml:space="preserv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CAPÍTULO VIII. GESTIÓN DEL IMPUESTO.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9.  Gestión del impuesto. </w:t>
      </w:r>
    </w:p>
    <w:p w:rsidR="00E302EC" w:rsidRDefault="00FC4F28">
      <w:pPr>
        <w:spacing w:after="0" w:line="259" w:lineRule="auto"/>
        <w:ind w:left="269" w:firstLine="0"/>
        <w:jc w:val="left"/>
      </w:pPr>
      <w:r>
        <w:rPr>
          <w:b/>
        </w:rPr>
        <w:t xml:space="preserve"> </w:t>
      </w:r>
    </w:p>
    <w:p w:rsidR="00E302EC" w:rsidRDefault="00FC4F28">
      <w:pPr>
        <w:ind w:left="279" w:right="253"/>
      </w:pPr>
      <w:r>
        <w:t>1. Los sujetos pasivos vendrán obligados a present</w:t>
      </w:r>
      <w:r>
        <w:t xml:space="preserve">ar ante el Ayuntamiento la correspondiente autoliquidación e ingresar el importe resultante de la misma.  Dicha autoliquidación deberá ser presentada en los siguientes plazos, a contar desde la fecha en que se produzca el devengo del impuesto: </w:t>
      </w:r>
    </w:p>
    <w:p w:rsidR="00E302EC" w:rsidRDefault="00FC4F28">
      <w:pPr>
        <w:numPr>
          <w:ilvl w:val="0"/>
          <w:numId w:val="105"/>
        </w:numPr>
        <w:ind w:right="218" w:hanging="259"/>
      </w:pPr>
      <w:r>
        <w:t>Cuando se t</w:t>
      </w:r>
      <w:r>
        <w:t xml:space="preserve">rate de actos ínter vivos, el plazo será de treinta días hábiles. </w:t>
      </w:r>
    </w:p>
    <w:p w:rsidR="00E302EC" w:rsidRDefault="00FC4F28">
      <w:pPr>
        <w:numPr>
          <w:ilvl w:val="0"/>
          <w:numId w:val="105"/>
        </w:numPr>
        <w:ind w:right="218" w:hanging="259"/>
      </w:pPr>
      <w:r>
        <w:t>Cuando se trate de actos por causa de muerte, el plazo será de seis meses prorrogables hasta un año a solicitud del sujeto pasivo. Para que pueda estimarse la solicitud de prórroga por la A</w:t>
      </w:r>
      <w:r>
        <w:t xml:space="preserve">dministración Tributaria Municipal, ésta deberá presentarse antes de que finalice el plazo inicial de seis meses. </w:t>
      </w:r>
    </w:p>
    <w:p w:rsidR="00E302EC" w:rsidRDefault="00FC4F28">
      <w:pPr>
        <w:ind w:left="279" w:right="184"/>
      </w:pPr>
      <w:r>
        <w:t xml:space="preserve">2.  La autoliquidación deberá contener todos los elementos de la relación tributaria que sean imprescindibles para practicar la liquidación procedente y, en todo caso, los siguientes: </w:t>
      </w:r>
    </w:p>
    <w:p w:rsidR="00E302EC" w:rsidRDefault="00FC4F28">
      <w:pPr>
        <w:numPr>
          <w:ilvl w:val="0"/>
          <w:numId w:val="106"/>
        </w:numPr>
        <w:ind w:right="184" w:hanging="247"/>
      </w:pPr>
      <w:r>
        <w:t>Nombre y apellidos o razón social del sujeto pasivo, contribuyente y, e</w:t>
      </w:r>
      <w:r>
        <w:t xml:space="preserve">n su caso, del sustituto del contribuyente, N.I.F de éstos, y sus domicilios, así como los mismos datos de los demás intervinientes en el hecho, acto o negocio jurídico determinante del devengo del impuesto. </w:t>
      </w:r>
    </w:p>
    <w:p w:rsidR="00E302EC" w:rsidRDefault="00FC4F28">
      <w:pPr>
        <w:numPr>
          <w:ilvl w:val="0"/>
          <w:numId w:val="106"/>
        </w:numPr>
        <w:ind w:right="184" w:hanging="247"/>
      </w:pPr>
      <w:r>
        <w:t>En su caso, nombre y apellidos del representant</w:t>
      </w:r>
      <w:r>
        <w:t xml:space="preserve">e del sujeto pasivo ante la Administración Municipal, N.I.F. de éste, así como su domicilio. </w:t>
      </w:r>
    </w:p>
    <w:p w:rsidR="00E302EC" w:rsidRDefault="00FC4F28">
      <w:pPr>
        <w:numPr>
          <w:ilvl w:val="0"/>
          <w:numId w:val="106"/>
        </w:numPr>
        <w:ind w:right="184" w:hanging="247"/>
      </w:pPr>
      <w:r>
        <w:t xml:space="preserve">Lugar y Notario autorizante de la escritura, número de protocolo y fecha de la misma. </w:t>
      </w:r>
    </w:p>
    <w:p w:rsidR="00E302EC" w:rsidRDefault="00FC4F28">
      <w:pPr>
        <w:ind w:left="279" w:right="184"/>
      </w:pPr>
      <w:r>
        <w:t xml:space="preserve">d)Situación física y referencia catastral del inmueble. </w:t>
      </w:r>
    </w:p>
    <w:p w:rsidR="00E302EC" w:rsidRDefault="00FC4F28">
      <w:pPr>
        <w:numPr>
          <w:ilvl w:val="0"/>
          <w:numId w:val="107"/>
        </w:numPr>
        <w:ind w:right="184" w:hanging="259"/>
      </w:pPr>
      <w:r>
        <w:t>Participación adqu</w:t>
      </w:r>
      <w:r>
        <w:t xml:space="preserve">irida, cuota de copropiedad y, en su caso, solicitud de división. </w:t>
      </w:r>
    </w:p>
    <w:p w:rsidR="00E302EC" w:rsidRDefault="00FC4F28">
      <w:pPr>
        <w:numPr>
          <w:ilvl w:val="0"/>
          <w:numId w:val="107"/>
        </w:numPr>
        <w:ind w:right="184" w:hanging="259"/>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7701" name="Group 24770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0777" name="Rectangle 2077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0778" name="Rectangle 20778"/>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Gestiona | Página 108</w:t>
                              </w:r>
                              <w:r>
                                <w:rPr>
                                  <w:sz w:val="12"/>
                                </w:rPr>
                                <w:t xml:space="preserve">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7701" style="width:12.7031pt;height:273.276pt;position:absolute;mso-position-horizontal-relative:page;mso-position-horizontal:absolute;margin-left:682.278pt;mso-position-vertical-relative:page;margin-top:538.644pt;" coordsize="1613,34706">
                <v:rect id="Rectangle 2077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0778"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159 </w:t>
                        </w:r>
                      </w:p>
                    </w:txbxContent>
                  </v:textbox>
                </v:rect>
                <w10:wrap type="square"/>
              </v:group>
            </w:pict>
          </mc:Fallback>
        </mc:AlternateContent>
      </w:r>
      <w:r>
        <w:t xml:space="preserve">Número de años a lo largo de los cuales se ha puesto de manifiesto el incremento del valor de los terrenos y fecha de realización anterior del hecho imponible. </w:t>
      </w:r>
    </w:p>
    <w:p w:rsidR="00E302EC" w:rsidRDefault="00FC4F28">
      <w:pPr>
        <w:numPr>
          <w:ilvl w:val="0"/>
          <w:numId w:val="107"/>
        </w:numPr>
        <w:ind w:right="184" w:hanging="259"/>
      </w:pPr>
      <w:r>
        <w:t>Opción, en su caso, por el método de determinación directa o real de la base imponible</w:t>
      </w:r>
      <w:r>
        <w:t xml:space="preserve">.  </w:t>
      </w:r>
    </w:p>
    <w:p w:rsidR="00E302EC" w:rsidRDefault="00FC4F28">
      <w:pPr>
        <w:numPr>
          <w:ilvl w:val="0"/>
          <w:numId w:val="107"/>
        </w:numPr>
        <w:ind w:right="184" w:hanging="259"/>
      </w:pPr>
      <w:r>
        <w:t xml:space="preserve">En su caso, solicitud de beneficios fiscales que se consideren procedentes y justificación. </w:t>
      </w:r>
    </w:p>
    <w:p w:rsidR="00E302EC" w:rsidRDefault="00FC4F28">
      <w:pPr>
        <w:ind w:left="279" w:right="184"/>
      </w:pPr>
      <w:r>
        <w:t xml:space="preserve">3. En el caso de actos mortis causa, se acompañará además a la autoliquidación la siguiente documentación: </w:t>
      </w:r>
    </w:p>
    <w:p w:rsidR="00E302EC" w:rsidRDefault="00FC4F28">
      <w:pPr>
        <w:numPr>
          <w:ilvl w:val="0"/>
          <w:numId w:val="108"/>
        </w:numPr>
        <w:ind w:right="184" w:hanging="247"/>
      </w:pPr>
      <w:r>
        <w:t>Copia simple de la escritura de la partición heredi</w:t>
      </w:r>
      <w:r>
        <w:t xml:space="preserve">taria, si la hubiera. </w:t>
      </w:r>
    </w:p>
    <w:p w:rsidR="00E302EC" w:rsidRDefault="00FC4F28">
      <w:pPr>
        <w:numPr>
          <w:ilvl w:val="0"/>
          <w:numId w:val="108"/>
        </w:numPr>
        <w:ind w:right="184" w:hanging="247"/>
      </w:pPr>
      <w:r>
        <w:t xml:space="preserve">Copia de la declaración o autoliquidación presentada a efectos del Impuesto sobre Sucesiones y Donaciones. </w:t>
      </w:r>
    </w:p>
    <w:p w:rsidR="00E302EC" w:rsidRDefault="00FC4F28">
      <w:pPr>
        <w:numPr>
          <w:ilvl w:val="0"/>
          <w:numId w:val="108"/>
        </w:numPr>
        <w:ind w:right="184" w:hanging="247"/>
      </w:pPr>
      <w:r>
        <w:t xml:space="preserve">Copia del certificado de defunción. </w:t>
      </w:r>
    </w:p>
    <w:p w:rsidR="00E302EC" w:rsidRDefault="00FC4F28">
      <w:pPr>
        <w:numPr>
          <w:ilvl w:val="0"/>
          <w:numId w:val="108"/>
        </w:numPr>
        <w:ind w:right="184" w:hanging="247"/>
      </w:pPr>
      <w:r>
        <w:t xml:space="preserve">Copia de certificación de actos de última voluntad. </w:t>
      </w:r>
    </w:p>
    <w:p w:rsidR="00E302EC" w:rsidRDefault="00FC4F28">
      <w:pPr>
        <w:numPr>
          <w:ilvl w:val="0"/>
          <w:numId w:val="108"/>
        </w:numPr>
        <w:ind w:right="184" w:hanging="247"/>
      </w:pPr>
      <w:r>
        <w:t xml:space="preserve">Copia del testamento, en su caso. </w:t>
      </w:r>
    </w:p>
    <w:p w:rsidR="00E302EC" w:rsidRDefault="00FC4F28">
      <w:pPr>
        <w:numPr>
          <w:ilvl w:val="0"/>
          <w:numId w:val="109"/>
        </w:numPr>
        <w:ind w:right="217"/>
      </w:pPr>
      <w:r>
        <w:t>También estará obligado a presentar la autoliquidación sin ingreso el interesado en acreditar la inexistencia de incremento de valor, que deberá declarar la transmisión, así como aportar los títulos que documenten la transmisión y la adquisición, acompañad</w:t>
      </w:r>
      <w:r>
        <w:t xml:space="preserve">o de los elementos de prueba donde conste el valor de aquél en el momento de su transmisión y adquisición. </w:t>
      </w:r>
    </w:p>
    <w:p w:rsidR="00E302EC" w:rsidRDefault="00FC4F28">
      <w:pPr>
        <w:numPr>
          <w:ilvl w:val="0"/>
          <w:numId w:val="109"/>
        </w:numPr>
        <w:ind w:right="217"/>
      </w:pPr>
      <w:r>
        <w:t>El Ayuntamiento podrá aprobar un modelo normalizado de autoliquidación, que establecerá la forma, lugar y plazos de su presentación y, en su caso, i</w:t>
      </w:r>
      <w:r>
        <w:t xml:space="preserve">ngreso de la deuda tributaria, así como los supuestos y condiciones de presentación por medios telemáticos.  </w:t>
      </w:r>
    </w:p>
    <w:p w:rsidR="00E302EC" w:rsidRDefault="00FC4F28">
      <w:pPr>
        <w:numPr>
          <w:ilvl w:val="0"/>
          <w:numId w:val="109"/>
        </w:numPr>
        <w:ind w:right="217"/>
      </w:pPr>
      <w:r>
        <w:t>Sin perjuicio de las facultades de comprobación de los valores declarados por el interesado o el sujeto pasivo a los efectos de lo dispuesto en lo</w:t>
      </w:r>
      <w:r>
        <w:t>s artículos 2.7 y 5.7 respectivamente, el ayuntamiento solo podrá comprobar que se han efectuado mediante la aplicación correcta de las normas reguladoras del impuesto, sin que puedan atribuirse valores, bases o cuotas diferentes de las resultantes de tale</w:t>
      </w:r>
      <w:r>
        <w:t xml:space="preserve">s normas. </w:t>
      </w:r>
    </w:p>
    <w:p w:rsidR="00E302EC" w:rsidRDefault="00FC4F28">
      <w:pPr>
        <w:numPr>
          <w:ilvl w:val="0"/>
          <w:numId w:val="109"/>
        </w:numPr>
        <w:ind w:right="217"/>
      </w:pPr>
      <w:r>
        <w:t xml:space="preserve">En ningún caso podrá exigirse el impuesto en régimen de autoliquidación cuando se trate del supuesto a que se refiere el artículo 5.3.a), párrafo tercero, de la presente Ordenanza fiscal.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10.  Obligación de comunicación. </w:t>
      </w:r>
    </w:p>
    <w:p w:rsidR="00E302EC" w:rsidRDefault="00FC4F28">
      <w:pPr>
        <w:spacing w:after="0" w:line="259" w:lineRule="auto"/>
        <w:ind w:left="269" w:firstLine="0"/>
        <w:jc w:val="left"/>
      </w:pPr>
      <w:r>
        <w:t xml:space="preserve">  </w:t>
      </w:r>
    </w:p>
    <w:p w:rsidR="00E302EC" w:rsidRDefault="00FC4F28">
      <w:pPr>
        <w:ind w:left="279" w:right="184"/>
      </w:pPr>
      <w:r>
        <w:t xml:space="preserve">1. Están obligados a comunicar al Ayuntamiento la realización del hecho imponible en los mismos plazos que los sujetos pasivos:  </w:t>
      </w:r>
    </w:p>
    <w:p w:rsidR="00E302EC" w:rsidRDefault="00FC4F28">
      <w:pPr>
        <w:numPr>
          <w:ilvl w:val="0"/>
          <w:numId w:val="110"/>
        </w:numPr>
        <w:ind w:right="217"/>
      </w:pPr>
      <w:r>
        <w:t>En los supuestos contemplados en el artículo 3.a) de esta Ordenanza, siempre que se hayan producido por negocio jurídico "inte</w:t>
      </w:r>
      <w:r>
        <w:t xml:space="preserve">r vivos", el donante o la persona que constituya o transmita el derecho real de que se trate.  </w:t>
      </w:r>
    </w:p>
    <w:p w:rsidR="00E302EC" w:rsidRDefault="00FC4F28">
      <w:pPr>
        <w:numPr>
          <w:ilvl w:val="0"/>
          <w:numId w:val="110"/>
        </w:numPr>
        <w:ind w:right="217"/>
      </w:pPr>
      <w:r>
        <w:t>En los supuestos contemplados en el artículo 3.b) de esta Ordenanza, el adquirente o la persona a cuyo favor se constituya o transmita el derecho real de que se</w:t>
      </w:r>
      <w:r>
        <w:t xml:space="preserve"> trate.   </w:t>
      </w:r>
    </w:p>
    <w:p w:rsidR="00E302EC" w:rsidRDefault="00FC4F28">
      <w:pPr>
        <w:ind w:left="279" w:right="184"/>
      </w:pPr>
      <w:r>
        <w:t xml:space="preserve">La comunicación que deban realizar las personas indicadas deberá contener los mismos datos que aparecen recogidos en el artículo anterior.  </w:t>
      </w:r>
    </w:p>
    <w:p w:rsidR="00E302EC" w:rsidRDefault="00FC4F28">
      <w:pPr>
        <w:numPr>
          <w:ilvl w:val="0"/>
          <w:numId w:val="111"/>
        </w:numPr>
        <w:ind w:right="217"/>
      </w:pPr>
      <w:r>
        <w:t>Asimismo, los Notarios estarán obligados a remitir al Ayuntamiento, dentro de la primera quincena de cad</w:t>
      </w:r>
      <w:r>
        <w:t>a trimestre, relación o índice compresivo de todos los documentos por ellos autorizados en el trimestre anterior, en los que se contengan hechos, actos o negocios jurídicos que pongan de manifiesto la realización del hecho imponible de este Impuesto, con e</w:t>
      </w:r>
      <w:r>
        <w:t xml:space="preserve">xcepción de los actos de última voluntad.  </w:t>
      </w:r>
    </w:p>
    <w:p w:rsidR="00E302EC" w:rsidRDefault="00FC4F28">
      <w:pPr>
        <w:ind w:left="279" w:right="249"/>
      </w:pPr>
      <w:r>
        <w:t>También estarán obligados a remitir, dentro del mismo plazo, relación de los documentos privados, compresivos de los mismos hechos, actos negocios jurídicos, que les hayan sido presentados para conocimiento o leg</w:t>
      </w:r>
      <w:r>
        <w:t xml:space="preserve">itimación de firmas.  </w:t>
      </w:r>
    </w:p>
    <w:p w:rsidR="00E302EC" w:rsidRDefault="00FC4F28">
      <w:pPr>
        <w:ind w:left="279" w:right="252"/>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8146" name="Group 24814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0895" name="Rectangle 2089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0896" name="Rectangle 20896"/>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109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8146" style="width:12.7031pt;height:273.276pt;position:absolute;mso-position-horizontal-relative:page;mso-position-horizontal:absolute;margin-left:682.278pt;mso-position-vertical-relative:page;margin-top:538.644pt;" coordsize="1613,34706">
                <v:rect id="Rectangle 2089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0896"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159 </w:t>
                        </w:r>
                      </w:p>
                    </w:txbxContent>
                  </v:textbox>
                </v:rect>
                <w10:wrap type="square"/>
              </v:group>
            </w:pict>
          </mc:Fallback>
        </mc:AlternateContent>
      </w:r>
      <w:r>
        <w:t>Las relaciones o índices citados contendrán, como mínimo, los datos señalados en el artículo 9 y, además, el nombre y apellidos del adquirente, su N.I.F. y su domicilio, así como la referencia catastral de los bienes inmuebles cuando dicha referencia se co</w:t>
      </w:r>
      <w:r>
        <w:t xml:space="preserve">rresponda con los que sean objeto de transmisión.  </w:t>
      </w:r>
    </w:p>
    <w:p w:rsidR="00E302EC" w:rsidRDefault="00FC4F28">
      <w:pPr>
        <w:numPr>
          <w:ilvl w:val="0"/>
          <w:numId w:val="111"/>
        </w:numPr>
        <w:ind w:right="217"/>
      </w:pPr>
      <w:r>
        <w:t xml:space="preserve">Lo prevenido en el apartado anterior se entiende sin perjuicio del deber general de colaboración establecido en la Ley General Tributaria.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Artículo 11.  Colaboración y cooperación interadministrativa</w:t>
      </w:r>
      <w:r>
        <w:rPr>
          <w:b/>
        </w:rPr>
        <w:t xml:space="preserve">. </w:t>
      </w:r>
    </w:p>
    <w:p w:rsidR="00E302EC" w:rsidRDefault="00FC4F28">
      <w:pPr>
        <w:ind w:left="279" w:right="248"/>
      </w:pPr>
      <w:r>
        <w:t>A los efectos de la aplicación del impuesto, en particular en relación con el supuesto de no sujeción previsto en el artículo 2.7, así como para la determinación de la base imponible mediante el método de estimación directa, de acuerdo con el artículo 5</w:t>
      </w:r>
      <w:r>
        <w:t xml:space="preserve">.7 podrá suscribirse el correspondiente convenio de intercambio de información tributaria y de colaboración con la Agencia Tributaria Canaria.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Artículo 12. Competencias sobre gestión y recaudación </w:t>
      </w:r>
    </w:p>
    <w:p w:rsidR="00E302EC" w:rsidRDefault="00FC4F28">
      <w:pPr>
        <w:numPr>
          <w:ilvl w:val="0"/>
          <w:numId w:val="112"/>
        </w:numPr>
        <w:ind w:right="216"/>
      </w:pPr>
      <w:r>
        <w:t>La recaudación de este impuesto se realizará de acuerd</w:t>
      </w:r>
      <w:r>
        <w:t xml:space="preserve">o con lo previsto en la Ley General Tributaria, el Reglamento General de Recaudación y en las demás Leyes del Estado reguladores de la materia, así como en las disposiciones dictadas para su desarrollo. </w:t>
      </w:r>
    </w:p>
    <w:p w:rsidR="00E302EC" w:rsidRDefault="00FC4F28">
      <w:pPr>
        <w:numPr>
          <w:ilvl w:val="0"/>
          <w:numId w:val="112"/>
        </w:numPr>
        <w:ind w:right="216"/>
      </w:pPr>
      <w:r>
        <w:t>En el caso de que la gestión y recaudación del prese</w:t>
      </w:r>
      <w:r>
        <w:t>nte impuesto se encontrara atribuida al Consorcio de Tributos de Tenerife, en virtud de un acuerdo de encomienda vigente, le corresponderán las competencias sobre gestión, liquidación, inspección y recaudación, así como la revisión de los actos dictados en</w:t>
      </w:r>
      <w:r>
        <w:t xml:space="preserve"> vía de gestión tributaria, siendo de aplicación la Ordenanza fiscal general de dicho Organismo, relativa a los tributos y demás ingresos de derecho público encomendados.  </w:t>
      </w:r>
    </w:p>
    <w:p w:rsidR="00E302EC" w:rsidRDefault="00FC4F28">
      <w:pPr>
        <w:spacing w:after="0" w:line="259" w:lineRule="auto"/>
        <w:ind w:left="269" w:firstLine="0"/>
        <w:jc w:val="left"/>
      </w:pPr>
      <w:r>
        <w:t xml:space="preserve"> </w:t>
      </w:r>
    </w:p>
    <w:p w:rsidR="00E302EC" w:rsidRDefault="00FC4F28">
      <w:pPr>
        <w:spacing w:after="0" w:line="259" w:lineRule="auto"/>
        <w:ind w:left="269" w:firstLine="0"/>
        <w:jc w:val="left"/>
      </w:pPr>
      <w:r>
        <w:rPr>
          <w:b/>
        </w:rPr>
        <w:t xml:space="preserve"> </w:t>
      </w:r>
    </w:p>
    <w:p w:rsidR="00E302EC" w:rsidRDefault="00FC4F28">
      <w:pPr>
        <w:spacing w:after="0" w:line="259" w:lineRule="auto"/>
        <w:ind w:left="269" w:firstLine="0"/>
        <w:jc w:val="left"/>
      </w:pPr>
      <w:r>
        <w:rPr>
          <w:b/>
        </w:rPr>
        <w:t xml:space="preserve"> </w:t>
      </w:r>
    </w:p>
    <w:p w:rsidR="00E302EC" w:rsidRDefault="00FC4F28">
      <w:pPr>
        <w:spacing w:after="0" w:line="259" w:lineRule="auto"/>
        <w:ind w:left="269" w:firstLine="0"/>
        <w:jc w:val="left"/>
      </w:pPr>
      <w:r>
        <w:rPr>
          <w:b/>
        </w:rPr>
        <w:t xml:space="preserve"> </w:t>
      </w:r>
    </w:p>
    <w:p w:rsidR="00E302EC" w:rsidRDefault="00FC4F28">
      <w:pPr>
        <w:spacing w:after="8" w:line="248" w:lineRule="auto"/>
        <w:ind w:left="279" w:right="183"/>
      </w:pPr>
      <w:r>
        <w:rPr>
          <w:b/>
        </w:rPr>
        <w:t xml:space="preserve">Artículo 13.  Infracciones y sanciones </w:t>
      </w:r>
    </w:p>
    <w:p w:rsidR="00E302EC" w:rsidRDefault="00FC4F28">
      <w:pPr>
        <w:spacing w:after="0" w:line="259" w:lineRule="auto"/>
        <w:ind w:left="269" w:firstLine="0"/>
        <w:jc w:val="left"/>
      </w:pPr>
      <w:r>
        <w:t xml:space="preserve"> </w:t>
      </w:r>
    </w:p>
    <w:p w:rsidR="00E302EC" w:rsidRDefault="00FC4F28">
      <w:pPr>
        <w:numPr>
          <w:ilvl w:val="0"/>
          <w:numId w:val="113"/>
        </w:numPr>
        <w:ind w:right="251"/>
      </w:pPr>
      <w:r>
        <w:t>En todo lo relativo a infraccione</w:t>
      </w:r>
      <w:r>
        <w:t xml:space="preserve">s tributarias y sanciones se aplicará el régimen establecido en el Título IV de la Ley General Tributaria, en las disposiciones que la complementen y desarrollen, así como en la Ordenanza Fiscal General de Gestión, Recaudación e Inspección. </w:t>
      </w:r>
    </w:p>
    <w:p w:rsidR="00E302EC" w:rsidRDefault="00FC4F28">
      <w:pPr>
        <w:numPr>
          <w:ilvl w:val="0"/>
          <w:numId w:val="113"/>
        </w:numPr>
        <w:ind w:right="251"/>
      </w:pPr>
      <w:r>
        <w:t>En particular, se considerará infracción tributaria simple, de acuerdo con lo previsto en el art. 198 de la Ley General Tributaria, la no presentación en plazo de la autoliquidación o declaración tributaria, en los casos de no sujeción por razón de inexist</w:t>
      </w:r>
      <w:r>
        <w:t xml:space="preserve">encia de incremento de valor.  </w:t>
      </w:r>
    </w:p>
    <w:p w:rsidR="00E302EC" w:rsidRDefault="00FC4F28">
      <w:pPr>
        <w:spacing w:after="0" w:line="259" w:lineRule="auto"/>
        <w:ind w:left="269" w:firstLine="0"/>
        <w:jc w:val="left"/>
      </w:pPr>
      <w:r>
        <w:t xml:space="preserve"> </w:t>
      </w:r>
    </w:p>
    <w:p w:rsidR="00E302EC" w:rsidRDefault="00FC4F28">
      <w:pPr>
        <w:spacing w:after="8" w:line="248" w:lineRule="auto"/>
        <w:ind w:left="279" w:right="183"/>
      </w:pPr>
      <w:r>
        <w:rPr>
          <w:b/>
        </w:rPr>
        <w:t xml:space="preserve">Disposición Adicional Única. Modificaciones del impuesto. </w:t>
      </w:r>
    </w:p>
    <w:p w:rsidR="00E302EC" w:rsidRDefault="00FC4F28">
      <w:pPr>
        <w:ind w:left="279" w:right="251"/>
      </w:pPr>
      <w:r>
        <w:t>Las modificaciones que se introduzcan en la regulación del impuesto, por las Leyes de Presupuestos Generales del Estado o por cualesquiera otras leyes o disposicio</w:t>
      </w:r>
      <w:r>
        <w:t xml:space="preserve">nes, y que resulten de aplicación directa, producirán, en su caso, la correspondiente modificación tácita de la presente Ordenanza Fiscal. </w:t>
      </w:r>
    </w:p>
    <w:p w:rsidR="00E302EC" w:rsidRDefault="00FC4F28">
      <w:pPr>
        <w:spacing w:after="0" w:line="259" w:lineRule="auto"/>
        <w:ind w:left="269" w:firstLine="0"/>
        <w:jc w:val="left"/>
      </w:pPr>
      <w:r>
        <w:t xml:space="preserve"> </w:t>
      </w:r>
    </w:p>
    <w:p w:rsidR="00E302EC" w:rsidRDefault="00FC4F28">
      <w:pPr>
        <w:spacing w:after="42" w:line="248" w:lineRule="auto"/>
        <w:ind w:left="279" w:right="183"/>
      </w:pPr>
      <w:r>
        <w:rPr>
          <w:b/>
        </w:rPr>
        <w:t xml:space="preserve">Disposición final única. Entrada en vigor.  </w:t>
      </w:r>
    </w:p>
    <w:p w:rsidR="00E302EC" w:rsidRDefault="00FC4F28">
      <w:pPr>
        <w:ind w:left="279" w:right="184"/>
      </w:pPr>
      <w:r>
        <w:t xml:space="preserve">Esta Ordenanza entrará en vigor al día siguiente a su publicación.”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7875" name="Group 24787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003" name="Rectangle 2100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004" name="Rectangle 21004"/>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110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7875" style="width:12.7031pt;height:273.276pt;position:absolute;mso-position-horizontal-relative:page;mso-position-horizontal:absolute;margin-left:682.278pt;mso-position-vertical-relative:page;margin-top:538.644pt;" coordsize="1613,34706">
                <v:rect id="Rectangle 2100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004"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159 </w:t>
                        </w:r>
                      </w:p>
                    </w:txbxContent>
                  </v:textbox>
                </v:rect>
                <w10:wrap type="square"/>
              </v:group>
            </w:pict>
          </mc:Fallback>
        </mc:AlternateContent>
      </w:r>
      <w:r>
        <w:rPr>
          <w:b/>
        </w:rPr>
        <w:t>SEGUNDO. - Dar al expediente la tramitación y publicidad</w:t>
      </w:r>
      <w:r>
        <w:rPr>
          <w:b/>
        </w:rPr>
        <w:t xml:space="preserve"> preceptiva, mediante exposición del mismo en el Tablón de Anuncios de este Ayuntamiento y en el Boletín Oficial de la Provincia de Santa Cruz de Tenerife, por plazo de treinta días, dentro de los cuales los interesados podrán examinarlo y plantear las rec</w:t>
      </w:r>
      <w:r>
        <w:rPr>
          <w:b/>
        </w:rPr>
        <w:t xml:space="preserve">lamaciones que estimen oportunas.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Asimismo, estará a disposición de los interesados en la sede electrónica de este  </w:t>
      </w:r>
    </w:p>
    <w:p w:rsidR="00E302EC" w:rsidRDefault="00FC4F28">
      <w:pPr>
        <w:spacing w:after="0" w:line="259" w:lineRule="auto"/>
        <w:ind w:left="284" w:firstLine="0"/>
        <w:jc w:val="left"/>
      </w:pPr>
      <w:r>
        <w:t xml:space="preserve"> </w:t>
      </w:r>
    </w:p>
    <w:p w:rsidR="00E302EC" w:rsidRDefault="00FC4F28">
      <w:pPr>
        <w:ind w:left="279" w:right="184"/>
      </w:pPr>
      <w:r>
        <w:t xml:space="preserve">Ayuntamiento en las siguientes direcciones electrónicas: </w:t>
      </w:r>
    </w:p>
    <w:p w:rsidR="00E302EC" w:rsidRDefault="00FC4F28">
      <w:pPr>
        <w:spacing w:after="0" w:line="259" w:lineRule="auto"/>
        <w:ind w:left="284" w:firstLine="0"/>
        <w:jc w:val="left"/>
      </w:pPr>
      <w:r>
        <w:t xml:space="preserve"> </w:t>
      </w:r>
    </w:p>
    <w:p w:rsidR="00E302EC" w:rsidRDefault="00FC4F28">
      <w:pPr>
        <w:spacing w:after="0" w:line="259" w:lineRule="auto"/>
        <w:ind w:left="279"/>
        <w:jc w:val="left"/>
      </w:pPr>
      <w:r>
        <w:rPr>
          <w:color w:val="0000FF"/>
          <w:u w:val="single" w:color="0000FF"/>
        </w:rPr>
        <w:t>https://sedeelectronica.candelaria.es/publico/tablon</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79"/>
        <w:jc w:val="left"/>
      </w:pPr>
      <w:r>
        <w:rPr>
          <w:color w:val="3C61AA"/>
          <w:u w:val="single" w:color="3C61AA"/>
        </w:rPr>
        <w:t>https://sedeelectronica.candelaria.es/transparencia/indice/indicador/IT20/153</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TERCERO. - Considerar, en el supuesto de que no se presenten reclamaciones al expediente, en el plazo anteriormente indicado, que el Acuerdo es definitivo, de conformidad con </w:t>
      </w:r>
      <w:r>
        <w:rPr>
          <w:b/>
        </w:rPr>
        <w:t xml:space="preserve">el artículo 17.3 del TRLRHL. </w:t>
      </w:r>
    </w:p>
    <w:p w:rsidR="00E302EC" w:rsidRDefault="00FC4F28">
      <w:pPr>
        <w:spacing w:after="0" w:line="259" w:lineRule="auto"/>
        <w:ind w:left="284" w:firstLine="0"/>
        <w:jc w:val="left"/>
      </w:pPr>
      <w:r>
        <w:rPr>
          <w:b/>
        </w:rPr>
        <w:t xml:space="preserve"> </w:t>
      </w:r>
    </w:p>
    <w:p w:rsidR="00E302EC" w:rsidRDefault="00FC4F28">
      <w:pPr>
        <w:spacing w:after="98"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98" w:line="259" w:lineRule="auto"/>
        <w:ind w:left="284" w:firstLine="0"/>
        <w:jc w:val="left"/>
      </w:pPr>
      <w:r>
        <w:rPr>
          <w:b/>
          <w:sz w:val="24"/>
        </w:rPr>
        <w:t xml:space="preserve"> </w:t>
      </w:r>
    </w:p>
    <w:p w:rsidR="00E302EC" w:rsidRDefault="00FC4F28">
      <w:pPr>
        <w:spacing w:after="98" w:line="259" w:lineRule="auto"/>
        <w:ind w:left="284" w:firstLine="0"/>
        <w:jc w:val="left"/>
      </w:pPr>
      <w:r>
        <w:rPr>
          <w:b/>
          <w:sz w:val="24"/>
        </w:rPr>
        <w:t xml:space="preserve"> </w:t>
      </w:r>
    </w:p>
    <w:p w:rsidR="00E302EC" w:rsidRDefault="00FC4F28">
      <w:pPr>
        <w:spacing w:after="0" w:line="259" w:lineRule="auto"/>
        <w:ind w:left="284" w:firstLine="0"/>
        <w:jc w:val="left"/>
      </w:pPr>
      <w:r>
        <w:rPr>
          <w:b/>
          <w:sz w:val="24"/>
        </w:rPr>
        <w:t xml:space="preserve"> </w:t>
      </w:r>
    </w:p>
    <w:p w:rsidR="00E302EC" w:rsidRDefault="00FC4F28">
      <w:pPr>
        <w:spacing w:after="93" w:line="249" w:lineRule="auto"/>
        <w:ind w:left="279" w:right="183"/>
      </w:pPr>
      <w:r>
        <w:rPr>
          <w:b/>
          <w:sz w:val="24"/>
        </w:rPr>
        <w:t>5.- Expediente 1782/2022. Propuesta de la Alcaldesa-Presidenta de fecha 23 de marzo de 2022 al Pleno de revocación de la dedicación exclusiva y retribuciones de Don Reinaldo José Triviño Blanco a petición pro</w:t>
      </w:r>
      <w:r>
        <w:rPr>
          <w:b/>
          <w:sz w:val="24"/>
        </w:rPr>
        <w:t>pia según instancia de 21 de marzo de 2022.</w:t>
      </w:r>
      <w:r>
        <w:t xml:space="preserve"> </w:t>
      </w:r>
    </w:p>
    <w:p w:rsidR="00E302EC" w:rsidRDefault="00FC4F28">
      <w:pPr>
        <w:spacing w:after="100" w:line="259" w:lineRule="auto"/>
        <w:ind w:left="284" w:firstLine="0"/>
        <w:jc w:val="left"/>
      </w:pPr>
      <w:r>
        <w:rPr>
          <w:b/>
        </w:rPr>
        <w:t xml:space="preserve"> </w:t>
      </w:r>
    </w:p>
    <w:p w:rsidR="00E302EC" w:rsidRDefault="00FC4F28">
      <w:pPr>
        <w:spacing w:after="8" w:line="248" w:lineRule="auto"/>
        <w:ind w:left="279" w:right="183"/>
      </w:pPr>
      <w:r>
        <w:rPr>
          <w:b/>
        </w:rPr>
        <w:t xml:space="preserve"> Consta en el expediente propuesta de la Alcaldesa-Presidenta, de fecha 23 de marzo de 2022, cuyo tenor literal es el siguiente: </w:t>
      </w:r>
    </w:p>
    <w:p w:rsidR="00E302EC" w:rsidRDefault="00FC4F28">
      <w:pPr>
        <w:spacing w:after="118" w:line="259" w:lineRule="auto"/>
        <w:ind w:left="149" w:firstLine="0"/>
        <w:jc w:val="center"/>
      </w:pPr>
      <w:r>
        <w:rPr>
          <w:b/>
        </w:rPr>
        <w:t xml:space="preserve"> </w:t>
      </w:r>
    </w:p>
    <w:p w:rsidR="00E302EC" w:rsidRDefault="00FC4F28">
      <w:pPr>
        <w:pStyle w:val="Ttulo1"/>
        <w:spacing w:after="98"/>
        <w:ind w:left="107" w:right="9"/>
      </w:pPr>
      <w:r>
        <w:t xml:space="preserve">“PROPUESTA DE LA ALCALDESA-PRESIDENTA AL PLENO </w:t>
      </w:r>
    </w:p>
    <w:p w:rsidR="00E302EC" w:rsidRDefault="00FC4F28">
      <w:pPr>
        <w:spacing w:after="113" w:line="248" w:lineRule="auto"/>
        <w:ind w:left="269" w:right="183" w:firstLine="708"/>
      </w:pPr>
      <w:r>
        <w:rPr>
          <w:b/>
        </w:rPr>
        <w:t xml:space="preserve"> </w:t>
      </w:r>
      <w:r>
        <w:rPr>
          <w:b/>
        </w:rPr>
        <w:t xml:space="preserve">Vista la instancia firmada por el Concejal delegado de Planificación y Gestión Urbanística y Vivienda de fecha 21 de marzo de 2022 que dice:  </w:t>
      </w:r>
    </w:p>
    <w:p w:rsidR="00E302EC" w:rsidRDefault="00FC4F28">
      <w:pPr>
        <w:spacing w:after="111" w:line="248" w:lineRule="auto"/>
        <w:ind w:left="279" w:right="180"/>
      </w:pPr>
      <w:r>
        <w:t xml:space="preserve">     </w:t>
      </w:r>
      <w:r>
        <w:rPr>
          <w:i/>
        </w:rPr>
        <w:t>Según acuerdo aprobado en el pleno celebrado el 24 de febrero de 2.022 del nombramiento como Concejal Delega</w:t>
      </w:r>
      <w:r>
        <w:rPr>
          <w:i/>
        </w:rPr>
        <w:t xml:space="preserve">do y la propuesta de régimen de dedicación y retribución de mi persona. </w:t>
      </w:r>
      <w:r>
        <w:t xml:space="preserve"> </w:t>
      </w:r>
    </w:p>
    <w:p w:rsidR="00E302EC" w:rsidRDefault="00FC4F28">
      <w:pPr>
        <w:spacing w:after="111" w:line="248" w:lineRule="auto"/>
        <w:ind w:left="279" w:right="180"/>
      </w:pPr>
      <w:r>
        <w:rPr>
          <w:i/>
        </w:rPr>
        <w:t xml:space="preserve">     Solicita Dejar sin efecto el régimen de dedicación exclusiva y retribución acordada en sesión plenaria celebrada el día 24 de febrero de 2.022, hasta resolver mi situación labor</w:t>
      </w:r>
      <w:r>
        <w:rPr>
          <w:i/>
        </w:rPr>
        <w:t xml:space="preserve">al.  </w:t>
      </w:r>
    </w:p>
    <w:p w:rsidR="00E302EC" w:rsidRDefault="00FC4F28">
      <w:pPr>
        <w:spacing w:after="114" w:line="248" w:lineRule="auto"/>
        <w:ind w:left="269" w:right="183" w:firstLine="708"/>
      </w:pPr>
      <w:r>
        <w:rPr>
          <w:b/>
        </w:rPr>
        <w:t xml:space="preserve">Por lo expuesto, en virtud de lo dispuesto, en el artículo 13.4 del ROF, propongo al Pleno:  </w:t>
      </w:r>
    </w:p>
    <w:p w:rsidR="00E302EC" w:rsidRDefault="00FC4F28">
      <w:pPr>
        <w:spacing w:after="110" w:line="248" w:lineRule="auto"/>
        <w:ind w:left="279" w:right="183"/>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8528" name="Group 24852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119" name="Rectangle 2111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120" name="Rectangle 21120"/>
                        <wps:cNvSpPr/>
                        <wps:spPr>
                          <a:xfrm rot="-5399999">
                            <a:off x="-2091074" y="1190107"/>
                            <a:ext cx="4447773"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111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8528" style="width:12.7031pt;height:273.276pt;position:absolute;mso-position-horizontal-relative:page;mso-position-horizontal:absolute;margin-left:682.278pt;mso-position-vertical-relative:page;margin-top:538.644pt;" coordsize="1613,34706">
                <v:rect id="Rectangle 2111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120" style="position:absolute;width:44477;height:1132;left:-20910;top:119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159 </w:t>
                        </w:r>
                      </w:p>
                    </w:txbxContent>
                  </v:textbox>
                </v:rect>
                <w10:wrap type="square"/>
              </v:group>
            </w:pict>
          </mc:Fallback>
        </mc:AlternateContent>
      </w:r>
      <w:r>
        <w:rPr>
          <w:b/>
        </w:rPr>
        <w:t xml:space="preserve">     </w:t>
      </w:r>
      <w:r>
        <w:rPr>
          <w:b/>
        </w:rPr>
        <w:t xml:space="preserve">La revocación del acuerdo plenario de fecha 24 de febrero de 2022 en el que se aprobó el régimen de dedicación exclusiva y retribuciones del Concejal delegado de Planificación y Gestión Urbanística y Vivienda, Reinaldo José Triviño Blanco, por las razones </w:t>
      </w:r>
      <w:r>
        <w:rPr>
          <w:b/>
        </w:rPr>
        <w:t>personales señaladas por el mismo en su instancia de fecha 21 de marzo de 2022.”</w:t>
      </w:r>
      <w:r>
        <w:t xml:space="preserve"> </w:t>
      </w:r>
    </w:p>
    <w:p w:rsidR="00E302EC" w:rsidRDefault="00FC4F28">
      <w:pPr>
        <w:spacing w:after="215" w:line="259" w:lineRule="auto"/>
        <w:ind w:left="284" w:firstLine="0"/>
        <w:jc w:val="left"/>
      </w:pPr>
      <w:r>
        <w:rPr>
          <w:b/>
        </w:rPr>
        <w:t xml:space="preserve"> </w:t>
      </w:r>
    </w:p>
    <w:p w:rsidR="00E302EC" w:rsidRDefault="00FC4F28">
      <w:pPr>
        <w:spacing w:after="8" w:line="248" w:lineRule="auto"/>
        <w:ind w:left="279" w:right="183"/>
      </w:pPr>
      <w:r>
        <w:rPr>
          <w:b/>
        </w:rPr>
        <w:t xml:space="preserve">DICTAMEN FAVORABLE DE LA COMISIÓN INFORMATIVA DE HACIENDA, RECURSOS HUMANOS Y SERVICIOS GENERALES DE 28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4. </w:t>
      </w:r>
    </w:p>
    <w:p w:rsidR="00E302EC" w:rsidRDefault="00FC4F28">
      <w:pPr>
        <w:ind w:left="279" w:right="184"/>
      </w:pPr>
      <w:r>
        <w:t xml:space="preserve">Los 4 concejales del Grupo </w:t>
      </w:r>
      <w:r>
        <w:t xml:space="preserve">Socialista: Don Airam Pérez Chinea, Don Jorge Baute Delgado, Don José Francisco Pinto Ramos y Don Olegario Francisco Alonso Bello.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spacing w:after="0" w:line="259" w:lineRule="auto"/>
        <w:ind w:left="284" w:firstLine="0"/>
        <w:jc w:val="left"/>
      </w:pPr>
      <w:r>
        <w:t xml:space="preserve"> </w:t>
      </w:r>
    </w:p>
    <w:p w:rsidR="00E302EC" w:rsidRDefault="00FC4F28">
      <w:pPr>
        <w:numPr>
          <w:ilvl w:val="0"/>
          <w:numId w:val="114"/>
        </w:numPr>
        <w:ind w:right="184" w:hanging="184"/>
      </w:pPr>
      <w:r>
        <w:t xml:space="preserve">de la concejal del Grupo Popular, Doña Raquel Martín Castro. </w:t>
      </w:r>
    </w:p>
    <w:p w:rsidR="00E302EC" w:rsidRDefault="00FC4F28">
      <w:pPr>
        <w:spacing w:after="0" w:line="259" w:lineRule="auto"/>
        <w:ind w:left="284" w:firstLine="0"/>
        <w:jc w:val="left"/>
      </w:pPr>
      <w:r>
        <w:t xml:space="preserve"> </w:t>
      </w:r>
    </w:p>
    <w:p w:rsidR="00E302EC" w:rsidRDefault="00FC4F28">
      <w:pPr>
        <w:numPr>
          <w:ilvl w:val="0"/>
          <w:numId w:val="114"/>
        </w:numPr>
        <w:ind w:right="184" w:hanging="184"/>
      </w:pPr>
      <w:r>
        <w:t>de los concejal</w:t>
      </w:r>
      <w:r>
        <w:t xml:space="preserve">es del Grupo Mixto: Doña Lourdes del Carmen Mondéjar Rondón y Doña Alicia Mercedes Marrero Meneses.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420" w:right="183"/>
      </w:pPr>
      <w:r>
        <w:rPr>
          <w:b/>
        </w:rPr>
        <w:t xml:space="preserve">VOTACIÓN EN EL PLENO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13. </w:t>
      </w:r>
    </w:p>
    <w:p w:rsidR="00E302EC" w:rsidRDefault="00FC4F28">
      <w:pPr>
        <w:spacing w:after="100" w:line="259" w:lineRule="auto"/>
        <w:ind w:left="284" w:firstLine="0"/>
        <w:jc w:val="left"/>
      </w:pPr>
      <w:r>
        <w:t xml:space="preserve"> </w:t>
      </w:r>
    </w:p>
    <w:p w:rsidR="00E302EC" w:rsidRDefault="00FC4F28">
      <w:pPr>
        <w:spacing w:after="112"/>
        <w:ind w:left="279" w:right="184"/>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E302EC" w:rsidRDefault="00FC4F28">
      <w:pPr>
        <w:spacing w:after="109"/>
        <w:ind w:left="279" w:right="184"/>
      </w:pPr>
      <w:r>
        <w:t xml:space="preserve">1 concejal del Grupo Popular, Don Jacobo López Fariña. </w:t>
      </w:r>
    </w:p>
    <w:p w:rsidR="00E302EC" w:rsidRDefault="00FC4F28">
      <w:pPr>
        <w:numPr>
          <w:ilvl w:val="0"/>
          <w:numId w:val="115"/>
        </w:numPr>
        <w:spacing w:after="111"/>
        <w:ind w:right="184" w:hanging="184"/>
      </w:pPr>
      <w:r>
        <w:t>de la concejal del Grupo Mixto (VxC): Doña A</w:t>
      </w:r>
      <w:r>
        <w:t xml:space="preserve">licia Mercedes Marrero Meneses.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numPr>
          <w:ilvl w:val="0"/>
          <w:numId w:val="115"/>
        </w:numPr>
        <w:spacing w:after="111"/>
        <w:ind w:right="184" w:hanging="184"/>
      </w:pPr>
      <w:r>
        <w:t xml:space="preserve">de los concejales del Grupo Mixto (SSP): Doña Lourdes del Carmen Mondéjar Rondón y Don Antonio Delgado García. </w:t>
      </w:r>
    </w:p>
    <w:p w:rsidR="00E302EC" w:rsidRDefault="00FC4F28">
      <w:pPr>
        <w:spacing w:after="109"/>
        <w:ind w:left="279" w:right="184"/>
      </w:pPr>
      <w:r>
        <w:t xml:space="preserve">1 de la concejal del Grupo Mixto (CC-PNC): Doña Ángela Cruz Perera.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49884" name="Group 24988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226" name="Rectangle 2122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227" name="Rectangle 21227"/>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112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49884" style="width:12.7031pt;height:273.276pt;position:absolute;mso-position-horizontal-relative:page;mso-position-horizontal:absolute;margin-left:682.278pt;mso-position-vertical-relative:page;margin-top:538.644pt;" coordsize="1613,34706">
                <v:rect id="Rectangle 2122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227"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159 </w:t>
                        </w:r>
                      </w:p>
                    </w:txbxContent>
                  </v:textbox>
                </v:rect>
                <w10:wrap type="square"/>
              </v:group>
            </w:pict>
          </mc:Fallback>
        </mc:AlternateContent>
      </w:r>
      <w:r>
        <w:t>Quedó o</w:t>
      </w:r>
      <w:r>
        <w:t xml:space="preserve">ída.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1712" w:right="183"/>
      </w:pPr>
      <w:r>
        <w:rPr>
          <w:b/>
        </w:rPr>
        <w:t xml:space="preserve">ACUERDO DEL PLENO DE 31 DE MARZO DE 2022 </w:t>
      </w:r>
    </w:p>
    <w:p w:rsidR="00E302EC" w:rsidRDefault="00FC4F28">
      <w:pPr>
        <w:spacing w:after="98" w:line="259" w:lineRule="auto"/>
        <w:ind w:left="284" w:firstLine="0"/>
        <w:jc w:val="left"/>
      </w:pPr>
      <w:r>
        <w:rPr>
          <w:b/>
        </w:rPr>
        <w:t xml:space="preserve">     </w:t>
      </w:r>
    </w:p>
    <w:p w:rsidR="00E302EC" w:rsidRDefault="00FC4F28">
      <w:pPr>
        <w:spacing w:after="116" w:line="248" w:lineRule="auto"/>
        <w:ind w:left="279" w:right="183"/>
      </w:pPr>
      <w:r>
        <w:rPr>
          <w:b/>
        </w:rPr>
        <w:t xml:space="preserve"> La revocación del acuerdo plenario de fecha 24 de febrero de 2022 en </w:t>
      </w:r>
      <w:r>
        <w:rPr>
          <w:b/>
        </w:rPr>
        <w:t>el que se aprobó el régimen de dedicación exclusiva y retribuciones del Concejal delegado de Planificación y Gestión Urbanística y Vivienda, Reinaldo José Triviño Blanco, por las razones personales señaladas por el mismo en su instancia de fecha 21 de marz</w:t>
      </w:r>
      <w:r>
        <w:rPr>
          <w:b/>
        </w:rPr>
        <w:t xml:space="preserve">o de 2022.”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93" w:line="249" w:lineRule="auto"/>
        <w:ind w:left="269" w:right="183" w:firstLine="708"/>
      </w:pPr>
      <w:r>
        <w:rPr>
          <w:b/>
          <w:sz w:val="24"/>
        </w:rPr>
        <w:t>6.- Expediente 6669/2020. Nombramiento a Reinaldo José Triviño Blanco suplente en la en la Asamblea General y en el Consejo Rector de la Junta de Compensación del ASU-1B, Punta Larga-Las Arenas.</w:t>
      </w:r>
      <w:r>
        <w:t xml:space="preserve"> </w:t>
      </w:r>
    </w:p>
    <w:p w:rsidR="00E302EC" w:rsidRDefault="00FC4F28">
      <w:pPr>
        <w:spacing w:after="98" w:line="259" w:lineRule="auto"/>
        <w:ind w:left="284" w:firstLine="0"/>
        <w:jc w:val="left"/>
      </w:pPr>
      <w:r>
        <w:t xml:space="preserve"> </w:t>
      </w:r>
    </w:p>
    <w:p w:rsidR="00E302EC" w:rsidRDefault="00FC4F28">
      <w:pPr>
        <w:spacing w:after="8" w:line="248" w:lineRule="auto"/>
        <w:ind w:left="279" w:right="183"/>
      </w:pPr>
      <w:r>
        <w:rPr>
          <w:b/>
        </w:rPr>
        <w:t>Consta en el expedien</w:t>
      </w:r>
      <w:r>
        <w:rPr>
          <w:b/>
        </w:rPr>
        <w:t xml:space="preserve">te propuesta de la Alcaldesa-Presidenta, de fecha 23 de marzo de 2022, cuyo tenor literal es el siguiente: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19" w:line="259" w:lineRule="auto"/>
        <w:ind w:left="284" w:firstLine="0"/>
        <w:jc w:val="left"/>
      </w:pPr>
      <w:r>
        <w:rPr>
          <w:b/>
        </w:rPr>
        <w:t xml:space="preserve"> </w:t>
      </w:r>
    </w:p>
    <w:p w:rsidR="00E302EC" w:rsidRDefault="00FC4F28">
      <w:pPr>
        <w:pStyle w:val="Ttulo1"/>
        <w:ind w:left="107" w:right="5"/>
      </w:pPr>
      <w:r>
        <w:t xml:space="preserve">“PROPUESTA DE LA ALCALDÍA </w:t>
      </w:r>
    </w:p>
    <w:p w:rsidR="00E302EC" w:rsidRDefault="00FC4F28">
      <w:pPr>
        <w:spacing w:after="0" w:line="259" w:lineRule="auto"/>
        <w:ind w:left="284" w:firstLine="0"/>
        <w:jc w:val="left"/>
      </w:pPr>
      <w:r>
        <w:t xml:space="preserve"> </w:t>
      </w:r>
    </w:p>
    <w:p w:rsidR="00E302EC" w:rsidRDefault="00FC4F28">
      <w:pPr>
        <w:ind w:left="279" w:right="184"/>
      </w:pPr>
      <w:r>
        <w:t xml:space="preserve"> La que suscribe, Alcaldesa-</w:t>
      </w:r>
      <w:r>
        <w:t xml:space="preserve">Presidenta del Ayuntamiento de Candelaria, tiene el honor de someter a la consideración del Ayuntamiento Pleno la siguiente: </w:t>
      </w:r>
    </w:p>
    <w:p w:rsidR="00E302EC" w:rsidRDefault="00FC4F28">
      <w:pPr>
        <w:spacing w:after="0" w:line="259" w:lineRule="auto"/>
        <w:ind w:left="284" w:firstLine="0"/>
        <w:jc w:val="left"/>
      </w:pPr>
      <w:r>
        <w:t xml:space="preserve"> </w:t>
      </w:r>
    </w:p>
    <w:p w:rsidR="00E302EC" w:rsidRDefault="00FC4F28">
      <w:pPr>
        <w:pStyle w:val="Ttulo1"/>
        <w:ind w:left="107" w:right="8"/>
      </w:pPr>
      <w:r>
        <w:t>PROPUESTA</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r>
        <w:tab/>
        <w:t xml:space="preserve"> </w:t>
      </w:r>
    </w:p>
    <w:p w:rsidR="00E302EC" w:rsidRDefault="00FC4F28">
      <w:pPr>
        <w:spacing w:after="115"/>
        <w:ind w:left="279" w:right="184"/>
      </w:pPr>
      <w:r>
        <w:t>1º Nombrar como suplente en representación del Ayuntamiento de Candelaria, como Administración urbanística actuan</w:t>
      </w:r>
      <w:r>
        <w:t xml:space="preserve">te, en la Asamblea General y en el Consejo Rector de la Junta de Compensación del ASU-1B, Punta Larga-Las Arenas a D. Reinaldo José Triviño Blanco. </w:t>
      </w:r>
    </w:p>
    <w:p w:rsidR="00E302EC" w:rsidRDefault="00FC4F28">
      <w:pPr>
        <w:spacing w:after="0" w:line="259" w:lineRule="auto"/>
        <w:ind w:left="992" w:firstLine="0"/>
        <w:jc w:val="left"/>
      </w:pPr>
      <w:r>
        <w:t xml:space="preserve"> </w:t>
      </w:r>
    </w:p>
    <w:p w:rsidR="00E302EC" w:rsidRDefault="00FC4F28">
      <w:pPr>
        <w:ind w:left="279" w:right="184"/>
      </w:pPr>
      <w:r>
        <w:t>2º Dar traslado del presente acuerdo a la Junta de Compensación de ASU 1-B Punta Larga- Arenas.”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0796" name="Group 25079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358" name="Rectangle 2135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w:t>
                              </w:r>
                              <w:r>
                                <w:rPr>
                                  <w:sz w:val="12"/>
                                </w:rPr>
                                <w:t xml:space="preserve"> Validación: 7MT23JRFLY7JHEN56D753ZS5Q | Verificación: https://candelaria.sedelectronica.es/ </w:t>
                              </w:r>
                            </w:p>
                          </w:txbxContent>
                        </wps:txbx>
                        <wps:bodyPr horzOverflow="overflow" vert="horz" lIns="0" tIns="0" rIns="0" bIns="0" rtlCol="0">
                          <a:noAutofit/>
                        </wps:bodyPr>
                      </wps:wsp>
                      <wps:wsp>
                        <wps:cNvPr id="21359" name="Rectangle 21359"/>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113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0796" style="width:12.7031pt;height:273.276pt;position:absolute;mso-position-horizontal-relative:page;mso-position-horizontal:absolute;margin-left:682.278pt;mso-position-vertical-relative:page;margin-top:538.644pt;" coordsize="1613,34706">
                <v:rect id="Rectangle 2135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359"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159 </w:t>
                        </w:r>
                      </w:p>
                    </w:txbxContent>
                  </v:textbox>
                </v:rect>
                <w10:wrap type="square"/>
              </v:group>
            </w:pict>
          </mc:Fallback>
        </mc:AlternateContent>
      </w:r>
      <w:r>
        <w:t xml:space="preserve"> </w:t>
      </w:r>
    </w:p>
    <w:p w:rsidR="00E302EC" w:rsidRDefault="00FC4F28">
      <w:pPr>
        <w:spacing w:after="0" w:line="259" w:lineRule="auto"/>
        <w:ind w:left="992" w:firstLine="0"/>
        <w:jc w:val="left"/>
      </w:pPr>
      <w:r>
        <w:t xml:space="preserve"> </w:t>
      </w:r>
    </w:p>
    <w:p w:rsidR="00E302EC" w:rsidRDefault="00FC4F28">
      <w:pPr>
        <w:tabs>
          <w:tab w:val="center" w:pos="284"/>
          <w:tab w:val="center" w:pos="4170"/>
        </w:tabs>
        <w:ind w:left="0" w:firstLine="0"/>
        <w:jc w:val="left"/>
      </w:pPr>
      <w:r>
        <w:rPr>
          <w:rFonts w:ascii="Calibri" w:eastAsia="Calibri" w:hAnsi="Calibri" w:cs="Calibri"/>
        </w:rPr>
        <w:tab/>
      </w:r>
      <w:r>
        <w:t xml:space="preserve"> </w:t>
      </w:r>
      <w:r>
        <w:tab/>
      </w:r>
      <w:r>
        <w:t xml:space="preserve">No obstante, el Ayuntamiento Pleno acordará lo más procedente. </w:t>
      </w:r>
    </w:p>
    <w:p w:rsidR="00E302EC" w:rsidRDefault="00FC4F28">
      <w:pPr>
        <w:spacing w:after="98"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100" w:line="259" w:lineRule="auto"/>
        <w:ind w:left="284" w:firstLine="0"/>
        <w:jc w:val="left"/>
      </w:pPr>
      <w:r>
        <w:rPr>
          <w:b/>
        </w:rPr>
        <w:t xml:space="preserve"> </w:t>
      </w:r>
    </w:p>
    <w:p w:rsidR="00E302EC" w:rsidRDefault="00FC4F28">
      <w:pPr>
        <w:spacing w:after="214" w:line="259" w:lineRule="auto"/>
        <w:ind w:left="284" w:firstLine="0"/>
        <w:jc w:val="left"/>
      </w:pPr>
      <w:r>
        <w:t xml:space="preserve"> </w:t>
      </w:r>
    </w:p>
    <w:p w:rsidR="00E302EC" w:rsidRDefault="00FC4F28">
      <w:pPr>
        <w:spacing w:after="8" w:line="248" w:lineRule="auto"/>
        <w:ind w:left="279" w:right="183"/>
      </w:pPr>
      <w:r>
        <w:rPr>
          <w:b/>
        </w:rPr>
        <w:t xml:space="preserve">DICTAMEN FAVORABLE DE LA COMISIÓN INFORMATIVA DE P.G. URBANÍSTICA Y AMBIENTAL, OBRAS y SERVICIOS PÚBLICOS DE 28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4. </w:t>
      </w:r>
    </w:p>
    <w:p w:rsidR="00E302EC" w:rsidRDefault="00FC4F28">
      <w:pPr>
        <w:ind w:left="279" w:right="184"/>
      </w:pPr>
      <w:r>
        <w:t>4 de los concejales del Grupo S</w:t>
      </w:r>
      <w:r>
        <w:t xml:space="preserve">ocialista: Don Reinaldo José Triviño Blanco, Doña Hilaria Cecilia Otazo González, Don Jorge Baute Delgado y Doña María del Carmen Clemente Díaz.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numPr>
          <w:ilvl w:val="0"/>
          <w:numId w:val="116"/>
        </w:numPr>
        <w:ind w:right="184" w:hanging="184"/>
      </w:pPr>
      <w:r>
        <w:t xml:space="preserve">de la concejal del Grupo Popular, Doña Raquel Martín Castro. </w:t>
      </w:r>
    </w:p>
    <w:p w:rsidR="00E302EC" w:rsidRDefault="00FC4F28">
      <w:pPr>
        <w:numPr>
          <w:ilvl w:val="0"/>
          <w:numId w:val="116"/>
        </w:numPr>
        <w:ind w:right="184" w:hanging="184"/>
      </w:pPr>
      <w:r>
        <w:t xml:space="preserve">de las concejalas del Grupo Mixto: Doña Lourdes del Carmen Mondéjar Rondón y Doña Alicia Mercedes Marrero Meneses.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3501"/>
      </w:pPr>
      <w:r>
        <w:rPr>
          <w:b/>
        </w:rPr>
        <w:t xml:space="preserve">JUNTA DE PORTAVOCES DE 28 DE MARZO DE 2022  </w:t>
      </w: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VOTACIÓN EN EL PLENO DE 31 DE MARZO DE 2022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13. </w:t>
      </w:r>
    </w:p>
    <w:p w:rsidR="00E302EC" w:rsidRDefault="00FC4F28">
      <w:pPr>
        <w:spacing w:after="98" w:line="259" w:lineRule="auto"/>
        <w:ind w:left="284" w:firstLine="0"/>
        <w:jc w:val="left"/>
      </w:pPr>
      <w:r>
        <w:t xml:space="preserve"> </w:t>
      </w:r>
    </w:p>
    <w:p w:rsidR="00E302EC" w:rsidRDefault="00FC4F28">
      <w:pPr>
        <w:spacing w:after="112"/>
        <w:ind w:left="279" w:right="184"/>
      </w:pPr>
      <w:r>
        <w:t>1</w:t>
      </w:r>
      <w:r>
        <w:t>1 concejales del Grupo Socialista: Doña María Concepción Brito Núñez, Doña Don Jorge Baute Delgado, Doña Olivia Concepción Pérez Díaz, Don José Francisco Pinto Ramos, Doña Hilaria Cecilia Otazo González, Don Airam Pérez Chinea, Doña Margarita Eva Tendero B</w:t>
      </w:r>
      <w:r>
        <w:t xml:space="preserve">arroso, Don Manuel Alberto González Pestano, Doña María del Carmen Clemente Díaz, Don Olegario Francisco Alonso Bello y Don Reinaldo José Triviño Blanco. </w:t>
      </w:r>
    </w:p>
    <w:p w:rsidR="00E302EC" w:rsidRDefault="00FC4F28">
      <w:pPr>
        <w:spacing w:after="109"/>
        <w:ind w:left="279" w:right="184"/>
      </w:pPr>
      <w:r>
        <w:t xml:space="preserve">1 concejal del Grupo Popular, Don Jacobo López Fariña. </w:t>
      </w:r>
    </w:p>
    <w:p w:rsidR="00E302EC" w:rsidRDefault="00FC4F28">
      <w:pPr>
        <w:numPr>
          <w:ilvl w:val="0"/>
          <w:numId w:val="117"/>
        </w:numPr>
        <w:spacing w:after="111"/>
        <w:ind w:right="184" w:hanging="184"/>
      </w:pPr>
      <w:r>
        <w:t xml:space="preserve">de la concejal del Grupo Mixto (VxC): Doña Alicia Mercedes Marrero Meneses.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numPr>
          <w:ilvl w:val="0"/>
          <w:numId w:val="117"/>
        </w:numPr>
        <w:spacing w:after="111"/>
        <w:ind w:right="184" w:hanging="184"/>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0483" name="Group 25048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487" name="Rectangle 2148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488" name="Rectangle 21488"/>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w:t>
                              </w:r>
                              <w:r>
                                <w:rPr>
                                  <w:sz w:val="12"/>
                                </w:rPr>
                                <w:t xml:space="preserve">e desde la plataforma esPublico Gestiona | Página 114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0483" style="width:12.7031pt;height:273.276pt;position:absolute;mso-position-horizontal-relative:page;mso-position-horizontal:absolute;margin-left:682.278pt;mso-position-vertical-relative:page;margin-top:538.644pt;" coordsize="1613,34706">
                <v:rect id="Rectangle 2148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488"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159 </w:t>
                        </w:r>
                      </w:p>
                    </w:txbxContent>
                  </v:textbox>
                </v:rect>
                <w10:wrap type="square"/>
              </v:group>
            </w:pict>
          </mc:Fallback>
        </mc:AlternateContent>
      </w:r>
      <w:r>
        <w:t xml:space="preserve">de los concejales del Grupo Mixto (SSP): Doña Lourdes del Carmen Mondéjar Rondón y Don Antonio Delgado García. </w:t>
      </w:r>
    </w:p>
    <w:p w:rsidR="00E302EC" w:rsidRDefault="00FC4F28">
      <w:pPr>
        <w:spacing w:after="109"/>
        <w:ind w:left="279" w:right="184"/>
      </w:pPr>
      <w:r>
        <w:t xml:space="preserve">1 de la concejal del Grupo Mixto (CC-PNC): Doña Ángela Cruz Perera.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3" w:line="259" w:lineRule="auto"/>
        <w:ind w:left="107" w:right="11"/>
        <w:jc w:val="center"/>
      </w:pPr>
      <w:r>
        <w:rPr>
          <w:b/>
        </w:rPr>
        <w:t xml:space="preserve">ACUERDO DEL PLENO DE 31 DE MARZO DE 2022. </w:t>
      </w:r>
    </w:p>
    <w:p w:rsidR="00E302EC" w:rsidRDefault="00FC4F28">
      <w:pPr>
        <w:spacing w:after="98" w:line="259" w:lineRule="auto"/>
        <w:ind w:left="284" w:firstLine="0"/>
        <w:jc w:val="left"/>
      </w:pPr>
      <w:r>
        <w:t xml:space="preserve"> </w:t>
      </w:r>
    </w:p>
    <w:p w:rsidR="00E302EC" w:rsidRDefault="00FC4F28">
      <w:pPr>
        <w:spacing w:after="111" w:line="248" w:lineRule="auto"/>
        <w:ind w:left="269" w:right="183" w:firstLine="708"/>
      </w:pPr>
      <w:r>
        <w:rPr>
          <w:b/>
        </w:rPr>
        <w:t>1º Nombrar como suplente en representación del Ayuntamiento de Candelaria, como Administración urbanística actuante, en la Asamblea General y en el Consejo Rector de la Junta de Compensación del ASU-</w:t>
      </w:r>
      <w:r>
        <w:rPr>
          <w:b/>
        </w:rPr>
        <w:t>1B, Punta Larga-Las Arenas a D. Reinaldo José Triviño Blanco.</w:t>
      </w:r>
      <w:r>
        <w:t xml:space="preserve"> </w:t>
      </w:r>
    </w:p>
    <w:p w:rsidR="00E302EC" w:rsidRDefault="00FC4F28">
      <w:pPr>
        <w:spacing w:after="0" w:line="259" w:lineRule="auto"/>
        <w:ind w:left="992" w:firstLine="0"/>
        <w:jc w:val="left"/>
      </w:pPr>
      <w:r>
        <w:rPr>
          <w:b/>
        </w:rPr>
        <w:t xml:space="preserve"> </w:t>
      </w:r>
    </w:p>
    <w:p w:rsidR="00E302EC" w:rsidRDefault="00FC4F28">
      <w:pPr>
        <w:spacing w:after="8" w:line="248" w:lineRule="auto"/>
        <w:ind w:left="269" w:right="183" w:firstLine="708"/>
      </w:pPr>
      <w:r>
        <w:rPr>
          <w:b/>
        </w:rPr>
        <w:t>2º Dar traslado del presente acuerdo a la Junta de Compensación de ASU 1-B Punta Larga- Arenas</w:t>
      </w:r>
      <w:r>
        <w:t>.</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98" w:line="259" w:lineRule="auto"/>
        <w:ind w:left="284" w:firstLine="0"/>
        <w:jc w:val="left"/>
      </w:pPr>
      <w:r>
        <w:rPr>
          <w:b/>
          <w:sz w:val="24"/>
        </w:rPr>
        <w:t xml:space="preserve"> </w:t>
      </w:r>
    </w:p>
    <w:p w:rsidR="00E302EC" w:rsidRDefault="00FC4F28">
      <w:pPr>
        <w:spacing w:after="0" w:line="259" w:lineRule="auto"/>
        <w:ind w:left="284" w:firstLine="0"/>
        <w:jc w:val="left"/>
      </w:pPr>
      <w:r>
        <w:rPr>
          <w:b/>
          <w:sz w:val="24"/>
        </w:rPr>
        <w:t xml:space="preserve"> </w:t>
      </w:r>
    </w:p>
    <w:p w:rsidR="00E302EC" w:rsidRDefault="00FC4F28">
      <w:pPr>
        <w:spacing w:after="98" w:line="259" w:lineRule="auto"/>
        <w:ind w:left="284" w:firstLine="0"/>
        <w:jc w:val="left"/>
      </w:pPr>
      <w:r>
        <w:rPr>
          <w:b/>
          <w:sz w:val="24"/>
        </w:rPr>
        <w:t xml:space="preserve"> </w:t>
      </w:r>
    </w:p>
    <w:p w:rsidR="00E302EC" w:rsidRDefault="00FC4F28">
      <w:pPr>
        <w:spacing w:after="93" w:line="249" w:lineRule="auto"/>
        <w:ind w:left="269" w:right="183" w:firstLine="708"/>
      </w:pPr>
      <w:r>
        <w:rPr>
          <w:b/>
          <w:sz w:val="24"/>
        </w:rPr>
        <w:t>7.-</w:t>
      </w:r>
      <w:r>
        <w:rPr>
          <w:sz w:val="24"/>
        </w:rPr>
        <w:t xml:space="preserve">  </w:t>
      </w:r>
      <w:r>
        <w:rPr>
          <w:b/>
          <w:sz w:val="24"/>
        </w:rPr>
        <w:t>Expediente 11258/2019. Nombramiento a Reinaldo José Triviño Blanco supl</w:t>
      </w:r>
      <w:r>
        <w:rPr>
          <w:b/>
          <w:sz w:val="24"/>
        </w:rPr>
        <w:t>ente en la Asamblea General y en el Consejo Rector de la Junta de Compensación Polígono “Los Mangos” SUSO CA5.</w:t>
      </w:r>
      <w:r>
        <w:t xml:space="preserve"> </w:t>
      </w:r>
    </w:p>
    <w:p w:rsidR="00E302EC" w:rsidRDefault="00FC4F28">
      <w:pPr>
        <w:spacing w:after="98" w:line="259" w:lineRule="auto"/>
        <w:ind w:left="284" w:firstLine="0"/>
        <w:jc w:val="left"/>
      </w:pPr>
      <w:r>
        <w:t xml:space="preserve"> </w:t>
      </w:r>
    </w:p>
    <w:p w:rsidR="00E302EC" w:rsidRDefault="00FC4F28">
      <w:pPr>
        <w:spacing w:after="8" w:line="248" w:lineRule="auto"/>
        <w:ind w:left="279" w:right="183"/>
      </w:pPr>
      <w:r>
        <w:rPr>
          <w:b/>
        </w:rPr>
        <w:t xml:space="preserve">Consta en el expediente propuesta de la Alcaldesa-Presidenta, de fecha 23 de marzo 2022, cuyo tenor literal es el siguiente: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112" w:line="259" w:lineRule="auto"/>
        <w:ind w:left="284" w:firstLine="0"/>
        <w:jc w:val="left"/>
      </w:pPr>
      <w:r>
        <w:t xml:space="preserve"> </w:t>
      </w:r>
    </w:p>
    <w:p w:rsidR="00E302EC" w:rsidRDefault="00FC4F28">
      <w:pPr>
        <w:pStyle w:val="Ttulo1"/>
        <w:ind w:left="107" w:right="7"/>
      </w:pPr>
      <w:r>
        <w:rPr>
          <w:b w:val="0"/>
        </w:rPr>
        <w:t xml:space="preserve"> “</w:t>
      </w:r>
      <w:r>
        <w:t>PROPUESTA DE LA ALCALDÍA</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La que suscribe, Alcaldesa-Presidenta del Ayuntamiento de Candelaria, tiene el honor de someter a la consideración del Ayuntamiento Pleno la siguiente  </w:t>
      </w:r>
    </w:p>
    <w:p w:rsidR="00E302EC" w:rsidRDefault="00FC4F28">
      <w:pPr>
        <w:spacing w:after="0" w:line="259" w:lineRule="auto"/>
        <w:ind w:left="284" w:firstLine="0"/>
        <w:jc w:val="left"/>
      </w:pPr>
      <w:r>
        <w:t xml:space="preserve"> </w:t>
      </w:r>
    </w:p>
    <w:p w:rsidR="00E302EC" w:rsidRDefault="00FC4F28">
      <w:pPr>
        <w:pStyle w:val="Ttulo1"/>
        <w:ind w:left="107" w:right="8"/>
      </w:pPr>
      <w:r>
        <w:t>PROPUESTA</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r>
        <w:tab/>
        <w:t xml:space="preserve"> </w:t>
      </w:r>
    </w:p>
    <w:p w:rsidR="00E302EC" w:rsidRDefault="00FC4F28">
      <w:pPr>
        <w:spacing w:after="113"/>
        <w:ind w:left="279" w:right="184"/>
      </w:pPr>
      <w:r>
        <w:t xml:space="preserve">1º Nombrar como suplente en representación del </w:t>
      </w:r>
      <w:r>
        <w:t xml:space="preserve">Ayuntamiento de Candelaria, como Administración urbanística actuante, en la Asamblea General y en el Consejo Rector de la Junta de Compensación Polígono “Los Mangos” SUSO CA5 a D. Reinaldo José Triviño Blanco.  </w:t>
      </w:r>
    </w:p>
    <w:p w:rsidR="00E302EC" w:rsidRDefault="00FC4F28">
      <w:pPr>
        <w:spacing w:after="0" w:line="259" w:lineRule="auto"/>
        <w:ind w:left="992" w:firstLine="0"/>
        <w:jc w:val="left"/>
      </w:pPr>
      <w:r>
        <w:t xml:space="preserve"> </w:t>
      </w:r>
    </w:p>
    <w:p w:rsidR="00E302EC" w:rsidRDefault="00FC4F28">
      <w:pPr>
        <w:spacing w:after="106"/>
        <w:ind w:left="279" w:right="184"/>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1776" name="Group 25177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614" name="Rectangle 2161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615" name="Rectangle 21615"/>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115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1776" style="width:12.7031pt;height:273.276pt;position:absolute;mso-position-horizontal-relative:page;mso-position-horizontal:absolute;margin-left:682.278pt;mso-position-vertical-relative:page;margin-top:538.644pt;" coordsize="1613,34706">
                <v:rect id="Rectangle 2161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615"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159 </w:t>
                        </w:r>
                      </w:p>
                    </w:txbxContent>
                  </v:textbox>
                </v:rect>
                <w10:wrap type="square"/>
              </v:group>
            </w:pict>
          </mc:Fallback>
        </mc:AlternateContent>
      </w:r>
      <w:r>
        <w:t xml:space="preserve">2º Dar traslado del presente acuerdo al Consejo Rector de la </w:t>
      </w:r>
      <w:r>
        <w:t>Junta de Compensación de</w:t>
      </w:r>
      <w:r>
        <w:rPr>
          <w:b/>
        </w:rPr>
        <w:t xml:space="preserve"> </w:t>
      </w:r>
      <w:r>
        <w:t xml:space="preserve">Polígono “Los Mangos” SUSO CA5.” </w:t>
      </w:r>
    </w:p>
    <w:p w:rsidR="00E302EC" w:rsidRDefault="00FC4F28">
      <w:pPr>
        <w:spacing w:after="0" w:line="259" w:lineRule="auto"/>
        <w:ind w:left="992" w:firstLine="0"/>
        <w:jc w:val="left"/>
      </w:pPr>
      <w:r>
        <w:t xml:space="preserve"> </w:t>
      </w:r>
    </w:p>
    <w:p w:rsidR="00E302EC" w:rsidRDefault="00FC4F28">
      <w:pPr>
        <w:spacing w:after="0" w:line="259" w:lineRule="auto"/>
        <w:ind w:left="992" w:firstLine="0"/>
        <w:jc w:val="left"/>
      </w:pPr>
      <w:r>
        <w:t xml:space="preserve"> </w:t>
      </w:r>
    </w:p>
    <w:p w:rsidR="00E302EC" w:rsidRDefault="00FC4F28">
      <w:pPr>
        <w:tabs>
          <w:tab w:val="center" w:pos="284"/>
          <w:tab w:val="center" w:pos="4170"/>
        </w:tabs>
        <w:ind w:left="0" w:firstLine="0"/>
        <w:jc w:val="left"/>
      </w:pPr>
      <w:r>
        <w:rPr>
          <w:rFonts w:ascii="Calibri" w:eastAsia="Calibri" w:hAnsi="Calibri" w:cs="Calibri"/>
        </w:rPr>
        <w:tab/>
      </w:r>
      <w:r>
        <w:t xml:space="preserve"> </w:t>
      </w:r>
      <w:r>
        <w:tab/>
        <w:t xml:space="preserve">No obstante, el Ayuntamiento Pleno acordará lo más procedente.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DICTAMEN FAVORABLE DE LA COMISIÓN INFORMATIVA DE P.G. URBANÍSTICA Y AMBIENTAL, OBRAS y SERVICIOS PÚBLICOS DE 28 DE MARZO D</w:t>
      </w:r>
      <w:r>
        <w:rPr>
          <w:b/>
        </w:rPr>
        <w:t xml:space="preserve">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4. </w:t>
      </w:r>
    </w:p>
    <w:p w:rsidR="00E302EC" w:rsidRDefault="00FC4F28">
      <w:pPr>
        <w:ind w:left="279" w:right="184"/>
      </w:pPr>
      <w:r>
        <w:t xml:space="preserve">4 de los concejales del Grupo Socialista: Don Reinaldo José Triviño Blanco, Doña Hilaria Cecilia Otazo González, Don Jorge Baute Delgado y Doña María del Carmen Clemente Díaz.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numPr>
          <w:ilvl w:val="0"/>
          <w:numId w:val="118"/>
        </w:numPr>
        <w:ind w:right="184" w:hanging="184"/>
      </w:pPr>
      <w:r>
        <w:t xml:space="preserve">de la concejal del Grupo Popular, Doña Raquel Martín Castro. </w:t>
      </w:r>
    </w:p>
    <w:p w:rsidR="00E302EC" w:rsidRDefault="00FC4F28">
      <w:pPr>
        <w:numPr>
          <w:ilvl w:val="0"/>
          <w:numId w:val="118"/>
        </w:numPr>
        <w:ind w:right="184" w:hanging="184"/>
      </w:pPr>
      <w:r>
        <w:t xml:space="preserve">de las concejalas del Grupo Mixto: Doña Lourdes del Carmen Mondéjar Rondón y Doña Alicia Mercedes Marrero Meneses.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3501"/>
      </w:pPr>
      <w:r>
        <w:rPr>
          <w:b/>
        </w:rPr>
        <w:t xml:space="preserve">JUNTA DE PORTAVOCES DE 28 DE MARZO DE 2022  </w:t>
      </w: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VOTACIÓN EN EL</w:t>
      </w:r>
      <w:r>
        <w:rPr>
          <w:b/>
        </w:rPr>
        <w:t xml:space="preserve"> PLENO DE 31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13. </w:t>
      </w:r>
    </w:p>
    <w:p w:rsidR="00E302EC" w:rsidRDefault="00FC4F28">
      <w:pPr>
        <w:spacing w:after="98" w:line="259" w:lineRule="auto"/>
        <w:ind w:left="284" w:firstLine="0"/>
        <w:jc w:val="left"/>
      </w:pPr>
      <w:r>
        <w:t xml:space="preserve"> </w:t>
      </w:r>
    </w:p>
    <w:p w:rsidR="00E302EC" w:rsidRDefault="00FC4F28">
      <w:pPr>
        <w:spacing w:after="112"/>
        <w:ind w:left="279" w:right="184"/>
      </w:pPr>
      <w:r>
        <w:t>11 concejales del Grupo Socialista: Doña María Concepción Brito Núñez, Doña Don Jorge Baute Delgado, Doña Olivia Concepción Pérez Díaz, Don José Francisco Pinto Ramos, Doña Hilaria Cecilia Otazo Gonzál</w:t>
      </w:r>
      <w:r>
        <w:t xml:space="preserve">ez, Don Airam Pérez Chinea, Doña Margarita Eva Tendero Barroso, Don Manuel Alberto González Pestano, Doña María del Carmen Clemente Díaz, Don Olegario Francisco Alonso Bello y Don Reinaldo José Triviño Blanco. </w:t>
      </w:r>
    </w:p>
    <w:p w:rsidR="00E302EC" w:rsidRDefault="00FC4F28">
      <w:pPr>
        <w:spacing w:after="111"/>
        <w:ind w:left="279" w:right="184"/>
      </w:pPr>
      <w:r>
        <w:t>1 concejal del Grupo Popular, Don Jacobo Lópe</w:t>
      </w:r>
      <w:r>
        <w:t xml:space="preserve">z Fariña. </w:t>
      </w:r>
    </w:p>
    <w:p w:rsidR="00E302EC" w:rsidRDefault="00FC4F28">
      <w:pPr>
        <w:numPr>
          <w:ilvl w:val="0"/>
          <w:numId w:val="119"/>
        </w:numPr>
        <w:spacing w:after="109"/>
        <w:ind w:right="184" w:hanging="184"/>
      </w:pPr>
      <w:r>
        <w:t xml:space="preserve">de la concejal del Grupo Mixto (VxC): Doña Alicia Mercedes Marrero Meneses.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numPr>
          <w:ilvl w:val="0"/>
          <w:numId w:val="119"/>
        </w:numPr>
        <w:spacing w:after="115"/>
        <w:ind w:right="184" w:hanging="184"/>
      </w:pPr>
      <w:r>
        <w:t xml:space="preserve">de los concejales del Grupo Mixto (SSP): Doña Lourdes del Carmen Mondéjar Rondón y Don Antonio Delgado García. </w:t>
      </w:r>
    </w:p>
    <w:p w:rsidR="00E302EC" w:rsidRDefault="00FC4F28">
      <w:pPr>
        <w:spacing w:after="106"/>
        <w:ind w:left="279" w:right="184"/>
      </w:pPr>
      <w:r>
        <w:t xml:space="preserve">1 de la concejal del Grupo Mixto (CC-PNC): Doña Ángela Cruz Perera. </w:t>
      </w:r>
    </w:p>
    <w:p w:rsidR="00E302EC" w:rsidRDefault="00FC4F28">
      <w:pPr>
        <w:spacing w:after="98" w:line="259" w:lineRule="auto"/>
        <w:ind w:left="284" w:firstLine="0"/>
        <w:jc w:val="left"/>
      </w:pPr>
      <w:r>
        <w:rPr>
          <w:b/>
        </w:rPr>
        <w:t xml:space="preserve"> </w:t>
      </w:r>
    </w:p>
    <w:p w:rsidR="00E302EC" w:rsidRDefault="00FC4F28">
      <w:pPr>
        <w:spacing w:after="111" w:line="248" w:lineRule="auto"/>
        <w:ind w:left="3126" w:right="183"/>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2873" name="Group 25287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719" name="Rectangle 2171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720" name="Rectangle 21720"/>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plataforma esPublico Gestiona | Página</w:t>
                              </w:r>
                              <w:r>
                                <w:rPr>
                                  <w:sz w:val="12"/>
                                </w:rPr>
                                <w:t xml:space="preserve"> 116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2873" style="width:12.7031pt;height:273.276pt;position:absolute;mso-position-horizontal-relative:page;mso-position-horizontal:absolute;margin-left:682.278pt;mso-position-vertical-relative:page;margin-top:538.644pt;" coordsize="1613,34706">
                <v:rect id="Rectangle 2171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720"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159 </w:t>
                        </w:r>
                      </w:p>
                    </w:txbxContent>
                  </v:textbox>
                </v:rect>
                <w10:wrap type="square"/>
              </v:group>
            </w:pict>
          </mc:Fallback>
        </mc:AlternateContent>
      </w:r>
      <w:r>
        <w:rPr>
          <w:b/>
        </w:rPr>
        <w:t xml:space="preserve">ACUERDO DEL PLENO </w:t>
      </w:r>
    </w:p>
    <w:p w:rsidR="00E302EC" w:rsidRDefault="00FC4F28">
      <w:pPr>
        <w:spacing w:after="8" w:line="248" w:lineRule="auto"/>
        <w:ind w:left="269" w:right="183" w:firstLine="708"/>
      </w:pPr>
      <w:r>
        <w:rPr>
          <w:b/>
        </w:rPr>
        <w:t xml:space="preserve">1º Nombrar como suplente en representación del Ayuntamiento de Candelaria, como Administración urbanística actuante, en la Asamblea General y en el Consejo Rector de la </w:t>
      </w:r>
    </w:p>
    <w:p w:rsidR="00E302EC" w:rsidRDefault="00FC4F28">
      <w:pPr>
        <w:spacing w:after="111" w:line="248" w:lineRule="auto"/>
        <w:ind w:left="279" w:right="183"/>
      </w:pPr>
      <w:r>
        <w:rPr>
          <w:b/>
        </w:rPr>
        <w:t xml:space="preserve">Junta de Compensación Polígono “Los Mangos” SUSO CA5 a D. Reinaldo José Triviño Blanco. </w:t>
      </w:r>
      <w:r>
        <w:t xml:space="preserve"> </w:t>
      </w:r>
    </w:p>
    <w:p w:rsidR="00E302EC" w:rsidRDefault="00FC4F28">
      <w:pPr>
        <w:spacing w:after="0" w:line="259" w:lineRule="auto"/>
        <w:ind w:left="992" w:firstLine="0"/>
        <w:jc w:val="left"/>
      </w:pPr>
      <w:r>
        <w:rPr>
          <w:b/>
        </w:rPr>
        <w:t xml:space="preserve"> </w:t>
      </w:r>
    </w:p>
    <w:p w:rsidR="00E302EC" w:rsidRDefault="00FC4F28">
      <w:pPr>
        <w:spacing w:after="110" w:line="248" w:lineRule="auto"/>
        <w:ind w:left="269" w:right="183" w:firstLine="708"/>
      </w:pPr>
      <w:r>
        <w:rPr>
          <w:b/>
        </w:rPr>
        <w:t>2º Dar traslado del presente acuerdo al Consejo Rector de la Junta de Compensación de Polígono “Los Mangos” SUSO CA5.</w:t>
      </w:r>
      <w:r>
        <w:t xml:space="preserve"> </w:t>
      </w:r>
    </w:p>
    <w:p w:rsidR="00E302EC" w:rsidRDefault="00FC4F28">
      <w:pPr>
        <w:spacing w:after="98" w:line="259" w:lineRule="auto"/>
        <w:ind w:left="992" w:firstLine="0"/>
        <w:jc w:val="left"/>
      </w:pPr>
      <w:r>
        <w:rPr>
          <w:b/>
        </w:rPr>
        <w:t xml:space="preserve"> </w:t>
      </w:r>
    </w:p>
    <w:p w:rsidR="00E302EC" w:rsidRDefault="00FC4F28">
      <w:pPr>
        <w:spacing w:after="98" w:line="259" w:lineRule="auto"/>
        <w:ind w:left="992" w:firstLine="0"/>
        <w:jc w:val="left"/>
      </w:pPr>
      <w:r>
        <w:rPr>
          <w:b/>
        </w:rPr>
        <w:t xml:space="preserve"> </w:t>
      </w:r>
    </w:p>
    <w:p w:rsidR="00E302EC" w:rsidRDefault="00FC4F28">
      <w:pPr>
        <w:spacing w:after="100" w:line="259" w:lineRule="auto"/>
        <w:ind w:left="992" w:firstLine="0"/>
        <w:jc w:val="left"/>
      </w:pPr>
      <w:r>
        <w:rPr>
          <w:b/>
        </w:rPr>
        <w:t xml:space="preserve"> </w:t>
      </w:r>
    </w:p>
    <w:p w:rsidR="00E302EC" w:rsidRDefault="00FC4F28">
      <w:pPr>
        <w:spacing w:after="98" w:line="259" w:lineRule="auto"/>
        <w:ind w:left="992" w:firstLine="0"/>
        <w:jc w:val="left"/>
      </w:pPr>
      <w:r>
        <w:rPr>
          <w:b/>
        </w:rPr>
        <w:t xml:space="preserve"> </w:t>
      </w:r>
    </w:p>
    <w:p w:rsidR="00E302EC" w:rsidRDefault="00FC4F28">
      <w:pPr>
        <w:spacing w:after="100" w:line="259" w:lineRule="auto"/>
        <w:ind w:left="992" w:firstLine="0"/>
        <w:jc w:val="left"/>
      </w:pPr>
      <w:r>
        <w:rPr>
          <w:b/>
        </w:rPr>
        <w:t xml:space="preserve"> </w:t>
      </w:r>
    </w:p>
    <w:p w:rsidR="00E302EC" w:rsidRDefault="00FC4F28">
      <w:pPr>
        <w:spacing w:after="98" w:line="259" w:lineRule="auto"/>
        <w:ind w:left="992" w:firstLine="0"/>
        <w:jc w:val="left"/>
      </w:pPr>
      <w:r>
        <w:rPr>
          <w:b/>
        </w:rPr>
        <w:t xml:space="preserve"> </w:t>
      </w:r>
    </w:p>
    <w:p w:rsidR="00E302EC" w:rsidRDefault="00FC4F28">
      <w:pPr>
        <w:spacing w:after="100" w:line="259" w:lineRule="auto"/>
        <w:ind w:left="992" w:firstLine="0"/>
        <w:jc w:val="left"/>
      </w:pPr>
      <w:r>
        <w:rPr>
          <w:b/>
        </w:rPr>
        <w:t xml:space="preserve"> </w:t>
      </w:r>
    </w:p>
    <w:p w:rsidR="00E302EC" w:rsidRDefault="00FC4F28">
      <w:pPr>
        <w:spacing w:after="98" w:line="259" w:lineRule="auto"/>
        <w:ind w:left="992" w:firstLine="0"/>
        <w:jc w:val="left"/>
      </w:pPr>
      <w:r>
        <w:rPr>
          <w:b/>
        </w:rPr>
        <w:t xml:space="preserve"> </w:t>
      </w:r>
    </w:p>
    <w:p w:rsidR="00E302EC" w:rsidRDefault="00FC4F28">
      <w:pPr>
        <w:spacing w:after="98" w:line="259" w:lineRule="auto"/>
        <w:ind w:left="992" w:firstLine="0"/>
        <w:jc w:val="left"/>
      </w:pPr>
      <w:r>
        <w:rPr>
          <w:b/>
        </w:rPr>
        <w:t xml:space="preserve"> </w:t>
      </w:r>
    </w:p>
    <w:p w:rsidR="00E302EC" w:rsidRDefault="00FC4F28">
      <w:pPr>
        <w:spacing w:after="100" w:line="259" w:lineRule="auto"/>
        <w:ind w:left="992" w:firstLine="0"/>
        <w:jc w:val="left"/>
      </w:pPr>
      <w:r>
        <w:rPr>
          <w:b/>
        </w:rPr>
        <w:t xml:space="preserve"> </w:t>
      </w:r>
    </w:p>
    <w:p w:rsidR="00E302EC" w:rsidRDefault="00FC4F28">
      <w:pPr>
        <w:spacing w:after="0" w:line="259" w:lineRule="auto"/>
        <w:ind w:left="992" w:firstLine="0"/>
        <w:jc w:val="left"/>
      </w:pPr>
      <w:r>
        <w:rPr>
          <w:b/>
        </w:rPr>
        <w:t xml:space="preserve"> </w:t>
      </w:r>
    </w:p>
    <w:p w:rsidR="00E302EC" w:rsidRDefault="00FC4F28">
      <w:pPr>
        <w:spacing w:after="119" w:line="259" w:lineRule="auto"/>
        <w:ind w:left="992" w:firstLine="0"/>
        <w:jc w:val="left"/>
      </w:pPr>
      <w:r>
        <w:rPr>
          <w:b/>
        </w:rPr>
        <w:t xml:space="preserve"> </w:t>
      </w:r>
    </w:p>
    <w:p w:rsidR="00E302EC" w:rsidRDefault="00FC4F28">
      <w:pPr>
        <w:spacing w:after="93" w:line="249" w:lineRule="auto"/>
        <w:ind w:left="269" w:right="183" w:firstLine="708"/>
      </w:pPr>
      <w:r>
        <w:rPr>
          <w:b/>
          <w:sz w:val="24"/>
        </w:rPr>
        <w:t xml:space="preserve">8.- </w:t>
      </w:r>
      <w:r>
        <w:rPr>
          <w:b/>
          <w:sz w:val="24"/>
        </w:rPr>
        <w:t>Expediente 6327/2019. Propuesta de la Alcaldesa-Presidenta de fecha 23 de marzo de 2022 de someter a la consideración del Ayuntamiento Pleno el nombramiento como suplente en representación del Ayuntamiento de Candelaria en la Asamblea General y en el Conse</w:t>
      </w:r>
      <w:r>
        <w:rPr>
          <w:b/>
          <w:sz w:val="24"/>
        </w:rPr>
        <w:t xml:space="preserve">jo Rector de la Junta de Compensación SUSO C2 “Punta Larga” a D. Reinaldo José Triviño Blanco. </w:t>
      </w:r>
    </w:p>
    <w:p w:rsidR="00E302EC" w:rsidRDefault="00FC4F28">
      <w:pPr>
        <w:spacing w:after="0" w:line="259" w:lineRule="auto"/>
        <w:ind w:left="284" w:firstLine="0"/>
        <w:jc w:val="left"/>
      </w:pPr>
      <w:r>
        <w:rPr>
          <w:rFonts w:ascii="Times New Roman" w:eastAsia="Times New Roman" w:hAnsi="Times New Roman" w:cs="Times New Roman"/>
          <w:b/>
          <w:sz w:val="24"/>
        </w:rPr>
        <w:t xml:space="preserve"> </w:t>
      </w:r>
    </w:p>
    <w:p w:rsidR="00E302EC" w:rsidRDefault="00FC4F28">
      <w:pPr>
        <w:spacing w:after="8" w:line="248" w:lineRule="auto"/>
        <w:ind w:left="279" w:right="183"/>
      </w:pPr>
      <w:r>
        <w:rPr>
          <w:b/>
        </w:rPr>
        <w:t xml:space="preserve">Consta en el expediente propuesta de la Alcaldesa-Presidenta, de fecha 23 de marzo de 2022, cuyo tenor literal es el siguiente: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112" w:line="259" w:lineRule="auto"/>
        <w:ind w:left="284" w:firstLine="0"/>
        <w:jc w:val="left"/>
      </w:pPr>
      <w:r>
        <w:t xml:space="preserve"> </w:t>
      </w:r>
    </w:p>
    <w:p w:rsidR="00E302EC" w:rsidRDefault="00FC4F28">
      <w:pPr>
        <w:pStyle w:val="Ttulo1"/>
        <w:ind w:left="107" w:right="6"/>
      </w:pPr>
      <w:r>
        <w:rPr>
          <w:b w:val="0"/>
        </w:rPr>
        <w:t xml:space="preserve"> “</w:t>
      </w:r>
      <w:r>
        <w:t>PROPUESTA DE LA ALCALDÍA</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 La que suscribe, Alcaldesa-Presidenta del Ayuntamiento de Candelaria, tiene el honor de someter a la consideración del Ayuntamiento Pleno la siguiente  </w:t>
      </w:r>
    </w:p>
    <w:p w:rsidR="00E302EC" w:rsidRDefault="00FC4F28">
      <w:pPr>
        <w:spacing w:after="0" w:line="259" w:lineRule="auto"/>
        <w:ind w:left="284" w:firstLine="0"/>
        <w:jc w:val="left"/>
      </w:pPr>
      <w:r>
        <w:t xml:space="preserve"> </w:t>
      </w:r>
    </w:p>
    <w:p w:rsidR="00E302EC" w:rsidRDefault="00FC4F28">
      <w:pPr>
        <w:pStyle w:val="Ttulo1"/>
        <w:ind w:left="107" w:right="8"/>
      </w:pPr>
      <w:r>
        <w:t>PROPUESTA</w:t>
      </w:r>
      <w:r>
        <w:rPr>
          <w:rFonts w:ascii="Times New Roman" w:eastAsia="Times New Roman" w:hAnsi="Times New Roman" w:cs="Times New Roman"/>
          <w:b w:val="0"/>
          <w:sz w:val="24"/>
        </w:rPr>
        <w:t xml:space="preserve"> </w:t>
      </w:r>
    </w:p>
    <w:p w:rsidR="00E302EC" w:rsidRDefault="00FC4F28">
      <w:pPr>
        <w:spacing w:after="0" w:line="259" w:lineRule="auto"/>
        <w:ind w:left="284" w:firstLine="0"/>
        <w:jc w:val="left"/>
      </w:pPr>
      <w:r>
        <w:t xml:space="preserve"> </w:t>
      </w:r>
      <w:r>
        <w:tab/>
        <w:t xml:space="preserve"> </w:t>
      </w:r>
    </w:p>
    <w:p w:rsidR="00E302EC" w:rsidRDefault="00FC4F28">
      <w:pPr>
        <w:ind w:left="269" w:right="184" w:firstLine="708"/>
      </w:pPr>
      <w:r>
        <w:t>1º Nombrar como suplente en representación del Ayuntamien</w:t>
      </w:r>
      <w:r>
        <w:t>to de Candelaria, como Administración urbanística actuante, en la Asamblea General y en el Consejo Rector de la Junta de Compensación SUSO C-2 “Punta Larga” a D. Reinaldo José Triviño Blanco</w:t>
      </w:r>
      <w:r>
        <w:rPr>
          <w:rFonts w:ascii="Times New Roman" w:eastAsia="Times New Roman" w:hAnsi="Times New Roman" w:cs="Times New Roman"/>
          <w:sz w:val="24"/>
        </w:rPr>
        <w:t xml:space="preserve"> </w:t>
      </w:r>
    </w:p>
    <w:p w:rsidR="00E302EC" w:rsidRDefault="00FC4F28">
      <w:pPr>
        <w:spacing w:after="0" w:line="259" w:lineRule="auto"/>
        <w:ind w:left="992" w:firstLine="0"/>
        <w:jc w:val="left"/>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3393" name="Group 25339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855" name="Rectangle 2185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856" name="Rectangle 21856"/>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117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3393" style="width:12.7031pt;height:273.276pt;position:absolute;mso-position-horizontal-relative:page;mso-position-horizontal:absolute;margin-left:682.278pt;mso-position-vertical-relative:page;margin-top:538.644pt;" coordsize="1613,34706">
                <v:rect id="Rectangle 2185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856"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159 </w:t>
                        </w:r>
                      </w:p>
                    </w:txbxContent>
                  </v:textbox>
                </v:rect>
                <w10:wrap type="square"/>
              </v:group>
            </w:pict>
          </mc:Fallback>
        </mc:AlternateContent>
      </w:r>
      <w:r>
        <w:t xml:space="preserve"> </w:t>
      </w:r>
    </w:p>
    <w:p w:rsidR="00E302EC" w:rsidRDefault="00FC4F28">
      <w:pPr>
        <w:ind w:left="269" w:right="184" w:firstLine="708"/>
      </w:pPr>
      <w:r>
        <w:t>2º Dar traslado del presente acuerdo al Consejo Rector de l</w:t>
      </w:r>
      <w:r>
        <w:t xml:space="preserve">a Junta de Compensación SUSO C-2 “Punta Larga”. </w:t>
      </w:r>
    </w:p>
    <w:p w:rsidR="00E302EC" w:rsidRDefault="00FC4F28">
      <w:pPr>
        <w:spacing w:after="0" w:line="259" w:lineRule="auto"/>
        <w:ind w:left="992" w:firstLine="0"/>
        <w:jc w:val="left"/>
      </w:pPr>
      <w:r>
        <w:t xml:space="preserve"> </w:t>
      </w:r>
    </w:p>
    <w:p w:rsidR="00E302EC" w:rsidRDefault="00FC4F28">
      <w:pPr>
        <w:spacing w:after="0" w:line="259" w:lineRule="auto"/>
        <w:ind w:left="992" w:firstLine="0"/>
        <w:jc w:val="left"/>
      </w:pPr>
      <w:r>
        <w:t xml:space="preserve"> </w:t>
      </w:r>
    </w:p>
    <w:p w:rsidR="00E302EC" w:rsidRDefault="00FC4F28">
      <w:pPr>
        <w:tabs>
          <w:tab w:val="center" w:pos="284"/>
          <w:tab w:val="center" w:pos="4170"/>
        </w:tabs>
        <w:ind w:left="0" w:firstLine="0"/>
        <w:jc w:val="left"/>
      </w:pPr>
      <w:r>
        <w:rPr>
          <w:rFonts w:ascii="Calibri" w:eastAsia="Calibri" w:hAnsi="Calibri" w:cs="Calibri"/>
        </w:rPr>
        <w:tab/>
      </w:r>
      <w:r>
        <w:t xml:space="preserve"> </w:t>
      </w:r>
      <w:r>
        <w:tab/>
        <w:t xml:space="preserve">No obstante, el Ayuntamiento Pleno acordará lo más procedente. </w:t>
      </w:r>
    </w:p>
    <w:p w:rsidR="00E302EC" w:rsidRDefault="00FC4F28">
      <w:pPr>
        <w:spacing w:after="98" w:line="259" w:lineRule="auto"/>
        <w:ind w:left="284" w:firstLine="0"/>
        <w:jc w:val="left"/>
      </w:pPr>
      <w:r>
        <w:t xml:space="preserve">  </w:t>
      </w:r>
    </w:p>
    <w:p w:rsidR="00E302EC" w:rsidRDefault="00FC4F28">
      <w:pPr>
        <w:spacing w:after="8" w:line="248" w:lineRule="auto"/>
        <w:ind w:left="279" w:right="183"/>
      </w:pPr>
      <w:r>
        <w:rPr>
          <w:b/>
        </w:rPr>
        <w:t xml:space="preserve">DICTAMEN FAVORABLE DE LA COMISIÓN INFORMATIVA DE P.G. URBANÍSTICA Y AMBIENTAL, OBRAS y SERVICIOS PÚBLICOS DE 28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4. </w:t>
      </w:r>
    </w:p>
    <w:p w:rsidR="00E302EC" w:rsidRDefault="00FC4F28">
      <w:pPr>
        <w:ind w:left="279" w:right="184"/>
      </w:pPr>
      <w:r>
        <w:t xml:space="preserve">4 de los concejales del Grupo Socialista: Don Reinaldo José Triviño Blanco, Doña Hilaria Cecilia Otazo González, Don Jorge Baute Delgado y Doña María del Carmen Clemente Díaz.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numPr>
          <w:ilvl w:val="0"/>
          <w:numId w:val="120"/>
        </w:numPr>
        <w:ind w:right="184" w:hanging="184"/>
      </w:pPr>
      <w:r>
        <w:t xml:space="preserve">de la concejal del Grupo Popular, Doña Raquel Martín Castro. </w:t>
      </w:r>
    </w:p>
    <w:p w:rsidR="00E302EC" w:rsidRDefault="00FC4F28">
      <w:pPr>
        <w:numPr>
          <w:ilvl w:val="0"/>
          <w:numId w:val="120"/>
        </w:numPr>
        <w:ind w:right="184" w:hanging="184"/>
      </w:pPr>
      <w:r>
        <w:t xml:space="preserve">de las concejalas del Grupo Mixto: Doña Lourdes del Carmen Mondéjar Rondón y Doña Alicia Mercedes Marrero Meneses.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VOTACIÓN EN EL PLENO DE 31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13. </w:t>
      </w:r>
    </w:p>
    <w:p w:rsidR="00E302EC" w:rsidRDefault="00FC4F28">
      <w:pPr>
        <w:spacing w:after="100" w:line="259" w:lineRule="auto"/>
        <w:ind w:left="284" w:firstLine="0"/>
        <w:jc w:val="left"/>
      </w:pPr>
      <w:r>
        <w:t xml:space="preserve"> </w:t>
      </w:r>
    </w:p>
    <w:p w:rsidR="00E302EC" w:rsidRDefault="00FC4F28">
      <w:pPr>
        <w:spacing w:after="114"/>
        <w:ind w:left="279" w:right="184"/>
      </w:pPr>
      <w:r>
        <w:t>11 concejales del Grupo Socialista: Doña María Concepción Brito Núñez, Doña Don Jorge Baute Delgado, Doña Olivia Concepción Pérez Díaz, Don José Francisco Pinto Ramos, Doña Hilaria Cecil</w:t>
      </w:r>
      <w:r>
        <w:t xml:space="preserve">ia Otazo González, Don Airam Pérez Chinea, Doña Margarita Eva Tendero Barroso, Don Manuel Alberto González Pestano, Doña María del Carmen Clemente Díaz, Don Olegario Francisco Alonso Bello y Don Reinaldo José Triviño Blanco. </w:t>
      </w:r>
    </w:p>
    <w:p w:rsidR="00E302EC" w:rsidRDefault="00FC4F28">
      <w:pPr>
        <w:spacing w:after="109"/>
        <w:ind w:left="279" w:right="184"/>
      </w:pPr>
      <w:r>
        <w:t xml:space="preserve">1 concejal del Grupo Popular, Don Jacobo López Fariña. </w:t>
      </w:r>
    </w:p>
    <w:p w:rsidR="00E302EC" w:rsidRDefault="00FC4F28">
      <w:pPr>
        <w:numPr>
          <w:ilvl w:val="0"/>
          <w:numId w:val="121"/>
        </w:numPr>
        <w:spacing w:after="111"/>
        <w:ind w:right="184" w:hanging="184"/>
      </w:pPr>
      <w:r>
        <w:t xml:space="preserve">de la concejal del Grupo Mixto (VxC): Doña Alicia Mercedes Marrero Meneses.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3. </w:t>
      </w:r>
    </w:p>
    <w:p w:rsidR="00E302EC" w:rsidRDefault="00FC4F28">
      <w:pPr>
        <w:numPr>
          <w:ilvl w:val="0"/>
          <w:numId w:val="121"/>
        </w:numPr>
        <w:spacing w:after="111"/>
        <w:ind w:right="184" w:hanging="184"/>
      </w:pPr>
      <w:r>
        <w:t>de los concejales del Grupo Mixto (SSP): Doña Lourdes del Carmen Mondéjar Rondón</w:t>
      </w:r>
      <w:r>
        <w:t xml:space="preserve"> y Don Antonio Delgado García. </w:t>
      </w:r>
    </w:p>
    <w:p w:rsidR="00E302EC" w:rsidRDefault="00FC4F28">
      <w:pPr>
        <w:spacing w:after="106"/>
        <w:ind w:left="279" w:right="184"/>
      </w:pPr>
      <w:r>
        <w:t xml:space="preserve">1 de la concejal del Grupo Mixto (CC-PNC): Doña Ángela Cruz Perera. </w:t>
      </w:r>
    </w:p>
    <w:p w:rsidR="00E302EC" w:rsidRDefault="00FC4F28">
      <w:pPr>
        <w:spacing w:after="0" w:line="259" w:lineRule="auto"/>
        <w:ind w:left="284" w:firstLine="0"/>
        <w:jc w:val="left"/>
      </w:pPr>
      <w:r>
        <w:rPr>
          <w:b/>
        </w:rPr>
        <w:t xml:space="preserve"> </w:t>
      </w:r>
    </w:p>
    <w:p w:rsidR="00E302EC" w:rsidRDefault="00FC4F28">
      <w:pPr>
        <w:spacing w:after="3" w:line="259" w:lineRule="auto"/>
        <w:ind w:left="107" w:right="10"/>
        <w:jc w:val="center"/>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53389" name="Group 25338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1976" name="Rectangle 2197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1977" name="Rectangle 21977"/>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plataf</w:t>
                              </w:r>
                              <w:r>
                                <w:rPr>
                                  <w:sz w:val="12"/>
                                </w:rPr>
                                <w:t xml:space="preserve">orma esPublico Gestiona | Página 118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3389" style="width:12.7031pt;height:273.276pt;position:absolute;mso-position-horizontal-relative:page;mso-position-horizontal:absolute;margin-left:682.278pt;mso-position-vertical-relative:page;margin-top:538.644pt;" coordsize="1613,34706">
                <v:rect id="Rectangle 2197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1977"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159 </w:t>
                        </w:r>
                      </w:p>
                    </w:txbxContent>
                  </v:textbox>
                </v:rect>
                <w10:wrap type="topAndBottom"/>
              </v:group>
            </w:pict>
          </mc:Fallback>
        </mc:AlternateContent>
      </w:r>
      <w:r>
        <w:rPr>
          <w:b/>
        </w:rPr>
        <w:t xml:space="preserve">ACUERDO DEL PLENO DE 31 DE MARZO DE 2022. </w:t>
      </w:r>
    </w:p>
    <w:p w:rsidR="00E302EC" w:rsidRDefault="00FC4F28">
      <w:pPr>
        <w:spacing w:after="0" w:line="259" w:lineRule="auto"/>
        <w:ind w:left="284" w:firstLine="0"/>
        <w:jc w:val="left"/>
      </w:pPr>
      <w:r>
        <w:t xml:space="preserve"> </w:t>
      </w:r>
    </w:p>
    <w:p w:rsidR="00E302EC" w:rsidRDefault="00FC4F28">
      <w:pPr>
        <w:ind w:left="269" w:right="184" w:firstLine="708"/>
      </w:pPr>
      <w:r>
        <w:t xml:space="preserve">1º Nombrar como suplente en representación del </w:t>
      </w:r>
      <w:r>
        <w:t>Ayuntamiento de Candelaria, como Administración urbanística actuante, en la Asamblea General y en el Consejo Rector de la Junta de Compensación SUSO C-2 “Punta Larga” a D. Reinaldo José Triviño Blanco</w:t>
      </w:r>
      <w:r>
        <w:rPr>
          <w:rFonts w:ascii="Times New Roman" w:eastAsia="Times New Roman" w:hAnsi="Times New Roman" w:cs="Times New Roman"/>
          <w:sz w:val="24"/>
        </w:rPr>
        <w:t xml:space="preserve"> </w:t>
      </w:r>
    </w:p>
    <w:p w:rsidR="00E302EC" w:rsidRDefault="00FC4F28">
      <w:pPr>
        <w:spacing w:after="0" w:line="259" w:lineRule="auto"/>
        <w:ind w:left="992" w:firstLine="0"/>
        <w:jc w:val="left"/>
      </w:pPr>
      <w:r>
        <w:t xml:space="preserve"> </w:t>
      </w:r>
    </w:p>
    <w:p w:rsidR="00E302EC" w:rsidRDefault="00FC4F28">
      <w:pPr>
        <w:ind w:left="269" w:right="184" w:firstLine="708"/>
      </w:pPr>
      <w:r>
        <w:t>2º Dar traslado del presente acuerdo al Consejo Rect</w:t>
      </w:r>
      <w:r>
        <w:t xml:space="preserve">or de la Junta de Compensación SUSO C-2 “Punta Larga”. </w:t>
      </w:r>
    </w:p>
    <w:p w:rsidR="00E302EC" w:rsidRDefault="00FC4F28">
      <w:pPr>
        <w:spacing w:after="0" w:line="259" w:lineRule="auto"/>
        <w:ind w:left="992" w:firstLine="0"/>
        <w:jc w:val="left"/>
      </w:pPr>
      <w:r>
        <w:rPr>
          <w:b/>
        </w:rPr>
        <w:t xml:space="preserve"> </w:t>
      </w:r>
    </w:p>
    <w:p w:rsidR="00E302EC" w:rsidRDefault="00FC4F28">
      <w:pPr>
        <w:spacing w:after="103" w:line="259" w:lineRule="auto"/>
        <w:ind w:left="992"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93" w:line="249" w:lineRule="auto"/>
        <w:ind w:left="269" w:right="183" w:firstLine="708"/>
      </w:pPr>
      <w:r>
        <w:rPr>
          <w:b/>
          <w:sz w:val="24"/>
        </w:rPr>
        <w:t>9.- Expediente 2811/2022. Moción del Grupo Mixto con registro de entrada N.º (2022-E-RE-</w:t>
      </w:r>
      <w:r>
        <w:rPr>
          <w:b/>
          <w:sz w:val="24"/>
        </w:rPr>
        <w:t>1275) del 21 de marzo de 2022 para el impulso al proyecto del Tren del Sur en Tenerife.</w:t>
      </w:r>
      <w:r>
        <w:t xml:space="preserve"> </w:t>
      </w:r>
    </w:p>
    <w:p w:rsidR="00E302EC" w:rsidRDefault="00FC4F28">
      <w:pPr>
        <w:spacing w:after="8" w:line="248" w:lineRule="auto"/>
        <w:ind w:left="279" w:right="183"/>
      </w:pPr>
      <w:r>
        <w:rPr>
          <w:b/>
        </w:rPr>
        <w:t xml:space="preserve">Consta en el expediente electrónico la referida moción que se inserta literalmente: </w:t>
      </w:r>
    </w:p>
    <w:p w:rsidR="00E302EC" w:rsidRDefault="00FC4F28">
      <w:pPr>
        <w:spacing w:after="14" w:line="259" w:lineRule="auto"/>
        <w:ind w:left="284" w:firstLine="0"/>
        <w:jc w:val="left"/>
      </w:pPr>
      <w:r>
        <w:rPr>
          <w:rFonts w:ascii="Times New Roman" w:eastAsia="Times New Roman" w:hAnsi="Times New Roman" w:cs="Times New Roman"/>
          <w:sz w:val="24"/>
        </w:rPr>
        <w:t xml:space="preserve"> </w:t>
      </w:r>
    </w:p>
    <w:p w:rsidR="00E302EC" w:rsidRDefault="00FC4F28">
      <w:pPr>
        <w:spacing w:after="8" w:line="248" w:lineRule="auto"/>
        <w:ind w:left="985" w:right="183"/>
      </w:pPr>
      <w:r>
        <w:rPr>
          <w:b/>
        </w:rPr>
        <w:t>“MOCIÓN PARA EL IMPULSO AL PROYECTO DEL TREN DEL SUR EN TENERIFE</w:t>
      </w:r>
      <w:r>
        <w:t xml:space="preserve"> </w:t>
      </w:r>
      <w:r>
        <w:rPr>
          <w:rFonts w:ascii="Times New Roman" w:eastAsia="Times New Roman" w:hAnsi="Times New Roman" w:cs="Times New Roman"/>
          <w:sz w:val="24"/>
        </w:rPr>
        <w:t xml:space="preserve"> </w:t>
      </w:r>
    </w:p>
    <w:p w:rsidR="00E302EC" w:rsidRDefault="00FC4F28">
      <w:pPr>
        <w:spacing w:after="274" w:line="259" w:lineRule="auto"/>
        <w:ind w:left="989" w:firstLine="0"/>
        <w:jc w:val="left"/>
      </w:pPr>
      <w:r>
        <w:t xml:space="preserve">  </w:t>
      </w:r>
    </w:p>
    <w:p w:rsidR="00E302EC" w:rsidRDefault="00FC4F28">
      <w:pPr>
        <w:spacing w:after="111"/>
        <w:ind w:left="985" w:right="184"/>
      </w:pPr>
      <w:r>
        <w:t>La conceja</w:t>
      </w:r>
      <w:r>
        <w:t xml:space="preserve">la del Ayuntamiento de Candelaria, Dña. Angela Cruz Perera, con  </w:t>
      </w:r>
    </w:p>
    <w:p w:rsidR="00E302EC" w:rsidRDefault="00FC4F28">
      <w:pPr>
        <w:spacing w:after="100" w:line="259" w:lineRule="auto"/>
        <w:ind w:left="975" w:firstLine="0"/>
        <w:jc w:val="left"/>
      </w:pPr>
      <w:r>
        <w:t xml:space="preserve"> </w:t>
      </w:r>
    </w:p>
    <w:p w:rsidR="00E302EC" w:rsidRDefault="00FC4F28">
      <w:pPr>
        <w:spacing w:after="111"/>
        <w:ind w:left="985" w:right="184"/>
      </w:pPr>
      <w:r>
        <w:t xml:space="preserve">DNI nº ***4786**, en calidad de Portavoz de CC-PNC y como miembro adscrito al Grupo </w:t>
      </w:r>
    </w:p>
    <w:p w:rsidR="00E302EC" w:rsidRDefault="00FC4F28">
      <w:pPr>
        <w:spacing w:line="354" w:lineRule="auto"/>
        <w:ind w:left="279" w:right="184"/>
      </w:pPr>
      <w:r>
        <w:t xml:space="preserve">Municipal Mixto, de dicha Corporación, al amparo de lo dispuesto en los artículos 91.4 y 97.3 del Real </w:t>
      </w:r>
      <w:r>
        <w:t>Decreto 2.568/1986, de 28 de Noviembre, por el que se aprueba el Reglamento de Organización, Funcionamiento y Régimen Jurídico de las Entidades Locales, en relación con el artículo 46.2 e) de la Ley 7/1985, de 2 de abril, reguladora de las Bases del Régime</w:t>
      </w:r>
      <w:r>
        <w:t xml:space="preserve">n Local, formula y somete directamente a conocimiento del Pleno Corporativo la siguiente PROPUESTA DE MOCIÓN:  </w:t>
      </w:r>
    </w:p>
    <w:p w:rsidR="00E302EC" w:rsidRDefault="00FC4F28">
      <w:pPr>
        <w:spacing w:after="100" w:line="259" w:lineRule="auto"/>
        <w:ind w:left="975" w:firstLine="0"/>
        <w:jc w:val="left"/>
      </w:pPr>
      <w:r>
        <w:t xml:space="preserve"> </w:t>
      </w:r>
    </w:p>
    <w:p w:rsidR="00E302EC" w:rsidRDefault="00FC4F28">
      <w:pPr>
        <w:spacing w:after="116" w:line="259" w:lineRule="auto"/>
        <w:ind w:left="975" w:firstLine="0"/>
        <w:jc w:val="left"/>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3936" name="Group 25393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103" name="Rectangle 2210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2104" name="Rectangle 22104"/>
                        <wps:cNvSpPr/>
                        <wps:spPr>
                          <a:xfrm rot="-5399999">
                            <a:off x="-2094822" y="1186357"/>
                            <a:ext cx="44552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119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3936" style="width:12.7031pt;height:273.276pt;position:absolute;mso-position-horizontal-relative:page;mso-position-horizontal:absolute;margin-left:682.278pt;mso-position-vertical-relative:page;margin-top:538.644pt;" coordsize="1613,34706">
                <v:rect id="Rectangle 2210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104" style="position:absolute;width:44552;height:1132;left:-20948;top:1186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159 </w:t>
                        </w:r>
                      </w:p>
                    </w:txbxContent>
                  </v:textbox>
                </v:rect>
                <w10:wrap type="square"/>
              </v:group>
            </w:pict>
          </mc:Fallback>
        </mc:AlternateContent>
      </w:r>
      <w:r>
        <w:t xml:space="preserve"> </w:t>
      </w:r>
    </w:p>
    <w:p w:rsidR="00E302EC" w:rsidRDefault="00FC4F28">
      <w:pPr>
        <w:pStyle w:val="Ttulo1"/>
        <w:spacing w:after="327"/>
        <w:ind w:left="107" w:right="4"/>
      </w:pPr>
      <w:r>
        <w:t xml:space="preserve">EXPOSICIÓN DE MOTIVOS </w:t>
      </w:r>
      <w:r>
        <w:rPr>
          <w:rFonts w:ascii="Times New Roman" w:eastAsia="Times New Roman" w:hAnsi="Times New Roman" w:cs="Times New Roman"/>
          <w:b w:val="0"/>
          <w:sz w:val="24"/>
        </w:rPr>
        <w:t xml:space="preserve"> </w:t>
      </w:r>
    </w:p>
    <w:p w:rsidR="00E302EC" w:rsidRDefault="00FC4F28">
      <w:pPr>
        <w:ind w:left="279" w:right="184"/>
      </w:pPr>
      <w:r>
        <w:t>La planificación y el camino a recorrer para implantar sistemas de transporte guiado ha sido largo y complicado en la isla de Tenerife.</w:t>
      </w:r>
      <w:r>
        <w:t xml:space="preserve"> Se inició con la creación de la empresa Metropolitano de Tenerife, S.A (MTSA) el 22 de enero de 2001 con el objetivo de impulsar el transporte público guiado en la isla. </w:t>
      </w:r>
    </w:p>
    <w:p w:rsidR="00E302EC" w:rsidRDefault="00FC4F28">
      <w:pPr>
        <w:spacing w:after="0" w:line="259" w:lineRule="auto"/>
        <w:ind w:left="279" w:firstLine="0"/>
        <w:jc w:val="left"/>
      </w:pPr>
      <w:r>
        <w:t xml:space="preserve">   </w:t>
      </w:r>
    </w:p>
    <w:p w:rsidR="00E302EC" w:rsidRDefault="00FC4F28">
      <w:pPr>
        <w:ind w:left="2839" w:right="184" w:hanging="2570"/>
      </w:pPr>
      <w:r>
        <w:rPr>
          <w:noProof/>
        </w:rPr>
        <w:drawing>
          <wp:anchor distT="0" distB="0" distL="114300" distR="114300" simplePos="0" relativeHeight="251782144" behindDoc="0" locked="0" layoutInCell="1" allowOverlap="0">
            <wp:simplePos x="0" y="0"/>
            <wp:positionH relativeFrom="column">
              <wp:posOffset>742188</wp:posOffset>
            </wp:positionH>
            <wp:positionV relativeFrom="paragraph">
              <wp:posOffset>313071</wp:posOffset>
            </wp:positionV>
            <wp:extent cx="952500" cy="771144"/>
            <wp:effectExtent l="0" t="0" r="0" b="0"/>
            <wp:wrapSquare wrapText="bothSides"/>
            <wp:docPr id="22100" name="Picture 22100"/>
            <wp:cNvGraphicFramePr/>
            <a:graphic xmlns:a="http://schemas.openxmlformats.org/drawingml/2006/main">
              <a:graphicData uri="http://schemas.openxmlformats.org/drawingml/2006/picture">
                <pic:pic xmlns:pic="http://schemas.openxmlformats.org/drawingml/2006/picture">
                  <pic:nvPicPr>
                    <pic:cNvPr id="22100" name="Picture 22100"/>
                    <pic:cNvPicPr/>
                  </pic:nvPicPr>
                  <pic:blipFill>
                    <a:blip r:embed="rId11"/>
                    <a:stretch>
                      <a:fillRect/>
                    </a:stretch>
                  </pic:blipFill>
                  <pic:spPr>
                    <a:xfrm>
                      <a:off x="0" y="0"/>
                      <a:ext cx="952500" cy="771144"/>
                    </a:xfrm>
                    <a:prstGeom prst="rect">
                      <a:avLst/>
                    </a:prstGeom>
                  </pic:spPr>
                </pic:pic>
              </a:graphicData>
            </a:graphic>
          </wp:anchor>
        </w:drawing>
      </w:r>
      <w:r>
        <w:t>En la planificación establecida a través del PIOT (Plan Insular de Ordenación d</w:t>
      </w:r>
      <w:r>
        <w:t xml:space="preserve">e Tenerife) se programaban dos corredores principales de transporte guiado que conectarían el área metropolitana con el sur y el norte de la isla, además </w:t>
      </w:r>
    </w:p>
    <w:p w:rsidR="00E302EC" w:rsidRDefault="00FC4F28">
      <w:pPr>
        <w:ind w:left="279" w:right="184"/>
      </w:pPr>
      <w:r>
        <w:t xml:space="preserve">de establecer una red de metro ligero en el área metropolitana capitalina.  </w:t>
      </w:r>
    </w:p>
    <w:p w:rsidR="00E302EC" w:rsidRDefault="00FC4F28">
      <w:pPr>
        <w:ind w:left="2839" w:right="184" w:hanging="2570"/>
      </w:pPr>
      <w:r>
        <w:t>El conjunto de las inici</w:t>
      </w:r>
      <w:r>
        <w:t xml:space="preserve">ativas vinculadas a esta planificación era sumamente innovador, en una isla en la que no existía este tipo de transporte, requiriendo un enorme esfuerzo técnico y financiero, además de una </w:t>
      </w:r>
    </w:p>
    <w:p w:rsidR="00E302EC" w:rsidRDefault="00FC4F28">
      <w:pPr>
        <w:ind w:left="279" w:right="184"/>
      </w:pPr>
      <w:r>
        <w:t>ingente coordinación e impulso político por parte del Cabildo Insu</w:t>
      </w:r>
      <w:r>
        <w:t xml:space="preserve">lar. </w:t>
      </w:r>
    </w:p>
    <w:p w:rsidR="00E302EC" w:rsidRDefault="00FC4F28">
      <w:pPr>
        <w:spacing w:after="0" w:line="259" w:lineRule="auto"/>
        <w:ind w:left="279" w:firstLine="0"/>
        <w:jc w:val="left"/>
      </w:pPr>
      <w:r>
        <w:t xml:space="preserve">   </w:t>
      </w:r>
    </w:p>
    <w:p w:rsidR="00E302EC" w:rsidRDefault="00FC4F28">
      <w:pPr>
        <w:ind w:left="279" w:right="184"/>
      </w:pPr>
      <w:r>
        <w:t>En 2007 se puso en marcha la primera línea de tranvía en el área metropolitana y dos años más tarde, se puso en servicio la Línea 2, con lo que la actual red tranviaria da cobertura al 66% de la población del área metropolitana a través de sus 25</w:t>
      </w:r>
      <w:r>
        <w:t xml:space="preserve"> paradas y 15 kilómetros de trazado. </w:t>
      </w:r>
    </w:p>
    <w:p w:rsidR="00E302EC" w:rsidRDefault="00FC4F28">
      <w:pPr>
        <w:spacing w:after="0" w:line="259" w:lineRule="auto"/>
        <w:ind w:left="279" w:firstLine="0"/>
        <w:jc w:val="left"/>
      </w:pPr>
      <w:r>
        <w:t xml:space="preserve">   </w:t>
      </w:r>
    </w:p>
    <w:p w:rsidR="00E302EC" w:rsidRDefault="00FC4F28">
      <w:pPr>
        <w:ind w:left="279" w:right="184"/>
      </w:pPr>
      <w:r>
        <w:t xml:space="preserve">De esta forma Cabildo de Tenerife comenzó la trayectoria en el mundo del transporte guiado que, si bien al principio tuvo detractores de todo tipo, hoy en día es un referente. </w:t>
      </w:r>
    </w:p>
    <w:p w:rsidR="00E302EC" w:rsidRDefault="00FC4F28">
      <w:pPr>
        <w:spacing w:after="0" w:line="259" w:lineRule="auto"/>
        <w:ind w:left="279" w:firstLine="0"/>
        <w:jc w:val="left"/>
      </w:pPr>
      <w:r>
        <w:t xml:space="preserve">  </w:t>
      </w:r>
    </w:p>
    <w:p w:rsidR="00E302EC" w:rsidRDefault="00FC4F28">
      <w:pPr>
        <w:ind w:left="279" w:right="184"/>
      </w:pPr>
      <w:r>
        <w:t>El pasado 2 de junio de 2021 se ce</w:t>
      </w:r>
      <w:r>
        <w:t xml:space="preserve">lebraron los 14 años de servicio de Tranvía de Tenerife, un éxito de movilidad, sostenibilidad, innovación y solvencia financiera que fue posible por la iniciativa, el empuje y el compromiso fuerte y decidido del Cabildo de Tenerife. </w:t>
      </w:r>
    </w:p>
    <w:p w:rsidR="00E302EC" w:rsidRDefault="00FC4F28">
      <w:pPr>
        <w:spacing w:after="0" w:line="259" w:lineRule="auto"/>
        <w:ind w:left="279" w:firstLine="0"/>
        <w:jc w:val="left"/>
      </w:pPr>
      <w:r>
        <w:t xml:space="preserve">   </w:t>
      </w:r>
    </w:p>
    <w:p w:rsidR="00E302EC" w:rsidRDefault="00FC4F28">
      <w:pPr>
        <w:ind w:left="279" w:right="184"/>
      </w:pPr>
      <w:r>
        <w:t>Aunque en los últ</w:t>
      </w:r>
      <w:r>
        <w:t>imos años las condiciones económicas y financieras no eran las más adecuadas, y tampoco se dispuso de apoyo en la financiación por parte de otras Administraciones, la Corporación Insular continuó avanzado en el proceso de diseño de las diferentes prioridad</w:t>
      </w:r>
      <w:r>
        <w:t xml:space="preserve">es que vienen definidas en los diferentes instrumentos de planificación existentes: PIOT (Plan Insular de Ordenación de Tenerife), PTE (Plan Territorial Especial) de transporte guiado del Área Metropolitana y PTE del Tren del Sur.  </w:t>
      </w:r>
    </w:p>
    <w:p w:rsidR="00E302EC" w:rsidRDefault="00FC4F28">
      <w:pPr>
        <w:ind w:left="279" w:right="184"/>
      </w:pPr>
      <w:r>
        <w:t>Desde 1997, el Cabildo Insular de Tenerife viene realizando estudios e informes respecto a la viabilidad de la construcción de un tren que una el área Metropolitana y el Sur de la isla de Tenerife. Dicho proyecto supondría potenciar el desarrollo de un nue</w:t>
      </w:r>
      <w:r>
        <w:t>vo modelo de transporte alternativo y complementario a los actuales, capaz de resolver las necesidades de comunicación entre Santa Cruz de Tenerife, el aeropuerto del Sur y la zona turística del Sur de Tenerife, así como con los núcleos territoriales vincu</w:t>
      </w:r>
      <w:r>
        <w:t xml:space="preserve">lados al servicio, favoreciendo la conectividad a cada uno de los municipios existentes a lo largo de la línea. </w:t>
      </w:r>
    </w:p>
    <w:p w:rsidR="00E302EC" w:rsidRDefault="00FC4F28">
      <w:pPr>
        <w:spacing w:after="0" w:line="259" w:lineRule="auto"/>
        <w:ind w:left="279" w:firstLine="0"/>
        <w:jc w:val="left"/>
      </w:pPr>
      <w:r>
        <w:t xml:space="preserve">  </w:t>
      </w:r>
    </w:p>
    <w:p w:rsidR="00E302EC" w:rsidRDefault="00FC4F28">
      <w:pPr>
        <w:ind w:left="279" w:right="184"/>
      </w:pPr>
      <w:r>
        <w:t>Es una infraestructura que discurrirá paralela y lo más cercano a la autopista TF-</w:t>
      </w:r>
      <w:r>
        <w:t>1, con un 62% del trayecto en superficie, 8 Km de viaductos (elevado) y 22 Km en túnel que corresponden con zonas urbanas o zonas de protección ambiental como puede ser La montaña de Guaza, declarada monumento natural y área de sensibilidad ecológica. Será</w:t>
      </w:r>
      <w:r>
        <w:t xml:space="preserve">, por tanto, una infraestructura que no segregaría más el territorio, pero que además incorpora canales de servicio que permiten, por ejemplo, soterrar las redes de suministro eléctrico, mejorando así el paisaje. </w:t>
      </w:r>
    </w:p>
    <w:p w:rsidR="00E302EC" w:rsidRDefault="00FC4F28">
      <w:pPr>
        <w:spacing w:after="0" w:line="259" w:lineRule="auto"/>
        <w:ind w:left="279" w:firstLine="0"/>
        <w:jc w:val="left"/>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4082" name="Group 25408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215" name="Rectangle 2221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7MT23JRFLY7JHEN56D753Z</w:t>
                              </w:r>
                              <w:r>
                                <w:rPr>
                                  <w:sz w:val="12"/>
                                </w:rPr>
                                <w:t xml:space="preserve">S5Q | Verificación: https://candelaria.sedelectronica.es/ </w:t>
                              </w:r>
                            </w:p>
                          </w:txbxContent>
                        </wps:txbx>
                        <wps:bodyPr horzOverflow="overflow" vert="horz" lIns="0" tIns="0" rIns="0" bIns="0" rtlCol="0">
                          <a:noAutofit/>
                        </wps:bodyPr>
                      </wps:wsp>
                      <wps:wsp>
                        <wps:cNvPr id="22216" name="Rectangle 22216"/>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4082" style="width:12.7031pt;height:273.276pt;position:absolute;mso-position-horizontal-relative:page;mso-position-horizontal:absolute;margin-left:682.278pt;mso-position-vertical-relative:page;margin-top:538.644pt;" coordsize="1613,34706">
                <v:rect id="Rectangle 2221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216"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159 </w:t>
                        </w:r>
                      </w:p>
                    </w:txbxContent>
                  </v:textbox>
                </v:rect>
                <w10:wrap type="square"/>
              </v:group>
            </w:pict>
          </mc:Fallback>
        </mc:AlternateContent>
      </w:r>
      <w:r>
        <w:t xml:space="preserve">   </w:t>
      </w:r>
    </w:p>
    <w:p w:rsidR="00E302EC" w:rsidRDefault="00FC4F28">
      <w:pPr>
        <w:ind w:left="279" w:right="184"/>
      </w:pPr>
      <w:r>
        <w:t>Respecto al municipio de Candelaria, dicho proyecto supondrá para la población un gran beneficio</w:t>
      </w:r>
      <w:r>
        <w:t xml:space="preserve"> por ser el único en el Valle que contará con parada-intercambiador, permitirá una reducción significativa en los tiempos de desplazamiento y una mejora de las comunicaciones con Santa Cruz de Tenerife, con los núcleos del Este y el Sur de la Isla. </w:t>
      </w:r>
    </w:p>
    <w:p w:rsidR="00E302EC" w:rsidRDefault="00FC4F28">
      <w:pPr>
        <w:spacing w:after="0" w:line="259" w:lineRule="auto"/>
        <w:ind w:left="279" w:firstLine="0"/>
        <w:jc w:val="left"/>
      </w:pPr>
      <w:r>
        <w:t xml:space="preserve"> </w:t>
      </w:r>
    </w:p>
    <w:p w:rsidR="00E302EC" w:rsidRDefault="00FC4F28">
      <w:pPr>
        <w:spacing w:after="268"/>
        <w:ind w:left="279" w:right="184"/>
      </w:pPr>
      <w:r>
        <w:t>La p</w:t>
      </w:r>
      <w:r>
        <w:t>rimera fase del proyecto del tren del Sur transcurre desde la capital hasta Candelaria, en un recorrido de 16 kilómetros de los cuales 10,2 discurrirán en túnel y falso túnel, 4,7 kilómetros irán en superficie y 1,1 en viaducto con tres paradas, en Santa C</w:t>
      </w:r>
      <w:r>
        <w:t>ruz de Tenerife, Añaza-Santa María del Mar y Candelaria. Buena parte del recorrido del tren por nuestro municipio irá soterrado, especialmente la zona de Barranco Hondo y en el resto por debajo del galibo de los puentes de la autopista, propuestas del Ayun</w:t>
      </w:r>
      <w:r>
        <w:t xml:space="preserve">tamiento de Candelaria que fueron asumidas en el proyecto.  </w:t>
      </w:r>
    </w:p>
    <w:p w:rsidR="00E302EC" w:rsidRDefault="00FC4F28">
      <w:pPr>
        <w:ind w:left="279" w:right="184"/>
      </w:pPr>
      <w:r>
        <w:t>El proyecto ferroviario del Sur de la Isla se ha demorado con respecto a las primeras estimaciones debido al recorte de fondos destinados a este fin por parte del Gobierno central, al igual que l</w:t>
      </w:r>
      <w:r>
        <w:t xml:space="preserve">a anulación por la Justicia del Plan territorial Especial del Tren del Sur, lo que obligó al Cabildo a reiniciar todos los trámites.  </w:t>
      </w:r>
    </w:p>
    <w:p w:rsidR="00E302EC" w:rsidRDefault="00FC4F28">
      <w:pPr>
        <w:ind w:left="279" w:right="184"/>
      </w:pPr>
      <w:r>
        <w:t xml:space="preserve">El Plan Territorial Especial de Ordenación de Infraestructuras del Tren del Sur de Tenerife se aprobó definitivamente en </w:t>
      </w:r>
      <w:r>
        <w:t xml:space="preserve">2015    </w:t>
      </w:r>
    </w:p>
    <w:p w:rsidR="00E302EC" w:rsidRDefault="00FC4F28">
      <w:pPr>
        <w:spacing w:after="231" w:line="259" w:lineRule="auto"/>
        <w:ind w:left="284" w:firstLine="0"/>
        <w:jc w:val="left"/>
      </w:pPr>
      <w:r>
        <w:t>(</w:t>
      </w:r>
      <w:r>
        <w:rPr>
          <w:color w:val="0563C1"/>
          <w:u w:val="single" w:color="0563C1"/>
        </w:rPr>
        <w:t>http://www.gobiernodecanarias.org/boc/2015/178/010.html</w:t>
      </w:r>
      <w:r>
        <w:t xml:space="preserve">).  </w:t>
      </w:r>
      <w:r>
        <w:rPr>
          <w:rFonts w:ascii="Times New Roman" w:eastAsia="Times New Roman" w:hAnsi="Times New Roman" w:cs="Times New Roman"/>
          <w:sz w:val="24"/>
        </w:rPr>
        <w:t xml:space="preserve"> </w:t>
      </w:r>
    </w:p>
    <w:p w:rsidR="00E302EC" w:rsidRDefault="00FC4F28">
      <w:pPr>
        <w:ind w:left="279" w:right="184"/>
      </w:pPr>
      <w:r>
        <w:t>Es un proyecto maduro que está pendiente de Evaluación Ambiental y de las expropiaciones a las que diera lugar. Desde el año 2009 se llevan materializando convenios de colaboración entr</w:t>
      </w:r>
      <w:r>
        <w:t xml:space="preserve">e la </w:t>
      </w:r>
    </w:p>
    <w:p w:rsidR="00E302EC" w:rsidRDefault="00FC4F28">
      <w:pPr>
        <w:ind w:left="279" w:right="184"/>
      </w:pPr>
      <w:r>
        <w:t xml:space="preserve">Administración General del Estado (AGE) y el Cabildo Insular de Tenerife en materia de ferrocarriles y durante la última década, se han invertido casi 26 millones de euros en los proyectos del Tren del Sur y del Norte de Tenerife, que figuran en los </w:t>
      </w:r>
      <w:r>
        <w:t xml:space="preserve">activos de Metropolitano de Tenerife S.A.  </w:t>
      </w:r>
    </w:p>
    <w:p w:rsidR="00E302EC" w:rsidRDefault="00FC4F28">
      <w:pPr>
        <w:spacing w:after="0" w:line="259" w:lineRule="auto"/>
        <w:ind w:left="279" w:firstLine="0"/>
        <w:jc w:val="left"/>
      </w:pPr>
      <w:r>
        <w:t xml:space="preserve"> </w:t>
      </w:r>
    </w:p>
    <w:p w:rsidR="00E302EC" w:rsidRDefault="00FC4F28">
      <w:pPr>
        <w:ind w:left="279" w:right="184"/>
      </w:pPr>
      <w:r>
        <w:t>Actualmente, los mecanismos de financiación del Estado y de la UE permiten una nueva perspectiva para la financiación de nuevos proyectos relacionados con el transporte guiado, a lo que se suma los cambios en l</w:t>
      </w:r>
      <w:r>
        <w:t xml:space="preserve">as condiciones financieras que se han iniciado con los recientes acuerdos alcanzados por Metropolitano en su Junta General. </w:t>
      </w:r>
    </w:p>
    <w:p w:rsidR="00E302EC" w:rsidRDefault="00FC4F28">
      <w:pPr>
        <w:spacing w:after="0" w:line="259" w:lineRule="auto"/>
        <w:ind w:left="279" w:firstLine="0"/>
        <w:jc w:val="left"/>
      </w:pPr>
      <w:r>
        <w:t xml:space="preserve"> </w:t>
      </w:r>
    </w:p>
    <w:p w:rsidR="00E302EC" w:rsidRDefault="00FC4F28">
      <w:pPr>
        <w:ind w:left="279" w:right="184"/>
      </w:pPr>
      <w:r>
        <w:t xml:space="preserve"> </w:t>
      </w:r>
      <w:r>
        <w:t xml:space="preserve">El proyecto del Tren del Sur no solo mejoraría la movilidad y comunicaciones, sino que además cumple con los objetivos planteados por los Gobiernos de España y la Unión Europea referentes a reducir las emisiones de gases de efecto invernadero, promoviendo </w:t>
      </w:r>
      <w:r>
        <w:t xml:space="preserve">un transporte ferrovial público y colectivo que sea una alternativa real al vehículo particular.  </w:t>
      </w:r>
    </w:p>
    <w:p w:rsidR="00E302EC" w:rsidRDefault="00FC4F28">
      <w:pPr>
        <w:spacing w:after="0" w:line="259" w:lineRule="auto"/>
        <w:ind w:left="279" w:firstLine="0"/>
        <w:jc w:val="left"/>
      </w:pPr>
      <w:r>
        <w:t xml:space="preserve"> </w:t>
      </w:r>
    </w:p>
    <w:p w:rsidR="00E302EC" w:rsidRDefault="00FC4F28">
      <w:pPr>
        <w:ind w:left="279" w:right="184"/>
      </w:pPr>
      <w:r>
        <w:rPr>
          <w:i/>
        </w:rPr>
        <w:t>“Más viajes en tren, menos emisiones”</w:t>
      </w:r>
      <w:r>
        <w:t xml:space="preserve"> es el mensaje de 14 entidades del mundo ecologista, sindical y defensoras de la movilidad sostenible como CCOO, UGT, </w:t>
      </w:r>
      <w:r>
        <w:t xml:space="preserve">WWF (Fondo Mundial para la Naturaleza), Greenpeace, Ecologistas en Acción, Mujeres en Movimiento, etc. que bendicen al tren como el sistema de transporte que menos contamina y que menos impacto ambiental genera: </w:t>
      </w:r>
      <w:r>
        <w:rPr>
          <w:color w:val="0563C1"/>
          <w:u w:val="single" w:color="0563C1"/>
        </w:rPr>
        <w:t>https://es.greenpeace.org/es/sala-de-prensa/</w:t>
      </w:r>
      <w:r>
        <w:rPr>
          <w:color w:val="0563C1"/>
          <w:u w:val="single" w:color="0563C1"/>
        </w:rPr>
        <w:t>comunicados/mas-viajesen-tren-menos-emisionesbases-para-doblar-la-demanda-del-ferrocarril-en-espana/</w:t>
      </w:r>
      <w:r>
        <w:t xml:space="preserve"> </w:t>
      </w:r>
      <w:r>
        <w:rPr>
          <w:rFonts w:ascii="Times New Roman" w:eastAsia="Times New Roman" w:hAnsi="Times New Roman" w:cs="Times New Roman"/>
          <w:sz w:val="24"/>
        </w:rPr>
        <w:t xml:space="preserve"> </w:t>
      </w:r>
    </w:p>
    <w:p w:rsidR="00E302EC" w:rsidRDefault="00FC4F28">
      <w:pPr>
        <w:spacing w:after="0" w:line="259" w:lineRule="auto"/>
        <w:ind w:left="279"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4923" name="Group 25492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350" name="Rectangle 2235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2351" name="Rectangle 22351"/>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Documento firmado electrónicamente desde la plat</w:t>
                              </w:r>
                              <w:r>
                                <w:rPr>
                                  <w:sz w:val="12"/>
                                </w:rPr>
                                <w:t xml:space="preserve">aforma esPublico Gestiona | Página 121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4923" style="width:12.7031pt;height:273.276pt;position:absolute;mso-position-horizontal-relative:page;mso-position-horizontal:absolute;margin-left:682.278pt;mso-position-vertical-relative:page;margin-top:538.644pt;" coordsize="1613,34706">
                <v:rect id="Rectangle 2235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351"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159 </w:t>
                        </w:r>
                      </w:p>
                    </w:txbxContent>
                  </v:textbox>
                </v:rect>
                <w10:wrap type="square"/>
              </v:group>
            </w:pict>
          </mc:Fallback>
        </mc:AlternateContent>
      </w:r>
      <w:r>
        <w:t>El proyecto tren del sur será impulsado al 100% con energía renovable. Un sistema rápido, puntal, accesible, confortable, limpio, respetuoso con el medio ambiente, que mejora la seguridad y que ofrecerá a la c</w:t>
      </w:r>
      <w:r>
        <w:t xml:space="preserve">iudadanía tinerfeña igualdad de oportunidades para la formación, el empleo o el ocio, independiente de la zona en que se resida.   </w:t>
      </w:r>
    </w:p>
    <w:p w:rsidR="00E302EC" w:rsidRDefault="00FC4F28">
      <w:pPr>
        <w:spacing w:after="0" w:line="259" w:lineRule="auto"/>
        <w:ind w:left="279" w:firstLine="0"/>
        <w:jc w:val="left"/>
      </w:pPr>
      <w:r>
        <w:t xml:space="preserve"> </w:t>
      </w:r>
    </w:p>
    <w:p w:rsidR="00E302EC" w:rsidRDefault="00FC4F28">
      <w:pPr>
        <w:ind w:left="279" w:right="184"/>
      </w:pPr>
      <w:r>
        <w:t>Si hoy se aprobara el proyecto, ya redactado, se tardarían seis años en construirlo, generando 3.500 puestos de trabajo po</w:t>
      </w:r>
      <w:r>
        <w:t>r año de construcción y entre los indirectos, se beneficiarían multitud de sectores productivos de la Isla, como los relacionados con el sector alojativo, la restauración… así como empresas proveedoras y de servicios de todo tipo y eso sin contar con los p</w:t>
      </w:r>
      <w:r>
        <w:t xml:space="preserve">uestos de trabajo permanentes para la operación y mantenimiento de la infraestructura ferroviaria. </w:t>
      </w:r>
    </w:p>
    <w:p w:rsidR="00E302EC" w:rsidRDefault="00FC4F28">
      <w:pPr>
        <w:spacing w:after="0" w:line="259" w:lineRule="auto"/>
        <w:ind w:left="279" w:firstLine="0"/>
        <w:jc w:val="left"/>
      </w:pPr>
      <w:r>
        <w:t xml:space="preserve">  </w:t>
      </w:r>
    </w:p>
    <w:p w:rsidR="00E302EC" w:rsidRDefault="00FC4F28">
      <w:pPr>
        <w:ind w:left="279" w:right="184"/>
      </w:pPr>
      <w:r>
        <w:t>En este momento en que las condiciones de financiación son óptimas y en el que la mejora de las comunicaciones y la movilidad en Tenerife requiere de una</w:t>
      </w:r>
      <w:r>
        <w:t xml:space="preserve"> respuesta eficaz, contundente y a largo plazo, Tenerife no puede dejar pasar este tren. Hay que continuar en la senda de la planificación, del compromiso y del apoyo sin ambages al transporte guiado como solución sostenible, segura y fundamental en un ter</w:t>
      </w:r>
      <w:r>
        <w:t xml:space="preserve">ritorio acotado y superpoblado como es Tenerife. </w:t>
      </w:r>
    </w:p>
    <w:p w:rsidR="00E302EC" w:rsidRDefault="00FC4F28">
      <w:pPr>
        <w:spacing w:after="0" w:line="259" w:lineRule="auto"/>
        <w:ind w:left="279" w:firstLine="0"/>
        <w:jc w:val="left"/>
      </w:pPr>
      <w:r>
        <w:t xml:space="preserve">  </w:t>
      </w:r>
    </w:p>
    <w:p w:rsidR="00E302EC" w:rsidRDefault="00FC4F28">
      <w:pPr>
        <w:ind w:left="279" w:right="184"/>
      </w:pPr>
      <w:r>
        <w:t>Además, existe un acuerdo insular del mes de junio de 2021, para el apoyo decidido al transporte guiado en Tenerife y para establecer el plan de prioridades de Metropolitano de Tenerife, en un momento en</w:t>
      </w:r>
      <w:r>
        <w:t xml:space="preserve"> que las condiciones de financiación son óptimas y en el que la mejora de las comunicaciones y la movilidad en Tenerife requiere esa respuesta eficaz y a largo plazo.  </w:t>
      </w:r>
    </w:p>
    <w:p w:rsidR="00E302EC" w:rsidRDefault="00FC4F28">
      <w:pPr>
        <w:spacing w:after="0" w:line="259" w:lineRule="auto"/>
        <w:ind w:left="279" w:firstLine="0"/>
        <w:jc w:val="left"/>
      </w:pPr>
      <w:r>
        <w:t xml:space="preserve"> </w:t>
      </w:r>
    </w:p>
    <w:p w:rsidR="00E302EC" w:rsidRDefault="00FC4F28">
      <w:pPr>
        <w:spacing w:line="249" w:lineRule="auto"/>
        <w:ind w:left="279" w:right="184"/>
        <w:jc w:val="left"/>
      </w:pPr>
      <w:r>
        <w:t xml:space="preserve">Igualmente, en el Pleno insular celebrado el pasado 25 de febrero de 2022, se aprobó la Moción presentada por el Grupo de CC-PNC para el “Impulso al Proyecto del Tren del Sur en Tenerife” con los siguientes acuerdos:  </w:t>
      </w:r>
    </w:p>
    <w:p w:rsidR="00E302EC" w:rsidRDefault="00FC4F28">
      <w:pPr>
        <w:spacing w:after="0" w:line="259" w:lineRule="auto"/>
        <w:ind w:left="279" w:firstLine="0"/>
        <w:jc w:val="left"/>
      </w:pPr>
      <w:r>
        <w:t xml:space="preserve"> </w:t>
      </w:r>
    </w:p>
    <w:p w:rsidR="00E302EC" w:rsidRDefault="00FC4F28">
      <w:pPr>
        <w:spacing w:after="4" w:line="250" w:lineRule="auto"/>
        <w:ind w:left="10" w:right="181"/>
        <w:jc w:val="right"/>
      </w:pPr>
      <w:r>
        <w:t xml:space="preserve">Primero. Instar al Gobierno del Estado, a que el Ministerio de Transportes, Movilidad y </w:t>
      </w:r>
    </w:p>
    <w:p w:rsidR="00E302EC" w:rsidRDefault="00FC4F28">
      <w:pPr>
        <w:ind w:left="279" w:right="184"/>
      </w:pPr>
      <w:r>
        <w:t xml:space="preserve">Agenda Urbana incluya la línea del Tren del Sur de Tenerife en la Red Ferroviaria de Interés General (RFIG), y que sea tenida en consideración dentro de la Estrategia </w:t>
      </w:r>
      <w:r>
        <w:t xml:space="preserve">Indicativa del desarrollo, mantenimiento y renovación de la infraestructura ferroviaria.  </w:t>
      </w:r>
    </w:p>
    <w:p w:rsidR="00E302EC" w:rsidRDefault="00FC4F28">
      <w:pPr>
        <w:spacing w:after="0" w:line="259" w:lineRule="auto"/>
        <w:ind w:left="975" w:firstLine="0"/>
        <w:jc w:val="left"/>
      </w:pPr>
      <w:r>
        <w:t xml:space="preserve"> </w:t>
      </w:r>
    </w:p>
    <w:p w:rsidR="00E302EC" w:rsidRDefault="00FC4F28">
      <w:pPr>
        <w:ind w:left="269" w:right="184" w:firstLine="691"/>
      </w:pPr>
      <w:r>
        <w:t>Segundo. El Cabildo de Tenerife, a través del área de Movilidad, convocará de manera urgente y a lo largo del mes de marzo a todas las fuerzas presentes en el Plen</w:t>
      </w:r>
      <w:r>
        <w:t xml:space="preserve">o para establecer la hoja de ruta del transporte guiado en la isla de Tenerife, tal como se aprobó en el Pleno de junio de 2021. En todo caso esa estrategia se concluirá y presentará antes de la finalización del primer semestre de 2022 para, de esa forma, </w:t>
      </w:r>
      <w:r>
        <w:t xml:space="preserve">poder seguir dando cumplimiento a la mencionada moción, en apoyo decidido al transporte guiado en Tenerife y para establecer el plan de prioridades de Metropolitano de Tenerife. </w:t>
      </w:r>
    </w:p>
    <w:p w:rsidR="00E302EC" w:rsidRDefault="00FC4F28">
      <w:pPr>
        <w:spacing w:after="0" w:line="259" w:lineRule="auto"/>
        <w:ind w:left="975" w:firstLine="0"/>
        <w:jc w:val="left"/>
      </w:pPr>
      <w:r>
        <w:t xml:space="preserve">  </w:t>
      </w:r>
    </w:p>
    <w:p w:rsidR="00E302EC" w:rsidRDefault="00FC4F28">
      <w:pPr>
        <w:ind w:left="279" w:right="184"/>
      </w:pPr>
      <w:r>
        <w:t>Mientras esto ocurría en el Cabildo, se debatía en el Parlamento de Canari</w:t>
      </w:r>
      <w:r>
        <w:t>as una Proposición No de Ley (PNL), que fue aprobada por amplia mayoría (salvo los tres diputados de Unidas Podemos), para solicitar al Estado la inclusión de los proyectos de los trenes de Gran Canaria y el Sur de Tenerife en la Red Ferroviaria de Interés</w:t>
      </w:r>
      <w:r>
        <w:t xml:space="preserve"> General, con lo que se comprometería al Gobierno central en la financiación del coste de ambos trenes.  </w:t>
      </w:r>
    </w:p>
    <w:p w:rsidR="00E302EC" w:rsidRDefault="00FC4F28">
      <w:pPr>
        <w:spacing w:after="0" w:line="259" w:lineRule="auto"/>
        <w:ind w:left="279" w:firstLine="0"/>
        <w:jc w:val="left"/>
      </w:pPr>
      <w:r>
        <w:t xml:space="preserve"> </w:t>
      </w:r>
    </w:p>
    <w:p w:rsidR="00E302EC" w:rsidRDefault="00FC4F28">
      <w:pPr>
        <w:ind w:left="279" w:right="184"/>
      </w:pPr>
      <w:r>
        <w:t>Y en el Congreso de los Diputados se aprobaba por unanimidad (incluido el grupo de Unidas Podemos) una Proposición No de Ley presentada por C,s para</w:t>
      </w:r>
      <w:r>
        <w:t xml:space="preserve"> que el Gobierno central garantice la financiación de los dos proyectos ferroviarios de Canarias, e instar al Ejecutivo a mantener la colaboración con los Cabildos teniendo en cuenta el carácter estratégico del ferrocarril en las dos islas.  </w:t>
      </w:r>
    </w:p>
    <w:p w:rsidR="00E302EC" w:rsidRDefault="00FC4F28">
      <w:pPr>
        <w:spacing w:after="0" w:line="259" w:lineRule="auto"/>
        <w:ind w:left="279" w:firstLine="0"/>
        <w:jc w:val="left"/>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5153" name="Group 25515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444" name="Rectangle 2244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w:t>
                              </w:r>
                              <w:r>
                                <w:rPr>
                                  <w:sz w:val="12"/>
                                </w:rPr>
                                <w:t xml:space="preserve">idación: 7MT23JRFLY7JHEN56D753ZS5Q | Verificación: https://candelaria.sedelectronica.es/ </w:t>
                              </w:r>
                            </w:p>
                          </w:txbxContent>
                        </wps:txbx>
                        <wps:bodyPr horzOverflow="overflow" vert="horz" lIns="0" tIns="0" rIns="0" bIns="0" rtlCol="0">
                          <a:noAutofit/>
                        </wps:bodyPr>
                      </wps:wsp>
                      <wps:wsp>
                        <wps:cNvPr id="22445" name="Rectangle 22445"/>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5153" style="width:12.7031pt;height:273.276pt;position:absolute;mso-position-horizontal-relative:page;mso-position-horizontal:absolute;margin-left:682.278pt;mso-position-vertical-relative:page;margin-top:538.644pt;" coordsize="1613,34706">
                <v:rect id="Rectangle 2244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445"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159 </w:t>
                        </w:r>
                      </w:p>
                    </w:txbxContent>
                  </v:textbox>
                </v:rect>
                <w10:wrap type="square"/>
              </v:group>
            </w:pict>
          </mc:Fallback>
        </mc:AlternateContent>
      </w:r>
      <w:r>
        <w:t>Por lo que respecta al Ayuntamiento de Candelaria, oficializó su post</w:t>
      </w:r>
      <w:r>
        <w:t>ura en contra del Tren del Sur en el pleno celebrado el 25 de octubre de 2017, tras una moción de Sí se Puede que votaron a favor, aparte de SsP, el PSOE y el PP. Señalando la entonces y actual alcaldesa Mari Brito que apostaba en Candelaria por el Transpo</w:t>
      </w:r>
      <w:r>
        <w:t xml:space="preserve">rte Compartido a la Demanda (taxi compartido) y a nivel insular por “planificar otro modelo más sostenible que el tren”.  </w:t>
      </w:r>
    </w:p>
    <w:p w:rsidR="00E302EC" w:rsidRDefault="00FC4F28">
      <w:pPr>
        <w:spacing w:after="0" w:line="259" w:lineRule="auto"/>
        <w:ind w:left="279" w:firstLine="0"/>
        <w:jc w:val="left"/>
      </w:pPr>
      <w:r>
        <w:t xml:space="preserve"> </w:t>
      </w:r>
    </w:p>
    <w:p w:rsidR="00E302EC" w:rsidRDefault="00FC4F28">
      <w:pPr>
        <w:ind w:left="279" w:right="184"/>
      </w:pPr>
      <w:r>
        <w:t>Ahora mismo, la financiación del tren tendría un impulso importante mediante la captación de fondos europeos y estatales, pues Cana</w:t>
      </w:r>
      <w:r>
        <w:t xml:space="preserve">rias y su ciudadanía tienen los mismos derechos que cualquier otro territorio del Estado español a beneficiarse del reparto de fondos para infraestructuras ferroviales.  </w:t>
      </w:r>
    </w:p>
    <w:p w:rsidR="00E302EC" w:rsidRDefault="00FC4F28">
      <w:pPr>
        <w:spacing w:after="0" w:line="259" w:lineRule="auto"/>
        <w:ind w:left="279" w:firstLine="0"/>
        <w:jc w:val="left"/>
      </w:pPr>
      <w:r>
        <w:t xml:space="preserve">  </w:t>
      </w:r>
    </w:p>
    <w:p w:rsidR="00E302EC" w:rsidRDefault="00FC4F28">
      <w:pPr>
        <w:ind w:left="279" w:right="184"/>
      </w:pPr>
      <w:r>
        <w:t>Para ello, es necesario que el Estado incorpore al Archipiélago a la Red Ferroviaria de Interés General (RFIG), lo que permitiría que Tenerife se sume a las inversiones para transporte guiado que se dan en toda España, compatibilizando su desarrollo con ot</w:t>
      </w:r>
      <w:r>
        <w:t xml:space="preserve">ras medidas como los carriles BUS-VAO, el taxi compartido, la mejora de la red de carreteras, la construcción de carriles bici, etc.  </w:t>
      </w:r>
    </w:p>
    <w:p w:rsidR="00E302EC" w:rsidRDefault="00FC4F28">
      <w:pPr>
        <w:spacing w:after="206" w:line="259" w:lineRule="auto"/>
        <w:ind w:left="284" w:firstLine="0"/>
        <w:jc w:val="left"/>
      </w:pPr>
      <w:r>
        <w:t xml:space="preserve">  </w:t>
      </w:r>
    </w:p>
    <w:p w:rsidR="00E302EC" w:rsidRDefault="00FC4F28">
      <w:pPr>
        <w:spacing w:after="388" w:line="259" w:lineRule="auto"/>
        <w:ind w:left="284" w:firstLine="0"/>
        <w:jc w:val="left"/>
      </w:pPr>
      <w:r>
        <w:rPr>
          <w:b/>
        </w:rPr>
        <w:t xml:space="preserve"> </w:t>
      </w:r>
    </w:p>
    <w:p w:rsidR="00E302EC" w:rsidRDefault="00FC4F28">
      <w:pPr>
        <w:spacing w:after="388" w:line="259" w:lineRule="auto"/>
        <w:ind w:left="284" w:firstLine="0"/>
        <w:jc w:val="left"/>
      </w:pPr>
      <w:r>
        <w:rPr>
          <w:b/>
        </w:rPr>
        <w:t xml:space="preserve"> </w:t>
      </w:r>
    </w:p>
    <w:p w:rsidR="00E302EC" w:rsidRDefault="00FC4F28">
      <w:pPr>
        <w:spacing w:after="389"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388" w:line="259" w:lineRule="auto"/>
        <w:ind w:left="284" w:firstLine="0"/>
        <w:jc w:val="left"/>
      </w:pPr>
      <w:r>
        <w:rPr>
          <w:b/>
        </w:rPr>
        <w:t xml:space="preserve"> </w:t>
      </w:r>
    </w:p>
    <w:p w:rsidR="00E302EC" w:rsidRDefault="00FC4F28">
      <w:pPr>
        <w:spacing w:after="285" w:line="335" w:lineRule="auto"/>
        <w:ind w:left="279" w:right="183"/>
      </w:pPr>
      <w:r>
        <w:rPr>
          <w:b/>
        </w:rPr>
        <w:t>Es por todo lo anteriormente expuesto, que los concejales de CC-PNC, en el Grupo Mixto, proponen al Pleno de</w:t>
      </w:r>
      <w:r>
        <w:rPr>
          <w:b/>
        </w:rPr>
        <w:t xml:space="preserve">l Ayuntamiento, la adopción de los siguientes ACUERDOS: </w:t>
      </w:r>
      <w:r>
        <w:rPr>
          <w:rFonts w:ascii="Times New Roman" w:eastAsia="Times New Roman" w:hAnsi="Times New Roman" w:cs="Times New Roman"/>
          <w:sz w:val="24"/>
        </w:rPr>
        <w:t xml:space="preserve"> </w:t>
      </w:r>
    </w:p>
    <w:p w:rsidR="00E302EC" w:rsidRDefault="00FC4F28">
      <w:pPr>
        <w:numPr>
          <w:ilvl w:val="0"/>
          <w:numId w:val="122"/>
        </w:numPr>
        <w:spacing w:after="289"/>
        <w:ind w:right="184" w:hanging="360"/>
      </w:pPr>
      <w:r>
        <w:t>Que ante el apoyo político decidido que se ha producido a nivel insular, regional y estatal y las condiciones óptimas que se presentan para su financiación, se apruebe por este Ayuntamiento el impul</w:t>
      </w:r>
      <w:r>
        <w:t>sar de manera decidida el proyecto conocido como Tren del Sur, apostando por el transporte guiado como una de las soluciones al problema de movilidad en Tenerife.</w:t>
      </w:r>
      <w:r>
        <w:rPr>
          <w:b/>
        </w:rPr>
        <w:t xml:space="preserve"> </w:t>
      </w:r>
      <w:r>
        <w:rPr>
          <w:rFonts w:ascii="Times New Roman" w:eastAsia="Times New Roman" w:hAnsi="Times New Roman" w:cs="Times New Roman"/>
          <w:sz w:val="24"/>
        </w:rPr>
        <w:t xml:space="preserve"> </w:t>
      </w:r>
    </w:p>
    <w:p w:rsidR="00E302EC" w:rsidRDefault="00FC4F28">
      <w:pPr>
        <w:numPr>
          <w:ilvl w:val="0"/>
          <w:numId w:val="122"/>
        </w:numPr>
        <w:spacing w:after="316"/>
        <w:ind w:right="184" w:hanging="360"/>
      </w:pPr>
      <w:r>
        <w:t xml:space="preserve">Instar al Gobierno de Canarias y al Cabildo Insular de Tenerife a que exija al Gobierno de </w:t>
      </w:r>
      <w:r>
        <w:t xml:space="preserve">España que incluya dicho proyecto en la Red Ferroviaria de Interés General (RFIG), para optar de esta manera a fondos estatales y europeos en la materia.  </w:t>
      </w:r>
    </w:p>
    <w:p w:rsidR="00E302EC" w:rsidRDefault="00FC4F28">
      <w:pPr>
        <w:numPr>
          <w:ilvl w:val="0"/>
          <w:numId w:val="122"/>
        </w:numPr>
        <w:spacing w:after="314"/>
        <w:ind w:right="184" w:hanging="360"/>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5013" name="Group 25501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544" name="Rectangle 2254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2545" name="Rectangle 22545"/>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5013" style="width:12.7031pt;height:273.276pt;position:absolute;mso-position-horizontal-relative:page;mso-position-horizontal:absolute;margin-left:682.278pt;mso-position-vertical-relative:page;margin-top:538.644pt;" coordsize="1613,34706">
                <v:rect id="Rectangle 2254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545"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159 </w:t>
                        </w:r>
                      </w:p>
                    </w:txbxContent>
                  </v:textbox>
                </v:rect>
                <w10:wrap type="square"/>
              </v:group>
            </w:pict>
          </mc:Fallback>
        </mc:AlternateContent>
      </w:r>
      <w:r>
        <w:t>Instar al Cabildo de Tenerife a que, a través del área de Movilidad, convoque DE MANERA URGENTE a todas las fuerzas presentes en el Pleno insular, para establ</w:t>
      </w:r>
      <w:r>
        <w:t xml:space="preserve">ecer la hoja de ruta del transporte guiado en la isla, tal como se aprobó en el pasado pleno insular del mes de junio de 2021, en apoyo decidido al transporte guiado en Tenerife y para establecer el plan de prioridades de metropolitano de Tenerife.” </w:t>
      </w:r>
    </w:p>
    <w:p w:rsidR="00E302EC" w:rsidRDefault="00FC4F28">
      <w:pPr>
        <w:spacing w:after="119" w:line="259" w:lineRule="auto"/>
        <w:ind w:left="1364" w:firstLine="0"/>
        <w:jc w:val="left"/>
      </w:pPr>
      <w:r>
        <w:t xml:space="preserve">  </w:t>
      </w:r>
    </w:p>
    <w:p w:rsidR="00E302EC" w:rsidRDefault="00FC4F28">
      <w:pPr>
        <w:spacing w:after="1" w:line="259" w:lineRule="auto"/>
        <w:ind w:left="10" w:right="184"/>
        <w:jc w:val="right"/>
      </w:pPr>
      <w:r>
        <w:rPr>
          <w:b/>
        </w:rPr>
        <w:t>Dñ</w:t>
      </w:r>
      <w:r>
        <w:rPr>
          <w:b/>
        </w:rPr>
        <w:t>a. Angela Cruz Perera</w:t>
      </w:r>
      <w:r>
        <w:rPr>
          <w:rFonts w:ascii="Times New Roman" w:eastAsia="Times New Roman" w:hAnsi="Times New Roman" w:cs="Times New Roman"/>
          <w:sz w:val="24"/>
        </w:rPr>
        <w:t xml:space="preserve"> </w:t>
      </w:r>
    </w:p>
    <w:p w:rsidR="00E302EC" w:rsidRDefault="00FC4F28">
      <w:pPr>
        <w:spacing w:after="4" w:line="250" w:lineRule="auto"/>
        <w:ind w:left="10" w:right="181"/>
        <w:jc w:val="right"/>
      </w:pPr>
      <w:r>
        <w:t xml:space="preserve">Portavoz de CC en el Grupo Mixto </w:t>
      </w:r>
    </w:p>
    <w:p w:rsidR="00E302EC" w:rsidRDefault="00FC4F28">
      <w:pPr>
        <w:spacing w:after="0" w:line="259" w:lineRule="auto"/>
        <w:ind w:left="0" w:right="131" w:firstLine="0"/>
        <w:jc w:val="right"/>
      </w:pPr>
      <w: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DICTAMEN FAVORABLE DE LA COMISIÓN INFORMATIVA DE P.G. URBANÍSTICA Y AMBIENTAL, OBRAS y SERVICIOS PÚBLICOS DE 28 DE MARZO DE 2022.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0.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7. </w:t>
      </w:r>
    </w:p>
    <w:p w:rsidR="00E302EC" w:rsidRDefault="00FC4F28">
      <w:pPr>
        <w:ind w:left="279" w:right="184"/>
      </w:pPr>
      <w:r>
        <w:t xml:space="preserve">4 de los concejales del Grupo Socialista: Don Reinaldo José Triviño Blanco, Doña Hilaria Cecilia Otazo González, Don Jorge Baute Delgado y Doña María del Carmen Clemente Díaz. </w:t>
      </w:r>
    </w:p>
    <w:p w:rsidR="00E302EC" w:rsidRDefault="00FC4F28">
      <w:pPr>
        <w:numPr>
          <w:ilvl w:val="0"/>
          <w:numId w:val="123"/>
        </w:numPr>
        <w:ind w:right="184" w:hanging="184"/>
      </w:pPr>
      <w:r>
        <w:t xml:space="preserve">de la concejal del Grupo Popular, Doña Raquel Martín Castro. </w:t>
      </w:r>
    </w:p>
    <w:p w:rsidR="00E302EC" w:rsidRDefault="00FC4F28">
      <w:pPr>
        <w:numPr>
          <w:ilvl w:val="0"/>
          <w:numId w:val="123"/>
        </w:numPr>
        <w:ind w:right="184" w:hanging="184"/>
      </w:pPr>
      <w:r>
        <w:t>de las concejalas</w:t>
      </w:r>
      <w:r>
        <w:t xml:space="preserve"> del Grupo Mixto: Doña Lourdes del Carmen Mondéjar Rondón y Doña Alicia Mercedes Marrero Meneses.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t xml:space="preserve">Quedó oída.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El Grupo Municipal Socialista introdujo una enmienda cuyo tenor literal dice: </w:t>
      </w:r>
    </w:p>
    <w:p w:rsidR="00E302EC" w:rsidRDefault="00FC4F28">
      <w:pPr>
        <w:spacing w:after="0" w:line="259" w:lineRule="auto"/>
        <w:ind w:left="284" w:firstLine="0"/>
        <w:jc w:val="left"/>
      </w:pPr>
      <w:r>
        <w:rPr>
          <w:b/>
        </w:rPr>
        <w:t xml:space="preserve"> </w:t>
      </w:r>
    </w:p>
    <w:p w:rsidR="00E302EC" w:rsidRDefault="00FC4F28">
      <w:pPr>
        <w:spacing w:after="0" w:line="248" w:lineRule="auto"/>
        <w:ind w:left="279" w:right="180"/>
      </w:pPr>
      <w:r>
        <w:rPr>
          <w:i/>
        </w:rPr>
        <w:t xml:space="preserve">“El Grupo Municipal Socialista PSC-PSOE presenta la siguiente enmienda a la Moción de Coalición Canaria-Partido Nacionalista Canario, por la siguiente redacción que sustituye los acuerdos propuestos por un único punto. </w:t>
      </w:r>
    </w:p>
    <w:p w:rsidR="00E302EC" w:rsidRDefault="00FC4F28">
      <w:pPr>
        <w:spacing w:after="0" w:line="259" w:lineRule="auto"/>
        <w:ind w:left="284" w:firstLine="0"/>
        <w:jc w:val="left"/>
      </w:pPr>
      <w:r>
        <w:rPr>
          <w:i/>
        </w:rPr>
        <w:t xml:space="preserve"> </w:t>
      </w:r>
    </w:p>
    <w:p w:rsidR="00E302EC" w:rsidRDefault="00FC4F28">
      <w:pPr>
        <w:spacing w:after="0" w:line="248" w:lineRule="auto"/>
        <w:ind w:left="279" w:right="180"/>
      </w:pPr>
      <w:r>
        <w:rPr>
          <w:i/>
        </w:rPr>
        <w:t>Apoyar la elaboración, por parte d</w:t>
      </w:r>
      <w:r>
        <w:rPr>
          <w:i/>
        </w:rPr>
        <w:t>el Cabildo Insular de Tenerife, del Plan Insular de Movilidad Sostenible de la isla de Tenerife (PIMSIT) como instrumento básico de planificación sectorial estratégica que permita establecer el modelo de ordenación y gestión de la movilidad para los próxim</w:t>
      </w:r>
      <w:r>
        <w:rPr>
          <w:i/>
        </w:rPr>
        <w:t xml:space="preserve">os 20 años de la isla de Tenerife, con una óptica de sostenibilidad y centrándose en la potenciación y mejora del transporte público y en las conexiones entre todos los modos de transporte público y privado”. </w:t>
      </w:r>
    </w:p>
    <w:p w:rsidR="00E302EC" w:rsidRDefault="00FC4F28">
      <w:pPr>
        <w:spacing w:after="0" w:line="259" w:lineRule="auto"/>
        <w:ind w:left="284" w:firstLine="0"/>
        <w:jc w:val="left"/>
      </w:pPr>
      <w:r>
        <w:rPr>
          <w:i/>
        </w:rPr>
        <w:t xml:space="preserve"> </w:t>
      </w:r>
    </w:p>
    <w:p w:rsidR="00E302EC" w:rsidRDefault="00FC4F28">
      <w:pPr>
        <w:spacing w:after="0" w:line="259" w:lineRule="auto"/>
        <w:ind w:left="284" w:firstLine="0"/>
        <w:jc w:val="left"/>
      </w:pPr>
      <w:r>
        <w:rPr>
          <w:i/>
        </w:rPr>
        <w:t xml:space="preserve"> </w:t>
      </w:r>
    </w:p>
    <w:p w:rsidR="00E302EC" w:rsidRDefault="00FC4F28">
      <w:pPr>
        <w:spacing w:after="8" w:line="248" w:lineRule="auto"/>
        <w:ind w:left="279" w:right="183"/>
      </w:pPr>
      <w:r>
        <w:rPr>
          <w:b/>
        </w:rPr>
        <w:t>VOTACIÓN EN EL PLENO DE 31 DE MARZO DE 202</w:t>
      </w:r>
      <w:r>
        <w:rPr>
          <w:b/>
        </w:rPr>
        <w:t xml:space="preserve">2 DE LA ENMIENDA: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14. </w:t>
      </w:r>
    </w:p>
    <w:p w:rsidR="00E302EC" w:rsidRDefault="00FC4F28">
      <w:pPr>
        <w:spacing w:after="114"/>
        <w:ind w:left="279" w:right="184"/>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5534" name="Group 25553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667" name="Rectangle 2266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2668" name="Rectangle 22668"/>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5534" style="width:12.7031pt;height:273.276pt;position:absolute;mso-position-horizontal-relative:page;mso-position-horizontal:absolute;margin-left:682.278pt;mso-position-vertical-relative:page;margin-top:538.644pt;" coordsize="1613,34706">
                <v:rect id="Rectangle 2266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668"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159 </w:t>
                        </w:r>
                      </w:p>
                    </w:txbxContent>
                  </v:textbox>
                </v:rect>
                <w10:wrap type="square"/>
              </v:group>
            </w:pict>
          </mc:Fallback>
        </mc:AlternateContent>
      </w:r>
      <w:r>
        <w:t>11 concejales del</w:t>
      </w:r>
      <w:r>
        <w:t xml:space="preserve"> Grupo Socialista: Doña María Concepción Brito Núñez, Doña Don Jorge Baute Delgado, Doña Olivia Concepción Pérez Díaz, Don José Francisco Pinto Ramos, Doña Hilaria Cecilia Otazo González, Don Airam Pérez Chinea, Doña Margarita Eva Tendero Barroso, Don Manu</w:t>
      </w:r>
      <w:r>
        <w:t xml:space="preserve">el Alberto González Pestano, Doña María del Carmen Clemente Díaz, Don Olegario Francisco Alonso Bello y Don Reinaldo José Triviño Blanco. </w:t>
      </w:r>
    </w:p>
    <w:p w:rsidR="00E302EC" w:rsidRDefault="00FC4F28">
      <w:pPr>
        <w:numPr>
          <w:ilvl w:val="0"/>
          <w:numId w:val="124"/>
        </w:numPr>
        <w:spacing w:after="109"/>
        <w:ind w:right="184" w:hanging="184"/>
      </w:pPr>
      <w:r>
        <w:t xml:space="preserve">de la concejal del Grupo Mixto (VxC): Doña Alicia Mercedes Marrero Meneses. </w:t>
      </w:r>
    </w:p>
    <w:p w:rsidR="00E302EC" w:rsidRDefault="00FC4F28">
      <w:pPr>
        <w:numPr>
          <w:ilvl w:val="0"/>
          <w:numId w:val="124"/>
        </w:numPr>
        <w:spacing w:after="111"/>
        <w:ind w:right="184" w:hanging="184"/>
      </w:pPr>
      <w:r>
        <w:t xml:space="preserve">de los concejales del Grupo Mixto (SSP): Doña Lourdes del Carmen Mondéjar Rondón y Don Antonio Delgado García. </w:t>
      </w:r>
    </w:p>
    <w:p w:rsidR="00E302EC" w:rsidRDefault="00FC4F28">
      <w:pPr>
        <w:ind w:left="279" w:right="184"/>
      </w:pPr>
      <w:r>
        <w:t xml:space="preserve">Votos en contra: 1. </w:t>
      </w:r>
    </w:p>
    <w:p w:rsidR="00E302EC" w:rsidRDefault="00FC4F28">
      <w:pPr>
        <w:ind w:left="279" w:right="184"/>
      </w:pPr>
      <w:r>
        <w:t xml:space="preserve">1 de la concejal Doña Ángela Cruz Perera.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1. </w:t>
      </w:r>
    </w:p>
    <w:p w:rsidR="00E302EC" w:rsidRDefault="00FC4F28">
      <w:pPr>
        <w:ind w:left="279" w:right="184"/>
      </w:pPr>
      <w:r>
        <w:t xml:space="preserve">1 del concejal Don Jacobo López Fariña.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VOTACIÓN EN EL PLENO DE 31 DE MARZO DE 2022 DE LA MOCIÓN: </w:t>
      </w:r>
    </w:p>
    <w:p w:rsidR="00E302EC" w:rsidRDefault="00FC4F28">
      <w:pPr>
        <w:spacing w:after="0" w:line="259" w:lineRule="auto"/>
        <w:ind w:left="284" w:firstLine="0"/>
        <w:jc w:val="left"/>
      </w:pPr>
      <w:r>
        <w:rPr>
          <w:b/>
        </w:rPr>
        <w:t xml:space="preserve"> </w:t>
      </w:r>
    </w:p>
    <w:p w:rsidR="00E302EC" w:rsidRDefault="00FC4F28">
      <w:pPr>
        <w:ind w:left="279" w:right="184"/>
      </w:pPr>
      <w:r>
        <w:t xml:space="preserve">Votos a favor: 2. </w:t>
      </w:r>
    </w:p>
    <w:p w:rsidR="00E302EC" w:rsidRDefault="00FC4F28">
      <w:pPr>
        <w:ind w:left="279" w:right="184"/>
      </w:pPr>
      <w:r>
        <w:t xml:space="preserve">1 del concejal Don Jacobo López Fariña. </w:t>
      </w:r>
    </w:p>
    <w:p w:rsidR="00E302EC" w:rsidRDefault="00FC4F28">
      <w:pPr>
        <w:ind w:left="279" w:right="184"/>
      </w:pPr>
      <w:r>
        <w:t xml:space="preserve">1 de la concejal Doña Ángela Cruz Perera.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14. </w:t>
      </w:r>
    </w:p>
    <w:p w:rsidR="00E302EC" w:rsidRDefault="00FC4F28">
      <w:pPr>
        <w:ind w:left="279" w:right="184"/>
      </w:pPr>
      <w:r>
        <w:t>11 concejales del Grupo Socialista: Doña María Concepción Brito Núñe</w:t>
      </w:r>
      <w:r>
        <w:t xml:space="preserve">z, Doña Don Jorge Baute Delgado, Doña Olivia Concepción Pérez Díaz, Don José Francisco Pinto Ramos, Doña Hilaria Cecilia Otazo González, Don Airam Pérez Chinea, Doña Margarita Eva Tendero Barroso, Don Manuel Alberto González Pestano, Doña María del Carmen </w:t>
      </w:r>
      <w:r>
        <w:t xml:space="preserve">Clemente Díaz, Don Olegario Francisco Alonso Bello y Don Reinaldo José Triviño Blanco. </w:t>
      </w:r>
    </w:p>
    <w:p w:rsidR="00E302EC" w:rsidRDefault="00FC4F28">
      <w:pPr>
        <w:numPr>
          <w:ilvl w:val="0"/>
          <w:numId w:val="125"/>
        </w:numPr>
        <w:spacing w:after="111"/>
        <w:ind w:right="184" w:hanging="184"/>
      </w:pPr>
      <w:r>
        <w:t xml:space="preserve">de la concejal del Grupo Mixto (VxC): Doña Alicia Mercedes Marrero Meneses. </w:t>
      </w:r>
    </w:p>
    <w:p w:rsidR="00E302EC" w:rsidRDefault="00FC4F28">
      <w:pPr>
        <w:numPr>
          <w:ilvl w:val="0"/>
          <w:numId w:val="125"/>
        </w:numPr>
        <w:spacing w:after="112"/>
        <w:ind w:right="184" w:hanging="184"/>
      </w:pPr>
      <w:r>
        <w:t>de los concejales del Grupo Mixto (SSP): Doña Lourdes del Carmen Mondéjar Rondón y Don Anto</w:t>
      </w:r>
      <w:r>
        <w:t xml:space="preserve">nio Delgado García. </w:t>
      </w:r>
    </w:p>
    <w:p w:rsidR="00E302EC" w:rsidRDefault="00FC4F28">
      <w:pPr>
        <w:ind w:left="279" w:right="184"/>
      </w:pPr>
      <w:r>
        <w:t xml:space="preserve">Abstenciones: 0. </w:t>
      </w:r>
    </w:p>
    <w:p w:rsidR="00E302EC" w:rsidRDefault="00FC4F28">
      <w:pPr>
        <w:spacing w:after="0" w:line="259" w:lineRule="auto"/>
        <w:ind w:left="284" w:firstLine="0"/>
        <w:jc w:val="left"/>
      </w:pPr>
      <w:r>
        <w:t xml:space="preserve"> </w:t>
      </w:r>
    </w:p>
    <w:p w:rsidR="00E302EC" w:rsidRDefault="00FC4F28">
      <w:pPr>
        <w:spacing w:after="8" w:line="248" w:lineRule="auto"/>
        <w:ind w:left="1002" w:right="183"/>
      </w:pPr>
      <w:r>
        <w:rPr>
          <w:b/>
        </w:rPr>
        <w:t xml:space="preserve">ACUERDO DEL PLENO DE APROBACIÓN DE LA ENMIENDA A LA MOCIÓN. </w:t>
      </w:r>
    </w:p>
    <w:p w:rsidR="00E302EC" w:rsidRDefault="00FC4F28">
      <w:pPr>
        <w:ind w:left="279" w:right="184"/>
      </w:pPr>
      <w:r>
        <w:t>“El Grupo Municipal Socialista PSC-PSOE presenta la siguiente enmienda a la Moción de Coalición Canaria-</w:t>
      </w:r>
      <w:r>
        <w:t xml:space="preserve">Partido Nacionalista Canario, por la siguiente redacción que sustituye los acuerdos propuestos por un único punto. </w:t>
      </w:r>
    </w:p>
    <w:p w:rsidR="00E302EC" w:rsidRDefault="00FC4F28">
      <w:pPr>
        <w:spacing w:after="0" w:line="259" w:lineRule="auto"/>
        <w:ind w:left="284" w:firstLine="0"/>
        <w:jc w:val="left"/>
      </w:pPr>
      <w:r>
        <w:t xml:space="preserve"> </w:t>
      </w:r>
    </w:p>
    <w:p w:rsidR="00E302EC" w:rsidRDefault="00FC4F28">
      <w:pPr>
        <w:ind w:left="279" w:right="184"/>
      </w:pPr>
      <w:r>
        <w:t>Apoyar la elaboración, por parte del Cabildo Insular de Tenerife, del Plan Insular de Movilidad Sostenible de la isla de Tenerife (PIMSIT)</w:t>
      </w:r>
      <w:r>
        <w:t xml:space="preserve"> como instrumento básico de planificación sectorial estratégica que permita establecer el modelo de ordenación y gestión de la movilidad para los próximos 20 años de la isla de Tenerife, con una óptica de sostenibilidad y centrándose en la potenciación y m</w:t>
      </w:r>
      <w:r>
        <w:t xml:space="preserve">ejora del transporte público y en las conexiones entre todos los modos de transporte público y privado”. </w:t>
      </w:r>
    </w:p>
    <w:p w:rsidR="00E302EC" w:rsidRDefault="00FC4F28">
      <w:pPr>
        <w:spacing w:after="0" w:line="259" w:lineRule="auto"/>
        <w:ind w:left="284" w:firstLine="0"/>
        <w:jc w:val="left"/>
      </w:pPr>
      <w:r>
        <w:t xml:space="preserve"> </w:t>
      </w:r>
    </w:p>
    <w:p w:rsidR="00E302EC" w:rsidRDefault="00FC4F28">
      <w:pPr>
        <w:ind w:left="279" w:right="184"/>
      </w:pPr>
      <w:r>
        <w:t>Se levanta la sesión a las 14:45 horas después de un (receso entre las 12 a las 14:30 para elaborar el punto de urgencias) del mismo día. De todo lo</w:t>
      </w:r>
      <w:r>
        <w:t xml:space="preserve"> cual yo, como Secretario General, doy fe.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55816" name="Group 25581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772" name="Rectangle 2277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2773" name="Rectangle 22773"/>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5816" style="width:12.7031pt;height:273.276pt;position:absolute;mso-position-horizontal-relative:page;mso-position-horizontal:absolute;margin-left:682.278pt;mso-position-vertical-relative:page;margin-top:538.644pt;" coordsize="1613,34706">
                <v:rect id="Rectangle 2277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773"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159 </w:t>
                        </w:r>
                      </w:p>
                    </w:txbxContent>
                  </v:textbox>
                </v:rect>
                <w10:wrap type="topAndBottom"/>
              </v:group>
            </w:pict>
          </mc:Fallback>
        </mc:AlternateContent>
      </w: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93" w:line="249" w:lineRule="auto"/>
        <w:ind w:left="279" w:right="183"/>
      </w:pPr>
      <w:r>
        <w:rPr>
          <w:b/>
          <w:sz w:val="24"/>
        </w:rPr>
        <w:t xml:space="preserve">10.- Expediente 2812/2022. Moción del Grupo Mixto con registro de entrada N.º (2022E-RE-1259) del 19 de marzo de 2022 para la atención a las personas mayores en las entidades bancarias.º </w:t>
      </w:r>
      <w:r>
        <w:t xml:space="preserve"> </w:t>
      </w:r>
    </w:p>
    <w:p w:rsidR="00E302EC" w:rsidRDefault="00FC4F28">
      <w:pPr>
        <w:spacing w:after="100" w:line="259" w:lineRule="auto"/>
        <w:ind w:left="284" w:firstLine="0"/>
        <w:jc w:val="left"/>
      </w:pPr>
      <w:r>
        <w:rPr>
          <w:b/>
        </w:rPr>
        <w:t xml:space="preserve"> </w:t>
      </w:r>
    </w:p>
    <w:p w:rsidR="00E302EC" w:rsidRDefault="00FC4F28">
      <w:pPr>
        <w:spacing w:after="112" w:line="259" w:lineRule="auto"/>
        <w:ind w:left="284" w:firstLine="0"/>
        <w:jc w:val="left"/>
      </w:pPr>
      <w:r>
        <w:rPr>
          <w:b/>
        </w:rPr>
        <w:t xml:space="preserve"> </w:t>
      </w:r>
    </w:p>
    <w:p w:rsidR="00E302EC" w:rsidRDefault="00FC4F28">
      <w:pPr>
        <w:spacing w:after="8" w:line="248" w:lineRule="auto"/>
        <w:ind w:left="279" w:right="183"/>
      </w:pPr>
      <w:r>
        <w:t xml:space="preserve"> </w:t>
      </w:r>
      <w:r>
        <w:rPr>
          <w:b/>
        </w:rPr>
        <w:t>Consta en el expediente electrónico la referida moción que se inserta literalmente:</w:t>
      </w:r>
      <w:r>
        <w:rPr>
          <w:rFonts w:ascii="Times New Roman" w:eastAsia="Times New Roman" w:hAnsi="Times New Roman" w:cs="Times New Roman"/>
          <w:sz w:val="24"/>
        </w:rPr>
        <w:t xml:space="preserve"> </w:t>
      </w:r>
    </w:p>
    <w:p w:rsidR="00E302EC" w:rsidRDefault="00FC4F28">
      <w:pPr>
        <w:spacing w:after="224" w:line="259" w:lineRule="auto"/>
        <w:ind w:left="284" w:firstLine="0"/>
        <w:jc w:val="left"/>
      </w:pPr>
      <w:r>
        <w:t xml:space="preserve"> </w:t>
      </w:r>
    </w:p>
    <w:p w:rsidR="00E302EC" w:rsidRDefault="00FC4F28">
      <w:pPr>
        <w:spacing w:after="146" w:line="259" w:lineRule="auto"/>
        <w:ind w:left="283" w:firstLine="0"/>
        <w:jc w:val="left"/>
      </w:pPr>
      <w:r>
        <w:rPr>
          <w:noProof/>
        </w:rPr>
        <w:drawing>
          <wp:inline distT="0" distB="0" distL="0" distR="0">
            <wp:extent cx="1455420" cy="1478280"/>
            <wp:effectExtent l="0" t="0" r="0" b="0"/>
            <wp:docPr id="22884" name="Picture 22884"/>
            <wp:cNvGraphicFramePr/>
            <a:graphic xmlns:a="http://schemas.openxmlformats.org/drawingml/2006/main">
              <a:graphicData uri="http://schemas.openxmlformats.org/drawingml/2006/picture">
                <pic:pic xmlns:pic="http://schemas.openxmlformats.org/drawingml/2006/picture">
                  <pic:nvPicPr>
                    <pic:cNvPr id="22884" name="Picture 22884"/>
                    <pic:cNvPicPr/>
                  </pic:nvPicPr>
                  <pic:blipFill>
                    <a:blip r:embed="rId12"/>
                    <a:stretch>
                      <a:fillRect/>
                    </a:stretch>
                  </pic:blipFill>
                  <pic:spPr>
                    <a:xfrm>
                      <a:off x="0" y="0"/>
                      <a:ext cx="1455420" cy="1478280"/>
                    </a:xfrm>
                    <a:prstGeom prst="rect">
                      <a:avLst/>
                    </a:prstGeom>
                  </pic:spPr>
                </pic:pic>
              </a:graphicData>
            </a:graphic>
          </wp:inline>
        </w:drawing>
      </w:r>
      <w:r>
        <w:rPr>
          <w:rFonts w:ascii="Times New Roman" w:eastAsia="Times New Roman" w:hAnsi="Times New Roman" w:cs="Times New Roman"/>
          <w:sz w:val="24"/>
        </w:rPr>
        <w:t xml:space="preserve"> </w:t>
      </w:r>
    </w:p>
    <w:p w:rsidR="00E302EC" w:rsidRDefault="00FC4F28">
      <w:pPr>
        <w:spacing w:after="109" w:line="259" w:lineRule="auto"/>
        <w:ind w:left="284" w:firstLine="0"/>
        <w:jc w:val="left"/>
      </w:pPr>
      <w:r>
        <w:t xml:space="preserve"> </w:t>
      </w:r>
    </w:p>
    <w:p w:rsidR="00E302EC" w:rsidRDefault="00FC4F28">
      <w:pPr>
        <w:spacing w:after="1" w:line="259" w:lineRule="auto"/>
        <w:ind w:left="10" w:right="462"/>
        <w:jc w:val="right"/>
      </w:pPr>
      <w:r>
        <w:t xml:space="preserve">                                          </w:t>
      </w:r>
      <w:r>
        <w:rPr>
          <w:b/>
        </w:rPr>
        <w:t xml:space="preserve">Alicia Mercedes Marrero Meneses.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4" w:line="250" w:lineRule="auto"/>
        <w:ind w:left="10" w:right="181"/>
        <w:jc w:val="right"/>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6258" name="Group 25625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2887" name="Rectangle 2288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w:t>
                              </w:r>
                              <w:r>
                                <w:rPr>
                                  <w:sz w:val="12"/>
                                </w:rPr>
                                <w:t xml:space="preserve">7MT23JRFLY7JHEN56D753ZS5Q | Verificación: https://candelaria.sedelectronica.es/ </w:t>
                              </w:r>
                            </w:p>
                          </w:txbxContent>
                        </wps:txbx>
                        <wps:bodyPr horzOverflow="overflow" vert="horz" lIns="0" tIns="0" rIns="0" bIns="0" rtlCol="0">
                          <a:noAutofit/>
                        </wps:bodyPr>
                      </wps:wsp>
                      <wps:wsp>
                        <wps:cNvPr id="22888" name="Rectangle 22888"/>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6258" style="width:12.7031pt;height:273.276pt;position:absolute;mso-position-horizontal-relative:page;mso-position-horizontal:absolute;margin-left:682.278pt;mso-position-vertical-relative:page;margin-top:538.644pt;" coordsize="1613,34706">
                <v:rect id="Rectangle 2288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2888"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159 </w:t>
                        </w:r>
                      </w:p>
                    </w:txbxContent>
                  </v:textbox>
                </v:rect>
                <w10:wrap type="square"/>
              </v:group>
            </w:pict>
          </mc:Fallback>
        </mc:AlternateContent>
      </w:r>
      <w:r>
        <w:t xml:space="preserve">Concejal del Excmo. Ayuntamiento de Candelaria.  </w:t>
      </w:r>
    </w:p>
    <w:p w:rsidR="00E302EC" w:rsidRDefault="00FC4F28">
      <w:pPr>
        <w:spacing w:after="0" w:line="259" w:lineRule="auto"/>
        <w:ind w:left="284" w:firstLine="0"/>
        <w:jc w:val="left"/>
      </w:pPr>
      <w:r>
        <w:t xml:space="preserve">                                                                                                            </w:t>
      </w:r>
    </w:p>
    <w:p w:rsidR="00E302EC" w:rsidRDefault="00FC4F28">
      <w:pPr>
        <w:spacing w:after="4" w:line="250" w:lineRule="auto"/>
        <w:ind w:left="10" w:right="181"/>
        <w:jc w:val="right"/>
      </w:pPr>
      <w:r>
        <w:t xml:space="preserve"> VecinosxCandelaria  </w:t>
      </w:r>
    </w:p>
    <w:p w:rsidR="00E302EC" w:rsidRDefault="00FC4F28">
      <w:pPr>
        <w:spacing w:after="2" w:line="259" w:lineRule="auto"/>
        <w:ind w:left="284" w:firstLine="0"/>
        <w:jc w:val="left"/>
      </w:pPr>
      <w:r>
        <w:t xml:space="preserve">  </w:t>
      </w:r>
    </w:p>
    <w:p w:rsidR="00E302EC" w:rsidRDefault="00FC4F28">
      <w:pPr>
        <w:ind w:left="279" w:right="184"/>
      </w:pPr>
      <w:r>
        <w:rPr>
          <w:b/>
        </w:rPr>
        <w:t>Doña Alicia Mercedes Marrero Meneses</w:t>
      </w:r>
      <w:r>
        <w:t>, concejal del Ayuntamiento de Candelaria, en nombre y representación del mismo y al a</w:t>
      </w:r>
      <w:r>
        <w:t xml:space="preserve">mparo de lo establecido en los artículos 91.4 y 97.3 del Reglamento de Funcionamiento y Régimen Jurídico de las Entidades Locales de 1986, eleva al Pleno de la Corporación para su debate la siguiente: </w:t>
      </w:r>
      <w:r>
        <w:rPr>
          <w:rFonts w:ascii="Times New Roman" w:eastAsia="Times New Roman" w:hAnsi="Times New Roman" w:cs="Times New Roman"/>
          <w:sz w:val="24"/>
        </w:rPr>
        <w:t xml:space="preserve"> </w:t>
      </w:r>
    </w:p>
    <w:p w:rsidR="00E302EC" w:rsidRDefault="00FC4F28">
      <w:pPr>
        <w:spacing w:after="0" w:line="259" w:lineRule="auto"/>
        <w:ind w:left="279" w:firstLine="0"/>
        <w:jc w:val="left"/>
      </w:pPr>
      <w:r>
        <w:t xml:space="preserve"> </w:t>
      </w:r>
    </w:p>
    <w:p w:rsidR="00E302EC" w:rsidRDefault="00FC4F28">
      <w:pPr>
        <w:spacing w:after="0" w:line="259" w:lineRule="auto"/>
        <w:ind w:left="279" w:firstLine="0"/>
        <w:jc w:val="left"/>
      </w:pPr>
      <w:r>
        <w:t xml:space="preserve"> </w:t>
      </w:r>
    </w:p>
    <w:p w:rsidR="00E302EC" w:rsidRDefault="00FC4F28">
      <w:pPr>
        <w:spacing w:after="28" w:line="229" w:lineRule="auto"/>
        <w:ind w:left="596" w:right="536"/>
        <w:jc w:val="center"/>
      </w:pPr>
      <w:r>
        <w:rPr>
          <w:b/>
          <w:u w:val="single" w:color="000000"/>
        </w:rPr>
        <w:t>MOCIÓN</w:t>
      </w:r>
      <w:r>
        <w:rPr>
          <w:b/>
        </w:rPr>
        <w:t xml:space="preserve"> </w:t>
      </w:r>
      <w:r>
        <w:rPr>
          <w:rFonts w:ascii="Times New Roman" w:eastAsia="Times New Roman" w:hAnsi="Times New Roman" w:cs="Times New Roman"/>
          <w:sz w:val="24"/>
        </w:rPr>
        <w:t xml:space="preserve"> </w:t>
      </w:r>
    </w:p>
    <w:p w:rsidR="00E302EC" w:rsidRDefault="00FC4F28">
      <w:pPr>
        <w:spacing w:after="0" w:line="229" w:lineRule="auto"/>
        <w:ind w:left="596" w:right="351"/>
        <w:jc w:val="center"/>
      </w:pPr>
      <w:r>
        <w:rPr>
          <w:b/>
          <w:u w:val="single" w:color="000000"/>
        </w:rPr>
        <w:t>SOBRE LA ATENCION A LAS PERSONAS MAYORES</w:t>
      </w:r>
      <w:r>
        <w:rPr>
          <w:b/>
        </w:rPr>
        <w:t xml:space="preserve"> EN</w:t>
      </w:r>
      <w:r>
        <w:rPr>
          <w:b/>
          <w:u w:val="single" w:color="000000"/>
        </w:rPr>
        <w:t xml:space="preserve"> LAS ENTIDADES</w:t>
      </w:r>
      <w:r>
        <w:rPr>
          <w:b/>
        </w:rPr>
        <w:t xml:space="preserve"> </w:t>
      </w:r>
      <w:r>
        <w:rPr>
          <w:b/>
          <w:u w:val="single" w:color="000000"/>
        </w:rPr>
        <w:t>BANCARIAS.</w:t>
      </w:r>
      <w:r>
        <w:rPr>
          <w:b/>
        </w:rPr>
        <w:t xml:space="preserve">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4" w:line="259" w:lineRule="auto"/>
        <w:ind w:left="284" w:firstLine="0"/>
        <w:jc w:val="left"/>
      </w:pPr>
      <w:r>
        <w:t xml:space="preserve">  </w:t>
      </w:r>
    </w:p>
    <w:p w:rsidR="00E302EC" w:rsidRDefault="00FC4F28">
      <w:pPr>
        <w:ind w:left="279" w:right="184"/>
      </w:pPr>
      <w:r>
        <w:t>La banca española ha sufrido una gran transformación que comenzó en el año 2008 y que fue iniciada por la crisis financiera. En este sentido, el cierre de oficinas bancarias llegó a todos los rincones de la geografía española, incluido nuestro municipio, C</w:t>
      </w:r>
      <w:r>
        <w:t xml:space="preserve">andelaria.   </w:t>
      </w:r>
    </w:p>
    <w:p w:rsidR="00E302EC" w:rsidRDefault="00FC4F28">
      <w:pPr>
        <w:spacing w:after="0" w:line="259" w:lineRule="auto"/>
        <w:ind w:left="284" w:firstLine="0"/>
        <w:jc w:val="left"/>
      </w:pPr>
      <w:r>
        <w:t xml:space="preserve">  </w:t>
      </w:r>
    </w:p>
    <w:p w:rsidR="00E302EC" w:rsidRDefault="00FC4F28">
      <w:pPr>
        <w:ind w:left="279" w:right="184"/>
      </w:pPr>
      <w:r>
        <w:t xml:space="preserve">Asimismo, en los años posteriores a la crisis hemos asistido a un fenómeno de concentración bancaria que ha derivado en fusiones de entidades y que también ha provocado la desaparición de oficinas en nuestra localidad.  </w:t>
      </w:r>
    </w:p>
    <w:p w:rsidR="00E302EC" w:rsidRDefault="00FC4F28">
      <w:pPr>
        <w:spacing w:after="0" w:line="259" w:lineRule="auto"/>
        <w:ind w:left="284" w:firstLine="0"/>
        <w:jc w:val="left"/>
      </w:pPr>
      <w:r>
        <w:t xml:space="preserve">  </w:t>
      </w:r>
    </w:p>
    <w:p w:rsidR="00E302EC" w:rsidRDefault="00FC4F28">
      <w:pPr>
        <w:ind w:left="279" w:right="184"/>
      </w:pPr>
      <w:r>
        <w:t xml:space="preserve"> Es más, en los</w:t>
      </w:r>
      <w:r>
        <w:t xml:space="preserve"> últimos años se está produciendo una reestructuración de los servicios ofertados por la banca que ha consistido en la reducción de costes a través de la disminución de las plantillas y de la digitalización de las operaciones. Esto está causando que las en</w:t>
      </w:r>
      <w:r>
        <w:t xml:space="preserve">tidades estén apostando por un modelo en el que los ciudadanos realicemos las gestiones por nosotros mismos de forma electrónica y que, además, penaliza las operaciones presenciales.   </w:t>
      </w:r>
    </w:p>
    <w:p w:rsidR="00E302EC" w:rsidRDefault="00FC4F28">
      <w:pPr>
        <w:spacing w:after="0" w:line="259" w:lineRule="auto"/>
        <w:ind w:left="284" w:firstLine="0"/>
        <w:jc w:val="left"/>
      </w:pPr>
      <w:r>
        <w:t xml:space="preserve">  </w:t>
      </w:r>
    </w:p>
    <w:p w:rsidR="00E302EC" w:rsidRDefault="00FC4F28">
      <w:pPr>
        <w:ind w:left="279" w:right="184"/>
      </w:pPr>
      <w:r>
        <w:t>En ese sentido, a la eliminación de oficinas hay que sumarle la red</w:t>
      </w:r>
      <w:r>
        <w:t xml:space="preserve">ucción del horario de caja que posibilitaba a los particulares realizar las operaciones más comunes. Además, algunas entidades han decidido cobrar comisiones por las operaciones hechas de forma presencial.  </w:t>
      </w:r>
    </w:p>
    <w:p w:rsidR="00E302EC" w:rsidRDefault="00FC4F28">
      <w:pPr>
        <w:spacing w:after="0" w:line="259" w:lineRule="auto"/>
        <w:ind w:left="284" w:firstLine="0"/>
        <w:jc w:val="left"/>
      </w:pPr>
      <w:r>
        <w:t xml:space="preserve">  </w:t>
      </w:r>
    </w:p>
    <w:p w:rsidR="00E302EC" w:rsidRDefault="00FC4F28">
      <w:pPr>
        <w:ind w:left="279" w:right="184"/>
      </w:pPr>
      <w:r>
        <w:t xml:space="preserve"> Todo este conjunto de circunstancias está te</w:t>
      </w:r>
      <w:r>
        <w:t>niendo especial incidencia en las personas mayores, ya que estas en general no dominan las nuevas tecnologías. Por ello, nuestros mayores se están viendo abocados a sufrir largas colas para realizar sus gestiones y, en ocasiones, a pagar unas comisiones qu</w:t>
      </w:r>
      <w:r>
        <w:t>e son injustas. Pero, no solo las personas mayores son las que sufren el ahorro de costes de las entidades. Las personas con discapacidad y otras personas que pueden considerarse consumidores vulnerables también corren el riesgo de sufrir discriminación de</w:t>
      </w:r>
      <w:r>
        <w:t xml:space="preserve">bido a estas prácticas.  </w:t>
      </w:r>
    </w:p>
    <w:p w:rsidR="00E302EC" w:rsidRDefault="00FC4F28">
      <w:pPr>
        <w:spacing w:after="0" w:line="259" w:lineRule="auto"/>
        <w:ind w:left="284" w:firstLine="0"/>
        <w:jc w:val="left"/>
      </w:pPr>
      <w:r>
        <w:t xml:space="preserve">  </w:t>
      </w:r>
    </w:p>
    <w:p w:rsidR="00E302EC" w:rsidRDefault="00FC4F28">
      <w:pPr>
        <w:ind w:left="279" w:right="184"/>
      </w:pPr>
      <w:r>
        <w:t xml:space="preserve"> Para paliar dicha problemática existen en nuestro pais diversos instrumentos jurídicos. Los principales son el RD-Ley 19/2017, de cuentas de pago básicas, traslado de cuentas de pago y comparabilidad de comisiones; y la nueva </w:t>
      </w:r>
      <w:r>
        <w:t xml:space="preserve">redacción de la Ley General para la Defensa de los Consumidores y Usuarios (Real Decreto Legislativo 1/2007) introducida por la Ley 4/2022.   </w:t>
      </w:r>
    </w:p>
    <w:p w:rsidR="00E302EC" w:rsidRDefault="00FC4F28">
      <w:pPr>
        <w:spacing w:after="0" w:line="259" w:lineRule="auto"/>
        <w:ind w:left="284" w:firstLine="0"/>
        <w:jc w:val="left"/>
      </w:pPr>
      <w:r>
        <w:t xml:space="preserve">  </w:t>
      </w:r>
    </w:p>
    <w:p w:rsidR="00E302EC" w:rsidRDefault="00FC4F28">
      <w:pPr>
        <w:ind w:left="279" w:right="184"/>
      </w:pPr>
      <w:r>
        <w:t>Esas dos normas son relevantes porque introducen, en el primer caso, la cuenta bancaria básica; y en el segund</w:t>
      </w:r>
      <w:r>
        <w:t xml:space="preserve">o, la figura del consumidor vulnerable.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6536" name="Group 25653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000" name="Rectangle 2300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001" name="Rectangle 23001"/>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6536" style="width:12.7031pt;height:273.276pt;position:absolute;mso-position-horizontal-relative:page;mso-position-horizontal:absolute;margin-left:682.278pt;mso-position-vertical-relative:page;margin-top:538.644pt;" coordsize="1613,34706">
                <v:rect id="Rectangle 2300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001"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159 </w:t>
                        </w:r>
                      </w:p>
                    </w:txbxContent>
                  </v:textbox>
                </v:rect>
                <w10:wrap type="square"/>
              </v:group>
            </w:pict>
          </mc:Fallback>
        </mc:AlternateContent>
      </w:r>
      <w:r>
        <w:t xml:space="preserve">  </w:t>
      </w:r>
    </w:p>
    <w:p w:rsidR="00E302EC" w:rsidRDefault="00FC4F28">
      <w:pPr>
        <w:ind w:left="279" w:right="184"/>
      </w:pPr>
      <w:r>
        <w:t>Así, la cuen</w:t>
      </w:r>
      <w:r>
        <w:t>ta bancaria básica es un producto bancario que sirve para gestionar pagos y depositar dinero con unas comisiones muy limitadas. Es una opción para aquellas personas más vulnerables que necesitan atención presencial y que no cumplen con los requisitos de in</w:t>
      </w:r>
      <w:r>
        <w:t xml:space="preserve">gresos que exigen la mayoría de entidades para optar a una cuenta sin comisiones. No obstante, este producto no suele ser publicitado por las entidades bancarias que priman la publicidad referente a otro tipo de cuentas más rentables.  </w:t>
      </w:r>
    </w:p>
    <w:p w:rsidR="00E302EC" w:rsidRDefault="00FC4F28">
      <w:pPr>
        <w:spacing w:after="0" w:line="259" w:lineRule="auto"/>
        <w:ind w:left="284" w:firstLine="0"/>
        <w:jc w:val="left"/>
      </w:pPr>
      <w:r>
        <w:t xml:space="preserve">  </w:t>
      </w:r>
    </w:p>
    <w:p w:rsidR="00E302EC" w:rsidRDefault="00FC4F28">
      <w:pPr>
        <w:ind w:left="279" w:right="184"/>
      </w:pPr>
      <w:r>
        <w:t xml:space="preserve"> Por otro lado, </w:t>
      </w:r>
      <w:r>
        <w:t xml:space="preserve">la figura del consumidor vulnerable está pensada para que los derechos de estos </w:t>
      </w:r>
    </w:p>
    <w:p w:rsidR="00E302EC" w:rsidRDefault="00FC4F28">
      <w:pPr>
        <w:ind w:left="279" w:right="184"/>
      </w:pPr>
      <w:r>
        <w:t>gocen de una “especial atención” (art. 8 RDLegis 1/2007). No obstante, como se explica más arriba, las personas mayores están viendo conculcados sus derechos por los bancos en</w:t>
      </w:r>
      <w:r>
        <w:t xml:space="preserve"> muchas ocasiones a pesar de su vulnerabilidad como consumidores.   </w:t>
      </w:r>
    </w:p>
    <w:p w:rsidR="00E302EC" w:rsidRDefault="00FC4F28">
      <w:pPr>
        <w:spacing w:after="0" w:line="259" w:lineRule="auto"/>
        <w:ind w:left="284" w:firstLine="0"/>
        <w:jc w:val="left"/>
      </w:pPr>
      <w:r>
        <w:t xml:space="preserve">  </w:t>
      </w:r>
    </w:p>
    <w:p w:rsidR="00E302EC" w:rsidRDefault="00FC4F28">
      <w:pPr>
        <w:ind w:left="279" w:right="184"/>
      </w:pPr>
      <w:r>
        <w:t>Asimismo, el pasado 21 de febrero las patronales bancarias firmaron con el Gobierno un “Protocolo Estratégico para Reforzar el Compromiso Social y Sostenible de la Banca” que pretende mejorar la atención presencial a determinados colectivos entre los que s</w:t>
      </w:r>
      <w:r>
        <w:t xml:space="preserve">e encuentran las personas mayores y los discapacitados. Estas medidas urgen que se apliquen porque solucionarían parte de los problemas a los que están sometidos nuestros mayores, pero algunas entidades bancarias no las han puesto en marcha aún.  </w:t>
      </w:r>
    </w:p>
    <w:p w:rsidR="00E302EC" w:rsidRDefault="00FC4F28">
      <w:pPr>
        <w:spacing w:after="0" w:line="259" w:lineRule="auto"/>
        <w:ind w:left="284" w:firstLine="0"/>
        <w:jc w:val="left"/>
      </w:pPr>
      <w:r>
        <w:t xml:space="preserve">  </w:t>
      </w:r>
    </w:p>
    <w:p w:rsidR="00E302EC" w:rsidRDefault="00FC4F28">
      <w:pPr>
        <w:ind w:left="279" w:right="184"/>
      </w:pPr>
      <w:r>
        <w:t xml:space="preserve"> Por </w:t>
      </w:r>
      <w:r>
        <w:t xml:space="preserve">todo lo expuesto, VecinosxCandelaria propone al Pleno la adopción del siguiente  </w:t>
      </w:r>
    </w:p>
    <w:p w:rsidR="00E302EC" w:rsidRDefault="00FC4F28">
      <w:pPr>
        <w:spacing w:after="11" w:line="259" w:lineRule="auto"/>
        <w:ind w:left="284" w:firstLine="0"/>
        <w:jc w:val="left"/>
      </w:pPr>
      <w:r>
        <w:t xml:space="preserve">  </w:t>
      </w:r>
    </w:p>
    <w:p w:rsidR="00E302EC" w:rsidRDefault="00FC4F28">
      <w:pPr>
        <w:spacing w:after="0" w:line="259" w:lineRule="auto"/>
        <w:ind w:left="296" w:firstLine="0"/>
        <w:jc w:val="left"/>
      </w:pPr>
      <w:r>
        <w:rPr>
          <w:b/>
        </w:rPr>
        <w:t xml:space="preserve"> </w:t>
      </w:r>
      <w:r>
        <w:rPr>
          <w:rFonts w:ascii="Times New Roman" w:eastAsia="Times New Roman" w:hAnsi="Times New Roman" w:cs="Times New Roman"/>
          <w:sz w:val="24"/>
        </w:rPr>
        <w:t xml:space="preserve"> </w:t>
      </w:r>
    </w:p>
    <w:p w:rsidR="00E302EC" w:rsidRDefault="00FC4F28">
      <w:pPr>
        <w:spacing w:after="3" w:line="259" w:lineRule="auto"/>
        <w:ind w:left="107" w:right="68"/>
        <w:jc w:val="center"/>
      </w:pPr>
      <w:r>
        <w:rPr>
          <w:b/>
        </w:rPr>
        <w:t>ACUERDO:</w:t>
      </w:r>
      <w:r>
        <w:rPr>
          <w:rFonts w:ascii="Times New Roman" w:eastAsia="Times New Roman" w:hAnsi="Times New Roman" w:cs="Times New Roman"/>
          <w:sz w:val="24"/>
        </w:rPr>
        <w:t xml:space="preserve"> </w:t>
      </w:r>
    </w:p>
    <w:p w:rsidR="00E302EC" w:rsidRDefault="00FC4F28">
      <w:pPr>
        <w:spacing w:after="0" w:line="259" w:lineRule="auto"/>
        <w:ind w:left="296" w:firstLine="0"/>
        <w:jc w:val="left"/>
      </w:pPr>
      <w:r>
        <w:rPr>
          <w:b/>
        </w:rPr>
        <w:t xml:space="preserve"> </w:t>
      </w:r>
      <w:r>
        <w:rPr>
          <w:rFonts w:ascii="Times New Roman" w:eastAsia="Times New Roman" w:hAnsi="Times New Roman" w:cs="Times New Roman"/>
          <w:sz w:val="24"/>
        </w:rPr>
        <w:t xml:space="preserve"> </w:t>
      </w:r>
    </w:p>
    <w:p w:rsidR="00E302EC" w:rsidRDefault="00FC4F28">
      <w:pPr>
        <w:spacing w:after="8" w:line="248" w:lineRule="auto"/>
        <w:ind w:left="279" w:right="183"/>
      </w:pPr>
      <w:r>
        <w:rPr>
          <w:b/>
        </w:rPr>
        <w:t xml:space="preserve">1º.- </w:t>
      </w:r>
      <w:r>
        <w:rPr>
          <w:b/>
        </w:rPr>
        <w:t>Instar a las entidades bancarias ubicadas en Candelaria a aplicar la actualización del “Protocolo Estratégico para Reforzar el Compromiso Social y Sostenible de la Banca” firmado por la patronal bancaria, el Gobierno y el Banco de España el pasado 21 de fe</w:t>
      </w:r>
      <w:r>
        <w:rPr>
          <w:b/>
        </w:rPr>
        <w:t>brero de 2022. En ese sentido, incidir en la especial importancia de la ampliación del horario de la atención especializada a personas mayores en sus oficinas de las 9 a las 14 horas y de la aplicación de prioridad en la atención a estas y a las personas c</w:t>
      </w:r>
      <w:r>
        <w:rPr>
          <w:b/>
        </w:rPr>
        <w:t>on discapacidad en las situaciones de alta afluencia de público,</w:t>
      </w:r>
      <w:r>
        <w:t xml:space="preserve"> </w:t>
      </w:r>
      <w:r>
        <w:rPr>
          <w:b/>
        </w:rPr>
        <w:t>para ofrecer un servicio adecuado durante el horario de oficina, cubriendo las necesidades de todos los usuarios y, en especial, de la gente mayor que no puede acceder a las gestiones ‘on lin</w:t>
      </w:r>
      <w:r>
        <w:rPr>
          <w:b/>
        </w:rPr>
        <w:t xml:space="preserve">e’ y se ve abocada a situaciones penosas al acudir a las oficinas bancarias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r>
        <w:rPr>
          <w:rFonts w:ascii="Times New Roman" w:eastAsia="Times New Roman" w:hAnsi="Times New Roman" w:cs="Times New Roman"/>
          <w:sz w:val="24"/>
        </w:rPr>
        <w:t xml:space="preserve"> </w:t>
      </w:r>
    </w:p>
    <w:p w:rsidR="00E302EC" w:rsidRDefault="00FC4F28">
      <w:pPr>
        <w:spacing w:after="8" w:line="248" w:lineRule="auto"/>
        <w:ind w:left="279" w:right="183"/>
      </w:pPr>
      <w:r>
        <w:rPr>
          <w:b/>
        </w:rPr>
        <w:t>2º.- Instar a las entidades bancarias ubicadas en Candelaria a que informen a sus clientes de la existencia de la cuenta bancaria básica y de las condiciones económicas de est</w:t>
      </w:r>
      <w:r>
        <w:rPr>
          <w:b/>
        </w:rPr>
        <w:t xml:space="preserve">a.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r>
        <w:rPr>
          <w:rFonts w:ascii="Times New Roman" w:eastAsia="Times New Roman" w:hAnsi="Times New Roman" w:cs="Times New Roman"/>
          <w:sz w:val="24"/>
        </w:rPr>
        <w:t xml:space="preserve"> </w:t>
      </w:r>
    </w:p>
    <w:p w:rsidR="00E302EC" w:rsidRDefault="00FC4F28">
      <w:pPr>
        <w:spacing w:after="8" w:line="248" w:lineRule="auto"/>
        <w:ind w:left="279" w:right="183"/>
      </w:pPr>
      <w:r>
        <w:rPr>
          <w:b/>
        </w:rPr>
        <w:t>3º.- Usar los medios de comunicación y los recursos de información del Ayuntamiento que se consideren más adecuados para informar a la población en general de la existencia de la cuenta bancaria básica y de sus derechos como usuarios de los servici</w:t>
      </w:r>
      <w:r>
        <w:rPr>
          <w:b/>
        </w:rPr>
        <w:t xml:space="preserve">os bancarios.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r>
        <w:rPr>
          <w:rFonts w:ascii="Times New Roman" w:eastAsia="Times New Roman" w:hAnsi="Times New Roman" w:cs="Times New Roman"/>
          <w:sz w:val="24"/>
        </w:rPr>
        <w:t xml:space="preserve"> </w:t>
      </w:r>
    </w:p>
    <w:p w:rsidR="00E302EC" w:rsidRDefault="00FC4F28">
      <w:pPr>
        <w:spacing w:after="8" w:line="248" w:lineRule="auto"/>
        <w:ind w:left="279" w:right="183"/>
      </w:pPr>
      <w:r>
        <w:rPr>
          <w:b/>
        </w:rPr>
        <w:t>4º.-</w:t>
      </w:r>
      <w:r>
        <w:t xml:space="preserve"> </w:t>
      </w:r>
      <w:r>
        <w:rPr>
          <w:b/>
        </w:rPr>
        <w:t xml:space="preserve">Establecer un acuerdo de colaboración entre el Ayuntamiento de Candelaria y las entidades bancarias que operan en nuestro municipio, para establecer una colaboración público-privada, de actividades formativas para el uso de las TIC </w:t>
      </w:r>
      <w:r>
        <w:rPr>
          <w:b/>
        </w:rPr>
        <w:t xml:space="preserve">dirigidas a las personas mayores y colectivos vulnerables. </w:t>
      </w:r>
      <w:r>
        <w:rPr>
          <w:rFonts w:ascii="Times New Roman" w:eastAsia="Times New Roman" w:hAnsi="Times New Roman" w:cs="Times New Roman"/>
          <w:sz w:val="24"/>
        </w:rPr>
        <w:t xml:space="preserve"> </w:t>
      </w:r>
    </w:p>
    <w:p w:rsidR="00E302EC" w:rsidRDefault="00FC4F28">
      <w:pPr>
        <w:spacing w:after="0" w:line="259" w:lineRule="auto"/>
        <w:ind w:left="279" w:firstLine="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6888" name="Group 25688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109" name="Rectangle 2310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110" name="Rectangle 23110"/>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6888" style="width:12.7031pt;height:273.276pt;position:absolute;mso-position-horizontal-relative:page;mso-position-horizontal:absolute;margin-left:682.278pt;mso-position-vertical-relative:page;margin-top:538.644pt;" coordsize="1613,34706">
                <v:rect id="Rectangle 2310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110"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159 </w:t>
                        </w:r>
                      </w:p>
                    </w:txbxContent>
                  </v:textbox>
                </v:rect>
                <w10:wrap type="square"/>
              </v:group>
            </w:pict>
          </mc:Fallback>
        </mc:AlternateContent>
      </w:r>
      <w:r>
        <w:rPr>
          <w:b/>
        </w:rPr>
        <w:t xml:space="preserve"> </w:t>
      </w:r>
    </w:p>
    <w:p w:rsidR="00E302EC" w:rsidRDefault="00FC4F28">
      <w:pPr>
        <w:spacing w:after="8" w:line="248" w:lineRule="auto"/>
        <w:ind w:left="279" w:right="183"/>
      </w:pPr>
      <w:r>
        <w:rPr>
          <w:b/>
        </w:rPr>
        <w:t>5º.-</w:t>
      </w:r>
      <w:r>
        <w:t xml:space="preserve"> </w:t>
      </w:r>
      <w:r>
        <w:rPr>
          <w:b/>
        </w:rPr>
        <w:t>Trasladar a la Federación Canaria de Municipios el debate sobre las comisiones bancarias y la pérdida de servicios que afectan a la población jubilada, ar</w:t>
      </w:r>
      <w:r>
        <w:rPr>
          <w:b/>
        </w:rPr>
        <w:t xml:space="preserve">ticulando propuestas para proteger a este sector de la población. Propuestas que se trasladarán a la Federación Española de Municipios y Provincias.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r>
        <w:rPr>
          <w:rFonts w:ascii="Times New Roman" w:eastAsia="Times New Roman" w:hAnsi="Times New Roman" w:cs="Times New Roman"/>
          <w:sz w:val="24"/>
        </w:rPr>
        <w:t xml:space="preserve"> </w:t>
      </w:r>
    </w:p>
    <w:p w:rsidR="00E302EC" w:rsidRDefault="00FC4F28">
      <w:pPr>
        <w:ind w:left="279" w:right="184"/>
      </w:pPr>
      <w:r>
        <w:t xml:space="preserve">No obstante, el Ayuntamiento Pleno, acordará lo más procedente. </w:t>
      </w:r>
    </w:p>
    <w:p w:rsidR="00E302EC" w:rsidRDefault="00FC4F28">
      <w:pPr>
        <w:spacing w:after="0" w:line="259" w:lineRule="auto"/>
        <w:ind w:left="284" w:firstLine="0"/>
        <w:jc w:val="left"/>
      </w:pPr>
      <w:r>
        <w:t xml:space="preserve"> </w:t>
      </w:r>
    </w:p>
    <w:p w:rsidR="00E302EC" w:rsidRDefault="00FC4F28">
      <w:pPr>
        <w:ind w:left="279" w:right="184"/>
      </w:pPr>
      <w:r>
        <w:t xml:space="preserve">Candelaria, 19 de Marzo de 2022. </w:t>
      </w:r>
    </w:p>
    <w:p w:rsidR="00E302EC" w:rsidRDefault="00FC4F28">
      <w:pPr>
        <w:spacing w:after="0" w:line="259" w:lineRule="auto"/>
        <w:ind w:left="284" w:firstLine="0"/>
        <w:jc w:val="left"/>
      </w:pPr>
      <w:r>
        <w:t xml:space="preserve"> </w:t>
      </w:r>
    </w:p>
    <w:p w:rsidR="00E302EC" w:rsidRDefault="00FC4F28">
      <w:pPr>
        <w:spacing w:after="38" w:line="216" w:lineRule="auto"/>
        <w:ind w:left="283" w:right="3160" w:firstLine="0"/>
        <w:jc w:val="left"/>
      </w:pPr>
      <w:r>
        <w:rPr>
          <w:noProof/>
        </w:rPr>
        <w:drawing>
          <wp:inline distT="0" distB="0" distL="0" distR="0">
            <wp:extent cx="4143756" cy="746760"/>
            <wp:effectExtent l="0" t="0" r="0" b="0"/>
            <wp:docPr id="23106" name="Picture 23106"/>
            <wp:cNvGraphicFramePr/>
            <a:graphic xmlns:a="http://schemas.openxmlformats.org/drawingml/2006/main">
              <a:graphicData uri="http://schemas.openxmlformats.org/drawingml/2006/picture">
                <pic:pic xmlns:pic="http://schemas.openxmlformats.org/drawingml/2006/picture">
                  <pic:nvPicPr>
                    <pic:cNvPr id="23106" name="Picture 23106"/>
                    <pic:cNvPicPr/>
                  </pic:nvPicPr>
                  <pic:blipFill>
                    <a:blip r:embed="rId13"/>
                    <a:stretch>
                      <a:fillRect/>
                    </a:stretch>
                  </pic:blipFill>
                  <pic:spPr>
                    <a:xfrm>
                      <a:off x="0" y="0"/>
                      <a:ext cx="4143756" cy="746760"/>
                    </a:xfrm>
                    <a:prstGeom prst="rect">
                      <a:avLst/>
                    </a:prstGeom>
                  </pic:spPr>
                </pic:pic>
              </a:graphicData>
            </a:graphic>
          </wp:inline>
        </w:drawing>
      </w:r>
      <w:r>
        <w:rPr>
          <w:rFonts w:ascii="Times New Roman" w:eastAsia="Times New Roman" w:hAnsi="Times New Roman" w:cs="Times New Roman"/>
          <w:sz w:val="24"/>
        </w:rPr>
        <w:t xml:space="preserve"> </w:t>
      </w:r>
      <w:r>
        <w:t xml:space="preserve"> </w:t>
      </w:r>
    </w:p>
    <w:p w:rsidR="00E302EC" w:rsidRDefault="00FC4F28">
      <w:pPr>
        <w:ind w:left="279" w:right="184"/>
      </w:pPr>
      <w:r>
        <w:t xml:space="preserve">Alicia Mercedes Marrero Meneses. </w:t>
      </w:r>
    </w:p>
    <w:p w:rsidR="00E302EC" w:rsidRDefault="00FC4F28">
      <w:pPr>
        <w:ind w:left="279" w:right="184"/>
      </w:pPr>
      <w:r>
        <w:t xml:space="preserve">Concejal del Excmo. Ayuntamiento de Candelaria. </w:t>
      </w:r>
    </w:p>
    <w:p w:rsidR="00E302EC" w:rsidRDefault="00FC4F28">
      <w:pPr>
        <w:spacing w:after="0" w:line="259" w:lineRule="auto"/>
        <w:ind w:left="284" w:firstLine="0"/>
        <w:jc w:val="left"/>
      </w:pPr>
      <w:r>
        <w:t xml:space="preserve"> </w:t>
      </w:r>
    </w:p>
    <w:p w:rsidR="00E302EC" w:rsidRDefault="00FC4F28">
      <w:pPr>
        <w:spacing w:after="0" w:line="259" w:lineRule="auto"/>
        <w:ind w:left="279"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DICTAMEN FAVORABLE DE LA COMISIÓN INFORMATIVA DE SERVICIOS A LAS PERSONAS DE 28 DE MARZO DE 2022.</w:t>
      </w:r>
      <w:r>
        <w:t xml:space="preserve">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t xml:space="preserve">Votos a favor: 1 </w:t>
      </w:r>
    </w:p>
    <w:p w:rsidR="00E302EC" w:rsidRDefault="00FC4F28">
      <w:pPr>
        <w:ind w:left="279" w:right="184"/>
      </w:pPr>
      <w:r>
        <w:t xml:space="preserve">1 de la concejal, Doña Alicia Mercedes Marrero Meneses. </w:t>
      </w:r>
    </w:p>
    <w:p w:rsidR="00E302EC" w:rsidRDefault="00FC4F28">
      <w:pPr>
        <w:spacing w:after="0" w:line="259" w:lineRule="auto"/>
        <w:ind w:left="284" w:firstLine="0"/>
        <w:jc w:val="left"/>
      </w:pPr>
      <w:r>
        <w:t xml:space="preserve"> </w:t>
      </w:r>
    </w:p>
    <w:p w:rsidR="00E302EC" w:rsidRDefault="00FC4F28">
      <w:pPr>
        <w:ind w:left="279" w:right="184"/>
      </w:pPr>
      <w:r>
        <w:t xml:space="preserve">Votos en contra: 0. </w:t>
      </w:r>
    </w:p>
    <w:p w:rsidR="00E302EC" w:rsidRDefault="00FC4F28">
      <w:pPr>
        <w:spacing w:after="0" w:line="259" w:lineRule="auto"/>
        <w:ind w:left="284" w:firstLine="0"/>
        <w:jc w:val="left"/>
      </w:pPr>
      <w:r>
        <w:t xml:space="preserve"> </w:t>
      </w:r>
    </w:p>
    <w:p w:rsidR="00E302EC" w:rsidRDefault="00FC4F28">
      <w:pPr>
        <w:ind w:left="279" w:right="184"/>
      </w:pPr>
      <w:r>
        <w:t xml:space="preserve">Abstenciones: 6. </w:t>
      </w:r>
    </w:p>
    <w:p w:rsidR="00E302EC" w:rsidRDefault="00FC4F28">
      <w:pPr>
        <w:spacing w:after="0" w:line="259" w:lineRule="auto"/>
        <w:ind w:left="284" w:firstLine="0"/>
        <w:jc w:val="left"/>
      </w:pPr>
      <w:r>
        <w:t xml:space="preserve"> </w:t>
      </w:r>
    </w:p>
    <w:p w:rsidR="00E302EC" w:rsidRDefault="00FC4F28">
      <w:pPr>
        <w:ind w:left="279" w:right="184"/>
      </w:pPr>
      <w:r>
        <w:t>4 de los concejales del Grupo Socialista: Doña Olivia Concepción Pérez Díaz, Don José Francisco Pinto Ramos, Doña Margarita Eva Tendero Barroso y Don Rein</w:t>
      </w:r>
      <w:r>
        <w:t xml:space="preserve">aldo José Triviño Blanco. </w:t>
      </w:r>
    </w:p>
    <w:p w:rsidR="00E302EC" w:rsidRDefault="00FC4F28">
      <w:pPr>
        <w:spacing w:after="0" w:line="259" w:lineRule="auto"/>
        <w:ind w:left="284" w:firstLine="0"/>
        <w:jc w:val="left"/>
      </w:pPr>
      <w:r>
        <w:t xml:space="preserve"> </w:t>
      </w:r>
    </w:p>
    <w:p w:rsidR="00E302EC" w:rsidRDefault="00FC4F28">
      <w:pPr>
        <w:ind w:left="279" w:right="184"/>
      </w:pPr>
      <w:r>
        <w:t xml:space="preserve">1 de la concejal del Grupo Popular, Doña Raquel Martín Castro. </w:t>
      </w:r>
    </w:p>
    <w:p w:rsidR="00E302EC" w:rsidRDefault="00FC4F28">
      <w:pPr>
        <w:ind w:left="279" w:right="184"/>
      </w:pPr>
      <w:r>
        <w:t xml:space="preserve">1 de la concejala del Grupo Mixto: Doña Lourdes del Carmen Mondéjar Rondón.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95" w:line="259" w:lineRule="auto"/>
        <w:ind w:left="284" w:firstLine="0"/>
        <w:jc w:val="left"/>
      </w:pPr>
      <w:r>
        <w:t xml:space="preserve"> </w:t>
      </w:r>
    </w:p>
    <w:p w:rsidR="00E302EC" w:rsidRDefault="00FC4F28">
      <w:pPr>
        <w:spacing w:after="8" w:line="248" w:lineRule="auto"/>
        <w:ind w:left="279" w:right="183"/>
      </w:pPr>
      <w:r>
        <w:rPr>
          <w:b/>
        </w:rPr>
        <w:t xml:space="preserve">JUNTA DE PORTAVOCES DE 28 DE MARZO DE 2022.  </w:t>
      </w:r>
    </w:p>
    <w:p w:rsidR="00E302EC" w:rsidRDefault="00FC4F28">
      <w:pPr>
        <w:ind w:left="279" w:right="184"/>
      </w:pPr>
      <w:r>
        <w:t xml:space="preserve">Quedó oída.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VOTACIÓN EN EL PLENO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7320" name="Group 25732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230" name="Rectangle 2323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231" name="Rectangle 23231"/>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129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7320" style="width:12.7031pt;height:273.276pt;position:absolute;mso-position-horizontal-relative:page;mso-position-horizontal:absolute;margin-left:682.278pt;mso-position-vertical-relative:page;margin-top:538.644pt;" coordsize="1613,34706">
                <v:rect id="Rectangle 2323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231"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159 </w:t>
                        </w:r>
                      </w:p>
                    </w:txbxContent>
                  </v:textbox>
                </v:rect>
                <w10:wrap type="square"/>
              </v:group>
            </w:pict>
          </mc:Fallback>
        </mc:AlternateContent>
      </w:r>
      <w:r>
        <w:t>La unanimidad de los 16 concejales p</w:t>
      </w:r>
      <w:r>
        <w:t xml:space="preserve">resentes: </w:t>
      </w:r>
    </w:p>
    <w:p w:rsidR="00E302EC" w:rsidRDefault="00FC4F28">
      <w:pPr>
        <w:spacing w:after="0" w:line="259" w:lineRule="auto"/>
        <w:ind w:left="284" w:firstLine="0"/>
        <w:jc w:val="left"/>
      </w:pPr>
      <w:r>
        <w:t xml:space="preserve"> </w:t>
      </w:r>
    </w:p>
    <w:p w:rsidR="00E302EC" w:rsidRDefault="00FC4F28">
      <w:pPr>
        <w:spacing w:after="112"/>
        <w:ind w:left="279" w:right="184"/>
      </w:pPr>
      <w:r>
        <w:t>11 concejales del Grupo Socialista: Doña María Concepción Brito Núñez, Doña Don Jorge Baute Delgado, Doña Olivia Concepción Pérez Díaz, Don José Francisco Pinto Ramos, Doña Hilaria Cecilia Otazo González, Don Airam Pérez Chinea, Doña Margarita</w:t>
      </w:r>
      <w:r>
        <w:t xml:space="preserve"> Eva Tendero Barroso, Don Manuel Alberto González Pestano, Doña María del Carmen Clemente Díaz, Don Olegario Francisco Alonso Bello y Don Reinaldo José Triviño Blanco. </w:t>
      </w:r>
    </w:p>
    <w:p w:rsidR="00E302EC" w:rsidRDefault="00FC4F28">
      <w:pPr>
        <w:numPr>
          <w:ilvl w:val="0"/>
          <w:numId w:val="126"/>
        </w:numPr>
        <w:spacing w:after="111"/>
        <w:ind w:right="184" w:hanging="184"/>
      </w:pPr>
      <w:r>
        <w:t xml:space="preserve">del concejal del Grupo Popular: Don Jacobo López Fariña. </w:t>
      </w:r>
    </w:p>
    <w:p w:rsidR="00E302EC" w:rsidRDefault="00FC4F28">
      <w:pPr>
        <w:numPr>
          <w:ilvl w:val="0"/>
          <w:numId w:val="126"/>
        </w:numPr>
        <w:spacing w:after="114"/>
        <w:ind w:right="184" w:hanging="184"/>
      </w:pPr>
      <w:r>
        <w:t>de los concejales del Grupo M</w:t>
      </w:r>
      <w:r>
        <w:t xml:space="preserve">ixto (SSP): Doña Lourdes del Carmen Mondéjar Rondón y Don Antonio Delgado García. </w:t>
      </w:r>
    </w:p>
    <w:p w:rsidR="00E302EC" w:rsidRDefault="00FC4F28">
      <w:pPr>
        <w:ind w:left="279" w:right="184"/>
      </w:pPr>
      <w:r>
        <w:t xml:space="preserve">1 de la concejal Doña Ángela Cruz Perera. </w:t>
      </w:r>
    </w:p>
    <w:p w:rsidR="00E302EC" w:rsidRDefault="00FC4F28">
      <w:pPr>
        <w:spacing w:after="111"/>
        <w:ind w:left="279" w:right="184"/>
      </w:pPr>
      <w:r>
        <w:t xml:space="preserve">1 de la concejal del Grupo Mixto (VxC): Doña Alicia Mercedes Marrero Meneses.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8" w:line="248" w:lineRule="auto"/>
        <w:ind w:left="3131" w:right="183"/>
      </w:pPr>
      <w:r>
        <w:rPr>
          <w:b/>
        </w:rPr>
        <w:t xml:space="preserve">ACUERDO DEL PLENO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1º.- </w:t>
      </w:r>
      <w:r>
        <w:rPr>
          <w:b/>
        </w:rPr>
        <w:t>Instar a las entidades bancarias ubicadas en Candelaria a aplicar la actualización del “Protocolo Estratégico para Reforzar el Compromiso Social y Sostenible de la Banca” firmado por la patronal bancaria, el Gobierno y el Banco de España el pasado 21 de fe</w:t>
      </w:r>
      <w:r>
        <w:rPr>
          <w:b/>
        </w:rPr>
        <w:t>brero de 2022. En ese sentido, incidir en la especial importancia de la ampliación del horario de la atención especializada a personas mayores en sus oficinas de las 9 a las 14 horas y de la aplicación de prioridad en la atención a estas y a las personas c</w:t>
      </w:r>
      <w:r>
        <w:rPr>
          <w:b/>
        </w:rPr>
        <w:t xml:space="preserve">on discapacidad en las situaciones de alta afluencia de público, para ofrecer un servicio adecuado durante el horario de oficina, cubriendo las necesidades de todos los usuarios y, en especial, de la gente mayor que no puede acceder a las gestiones </w:t>
      </w:r>
      <w:r>
        <w:rPr>
          <w:b/>
          <w:i/>
        </w:rPr>
        <w:t>‘on lin</w:t>
      </w:r>
      <w:r>
        <w:rPr>
          <w:b/>
          <w:i/>
        </w:rPr>
        <w:t>e’</w:t>
      </w:r>
      <w:r>
        <w:rPr>
          <w:b/>
        </w:rPr>
        <w:t xml:space="preserve"> y se ve abocada a situaciones penosas al acudir a las oficinas bancarias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r>
        <w:rPr>
          <w:rFonts w:ascii="Times New Roman" w:eastAsia="Times New Roman" w:hAnsi="Times New Roman" w:cs="Times New Roman"/>
          <w:sz w:val="24"/>
        </w:rPr>
        <w:t xml:space="preserve"> </w:t>
      </w:r>
    </w:p>
    <w:p w:rsidR="00E302EC" w:rsidRDefault="00FC4F28">
      <w:pPr>
        <w:spacing w:after="8" w:line="248" w:lineRule="auto"/>
        <w:ind w:left="279" w:right="183"/>
      </w:pPr>
      <w:r>
        <w:rPr>
          <w:b/>
        </w:rPr>
        <w:t xml:space="preserve">2º.- </w:t>
      </w:r>
      <w:r>
        <w:rPr>
          <w:b/>
        </w:rPr>
        <w:t xml:space="preserve">Instar a las entidades bancarias ubicadas en Candelaria a que informen a sus clientes de la existencia de la cuenta bancaria básica y de las condiciones económicas de esta.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57822" name="Group 25782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331" name="Rectangle 2333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332" name="Rectangle 23332"/>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7822" style="width:12.7031pt;height:273.276pt;position:absolute;mso-position-horizontal-relative:page;mso-position-horizontal:absolute;margin-left:682.278pt;mso-position-vertical-relative:page;margin-top:538.644pt;" coordsize="1613,34706">
                <v:rect id="Rectangle 2333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332"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159 </w:t>
                        </w:r>
                      </w:p>
                    </w:txbxContent>
                  </v:textbox>
                </v:rect>
                <w10:wrap type="topAndBottom"/>
              </v:group>
            </w:pict>
          </mc:Fallback>
        </mc:AlternateContent>
      </w: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93" w:line="249" w:lineRule="auto"/>
        <w:ind w:left="279" w:right="183"/>
      </w:pPr>
      <w:r>
        <w:rPr>
          <w:b/>
          <w:sz w:val="24"/>
        </w:rPr>
        <w:t>11.-</w:t>
      </w:r>
      <w:r>
        <w:rPr>
          <w:b/>
          <w:sz w:val="24"/>
        </w:rPr>
        <w:t xml:space="preserve">Urgencias. Expediente 1178/2021. Contratación centralizada - Contrato basado en el acuerdo marco para la contratación del suministro de electricidad en alta y baja tensión para la central de contratación de la FEMP (Lote 7) año 2021. </w:t>
      </w:r>
    </w:p>
    <w:p w:rsidR="00E302EC" w:rsidRDefault="00FC4F28">
      <w:pPr>
        <w:spacing w:after="98" w:line="259" w:lineRule="auto"/>
        <w:ind w:left="992" w:firstLine="0"/>
        <w:jc w:val="left"/>
      </w:pPr>
      <w:r>
        <w:rPr>
          <w:b/>
        </w:rPr>
        <w:t xml:space="preserve"> </w:t>
      </w:r>
    </w:p>
    <w:p w:rsidR="00E302EC" w:rsidRDefault="00FC4F28">
      <w:pPr>
        <w:spacing w:after="114" w:line="248" w:lineRule="auto"/>
        <w:ind w:left="269" w:right="183" w:firstLine="708"/>
      </w:pPr>
      <w:r>
        <w:rPr>
          <w:b/>
        </w:rPr>
        <w:t>Consta en el expedi</w:t>
      </w:r>
      <w:r>
        <w:rPr>
          <w:b/>
        </w:rPr>
        <w:t>ente Informe Jurídico emitido por Doña Mª del Pilar Chico Delgado, que desempeña el puesto de Técnico de Administración General, conformado por D. Octavio Manuel Fernández Hernández, Secretario General, de 31 de marzo de 2022, del siguiente tenor literal:</w:t>
      </w:r>
      <w:r>
        <w:t xml:space="preserve"> </w:t>
      </w:r>
    </w:p>
    <w:p w:rsidR="00E302EC" w:rsidRDefault="00FC4F28">
      <w:pPr>
        <w:spacing w:after="98" w:line="259" w:lineRule="auto"/>
        <w:ind w:left="284" w:firstLine="0"/>
        <w:jc w:val="left"/>
      </w:pPr>
      <w:r>
        <w:rPr>
          <w:b/>
        </w:rPr>
        <w:t xml:space="preserve"> </w:t>
      </w:r>
    </w:p>
    <w:p w:rsidR="00E302EC" w:rsidRDefault="00FC4F28">
      <w:pPr>
        <w:spacing w:after="135" w:line="259" w:lineRule="auto"/>
        <w:ind w:left="284" w:firstLine="0"/>
        <w:jc w:val="left"/>
      </w:pPr>
      <w:r>
        <w:rPr>
          <w:b/>
        </w:rPr>
        <w:t xml:space="preserve"> </w:t>
      </w:r>
    </w:p>
    <w:p w:rsidR="00E302EC" w:rsidRDefault="00FC4F28">
      <w:pPr>
        <w:pStyle w:val="Ttulo1"/>
        <w:ind w:left="107" w:right="6"/>
      </w:pPr>
      <w:r>
        <w:t xml:space="preserve">“INFORME </w:t>
      </w:r>
    </w:p>
    <w:p w:rsidR="00E302EC" w:rsidRDefault="00FC4F28">
      <w:pPr>
        <w:spacing w:after="0" w:line="259" w:lineRule="auto"/>
        <w:ind w:left="209" w:firstLine="0"/>
        <w:jc w:val="center"/>
      </w:pPr>
      <w:r>
        <w:rPr>
          <w:b/>
        </w:rPr>
        <w:t xml:space="preserve"> </w:t>
      </w:r>
      <w:r>
        <w:t xml:space="preserve"> </w:t>
      </w:r>
    </w:p>
    <w:p w:rsidR="00E302EC" w:rsidRDefault="00FC4F28">
      <w:pPr>
        <w:spacing w:after="8" w:line="248" w:lineRule="auto"/>
        <w:ind w:left="269" w:right="183" w:firstLine="566"/>
      </w:pPr>
      <w:r>
        <w:rPr>
          <w:b/>
        </w:rPr>
        <w:t>Visto el expediente antedicho, la funcionaria Mª del Pilar Chico Delgado, que desempeña el puesto de trabajo de técnico de adm.gral., conformado por el Secretario General, fiscalizado favorablemente por el Interventor Municipal, emite el siguiente informe:</w:t>
      </w:r>
      <w:r>
        <w:t xml:space="preserve"> </w:t>
      </w:r>
    </w:p>
    <w:p w:rsidR="00E302EC" w:rsidRDefault="00FC4F28">
      <w:pPr>
        <w:spacing w:after="0" w:line="259" w:lineRule="auto"/>
        <w:ind w:left="284" w:firstLine="0"/>
        <w:jc w:val="left"/>
      </w:pPr>
      <w:r>
        <w:t xml:space="preserve">  </w:t>
      </w:r>
    </w:p>
    <w:p w:rsidR="00E302EC" w:rsidRDefault="00FC4F28">
      <w:pPr>
        <w:pStyle w:val="Ttulo1"/>
        <w:ind w:left="107" w:right="7"/>
      </w:pPr>
      <w:r>
        <w:t xml:space="preserve">Antecedentes de hecho  </w:t>
      </w:r>
    </w:p>
    <w:p w:rsidR="00E302EC" w:rsidRDefault="00FC4F28">
      <w:pPr>
        <w:spacing w:after="6" w:line="259" w:lineRule="auto"/>
        <w:ind w:left="149" w:firstLine="0"/>
        <w:jc w:val="center"/>
      </w:pPr>
      <w:r>
        <w:t xml:space="preserve">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8154" name="Group 25815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464" name="Rectangle 2346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465" name="Rectangle 23465"/>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8154" style="width:12.7031pt;height:273.276pt;position:absolute;mso-position-horizontal-relative:page;mso-position-horizontal:absolute;margin-left:682.278pt;mso-position-vertical-relative:page;margin-top:538.644pt;" coordsize="1613,34706">
                <v:rect id="Rectangle 2346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465"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159 </w:t>
                        </w:r>
                      </w:p>
                    </w:txbxContent>
                  </v:textbox>
                </v:rect>
                <w10:wrap type="square"/>
              </v:group>
            </w:pict>
          </mc:Fallback>
        </mc:AlternateContent>
      </w:r>
      <w:r>
        <w:rPr>
          <w:rFonts w:ascii="Times New Roman" w:eastAsia="Times New Roman" w:hAnsi="Times New Roman" w:cs="Times New Roman"/>
          <w:sz w:val="24"/>
        </w:rPr>
        <w:t xml:space="preserve"> </w:t>
      </w:r>
      <w:r>
        <w:rPr>
          <w:b/>
        </w:rPr>
        <w:t>PRIMERO. -</w:t>
      </w:r>
      <w:r>
        <w:t xml:space="preserve"> </w:t>
      </w:r>
      <w:r>
        <w:rPr>
          <w:color w:val="0E0A11"/>
        </w:rPr>
        <w:t xml:space="preserve"> El Ayuntamient</w:t>
      </w:r>
      <w:r>
        <w:rPr>
          <w:color w:val="0E0A11"/>
        </w:rPr>
        <w:t xml:space="preserve">o de Candelaria </w:t>
      </w:r>
      <w:r>
        <w:t xml:space="preserve">mediante Acuerdo de la Junta de Gobierno Local de fecha 11 de agosto de 2014 se adhirió a la Central de Contratación de la Federación Española de Municipios y Provincias, a fin de poder contratar los servicios y suministros que ofertare la </w:t>
      </w:r>
      <w:r>
        <w:t>citada Central, de conformidad con las condiciones y precios fijados en los correspondientes contratos o acuerdos marco que se suscriban entre dicha Central y las empresas adjudicatarias de los mismos.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SEGUNDO</w:t>
      </w:r>
      <w:r>
        <w:t xml:space="preserve">. - Con fecha 21 de mayo de 2019 la Central </w:t>
      </w:r>
      <w:r>
        <w:t>de Contratación de la Federación Española de Municipios y Provincias resultaron adjudicatarias las mercantiles IBERDROLA CLIENTES, S.A.U, ENDESA ENERGÍA, S.A.U. y GAS NATURAL COMERCIALIZADORA, S.A. para los Lotes 1 al 7. La formalización de los Acuerdos Ma</w:t>
      </w:r>
      <w:r>
        <w:t>rco se produjo el día 17 de junio de 2019, finalizando la vigencia ordinaria del mismo el próximo 17 de junio de 2021. Pudiendo prorrogarse anualmente, sin que la duración total del acuerdo marco, pueda exceder de 48 meses (4 años).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TERCERO. -</w:t>
      </w:r>
      <w:r>
        <w:t xml:space="preserve"> </w:t>
      </w:r>
      <w:r>
        <w:t xml:space="preserve">En fecha 04/03/2021 el Ayuntamiento de Candelaria envió el documento de invitación a través de la Plataforma tecnológica a las tres empresas adjudicatarias del lote 7 de dicho Acuerdo marco.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b/>
        </w:rPr>
        <w:t xml:space="preserve"> </w:t>
      </w:r>
    </w:p>
    <w:p w:rsidR="00E302EC" w:rsidRDefault="00FC4F28">
      <w:pPr>
        <w:ind w:left="279" w:right="184"/>
      </w:pPr>
      <w:r>
        <w:rPr>
          <w:b/>
        </w:rPr>
        <w:t>CUARTA. -</w:t>
      </w:r>
      <w:r>
        <w:t xml:space="preserve"> La adjudicación del contrato basado fue efectuada p</w:t>
      </w:r>
      <w:r>
        <w:t>or Acuerdo del Ayuntamiento Pleno de fecha 29 de abril de 2021 resultando adjudicataria la empresa “ENDESA ENERGÍA, SAU”, con CIF nº A81948077, y siendo notificada con fecha 06/05/2021 y cuyo suministro finalizará el próximo</w:t>
      </w:r>
      <w:r>
        <w:rPr>
          <w:color w:val="FF0000"/>
        </w:rPr>
        <w:t xml:space="preserve"> </w:t>
      </w:r>
      <w:r>
        <w:rPr>
          <w:rFonts w:ascii="Times New Roman" w:eastAsia="Times New Roman" w:hAnsi="Times New Roman" w:cs="Times New Roman"/>
          <w:sz w:val="24"/>
        </w:rPr>
        <w:t>06</w:t>
      </w:r>
      <w:r>
        <w:t xml:space="preserve">/05/2022.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QUINTA</w:t>
      </w:r>
      <w:r>
        <w:t xml:space="preserve">. - </w:t>
      </w:r>
      <w:r>
        <w:t xml:space="preserve">La duración del contrato basado según lo dispuesto en la resolución adjudicación era de 1 año, prorrogable anualmente por cinco años.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SEXTA. -</w:t>
      </w:r>
      <w:r>
        <w:t xml:space="preserve">  Que en fecha 21 de febrero de 2022, registro de entrada nº 779, la empresa adjudicataria del contrato comuni</w:t>
      </w:r>
      <w:r>
        <w:t>ca los precios del término energía (TE), impuestos no incluidos para cada tarifa y tramo horario, revisados conforme a la cláusula 16.3 del PCA, y que, en caso de conformidad, resultarán de aplicación durante el año de prórroga.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ind w:left="279" w:right="184"/>
      </w:pPr>
      <w:r>
        <w:rPr>
          <w:b/>
        </w:rPr>
        <w:t>SEPTIMA-</w:t>
      </w:r>
      <w:r>
        <w:t xml:space="preserve"> Que, recibidos </w:t>
      </w:r>
      <w:r>
        <w:t>los precios revisados por la adjudicataria, se emiten informes técnicos por el responsable designado en el contrato, de fechas 25 de marzo y 30 de marzo de 2022, que se transcriben a continuación:</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99" w:line="259" w:lineRule="auto"/>
        <w:ind w:left="497" w:right="397"/>
        <w:jc w:val="center"/>
      </w:pPr>
      <w:r>
        <w:rPr>
          <w:i/>
        </w:rPr>
        <w:t>“</w:t>
      </w:r>
      <w:r>
        <w:rPr>
          <w:b/>
          <w:i/>
        </w:rPr>
        <w:t>INFORME TÉCNICO</w:t>
      </w:r>
      <w:r>
        <w:t xml:space="preserve"> </w:t>
      </w:r>
    </w:p>
    <w:p w:rsidR="00E302EC" w:rsidRDefault="00FC4F28">
      <w:pPr>
        <w:spacing w:after="111" w:line="248" w:lineRule="auto"/>
        <w:ind w:left="279" w:right="180"/>
      </w:pPr>
      <w:r>
        <w:rPr>
          <w:b/>
          <w:i/>
        </w:rPr>
        <w:t>Visto el expediente antedicho, el fu</w:t>
      </w:r>
      <w:r>
        <w:rPr>
          <w:b/>
          <w:i/>
        </w:rPr>
        <w:t>ncionario Don Javier González Gómez, que desempeña el puesto de trabajo de Arquitecto Técnico adscrito en la Concejalía de Obras Públicas, Servicios Públicos, Transporte y Accesibilidad emite el siguiente informe:</w:t>
      </w:r>
      <w:r>
        <w:t xml:space="preserve"> </w:t>
      </w:r>
    </w:p>
    <w:p w:rsidR="00E302EC" w:rsidRDefault="00FC4F28">
      <w:pPr>
        <w:spacing w:after="99" w:line="259" w:lineRule="auto"/>
        <w:ind w:left="497" w:right="396"/>
        <w:jc w:val="center"/>
      </w:pPr>
      <w:r>
        <w:rPr>
          <w:b/>
          <w:i/>
        </w:rPr>
        <w:t>Antecedentes de hecho</w:t>
      </w:r>
      <w:r>
        <w:t xml:space="preserve"> </w:t>
      </w:r>
    </w:p>
    <w:p w:rsidR="00E302EC" w:rsidRDefault="00FC4F28">
      <w:pPr>
        <w:spacing w:after="111" w:line="248" w:lineRule="auto"/>
        <w:ind w:left="279" w:right="180"/>
      </w:pPr>
      <w:r>
        <w:rPr>
          <w:i/>
        </w:rPr>
        <w:t xml:space="preserve">Emitida por parte </w:t>
      </w:r>
      <w:r>
        <w:rPr>
          <w:i/>
        </w:rPr>
        <w:t>del técnico que suscribe este informe el 31 de marzo de 2021 se emite informe con los resultados para la obtención del Coeficiente del Término de Energía de la Tarifa (CET) de las empresas invitadas: Iberdrola, Endesa y Gas Natural Comercializadora (GNCO),</w:t>
      </w:r>
      <w:r>
        <w:rPr>
          <w:i/>
        </w:rPr>
        <w:t xml:space="preserve"> adjudicatarias de los lotes del 1 al 7 del acuerdo Marco. Resulta, tras la obtención de Coeficientes totales del término energía (CEO), que la empresa Endesa es la que oferta un coeficiente más ventajoso.</w:t>
      </w:r>
      <w:r>
        <w:t xml:space="preserve"> </w:t>
      </w:r>
    </w:p>
    <w:p w:rsidR="00E302EC" w:rsidRDefault="00FC4F28">
      <w:pPr>
        <w:spacing w:after="98" w:line="259" w:lineRule="auto"/>
        <w:ind w:left="284" w:firstLine="0"/>
        <w:jc w:val="left"/>
      </w:pPr>
      <w:r>
        <w:rPr>
          <w:i/>
        </w:rPr>
        <w:t xml:space="preserve"> </w:t>
      </w:r>
    </w:p>
    <w:p w:rsidR="00E302EC" w:rsidRDefault="00FC4F28">
      <w:pPr>
        <w:spacing w:after="98" w:line="259" w:lineRule="auto"/>
        <w:ind w:left="284" w:firstLine="0"/>
        <w:jc w:val="left"/>
      </w:pPr>
      <w:r>
        <w:rPr>
          <w:i/>
        </w:rPr>
        <w:t xml:space="preserve"> </w:t>
      </w:r>
    </w:p>
    <w:p w:rsidR="00E302EC" w:rsidRDefault="00FC4F28">
      <w:pPr>
        <w:spacing w:after="10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8486" name="Group 25848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553" name="Rectangle 2355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554" name="Rectangle 23554"/>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8486" style="width:12.7031pt;height:273.276pt;position:absolute;mso-position-horizontal-relative:page;mso-position-horizontal:absolute;margin-left:682.278pt;mso-position-vertical-relative:page;margin-top:538.644pt;" coordsize="1613,34706">
                <v:rect id="Rectangle 2355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554"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159 </w:t>
                        </w:r>
                      </w:p>
                    </w:txbxContent>
                  </v:textbox>
                </v:rect>
                <w10:wrap type="square"/>
              </v:group>
            </w:pict>
          </mc:Fallback>
        </mc:AlternateContent>
      </w:r>
      <w:r>
        <w:rPr>
          <w:i/>
        </w:rPr>
        <w:t xml:space="preserve"> </w:t>
      </w:r>
    </w:p>
    <w:p w:rsidR="00E302EC" w:rsidRDefault="00FC4F28">
      <w:pPr>
        <w:spacing w:after="92" w:line="259" w:lineRule="auto"/>
        <w:ind w:left="284" w:firstLine="0"/>
        <w:jc w:val="left"/>
      </w:pPr>
      <w:r>
        <w:rPr>
          <w:i/>
        </w:rPr>
        <w:t xml:space="preserve"> </w:t>
      </w:r>
    </w:p>
    <w:p w:rsidR="00E302EC" w:rsidRDefault="00FC4F28">
      <w:pPr>
        <w:spacing w:after="52" w:line="259" w:lineRule="auto"/>
        <w:ind w:left="0" w:right="1178" w:firstLine="0"/>
        <w:jc w:val="right"/>
      </w:pPr>
      <w:r>
        <w:rPr>
          <w:noProof/>
        </w:rPr>
        <w:drawing>
          <wp:inline distT="0" distB="0" distL="0" distR="0">
            <wp:extent cx="5399533" cy="1219200"/>
            <wp:effectExtent l="0" t="0" r="0" b="0"/>
            <wp:docPr id="23550" name="Picture 23550"/>
            <wp:cNvGraphicFramePr/>
            <a:graphic xmlns:a="http://schemas.openxmlformats.org/drawingml/2006/main">
              <a:graphicData uri="http://schemas.openxmlformats.org/drawingml/2006/picture">
                <pic:pic xmlns:pic="http://schemas.openxmlformats.org/drawingml/2006/picture">
                  <pic:nvPicPr>
                    <pic:cNvPr id="23550" name="Picture 23550"/>
                    <pic:cNvPicPr/>
                  </pic:nvPicPr>
                  <pic:blipFill>
                    <a:blip r:embed="rId14"/>
                    <a:stretch>
                      <a:fillRect/>
                    </a:stretch>
                  </pic:blipFill>
                  <pic:spPr>
                    <a:xfrm>
                      <a:off x="0" y="0"/>
                      <a:ext cx="5399533" cy="1219200"/>
                    </a:xfrm>
                    <a:prstGeom prst="rect">
                      <a:avLst/>
                    </a:prstGeom>
                  </pic:spPr>
                </pic:pic>
              </a:graphicData>
            </a:graphic>
          </wp:inline>
        </w:drawing>
      </w:r>
      <w:r>
        <w:t xml:space="preserve"> </w:t>
      </w:r>
    </w:p>
    <w:p w:rsidR="00E302EC" w:rsidRDefault="00FC4F28">
      <w:pPr>
        <w:spacing w:after="98" w:line="259" w:lineRule="auto"/>
        <w:ind w:left="284" w:firstLine="0"/>
        <w:jc w:val="left"/>
      </w:pPr>
      <w:r>
        <w:rPr>
          <w:i/>
        </w:rPr>
        <w:t xml:space="preserve"> </w:t>
      </w:r>
    </w:p>
    <w:p w:rsidR="00E302EC" w:rsidRDefault="00FC4F28">
      <w:pPr>
        <w:spacing w:after="111" w:line="248" w:lineRule="auto"/>
        <w:ind w:left="279" w:right="180"/>
      </w:pPr>
      <w:r>
        <w:rPr>
          <w:i/>
        </w:rPr>
        <w:t>En el momento de la adjudicación y tal como se indicaba en el Pliego de Cláusulas Administrativas (PCA) las empresas ofertaran a la totalidad de las Categorías de Peaje, que continúa teniendo actualmente este Ayuntamiento contratados puntos de suministro e</w:t>
      </w:r>
      <w:r>
        <w:rPr>
          <w:i/>
        </w:rPr>
        <w:t xml:space="preserve">n las Categorías que se indican a continuación, tal como se recogía en el Anexo I del documento de invitación, 2.0A, 2.0DHA, 2.1A, 2.1DHA, 3.0A, y por tanto objeto de valoración. </w:t>
      </w:r>
    </w:p>
    <w:p w:rsidR="00E302EC" w:rsidRDefault="00FC4F28">
      <w:pPr>
        <w:spacing w:after="111" w:line="248" w:lineRule="auto"/>
        <w:ind w:left="279" w:right="180"/>
      </w:pPr>
      <w:r>
        <w:rPr>
          <w:i/>
        </w:rPr>
        <w:t>El 23 de marzo de 2021 se emite Circular 3/2021, de 17 de marzo, de la Comis</w:t>
      </w:r>
      <w:r>
        <w:rPr>
          <w:i/>
        </w:rPr>
        <w:t xml:space="preserve">ión Nacional de los Mercados y la Competencia, por la que se modifica la Circular 3/2020, de 15 de enero, por la que se establece la metodología para el cálculo de los peajes de transporte y distribución de electricidad, en su artículo único indica que se </w:t>
      </w:r>
      <w:r>
        <w:rPr>
          <w:i/>
        </w:rPr>
        <w:t xml:space="preserve">modifica el apartado 1, “1. Las empresas distribuidoras y comercializadoras adaptarán los equipos de medida, los sistemas de facturación y los contratos a lo dispuesto en esta circular antes del 1 de junio de 2021.” </w:t>
      </w:r>
    </w:p>
    <w:p w:rsidR="00E302EC" w:rsidRDefault="00FC4F28">
      <w:pPr>
        <w:spacing w:after="111" w:line="248" w:lineRule="auto"/>
        <w:ind w:left="279" w:right="180"/>
      </w:pPr>
      <w:r>
        <w:rPr>
          <w:i/>
        </w:rPr>
        <w:t>Se registra por parte de la empresa adj</w:t>
      </w:r>
      <w:r>
        <w:rPr>
          <w:i/>
        </w:rPr>
        <w:t xml:space="preserve">udicataria ENDESA, el 21 de febrero de 2022 y registro 2022-E-RE-779, remisión de los precios vigentes actualmente, para la revisión de precios, para la tramitación de la prórroga, con las tarifas adaptadas a la Circular 3/2020, de la Comisión Nacional de </w:t>
      </w:r>
      <w:r>
        <w:rPr>
          <w:i/>
        </w:rPr>
        <w:t xml:space="preserve">los Mercados y la Competencia. </w:t>
      </w:r>
    </w:p>
    <w:p w:rsidR="00E302EC" w:rsidRDefault="00FC4F28">
      <w:pPr>
        <w:spacing w:after="100" w:line="259" w:lineRule="auto"/>
        <w:ind w:left="149" w:firstLine="0"/>
        <w:jc w:val="center"/>
      </w:pPr>
      <w:r>
        <w:rPr>
          <w:b/>
          <w:i/>
        </w:rPr>
        <w:t xml:space="preserve"> </w:t>
      </w:r>
    </w:p>
    <w:p w:rsidR="00E302EC" w:rsidRDefault="00FC4F28">
      <w:pPr>
        <w:spacing w:after="99" w:line="259" w:lineRule="auto"/>
        <w:ind w:left="497" w:right="394"/>
        <w:jc w:val="center"/>
      </w:pPr>
      <w:r>
        <w:rPr>
          <w:b/>
          <w:i/>
        </w:rPr>
        <w:t xml:space="preserve">Informe técnico </w:t>
      </w:r>
    </w:p>
    <w:p w:rsidR="00E302EC" w:rsidRDefault="00FC4F28">
      <w:pPr>
        <w:spacing w:after="111" w:line="248" w:lineRule="auto"/>
        <w:ind w:left="279" w:right="180"/>
      </w:pPr>
      <w:r>
        <w:rPr>
          <w:i/>
        </w:rPr>
        <w:t>Tras la modificación de la metodología por la Orden 3/2020 de la Comisión Nacional de los Mercados y la Competencia, la Federación de España de Municipios y Provincias (FEMP), los Coeficiente del Término d</w:t>
      </w:r>
      <w:r>
        <w:rPr>
          <w:i/>
        </w:rPr>
        <w:t xml:space="preserve">e Energía de la Tarifa (CET), se emite documento de conversión resultando lo siguiente; </w:t>
      </w:r>
      <w:r>
        <w:t xml:space="preserve"> </w:t>
      </w:r>
    </w:p>
    <w:p w:rsidR="00E302EC" w:rsidRDefault="00FC4F28">
      <w:pPr>
        <w:spacing w:after="11" w:line="248" w:lineRule="auto"/>
        <w:ind w:left="279" w:right="180"/>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8421" name="Group 25842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618" name="Rectangle 2361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619" name="Rectangle 23619"/>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8421" style="width:12.7031pt;height:273.276pt;position:absolute;mso-position-horizontal-relative:page;mso-position-horizontal:absolute;margin-left:682.278pt;mso-position-vertical-relative:page;margin-top:538.644pt;" coordsize="1613,34706">
                <v:rect id="Rectangle 2361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619"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159 </w:t>
                        </w:r>
                      </w:p>
                    </w:txbxContent>
                  </v:textbox>
                </v:rect>
                <w10:wrap type="square"/>
              </v:group>
            </w:pict>
          </mc:Fallback>
        </mc:AlternateContent>
      </w:r>
      <w:r>
        <w:rPr>
          <w:i/>
        </w:rPr>
        <w:t xml:space="preserve">Coeficiente del Término de Energía de la Tarifa (CET) remitidos en la oferta inicial: </w:t>
      </w:r>
    </w:p>
    <w:p w:rsidR="00E302EC" w:rsidRDefault="00FC4F28">
      <w:pPr>
        <w:spacing w:after="80" w:line="259" w:lineRule="auto"/>
        <w:ind w:left="310" w:firstLine="0"/>
        <w:jc w:val="left"/>
      </w:pPr>
      <w:r>
        <w:rPr>
          <w:rFonts w:ascii="Calibri" w:eastAsia="Calibri" w:hAnsi="Calibri" w:cs="Calibri"/>
          <w:noProof/>
        </w:rPr>
        <mc:AlternateContent>
          <mc:Choice Requires="wpg">
            <w:drawing>
              <wp:inline distT="0" distB="0" distL="0" distR="0">
                <wp:extent cx="5470236" cy="3706603"/>
                <wp:effectExtent l="0" t="0" r="0" b="0"/>
                <wp:docPr id="258420" name="Group 258420"/>
                <wp:cNvGraphicFramePr/>
                <a:graphic xmlns:a="http://schemas.openxmlformats.org/drawingml/2006/main">
                  <a:graphicData uri="http://schemas.microsoft.com/office/word/2010/wordprocessingGroup">
                    <wpg:wgp>
                      <wpg:cNvGrpSpPr/>
                      <wpg:grpSpPr>
                        <a:xfrm>
                          <a:off x="0" y="0"/>
                          <a:ext cx="5470236" cy="3706603"/>
                          <a:chOff x="0" y="0"/>
                          <a:chExt cx="5470236" cy="3706603"/>
                        </a:xfrm>
                      </wpg:grpSpPr>
                      <wps:wsp>
                        <wps:cNvPr id="23602" name="Rectangle 23602"/>
                        <wps:cNvSpPr/>
                        <wps:spPr>
                          <a:xfrm>
                            <a:off x="5431282" y="3550270"/>
                            <a:ext cx="51809" cy="207922"/>
                          </a:xfrm>
                          <a:prstGeom prst="rect">
                            <a:avLst/>
                          </a:prstGeom>
                          <a:ln>
                            <a:noFill/>
                          </a:ln>
                        </wps:spPr>
                        <wps:txbx>
                          <w:txbxContent>
                            <w:p w:rsidR="00E302EC" w:rsidRDefault="00FC4F2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614" name="Picture 23614"/>
                          <pic:cNvPicPr/>
                        </pic:nvPicPr>
                        <pic:blipFill>
                          <a:blip r:embed="rId15"/>
                          <a:stretch>
                            <a:fillRect/>
                          </a:stretch>
                        </pic:blipFill>
                        <pic:spPr>
                          <a:xfrm>
                            <a:off x="1524" y="1524"/>
                            <a:ext cx="5402581" cy="3663696"/>
                          </a:xfrm>
                          <a:prstGeom prst="rect">
                            <a:avLst/>
                          </a:prstGeom>
                        </pic:spPr>
                      </pic:pic>
                      <wps:wsp>
                        <wps:cNvPr id="23615" name="Shape 23615"/>
                        <wps:cNvSpPr/>
                        <wps:spPr>
                          <a:xfrm>
                            <a:off x="0" y="0"/>
                            <a:ext cx="5405628" cy="3666745"/>
                          </a:xfrm>
                          <a:custGeom>
                            <a:avLst/>
                            <a:gdLst/>
                            <a:ahLst/>
                            <a:cxnLst/>
                            <a:rect l="0" t="0" r="0" b="0"/>
                            <a:pathLst>
                              <a:path w="5405628" h="3666745">
                                <a:moveTo>
                                  <a:pt x="0" y="3666745"/>
                                </a:moveTo>
                                <a:lnTo>
                                  <a:pt x="5405628" y="3666745"/>
                                </a:lnTo>
                                <a:lnTo>
                                  <a:pt x="540562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8420" style="width:430.727pt;height:291.858pt;mso-position-horizontal-relative:char;mso-position-vertical-relative:line" coordsize="54702,37066">
                <v:rect id="Rectangle 23602" style="position:absolute;width:518;height:2079;left:54312;top:35502;" filled="f" stroked="f">
                  <v:textbox inset="0,0,0,0">
                    <w:txbxContent>
                      <w:p>
                        <w:pPr>
                          <w:spacing w:before="0" w:after="160" w:line="259" w:lineRule="auto"/>
                          <w:ind w:left="0" w:firstLine="0"/>
                          <w:jc w:val="left"/>
                        </w:pPr>
                        <w:r>
                          <w:rPr/>
                          <w:t xml:space="preserve"> </w:t>
                        </w:r>
                      </w:p>
                    </w:txbxContent>
                  </v:textbox>
                </v:rect>
                <v:shape id="Picture 23614" style="position:absolute;width:54025;height:36636;left:15;top:15;" filled="f">
                  <v:imagedata r:id="rId16"/>
                </v:shape>
                <v:shape id="Shape 23615" style="position:absolute;width:54056;height:36667;left:0;top:0;" coordsize="5405628,3666745" path="m0,3666745l5405628,3666745l5405628,0l0,0x">
                  <v:stroke weight="0.24pt" endcap="flat" joinstyle="round" on="true" color="#000000"/>
                  <v:fill on="false" color="#000000" opacity="0"/>
                </v:shape>
              </v:group>
            </w:pict>
          </mc:Fallback>
        </mc:AlternateContent>
      </w:r>
    </w:p>
    <w:p w:rsidR="00E302EC" w:rsidRDefault="00FC4F28">
      <w:pPr>
        <w:spacing w:after="111" w:line="248" w:lineRule="auto"/>
        <w:ind w:left="279" w:right="180"/>
      </w:pPr>
      <w:r>
        <w:rPr>
          <w:i/>
        </w:rPr>
        <w:t>Convirtiéndose esas tarifas de los Coeficiente del Término de Energí</w:t>
      </w:r>
      <w:r>
        <w:rPr>
          <w:i/>
        </w:rPr>
        <w:t>a de la Tarifa (CET), remitidos en la oferta inicial, en aplicación de la metodología para el cálculo de los peajes de transporte y distribución de electricidad, de la Orden 3/2020 de la Comisión Nacional de los Mercados y la Competencia en los Coeficiente</w:t>
      </w:r>
      <w:r>
        <w:rPr>
          <w:i/>
        </w:rPr>
        <w:t xml:space="preserve"> del Término de Energía de la Tarifa (CET) siguientes:</w:t>
      </w:r>
      <w:r>
        <w:t xml:space="preserve"> </w:t>
      </w:r>
    </w:p>
    <w:tbl>
      <w:tblPr>
        <w:tblStyle w:val="TableGrid"/>
        <w:tblW w:w="8492" w:type="dxa"/>
        <w:tblInd w:w="291" w:type="dxa"/>
        <w:tblCellMar>
          <w:top w:w="24" w:type="dxa"/>
          <w:left w:w="31" w:type="dxa"/>
          <w:bottom w:w="0" w:type="dxa"/>
          <w:right w:w="28" w:type="dxa"/>
        </w:tblCellMar>
        <w:tblLook w:val="04A0" w:firstRow="1" w:lastRow="0" w:firstColumn="1" w:lastColumn="0" w:noHBand="0" w:noVBand="1"/>
      </w:tblPr>
      <w:tblGrid>
        <w:gridCol w:w="1784"/>
        <w:gridCol w:w="1280"/>
        <w:gridCol w:w="1226"/>
        <w:gridCol w:w="1228"/>
        <w:gridCol w:w="990"/>
        <w:gridCol w:w="992"/>
        <w:gridCol w:w="993"/>
      </w:tblGrid>
      <w:tr w:rsidR="00E302EC">
        <w:trPr>
          <w:trHeight w:val="260"/>
        </w:trPr>
        <w:tc>
          <w:tcPr>
            <w:tcW w:w="3064" w:type="dxa"/>
            <w:gridSpan w:val="2"/>
            <w:tcBorders>
              <w:top w:val="single" w:sz="5"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0" w:firstLine="0"/>
            </w:pPr>
            <w:r>
              <w:rPr>
                <w:b/>
                <w:sz w:val="20"/>
              </w:rPr>
              <w:t>LOTE CANARIAS CONVERTIDO</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r>
      <w:tr w:rsidR="00E302EC">
        <w:trPr>
          <w:trHeight w:val="261"/>
        </w:trPr>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0,1989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0,1028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0,0602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0,0760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0,2196</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0,1209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0,0757</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0,1227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0,0779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0,1213</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0,0762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0,0758</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0,1436</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0,1308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0,0874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0,0712</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0,0603</w:t>
            </w: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0,1162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0,1101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0,0825</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0,0824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0,0676</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0,0581</w:t>
            </w:r>
          </w:p>
        </w:tc>
      </w:tr>
      <w:tr w:rsidR="00E302EC">
        <w:trPr>
          <w:trHeight w:val="258"/>
        </w:trPr>
        <w:tc>
          <w:tcPr>
            <w:tcW w:w="1784" w:type="dxa"/>
            <w:tcBorders>
              <w:top w:val="single" w:sz="5" w:space="0" w:color="000000"/>
              <w:left w:val="single" w:sz="5" w:space="0" w:color="000000"/>
              <w:bottom w:val="single" w:sz="10" w:space="0" w:color="000000"/>
              <w:right w:val="single" w:sz="5" w:space="0" w:color="000000"/>
            </w:tcBorders>
          </w:tcPr>
          <w:p w:rsidR="00E302EC" w:rsidRDefault="00FC4F28">
            <w:pPr>
              <w:spacing w:after="0" w:line="259" w:lineRule="auto"/>
              <w:ind w:left="0" w:firstLine="0"/>
              <w:jc w:val="left"/>
            </w:pPr>
            <w:r>
              <w:rPr>
                <w:sz w:val="20"/>
              </w:rPr>
              <w:t>6.1</w:t>
            </w:r>
          </w:p>
        </w:tc>
        <w:tc>
          <w:tcPr>
            <w:tcW w:w="1280"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0,1132</w:t>
            </w:r>
          </w:p>
        </w:tc>
        <w:tc>
          <w:tcPr>
            <w:tcW w:w="1226"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0,1061</w:t>
            </w:r>
          </w:p>
        </w:tc>
        <w:tc>
          <w:tcPr>
            <w:tcW w:w="1228"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0,0825</w:t>
            </w:r>
          </w:p>
        </w:tc>
        <w:tc>
          <w:tcPr>
            <w:tcW w:w="990"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0,0762</w:t>
            </w:r>
          </w:p>
        </w:tc>
        <w:tc>
          <w:tcPr>
            <w:tcW w:w="992"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0,0630</w:t>
            </w:r>
          </w:p>
        </w:tc>
        <w:tc>
          <w:tcPr>
            <w:tcW w:w="993"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0,0555</w:t>
            </w:r>
          </w:p>
        </w:tc>
      </w:tr>
    </w:tbl>
    <w:p w:rsidR="00E302EC" w:rsidRDefault="00FC4F28">
      <w:pPr>
        <w:spacing w:after="100" w:line="259" w:lineRule="auto"/>
        <w:ind w:left="284" w:firstLine="0"/>
        <w:jc w:val="left"/>
      </w:pPr>
      <w:r>
        <w:rPr>
          <w:i/>
        </w:rPr>
        <w:t xml:space="preserve"> </w:t>
      </w:r>
    </w:p>
    <w:p w:rsidR="00E302EC" w:rsidRDefault="00FC4F28">
      <w:pPr>
        <w:spacing w:after="99" w:line="259" w:lineRule="auto"/>
        <w:ind w:left="497" w:right="393"/>
        <w:jc w:val="center"/>
      </w:pPr>
      <w:r>
        <w:rPr>
          <w:b/>
          <w:i/>
        </w:rPr>
        <w:t xml:space="preserve">Conclusión </w:t>
      </w:r>
    </w:p>
    <w:p w:rsidR="00E302EC" w:rsidRDefault="00FC4F28">
      <w:pPr>
        <w:spacing w:after="111" w:line="248" w:lineRule="auto"/>
        <w:ind w:left="279" w:right="180"/>
      </w:pPr>
      <w:r>
        <w:rPr>
          <w:b/>
          <w:i/>
        </w:rPr>
        <w:t>Aprobar</w:t>
      </w:r>
      <w:r>
        <w:rPr>
          <w:i/>
        </w:rPr>
        <w:t xml:space="preserve"> </w:t>
      </w:r>
      <w:r>
        <w:rPr>
          <w:i/>
        </w:rPr>
        <w:t>las tarifas resultantes, por tramo horario, de la conversión de Coeficiente del Término de Energía de la Tarifa (CET) de los precios ofertados inicialmente a los nuevos peajes, según metodología para el cálculo de los Peajes de transporte y distribución de</w:t>
      </w:r>
      <w:r>
        <w:rPr>
          <w:i/>
        </w:rPr>
        <w:t xml:space="preserve"> electricidad, de la Orden 3/2020 de la Comisión Nacional de los Mercados y la Competencia”.</w:t>
      </w:r>
      <w:r>
        <w:t xml:space="preserve"> </w:t>
      </w:r>
    </w:p>
    <w:p w:rsidR="00E302EC" w:rsidRDefault="00FC4F28">
      <w:pPr>
        <w:spacing w:after="0" w:line="259" w:lineRule="auto"/>
        <w:ind w:left="284" w:firstLine="0"/>
        <w:jc w:val="left"/>
      </w:pPr>
      <w:r>
        <w:rPr>
          <w:i/>
        </w:rPr>
        <w:t xml:space="preserve"> </w:t>
      </w:r>
    </w:p>
    <w:p w:rsidR="00E302EC" w:rsidRDefault="00FC4F28">
      <w:pPr>
        <w:spacing w:after="99" w:line="259" w:lineRule="auto"/>
        <w:ind w:left="497"/>
        <w:jc w:val="center"/>
      </w:pPr>
      <w:r>
        <w:rPr>
          <w:i/>
        </w:rPr>
        <w:t>“</w:t>
      </w:r>
      <w:r>
        <w:rPr>
          <w:b/>
          <w:i/>
        </w:rPr>
        <w:t>INFORME TÉCNICO COMPLEMENTARIO</w:t>
      </w:r>
      <w:r>
        <w:t xml:space="preserve"> </w:t>
      </w:r>
    </w:p>
    <w:p w:rsidR="00E302EC" w:rsidRDefault="00FC4F28">
      <w:pPr>
        <w:spacing w:after="114" w:line="248" w:lineRule="auto"/>
        <w:ind w:left="269" w:right="180" w:firstLine="708"/>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2268" name="Group 27226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794" name="Rectangle 2379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795" name="Rectangle 23795"/>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2268" style="width:12.7031pt;height:273.276pt;position:absolute;mso-position-horizontal-relative:page;mso-position-horizontal:absolute;margin-left:682.278pt;mso-position-vertical-relative:page;margin-top:538.644pt;" coordsize="1613,34706">
                <v:rect id="Rectangle 2379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795"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159 </w:t>
                        </w:r>
                      </w:p>
                    </w:txbxContent>
                  </v:textbox>
                </v:rect>
                <w10:wrap type="square"/>
              </v:group>
            </w:pict>
          </mc:Fallback>
        </mc:AlternateContent>
      </w:r>
      <w:r>
        <w:rPr>
          <w:b/>
          <w:i/>
        </w:rPr>
        <w:t>Visto el expediente antedicho, el funcionario Don Javier González Gómez, que desempeña el puesto de trabajo de Arquitecto Técnico adscrito en la Concejalía de Ob</w:t>
      </w:r>
      <w:r>
        <w:rPr>
          <w:b/>
          <w:i/>
        </w:rPr>
        <w:t>ras Públicas, Servicios Públicos, Transporte y Accesibilidad emite el siguiente informe:</w:t>
      </w:r>
      <w:r>
        <w:t xml:space="preserve"> </w:t>
      </w:r>
    </w:p>
    <w:p w:rsidR="00E302EC" w:rsidRDefault="00FC4F28">
      <w:pPr>
        <w:spacing w:after="99" w:line="259" w:lineRule="auto"/>
        <w:ind w:left="497" w:right="396"/>
        <w:jc w:val="center"/>
      </w:pPr>
      <w:r>
        <w:rPr>
          <w:b/>
          <w:i/>
        </w:rPr>
        <w:t>Antecedentes de hecho</w:t>
      </w:r>
      <w:r>
        <w:t xml:space="preserve"> </w:t>
      </w:r>
    </w:p>
    <w:p w:rsidR="00E302EC" w:rsidRDefault="00FC4F28">
      <w:pPr>
        <w:spacing w:after="121" w:line="237" w:lineRule="auto"/>
        <w:ind w:left="279"/>
        <w:jc w:val="left"/>
      </w:pPr>
      <w:r>
        <w:rPr>
          <w:i/>
        </w:rPr>
        <w:t xml:space="preserve">Emitida, por parte del técnico que suscribe este informe, el 25 de marzo de 2022 se emite nuevo informe complementario con aclaraciones y la </w:t>
      </w:r>
      <w:r>
        <w:rPr>
          <w:b/>
          <w:i/>
          <w:u w:val="single" w:color="000000"/>
        </w:rPr>
        <w:t>su</w:t>
      </w:r>
      <w:r>
        <w:rPr>
          <w:b/>
          <w:i/>
          <w:u w:val="single" w:color="000000"/>
        </w:rPr>
        <w:t>ma</w:t>
      </w:r>
      <w:r>
        <w:rPr>
          <w:i/>
        </w:rPr>
        <w:t>, que se solicita se realice para incorporar al expediente.</w:t>
      </w:r>
      <w:r>
        <w:t xml:space="preserve"> </w:t>
      </w:r>
    </w:p>
    <w:p w:rsidR="00E302EC" w:rsidRDefault="00FC4F28">
      <w:pPr>
        <w:spacing w:after="100" w:line="259" w:lineRule="auto"/>
        <w:ind w:left="149" w:firstLine="0"/>
        <w:jc w:val="center"/>
      </w:pPr>
      <w:r>
        <w:rPr>
          <w:b/>
          <w:i/>
        </w:rPr>
        <w:t xml:space="preserve"> </w:t>
      </w:r>
    </w:p>
    <w:p w:rsidR="00E302EC" w:rsidRDefault="00FC4F28">
      <w:pPr>
        <w:spacing w:after="99" w:line="259" w:lineRule="auto"/>
        <w:ind w:left="497" w:right="394"/>
        <w:jc w:val="center"/>
      </w:pPr>
      <w:r>
        <w:rPr>
          <w:b/>
          <w:i/>
        </w:rPr>
        <w:t xml:space="preserve">Informe técnico </w:t>
      </w:r>
    </w:p>
    <w:p w:rsidR="00E302EC" w:rsidRDefault="00FC4F28">
      <w:pPr>
        <w:spacing w:after="111" w:line="248" w:lineRule="auto"/>
        <w:ind w:left="279" w:right="180"/>
      </w:pPr>
      <w:r>
        <w:rPr>
          <w:i/>
        </w:rPr>
        <w:t xml:space="preserve">Los Coeficiente del Término de Energía de la Tarifa (CET) remitidos en la oferta inicial: </w:t>
      </w:r>
    </w:p>
    <w:p w:rsidR="00E302EC" w:rsidRDefault="00FC4F28">
      <w:pPr>
        <w:spacing w:after="4" w:line="259" w:lineRule="auto"/>
        <w:ind w:left="284" w:firstLine="0"/>
        <w:jc w:val="left"/>
      </w:pPr>
      <w:r>
        <w:rPr>
          <w:rFonts w:ascii="Calibri" w:eastAsia="Calibri" w:hAnsi="Calibri" w:cs="Calibri"/>
          <w:noProof/>
        </w:rPr>
        <mc:AlternateContent>
          <mc:Choice Requires="wpg">
            <w:drawing>
              <wp:inline distT="0" distB="0" distL="0" distR="0">
                <wp:extent cx="5592521" cy="4028567"/>
                <wp:effectExtent l="0" t="0" r="0" b="0"/>
                <wp:docPr id="274872" name="Group 274872"/>
                <wp:cNvGraphicFramePr/>
                <a:graphic xmlns:a="http://schemas.openxmlformats.org/drawingml/2006/main">
                  <a:graphicData uri="http://schemas.microsoft.com/office/word/2010/wordprocessingGroup">
                    <wpg:wgp>
                      <wpg:cNvGrpSpPr/>
                      <wpg:grpSpPr>
                        <a:xfrm>
                          <a:off x="0" y="0"/>
                          <a:ext cx="5592521" cy="4028567"/>
                          <a:chOff x="0" y="0"/>
                          <a:chExt cx="5592521" cy="4028567"/>
                        </a:xfrm>
                      </wpg:grpSpPr>
                      <wps:wsp>
                        <wps:cNvPr id="23832" name="Rectangle 23832"/>
                        <wps:cNvSpPr/>
                        <wps:spPr>
                          <a:xfrm>
                            <a:off x="5519369" y="3574019"/>
                            <a:ext cx="51809" cy="207921"/>
                          </a:xfrm>
                          <a:prstGeom prst="rect">
                            <a:avLst/>
                          </a:prstGeom>
                          <a:ln>
                            <a:noFill/>
                          </a:ln>
                        </wps:spPr>
                        <wps:txbx>
                          <w:txbxContent>
                            <w:p w:rsidR="00E302EC" w:rsidRDefault="00FC4F28">
                              <w:pPr>
                                <w:spacing w:after="160" w:line="259" w:lineRule="auto"/>
                                <w:ind w:left="0" w:firstLine="0"/>
                                <w:jc w:val="left"/>
                              </w:pPr>
                              <w:r>
                                <w:t xml:space="preserve"> </w:t>
                              </w:r>
                            </w:p>
                          </w:txbxContent>
                        </wps:txbx>
                        <wps:bodyPr horzOverflow="overflow" vert="horz" lIns="0" tIns="0" rIns="0" bIns="0" rtlCol="0">
                          <a:noAutofit/>
                        </wps:bodyPr>
                      </wps:wsp>
                      <wps:wsp>
                        <wps:cNvPr id="293300" name="Shape 2933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01" name="Shape 293301"/>
                        <wps:cNvSpPr/>
                        <wps:spPr>
                          <a:xfrm>
                            <a:off x="6096" y="0"/>
                            <a:ext cx="5580253" cy="9144"/>
                          </a:xfrm>
                          <a:custGeom>
                            <a:avLst/>
                            <a:gdLst/>
                            <a:ahLst/>
                            <a:cxnLst/>
                            <a:rect l="0" t="0" r="0" b="0"/>
                            <a:pathLst>
                              <a:path w="5580253" h="9144">
                                <a:moveTo>
                                  <a:pt x="0" y="0"/>
                                </a:moveTo>
                                <a:lnTo>
                                  <a:pt x="5580253" y="0"/>
                                </a:lnTo>
                                <a:lnTo>
                                  <a:pt x="558025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02" name="Shape 293302"/>
                        <wps:cNvSpPr/>
                        <wps:spPr>
                          <a:xfrm>
                            <a:off x="558642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03" name="Shape 293303"/>
                        <wps:cNvSpPr/>
                        <wps:spPr>
                          <a:xfrm>
                            <a:off x="0" y="6097"/>
                            <a:ext cx="9144" cy="3772535"/>
                          </a:xfrm>
                          <a:custGeom>
                            <a:avLst/>
                            <a:gdLst/>
                            <a:ahLst/>
                            <a:cxnLst/>
                            <a:rect l="0" t="0" r="0" b="0"/>
                            <a:pathLst>
                              <a:path w="9144" h="3772535">
                                <a:moveTo>
                                  <a:pt x="0" y="0"/>
                                </a:moveTo>
                                <a:lnTo>
                                  <a:pt x="9144" y="0"/>
                                </a:lnTo>
                                <a:lnTo>
                                  <a:pt x="9144" y="3772535"/>
                                </a:lnTo>
                                <a:lnTo>
                                  <a:pt x="0" y="377253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04" name="Shape 293304"/>
                        <wps:cNvSpPr/>
                        <wps:spPr>
                          <a:xfrm>
                            <a:off x="5586426" y="6097"/>
                            <a:ext cx="9144" cy="3772535"/>
                          </a:xfrm>
                          <a:custGeom>
                            <a:avLst/>
                            <a:gdLst/>
                            <a:ahLst/>
                            <a:cxnLst/>
                            <a:rect l="0" t="0" r="0" b="0"/>
                            <a:pathLst>
                              <a:path w="9144" h="3772535">
                                <a:moveTo>
                                  <a:pt x="0" y="0"/>
                                </a:moveTo>
                                <a:lnTo>
                                  <a:pt x="9144" y="0"/>
                                </a:lnTo>
                                <a:lnTo>
                                  <a:pt x="9144" y="3772535"/>
                                </a:lnTo>
                                <a:lnTo>
                                  <a:pt x="0" y="377253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3840" name="Rectangle 23840"/>
                        <wps:cNvSpPr/>
                        <wps:spPr>
                          <a:xfrm>
                            <a:off x="5028260" y="3787379"/>
                            <a:ext cx="655620" cy="207549"/>
                          </a:xfrm>
                          <a:prstGeom prst="rect">
                            <a:avLst/>
                          </a:prstGeom>
                          <a:ln>
                            <a:noFill/>
                          </a:ln>
                        </wps:spPr>
                        <wps:txbx>
                          <w:txbxContent>
                            <w:p w:rsidR="00E302EC" w:rsidRDefault="00FC4F28">
                              <w:pPr>
                                <w:spacing w:after="160" w:line="259" w:lineRule="auto"/>
                                <w:ind w:left="0" w:firstLine="0"/>
                                <w:jc w:val="left"/>
                              </w:pPr>
                              <w:r>
                                <w:rPr>
                                  <w:i/>
                                </w:rPr>
                                <w:t>Tabla 1.</w:t>
                              </w:r>
                            </w:p>
                          </w:txbxContent>
                        </wps:txbx>
                        <wps:bodyPr horzOverflow="overflow" vert="horz" lIns="0" tIns="0" rIns="0" bIns="0" rtlCol="0">
                          <a:noAutofit/>
                        </wps:bodyPr>
                      </wps:wsp>
                      <wps:wsp>
                        <wps:cNvPr id="23841" name="Rectangle 23841"/>
                        <wps:cNvSpPr/>
                        <wps:spPr>
                          <a:xfrm>
                            <a:off x="5520893" y="3787379"/>
                            <a:ext cx="51809" cy="207549"/>
                          </a:xfrm>
                          <a:prstGeom prst="rect">
                            <a:avLst/>
                          </a:prstGeom>
                          <a:ln>
                            <a:noFill/>
                          </a:ln>
                        </wps:spPr>
                        <wps:txbx>
                          <w:txbxContent>
                            <w:p w:rsidR="00E302EC" w:rsidRDefault="00FC4F28">
                              <w:pPr>
                                <w:spacing w:after="160" w:line="259" w:lineRule="auto"/>
                                <w:ind w:left="0" w:firstLine="0"/>
                                <w:jc w:val="left"/>
                              </w:pPr>
                              <w:r>
                                <w:rPr>
                                  <w:i/>
                                </w:rPr>
                                <w:t xml:space="preserve"> </w:t>
                              </w:r>
                            </w:p>
                          </w:txbxContent>
                        </wps:txbx>
                        <wps:bodyPr horzOverflow="overflow" vert="horz" lIns="0" tIns="0" rIns="0" bIns="0" rtlCol="0">
                          <a:noAutofit/>
                        </wps:bodyPr>
                      </wps:wsp>
                      <wps:wsp>
                        <wps:cNvPr id="293305" name="Shape 293305"/>
                        <wps:cNvSpPr/>
                        <wps:spPr>
                          <a:xfrm>
                            <a:off x="0" y="377863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06" name="Shape 293306"/>
                        <wps:cNvSpPr/>
                        <wps:spPr>
                          <a:xfrm>
                            <a:off x="6096" y="3778631"/>
                            <a:ext cx="5580253" cy="9144"/>
                          </a:xfrm>
                          <a:custGeom>
                            <a:avLst/>
                            <a:gdLst/>
                            <a:ahLst/>
                            <a:cxnLst/>
                            <a:rect l="0" t="0" r="0" b="0"/>
                            <a:pathLst>
                              <a:path w="5580253" h="9144">
                                <a:moveTo>
                                  <a:pt x="0" y="0"/>
                                </a:moveTo>
                                <a:lnTo>
                                  <a:pt x="5580253" y="0"/>
                                </a:lnTo>
                                <a:lnTo>
                                  <a:pt x="558025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07" name="Shape 293307"/>
                        <wps:cNvSpPr/>
                        <wps:spPr>
                          <a:xfrm>
                            <a:off x="5586426" y="377863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08" name="Shape 293308"/>
                        <wps:cNvSpPr/>
                        <wps:spPr>
                          <a:xfrm>
                            <a:off x="0" y="3784727"/>
                            <a:ext cx="9144" cy="237744"/>
                          </a:xfrm>
                          <a:custGeom>
                            <a:avLst/>
                            <a:gdLst/>
                            <a:ahLst/>
                            <a:cxnLst/>
                            <a:rect l="0" t="0" r="0" b="0"/>
                            <a:pathLst>
                              <a:path w="9144" h="237744">
                                <a:moveTo>
                                  <a:pt x="0" y="0"/>
                                </a:moveTo>
                                <a:lnTo>
                                  <a:pt x="9144" y="0"/>
                                </a:lnTo>
                                <a:lnTo>
                                  <a:pt x="9144" y="237744"/>
                                </a:lnTo>
                                <a:lnTo>
                                  <a:pt x="0" y="2377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09" name="Shape 293309"/>
                        <wps:cNvSpPr/>
                        <wps:spPr>
                          <a:xfrm>
                            <a:off x="0" y="402247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10" name="Shape 293310"/>
                        <wps:cNvSpPr/>
                        <wps:spPr>
                          <a:xfrm>
                            <a:off x="6096" y="4022471"/>
                            <a:ext cx="5580253" cy="9144"/>
                          </a:xfrm>
                          <a:custGeom>
                            <a:avLst/>
                            <a:gdLst/>
                            <a:ahLst/>
                            <a:cxnLst/>
                            <a:rect l="0" t="0" r="0" b="0"/>
                            <a:pathLst>
                              <a:path w="5580253" h="9144">
                                <a:moveTo>
                                  <a:pt x="0" y="0"/>
                                </a:moveTo>
                                <a:lnTo>
                                  <a:pt x="5580253" y="0"/>
                                </a:lnTo>
                                <a:lnTo>
                                  <a:pt x="558025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11" name="Shape 293311"/>
                        <wps:cNvSpPr/>
                        <wps:spPr>
                          <a:xfrm>
                            <a:off x="5586426" y="3784727"/>
                            <a:ext cx="9144" cy="237744"/>
                          </a:xfrm>
                          <a:custGeom>
                            <a:avLst/>
                            <a:gdLst/>
                            <a:ahLst/>
                            <a:cxnLst/>
                            <a:rect l="0" t="0" r="0" b="0"/>
                            <a:pathLst>
                              <a:path w="9144" h="237744">
                                <a:moveTo>
                                  <a:pt x="0" y="0"/>
                                </a:moveTo>
                                <a:lnTo>
                                  <a:pt x="9144" y="0"/>
                                </a:lnTo>
                                <a:lnTo>
                                  <a:pt x="9144" y="237744"/>
                                </a:lnTo>
                                <a:lnTo>
                                  <a:pt x="0" y="2377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12" name="Shape 293312"/>
                        <wps:cNvSpPr/>
                        <wps:spPr>
                          <a:xfrm>
                            <a:off x="5586426" y="402247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884" name="Picture 23884"/>
                          <pic:cNvPicPr/>
                        </pic:nvPicPr>
                        <pic:blipFill>
                          <a:blip r:embed="rId15"/>
                          <a:stretch>
                            <a:fillRect/>
                          </a:stretch>
                        </pic:blipFill>
                        <pic:spPr>
                          <a:xfrm>
                            <a:off x="89611" y="25654"/>
                            <a:ext cx="5402580" cy="3665220"/>
                          </a:xfrm>
                          <a:prstGeom prst="rect">
                            <a:avLst/>
                          </a:prstGeom>
                        </pic:spPr>
                      </pic:pic>
                      <wps:wsp>
                        <wps:cNvPr id="23885" name="Shape 23885"/>
                        <wps:cNvSpPr/>
                        <wps:spPr>
                          <a:xfrm>
                            <a:off x="88087" y="24130"/>
                            <a:ext cx="5405628" cy="3668268"/>
                          </a:xfrm>
                          <a:custGeom>
                            <a:avLst/>
                            <a:gdLst/>
                            <a:ahLst/>
                            <a:cxnLst/>
                            <a:rect l="0" t="0" r="0" b="0"/>
                            <a:pathLst>
                              <a:path w="5405628" h="3668268">
                                <a:moveTo>
                                  <a:pt x="0" y="3668268"/>
                                </a:moveTo>
                                <a:lnTo>
                                  <a:pt x="5405628" y="3668268"/>
                                </a:lnTo>
                                <a:lnTo>
                                  <a:pt x="540562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4872" style="width:440.356pt;height:317.21pt;mso-position-horizontal-relative:char;mso-position-vertical-relative:line" coordsize="55925,40285">
                <v:rect id="Rectangle 23832" style="position:absolute;width:518;height:2079;left:55193;top:35740;" filled="f" stroked="f">
                  <v:textbox inset="0,0,0,0">
                    <w:txbxContent>
                      <w:p>
                        <w:pPr>
                          <w:spacing w:before="0" w:after="160" w:line="259" w:lineRule="auto"/>
                          <w:ind w:left="0" w:firstLine="0"/>
                          <w:jc w:val="left"/>
                        </w:pPr>
                        <w:r>
                          <w:rPr/>
                          <w:t xml:space="preserve"> </w:t>
                        </w:r>
                      </w:p>
                    </w:txbxContent>
                  </v:textbox>
                </v:rect>
                <v:shape id="Shape 293313" style="position:absolute;width:91;height:91;left:0;top:0;" coordsize="9144,9144" path="m0,0l9144,0l9144,9144l0,9144l0,0">
                  <v:stroke weight="0pt" endcap="square" joinstyle="miter" miterlimit="10" on="false" color="#000000" opacity="0"/>
                  <v:fill on="true" color="#000000"/>
                </v:shape>
                <v:shape id="Shape 293314" style="position:absolute;width:55802;height:91;left:60;top:0;" coordsize="5580253,9144" path="m0,0l5580253,0l5580253,9144l0,9144l0,0">
                  <v:stroke weight="0pt" endcap="square" joinstyle="miter" miterlimit="10" on="false" color="#000000" opacity="0"/>
                  <v:fill on="true" color="#000000"/>
                </v:shape>
                <v:shape id="Shape 293315" style="position:absolute;width:91;height:91;left:55864;top:0;" coordsize="9144,9144" path="m0,0l9144,0l9144,9144l0,9144l0,0">
                  <v:stroke weight="0pt" endcap="square" joinstyle="miter" miterlimit="10" on="false" color="#000000" opacity="0"/>
                  <v:fill on="true" color="#000000"/>
                </v:shape>
                <v:shape id="Shape 293316" style="position:absolute;width:91;height:37725;left:0;top:60;" coordsize="9144,3772535" path="m0,0l9144,0l9144,3772535l0,3772535l0,0">
                  <v:stroke weight="0pt" endcap="square" joinstyle="miter" miterlimit="10" on="false" color="#000000" opacity="0"/>
                  <v:fill on="true" color="#000000"/>
                </v:shape>
                <v:shape id="Shape 293317" style="position:absolute;width:91;height:37725;left:55864;top:60;" coordsize="9144,3772535" path="m0,0l9144,0l9144,3772535l0,3772535l0,0">
                  <v:stroke weight="0pt" endcap="square" joinstyle="miter" miterlimit="10" on="false" color="#000000" opacity="0"/>
                  <v:fill on="true" color="#000000"/>
                </v:shape>
                <v:rect id="Rectangle 23840" style="position:absolute;width:6556;height:2075;left:50282;top:37873;" filled="f" stroked="f">
                  <v:textbox inset="0,0,0,0">
                    <w:txbxContent>
                      <w:p>
                        <w:pPr>
                          <w:spacing w:before="0" w:after="160" w:line="259" w:lineRule="auto"/>
                          <w:ind w:left="0" w:firstLine="0"/>
                          <w:jc w:val="left"/>
                        </w:pPr>
                        <w:r>
                          <w:rPr>
                            <w:rFonts w:cs="Arial" w:hAnsi="Arial" w:eastAsia="Arial" w:ascii="Arial"/>
                            <w:i w:val="1"/>
                          </w:rPr>
                          <w:t xml:space="preserve">Tabla 1.</w:t>
                        </w:r>
                      </w:p>
                    </w:txbxContent>
                  </v:textbox>
                </v:rect>
                <v:rect id="Rectangle 23841" style="position:absolute;width:518;height:2075;left:55208;top:3787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293318" style="position:absolute;width:91;height:91;left:0;top:37786;" coordsize="9144,9144" path="m0,0l9144,0l9144,9144l0,9144l0,0">
                  <v:stroke weight="0pt" endcap="square" joinstyle="miter" miterlimit="10" on="false" color="#000000" opacity="0"/>
                  <v:fill on="true" color="#000000"/>
                </v:shape>
                <v:shape id="Shape 293319" style="position:absolute;width:55802;height:91;left:60;top:37786;" coordsize="5580253,9144" path="m0,0l5580253,0l5580253,9144l0,9144l0,0">
                  <v:stroke weight="0pt" endcap="square" joinstyle="miter" miterlimit="10" on="false" color="#000000" opacity="0"/>
                  <v:fill on="true" color="#000000"/>
                </v:shape>
                <v:shape id="Shape 293320" style="position:absolute;width:91;height:91;left:55864;top:37786;" coordsize="9144,9144" path="m0,0l9144,0l9144,9144l0,9144l0,0">
                  <v:stroke weight="0pt" endcap="square" joinstyle="miter" miterlimit="10" on="false" color="#000000" opacity="0"/>
                  <v:fill on="true" color="#000000"/>
                </v:shape>
                <v:shape id="Shape 293321" style="position:absolute;width:91;height:2377;left:0;top:37847;" coordsize="9144,237744" path="m0,0l9144,0l9144,237744l0,237744l0,0">
                  <v:stroke weight="0pt" endcap="square" joinstyle="miter" miterlimit="10" on="false" color="#000000" opacity="0"/>
                  <v:fill on="true" color="#000000"/>
                </v:shape>
                <v:shape id="Shape 293322" style="position:absolute;width:91;height:91;left:0;top:40224;" coordsize="9144,9144" path="m0,0l9144,0l9144,9144l0,9144l0,0">
                  <v:stroke weight="0pt" endcap="square" joinstyle="miter" miterlimit="10" on="false" color="#000000" opacity="0"/>
                  <v:fill on="true" color="#000000"/>
                </v:shape>
                <v:shape id="Shape 293323" style="position:absolute;width:55802;height:91;left:60;top:40224;" coordsize="5580253,9144" path="m0,0l5580253,0l5580253,9144l0,9144l0,0">
                  <v:stroke weight="0pt" endcap="square" joinstyle="miter" miterlimit="10" on="false" color="#000000" opacity="0"/>
                  <v:fill on="true" color="#000000"/>
                </v:shape>
                <v:shape id="Shape 293324" style="position:absolute;width:91;height:2377;left:55864;top:37847;" coordsize="9144,237744" path="m0,0l9144,0l9144,237744l0,237744l0,0">
                  <v:stroke weight="0pt" endcap="square" joinstyle="miter" miterlimit="10" on="false" color="#000000" opacity="0"/>
                  <v:fill on="true" color="#000000"/>
                </v:shape>
                <v:shape id="Shape 293325" style="position:absolute;width:91;height:91;left:55864;top:40224;" coordsize="9144,9144" path="m0,0l9144,0l9144,9144l0,9144l0,0">
                  <v:stroke weight="0pt" endcap="square" joinstyle="miter" miterlimit="10" on="false" color="#000000" opacity="0"/>
                  <v:fill on="true" color="#000000"/>
                </v:shape>
                <v:shape id="Picture 23884" style="position:absolute;width:54025;height:36652;left:896;top:256;" filled="f">
                  <v:imagedata r:id="rId16"/>
                </v:shape>
                <v:shape id="Shape 23885" style="position:absolute;width:54056;height:36682;left:880;top:241;" coordsize="5405628,3668268" path="m0,3668268l5405628,3668268l5405628,0l0,0x">
                  <v:stroke weight="0.24pt" endcap="flat" joinstyle="round" on="true" color="#000000"/>
                  <v:fill on="false" color="#000000" opacity="0"/>
                </v:shape>
              </v:group>
            </w:pict>
          </mc:Fallback>
        </mc:AlternateContent>
      </w:r>
    </w:p>
    <w:p w:rsidR="00E302EC" w:rsidRDefault="00FC4F28">
      <w:pPr>
        <w:spacing w:after="11" w:line="248" w:lineRule="auto"/>
        <w:ind w:left="279" w:right="180"/>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4877" name="Group 27487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3997" name="Rectangle 2399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3998" name="Rectangle 23998"/>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4877" style="width:12.7031pt;height:273.276pt;position:absolute;mso-position-horizontal-relative:page;mso-position-horizontal:absolute;margin-left:682.278pt;mso-position-vertical-relative:page;margin-top:538.644pt;" coordsize="1613,34706">
                <v:rect id="Rectangle 2399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3998"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159 </w:t>
                        </w:r>
                      </w:p>
                    </w:txbxContent>
                  </v:textbox>
                </v:rect>
                <w10:wrap type="square"/>
              </v:group>
            </w:pict>
          </mc:Fallback>
        </mc:AlternateContent>
      </w:r>
      <w:r>
        <w:rPr>
          <w:i/>
        </w:rPr>
        <w:t>convertidos (que se debieron convertir en junio de 2021 con l</w:t>
      </w:r>
      <w:r>
        <w:rPr>
          <w:i/>
        </w:rPr>
        <w:t xml:space="preserve">a entrada en vigor de la Circular 3/2021, de 17 de marzo, de la Comisión Nacional de los Mercados y la Competencia) y son los de esta tabla que se copia a continuación, ambas figuran en el informe del 25 de marzo indicado en antecedentes: </w:t>
      </w:r>
    </w:p>
    <w:tbl>
      <w:tblPr>
        <w:tblStyle w:val="TableGrid"/>
        <w:tblW w:w="8738" w:type="dxa"/>
        <w:tblInd w:w="288" w:type="dxa"/>
        <w:tblCellMar>
          <w:top w:w="9" w:type="dxa"/>
          <w:left w:w="19" w:type="dxa"/>
          <w:bottom w:w="4" w:type="dxa"/>
          <w:right w:w="28" w:type="dxa"/>
        </w:tblCellMar>
        <w:tblLook w:val="04A0" w:firstRow="1" w:lastRow="0" w:firstColumn="1" w:lastColumn="0" w:noHBand="0" w:noVBand="1"/>
      </w:tblPr>
      <w:tblGrid>
        <w:gridCol w:w="116"/>
        <w:gridCol w:w="1784"/>
        <w:gridCol w:w="1280"/>
        <w:gridCol w:w="1226"/>
        <w:gridCol w:w="1228"/>
        <w:gridCol w:w="990"/>
        <w:gridCol w:w="992"/>
        <w:gridCol w:w="993"/>
        <w:gridCol w:w="129"/>
      </w:tblGrid>
      <w:tr w:rsidR="00E302EC">
        <w:trPr>
          <w:trHeight w:val="264"/>
        </w:trPr>
        <w:tc>
          <w:tcPr>
            <w:tcW w:w="116" w:type="dxa"/>
            <w:vMerge w:val="restart"/>
            <w:tcBorders>
              <w:top w:val="single" w:sz="9" w:space="0" w:color="000000"/>
              <w:left w:val="single" w:sz="4" w:space="0" w:color="000000"/>
              <w:bottom w:val="single" w:sz="4" w:space="0" w:color="000000"/>
              <w:right w:val="single" w:sz="5" w:space="0" w:color="000000"/>
            </w:tcBorders>
          </w:tcPr>
          <w:p w:rsidR="00E302EC" w:rsidRDefault="00E302EC">
            <w:pPr>
              <w:spacing w:after="160" w:line="259" w:lineRule="auto"/>
              <w:ind w:left="0" w:firstLine="0"/>
              <w:jc w:val="left"/>
            </w:pPr>
          </w:p>
        </w:tc>
        <w:tc>
          <w:tcPr>
            <w:tcW w:w="3064" w:type="dxa"/>
            <w:gridSpan w:val="2"/>
            <w:tcBorders>
              <w:top w:val="single" w:sz="9"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12" w:firstLine="0"/>
            </w:pPr>
            <w:r>
              <w:rPr>
                <w:b/>
                <w:sz w:val="20"/>
              </w:rPr>
              <w:t>LOTE CANARIAS CONVERTIDO</w:t>
            </w:r>
          </w:p>
        </w:tc>
        <w:tc>
          <w:tcPr>
            <w:tcW w:w="1226" w:type="dxa"/>
            <w:tcBorders>
              <w:top w:val="single" w:sz="9"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9"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9"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9"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9"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129" w:type="dxa"/>
            <w:vMerge w:val="restart"/>
            <w:tcBorders>
              <w:top w:val="single" w:sz="9" w:space="0" w:color="000000"/>
              <w:left w:val="single" w:sz="5" w:space="0" w:color="000000"/>
              <w:bottom w:val="single" w:sz="4" w:space="0" w:color="000000"/>
              <w:right w:val="single" w:sz="4" w:space="0" w:color="000000"/>
            </w:tcBorders>
            <w:vAlign w:val="bottom"/>
          </w:tcPr>
          <w:p w:rsidR="00E302EC" w:rsidRDefault="00FC4F28">
            <w:pPr>
              <w:spacing w:after="0" w:line="259" w:lineRule="auto"/>
              <w:ind w:left="0" w:firstLine="0"/>
            </w:pPr>
            <w:r>
              <w:t xml:space="preserve"> </w:t>
            </w:r>
          </w:p>
        </w:tc>
      </w:tr>
      <w:tr w:rsidR="00E302EC">
        <w:trPr>
          <w:trHeight w:val="261"/>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12"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0,1989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0,1028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0,0602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0,0760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0,2196</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0,1209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0,0757</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0,1227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0,0779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0,1213</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0,0762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0,0758</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0,1436</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0,1308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0,0874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0,0712</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0,0603</w:t>
            </w:r>
          </w:p>
        </w:tc>
        <w:tc>
          <w:tcPr>
            <w:tcW w:w="0" w:type="auto"/>
            <w:vMerge/>
            <w:tcBorders>
              <w:top w:val="nil"/>
              <w:left w:val="single" w:sz="5" w:space="0" w:color="000000"/>
              <w:bottom w:val="nil"/>
              <w:right w:val="single" w:sz="4" w:space="0" w:color="000000"/>
            </w:tcBorders>
            <w:vAlign w:val="bottom"/>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vAlign w:val="bottom"/>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0,1162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0,1101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0,0825</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0,0824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0,0676</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0,0581</w:t>
            </w: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5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10" w:space="0" w:color="000000"/>
              <w:right w:val="single" w:sz="5" w:space="0" w:color="000000"/>
            </w:tcBorders>
          </w:tcPr>
          <w:p w:rsidR="00E302EC" w:rsidRDefault="00FC4F28">
            <w:pPr>
              <w:spacing w:after="0" w:line="259" w:lineRule="auto"/>
              <w:ind w:left="12" w:firstLine="0"/>
              <w:jc w:val="left"/>
            </w:pPr>
            <w:r>
              <w:rPr>
                <w:sz w:val="20"/>
              </w:rPr>
              <w:t>6.1</w:t>
            </w:r>
          </w:p>
        </w:tc>
        <w:tc>
          <w:tcPr>
            <w:tcW w:w="1280"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0,1132</w:t>
            </w:r>
          </w:p>
        </w:tc>
        <w:tc>
          <w:tcPr>
            <w:tcW w:w="1226"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0,1061</w:t>
            </w:r>
          </w:p>
        </w:tc>
        <w:tc>
          <w:tcPr>
            <w:tcW w:w="1228"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0,0825</w:t>
            </w:r>
          </w:p>
        </w:tc>
        <w:tc>
          <w:tcPr>
            <w:tcW w:w="990"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0,0762</w:t>
            </w:r>
          </w:p>
        </w:tc>
        <w:tc>
          <w:tcPr>
            <w:tcW w:w="992"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0,0630</w:t>
            </w:r>
          </w:p>
        </w:tc>
        <w:tc>
          <w:tcPr>
            <w:tcW w:w="993"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0,0555</w:t>
            </w: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144"/>
        </w:trPr>
        <w:tc>
          <w:tcPr>
            <w:tcW w:w="0" w:type="auto"/>
            <w:vMerge/>
            <w:tcBorders>
              <w:top w:val="nil"/>
              <w:left w:val="single" w:sz="4" w:space="0" w:color="000000"/>
              <w:bottom w:val="single" w:sz="4" w:space="0" w:color="000000"/>
              <w:right w:val="single" w:sz="5" w:space="0" w:color="000000"/>
            </w:tcBorders>
          </w:tcPr>
          <w:p w:rsidR="00E302EC" w:rsidRDefault="00E302EC">
            <w:pPr>
              <w:spacing w:after="160" w:line="259" w:lineRule="auto"/>
              <w:ind w:left="0" w:firstLine="0"/>
              <w:jc w:val="left"/>
            </w:pPr>
          </w:p>
        </w:tc>
        <w:tc>
          <w:tcPr>
            <w:tcW w:w="3064" w:type="dxa"/>
            <w:gridSpan w:val="2"/>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1226"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1228"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990"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992"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993"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0" w:type="auto"/>
            <w:vMerge/>
            <w:tcBorders>
              <w:top w:val="nil"/>
              <w:left w:val="single" w:sz="5" w:space="0" w:color="000000"/>
              <w:bottom w:val="single" w:sz="4" w:space="0" w:color="000000"/>
              <w:right w:val="single" w:sz="4" w:space="0" w:color="000000"/>
            </w:tcBorders>
          </w:tcPr>
          <w:p w:rsidR="00E302EC" w:rsidRDefault="00E302EC">
            <w:pPr>
              <w:spacing w:after="160" w:line="259" w:lineRule="auto"/>
              <w:ind w:left="0" w:firstLine="0"/>
              <w:jc w:val="left"/>
            </w:pPr>
          </w:p>
        </w:tc>
      </w:tr>
      <w:tr w:rsidR="00E302EC">
        <w:trPr>
          <w:trHeight w:val="382"/>
        </w:trPr>
        <w:tc>
          <w:tcPr>
            <w:tcW w:w="3180" w:type="dxa"/>
            <w:gridSpan w:val="3"/>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1226"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1228"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990"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992"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1122" w:type="dxa"/>
            <w:gridSpan w:val="2"/>
            <w:tcBorders>
              <w:top w:val="single" w:sz="4" w:space="0" w:color="000000"/>
              <w:left w:val="nil"/>
              <w:bottom w:val="single" w:sz="4" w:space="0" w:color="000000"/>
              <w:right w:val="single" w:sz="4" w:space="0" w:color="000000"/>
            </w:tcBorders>
          </w:tcPr>
          <w:p w:rsidR="00E302EC" w:rsidRDefault="00FC4F28">
            <w:pPr>
              <w:spacing w:after="0" w:line="259" w:lineRule="auto"/>
              <w:ind w:left="0" w:right="79" w:firstLine="0"/>
              <w:jc w:val="right"/>
            </w:pPr>
            <w:r>
              <w:rPr>
                <w:i/>
              </w:rPr>
              <w:t xml:space="preserve">Tabla 2. </w:t>
            </w:r>
          </w:p>
        </w:tc>
      </w:tr>
    </w:tbl>
    <w:p w:rsidR="00E302EC" w:rsidRDefault="00FC4F28">
      <w:pPr>
        <w:spacing w:after="0" w:line="248" w:lineRule="auto"/>
        <w:ind w:left="279" w:right="180"/>
      </w:pPr>
      <w:r>
        <w:rPr>
          <w:i/>
        </w:rPr>
        <w:t>Los precios registrados por parte de la empresa adjudicataria ENDESA, revisados según conforme a lo establecido en la cláusula 16.3 del Pliego de Cláusulas Administrativas (PCA), son los de la tabla que también figura en el informe del 25 de marzo indicado</w:t>
      </w:r>
      <w:r>
        <w:rPr>
          <w:i/>
        </w:rPr>
        <w:t xml:space="preserve"> en los antecedentes. </w:t>
      </w:r>
    </w:p>
    <w:tbl>
      <w:tblPr>
        <w:tblStyle w:val="TableGrid"/>
        <w:tblW w:w="8738" w:type="dxa"/>
        <w:tblInd w:w="288" w:type="dxa"/>
        <w:tblCellMar>
          <w:top w:w="4" w:type="dxa"/>
          <w:left w:w="108" w:type="dxa"/>
          <w:bottom w:w="81" w:type="dxa"/>
          <w:right w:w="47" w:type="dxa"/>
        </w:tblCellMar>
        <w:tblLook w:val="04A0" w:firstRow="1" w:lastRow="0" w:firstColumn="1" w:lastColumn="0" w:noHBand="0" w:noVBand="1"/>
      </w:tblPr>
      <w:tblGrid>
        <w:gridCol w:w="8738"/>
      </w:tblGrid>
      <w:tr w:rsidR="00E302EC">
        <w:trPr>
          <w:trHeight w:val="5562"/>
        </w:trPr>
        <w:tc>
          <w:tcPr>
            <w:tcW w:w="8738" w:type="dxa"/>
            <w:tcBorders>
              <w:top w:val="single" w:sz="4" w:space="0" w:color="000000"/>
              <w:left w:val="single" w:sz="4" w:space="0" w:color="000000"/>
              <w:bottom w:val="single" w:sz="4" w:space="0" w:color="000000"/>
              <w:right w:val="single" w:sz="4" w:space="0" w:color="000000"/>
            </w:tcBorders>
            <w:vAlign w:val="bottom"/>
          </w:tcPr>
          <w:p w:rsidR="00E302EC" w:rsidRDefault="00FC4F28">
            <w:pPr>
              <w:spacing w:after="0" w:line="259" w:lineRule="auto"/>
              <w:ind w:left="0" w:right="2" w:firstLine="0"/>
              <w:jc w:val="right"/>
            </w:pPr>
            <w:r>
              <w:rPr>
                <w:noProof/>
              </w:rPr>
              <w:drawing>
                <wp:inline distT="0" distB="0" distL="0" distR="0">
                  <wp:extent cx="5401057" cy="3444240"/>
                  <wp:effectExtent l="0" t="0" r="0" b="0"/>
                  <wp:docPr id="24084" name="Picture 24084"/>
                  <wp:cNvGraphicFramePr/>
                  <a:graphic xmlns:a="http://schemas.openxmlformats.org/drawingml/2006/main">
                    <a:graphicData uri="http://schemas.openxmlformats.org/drawingml/2006/picture">
                      <pic:pic xmlns:pic="http://schemas.openxmlformats.org/drawingml/2006/picture">
                        <pic:nvPicPr>
                          <pic:cNvPr id="24084" name="Picture 24084"/>
                          <pic:cNvPicPr/>
                        </pic:nvPicPr>
                        <pic:blipFill>
                          <a:blip r:embed="rId17"/>
                          <a:stretch>
                            <a:fillRect/>
                          </a:stretch>
                        </pic:blipFill>
                        <pic:spPr>
                          <a:xfrm>
                            <a:off x="0" y="0"/>
                            <a:ext cx="5401057" cy="3444240"/>
                          </a:xfrm>
                          <a:prstGeom prst="rect">
                            <a:avLst/>
                          </a:prstGeom>
                        </pic:spPr>
                      </pic:pic>
                    </a:graphicData>
                  </a:graphic>
                </wp:inline>
              </w:drawing>
            </w:r>
            <w:r>
              <w:t xml:space="preserve"> </w:t>
            </w:r>
          </w:p>
        </w:tc>
      </w:tr>
      <w:tr w:rsidR="00E302EC">
        <w:trPr>
          <w:trHeight w:val="384"/>
        </w:trPr>
        <w:tc>
          <w:tcPr>
            <w:tcW w:w="873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0" w:firstLine="0"/>
              <w:jc w:val="right"/>
            </w:pPr>
            <w:r>
              <w:rPr>
                <w:i/>
              </w:rPr>
              <w:t xml:space="preserve">Tabla 3 </w:t>
            </w:r>
          </w:p>
        </w:tc>
      </w:tr>
    </w:tbl>
    <w:p w:rsidR="00E302EC" w:rsidRDefault="00FC4F28">
      <w:pPr>
        <w:spacing w:after="11" w:line="248" w:lineRule="auto"/>
        <w:ind w:left="279" w:right="180"/>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3484" name="Group 273484"/>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4204" name="Rectangle 2420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4205" name="Rectangle 24205"/>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3484" style="width:12.7031pt;height:273.276pt;position:absolute;mso-position-horizontal-relative:page;mso-position-horizontal:absolute;margin-left:682.278pt;mso-position-vertical-relative:page;margin-top:538.644pt;" coordsize="1613,34706">
                <v:rect id="Rectangle 2420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4205"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159 </w:t>
                        </w:r>
                      </w:p>
                    </w:txbxContent>
                  </v:textbox>
                </v:rect>
                <w10:wrap type="square"/>
              </v:group>
            </w:pict>
          </mc:Fallback>
        </mc:AlternateContent>
      </w:r>
      <w:r>
        <w:rPr>
          <w:b/>
          <w:i/>
          <w:u w:val="single" w:color="000000"/>
        </w:rPr>
        <w:t>Sumado tabla 1 y 3</w:t>
      </w:r>
      <w:r>
        <w:rPr>
          <w:i/>
        </w:rPr>
        <w:t xml:space="preserve"> </w:t>
      </w:r>
      <w:r>
        <w:rPr>
          <w:i/>
        </w:rPr>
        <w:t>y convertido, según la metodología explicada en el informe anterior ya reseñado, resulta:</w:t>
      </w:r>
      <w:r>
        <w:t xml:space="preserve"> </w:t>
      </w:r>
    </w:p>
    <w:tbl>
      <w:tblPr>
        <w:tblStyle w:val="TableGrid"/>
        <w:tblW w:w="8493" w:type="dxa"/>
        <w:tblInd w:w="291" w:type="dxa"/>
        <w:tblCellMar>
          <w:top w:w="23" w:type="dxa"/>
          <w:left w:w="31" w:type="dxa"/>
          <w:bottom w:w="0" w:type="dxa"/>
          <w:right w:w="28" w:type="dxa"/>
        </w:tblCellMar>
        <w:tblLook w:val="04A0" w:firstRow="1" w:lastRow="0" w:firstColumn="1" w:lastColumn="0" w:noHBand="0" w:noVBand="1"/>
      </w:tblPr>
      <w:tblGrid>
        <w:gridCol w:w="1784"/>
        <w:gridCol w:w="1280"/>
        <w:gridCol w:w="1226"/>
        <w:gridCol w:w="1228"/>
        <w:gridCol w:w="990"/>
        <w:gridCol w:w="992"/>
        <w:gridCol w:w="993"/>
      </w:tblGrid>
      <w:tr w:rsidR="00E302EC">
        <w:trPr>
          <w:trHeight w:val="259"/>
        </w:trPr>
        <w:tc>
          <w:tcPr>
            <w:tcW w:w="3064" w:type="dxa"/>
            <w:gridSpan w:val="2"/>
            <w:tcBorders>
              <w:top w:val="single" w:sz="5"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0" w:firstLine="0"/>
            </w:pPr>
            <w:r>
              <w:rPr>
                <w:b/>
                <w:sz w:val="20"/>
              </w:rPr>
              <w:t>LOTE CANARIAS CONVERTIDO</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r>
      <w:tr w:rsidR="00E302EC">
        <w:trPr>
          <w:trHeight w:val="260"/>
        </w:trPr>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0,3301</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0,2279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0,1719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0,1893</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0,2420</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0,3509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0,2478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0,3484</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0,1894</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0,2422</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0,2618</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0,2061</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0,2173</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0,1891</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0,1746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0,2212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0,2261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0,1826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0,1667</w:t>
            </w:r>
          </w:p>
        </w:tc>
      </w:tr>
      <w:tr w:rsidR="00E302EC">
        <w:trPr>
          <w:trHeight w:val="257"/>
        </w:trPr>
        <w:tc>
          <w:tcPr>
            <w:tcW w:w="1784" w:type="dxa"/>
            <w:tcBorders>
              <w:top w:val="single" w:sz="5" w:space="0" w:color="000000"/>
              <w:left w:val="single" w:sz="5" w:space="0" w:color="000000"/>
              <w:bottom w:val="single" w:sz="11" w:space="0" w:color="000000"/>
              <w:right w:val="single" w:sz="5" w:space="0" w:color="000000"/>
            </w:tcBorders>
          </w:tcPr>
          <w:p w:rsidR="00E302EC" w:rsidRDefault="00FC4F28">
            <w:pPr>
              <w:spacing w:after="0" w:line="259" w:lineRule="auto"/>
              <w:ind w:left="0" w:firstLine="0"/>
              <w:jc w:val="left"/>
            </w:pPr>
            <w:r>
              <w:rPr>
                <w:sz w:val="20"/>
              </w:rPr>
              <w:t>6.1</w:t>
            </w:r>
          </w:p>
        </w:tc>
        <w:tc>
          <w:tcPr>
            <w:tcW w:w="128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0,2174</w:t>
            </w:r>
          </w:p>
        </w:tc>
        <w:tc>
          <w:tcPr>
            <w:tcW w:w="1226"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0,2203</w:t>
            </w:r>
          </w:p>
        </w:tc>
        <w:tc>
          <w:tcPr>
            <w:tcW w:w="1228"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0,1869</w:t>
            </w:r>
          </w:p>
        </w:tc>
        <w:tc>
          <w:tcPr>
            <w:tcW w:w="99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0,1913</w:t>
            </w:r>
          </w:p>
        </w:tc>
        <w:tc>
          <w:tcPr>
            <w:tcW w:w="992"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0,1636</w:t>
            </w:r>
          </w:p>
        </w:tc>
      </w:tr>
    </w:tbl>
    <w:p w:rsidR="00E302EC" w:rsidRDefault="00FC4F28">
      <w:pPr>
        <w:spacing w:after="98" w:line="259" w:lineRule="auto"/>
        <w:ind w:left="149" w:firstLine="0"/>
        <w:jc w:val="center"/>
      </w:pPr>
      <w:r>
        <w:rPr>
          <w:b/>
          <w:i/>
        </w:rPr>
        <w:t xml:space="preserve"> </w:t>
      </w:r>
    </w:p>
    <w:p w:rsidR="00E302EC" w:rsidRDefault="00FC4F28">
      <w:pPr>
        <w:spacing w:after="99" w:line="259" w:lineRule="auto"/>
        <w:ind w:left="497" w:right="393"/>
        <w:jc w:val="center"/>
      </w:pPr>
      <w:r>
        <w:rPr>
          <w:b/>
          <w:i/>
        </w:rPr>
        <w:t xml:space="preserve">Conclusión </w:t>
      </w:r>
    </w:p>
    <w:p w:rsidR="00E302EC" w:rsidRDefault="00FC4F28">
      <w:pPr>
        <w:spacing w:after="111" w:line="248" w:lineRule="auto"/>
        <w:ind w:left="279" w:right="180"/>
      </w:pPr>
      <w:r>
        <w:rPr>
          <w:b/>
          <w:i/>
        </w:rPr>
        <w:t xml:space="preserve">Dar traslado para su aprobación </w:t>
      </w:r>
      <w:r>
        <w:rPr>
          <w:i/>
        </w:rPr>
        <w:t xml:space="preserve">de los precios </w:t>
      </w:r>
      <w:r>
        <w:rPr>
          <w:b/>
          <w:i/>
          <w:u w:val="single" w:color="000000"/>
        </w:rPr>
        <w:t>sumados,</w:t>
      </w:r>
      <w:r>
        <w:rPr>
          <w:i/>
        </w:rPr>
        <w:t xml:space="preserve"> los ofertados con la propuesta revisada según cláusula 16.3 del PCA, y convertidos según Circular 3/2021, de 17 de marzo, de la Comisión Nacional de los Mercados y la Competencia”.</w:t>
      </w:r>
      <w:r>
        <w:t xml:space="preserve"> </w:t>
      </w:r>
    </w:p>
    <w:p w:rsidR="00E302EC" w:rsidRDefault="00FC4F28">
      <w:pPr>
        <w:spacing w:after="98" w:line="259" w:lineRule="auto"/>
        <w:ind w:left="284" w:firstLine="0"/>
        <w:jc w:val="left"/>
      </w:pPr>
      <w:r>
        <w:rPr>
          <w:i/>
        </w:rPr>
        <w:t xml:space="preserve"> </w:t>
      </w:r>
    </w:p>
    <w:p w:rsidR="00E302EC" w:rsidRDefault="00FC4F28">
      <w:pPr>
        <w:spacing w:after="114" w:line="248" w:lineRule="auto"/>
        <w:ind w:left="279" w:right="183"/>
      </w:pPr>
      <w:r>
        <w:rPr>
          <w:b/>
        </w:rPr>
        <w:t xml:space="preserve">OCTAVA. - </w:t>
      </w:r>
      <w:r>
        <w:rPr>
          <w:b/>
        </w:rPr>
        <w:t xml:space="preserve">Consta emitido informe favorable por el Interventor municipal que dice: </w:t>
      </w:r>
      <w:r>
        <w:t>“</w:t>
      </w:r>
      <w:r>
        <w:rPr>
          <w:b/>
        </w:rPr>
        <w:t>I</w:t>
      </w:r>
      <w:r>
        <w:rPr>
          <w:b/>
          <w:i/>
        </w:rPr>
        <w:t>NFORME DE INTEVRENCIÓN</w:t>
      </w:r>
      <w:r>
        <w:t xml:space="preserve"> </w:t>
      </w:r>
    </w:p>
    <w:p w:rsidR="00E302EC" w:rsidRDefault="00FC4F28">
      <w:pPr>
        <w:spacing w:after="98" w:line="259" w:lineRule="auto"/>
        <w:ind w:left="284" w:firstLine="0"/>
        <w:jc w:val="left"/>
      </w:pPr>
      <w:r>
        <w:rPr>
          <w:i/>
        </w:rPr>
        <w:t xml:space="preserve">  </w:t>
      </w:r>
    </w:p>
    <w:p w:rsidR="00E302EC" w:rsidRDefault="00FC4F28">
      <w:pPr>
        <w:spacing w:after="98" w:line="259" w:lineRule="auto"/>
        <w:ind w:left="284" w:firstLine="0"/>
        <w:jc w:val="left"/>
      </w:pPr>
      <w:r>
        <w:rPr>
          <w:i/>
        </w:rPr>
        <w:t xml:space="preserve">  </w:t>
      </w:r>
    </w:p>
    <w:p w:rsidR="00E302EC" w:rsidRDefault="00FC4F28">
      <w:pPr>
        <w:spacing w:after="111" w:line="248" w:lineRule="auto"/>
        <w:ind w:left="279" w:right="180"/>
      </w:pPr>
      <w:r>
        <w:rPr>
          <w:b/>
          <w:i/>
        </w:rPr>
        <w:t>PRIMERO.</w:t>
      </w:r>
      <w:r>
        <w:rPr>
          <w:i/>
        </w:rPr>
        <w:t xml:space="preserve"> Vista la prórroga del Contrato basado en el Acuerdo Marco para la contratación del suministro de electricidad en alta y baja tensión del Ayunta</w:t>
      </w:r>
      <w:r>
        <w:rPr>
          <w:i/>
        </w:rPr>
        <w:t>miento de Candelaria (Lote 7) a través de la Central de Contratación de la FEMP, que el pleno municipal aprobó el 25 de febrero de 2021, a favor de la empresa ENDESA ENERGÍA S.A.U., CIF: A81948077, por un plazo de duración del contrato de un año, de confor</w:t>
      </w:r>
      <w:r>
        <w:rPr>
          <w:i/>
        </w:rPr>
        <w:t>midad con lo establecido en la cláusula 21.2 del Pliego de Cláusulas Administrativas Particulares, que rige el “Acuerdo Marco para el suministro de electricidad de alta y baja tensión de la Central de Contratación de la FEMP” y lo dispuesto en la normativa</w:t>
      </w:r>
      <w:r>
        <w:rPr>
          <w:i/>
        </w:rPr>
        <w:t xml:space="preserve"> sectorial, pudiendo celebrarse prórrogas por períodos de un año hasta un máximo de tres años.</w:t>
      </w:r>
      <w:r>
        <w:t xml:space="preserve"> </w:t>
      </w:r>
    </w:p>
    <w:p w:rsidR="00E302EC" w:rsidRDefault="00FC4F28">
      <w:pPr>
        <w:spacing w:after="111" w:line="248" w:lineRule="auto"/>
        <w:ind w:left="279" w:right="180"/>
      </w:pPr>
      <w:r>
        <w:rPr>
          <w:b/>
          <w:i/>
        </w:rPr>
        <w:t>SEGUNDO.</w:t>
      </w:r>
      <w:r>
        <w:rPr>
          <w:i/>
        </w:rPr>
        <w:t xml:space="preserve"> Se incorpora documento contable 2.22.0.00207 correspondiente a las cantidades comprometidas para el ejercicio 2022, por un importe total de 553.000 Eur</w:t>
      </w:r>
      <w:r>
        <w:rPr>
          <w:i/>
        </w:rPr>
        <w:t>os, en las aplicaciones presupuestarias 920.00-221.00, por importe de 263.000 Euros y 165.000-221.00, por importe de 290.000 Euros, del Presupuesto General del ejercicio 2021, prorrogado hasta la aprobación y publicación definitiva del correspondiente al d</w:t>
      </w:r>
      <w:r>
        <w:rPr>
          <w:i/>
        </w:rPr>
        <w:t>el ejercicio 2022.</w:t>
      </w:r>
      <w:r>
        <w:t xml:space="preserve"> </w:t>
      </w:r>
    </w:p>
    <w:p w:rsidR="00E302EC" w:rsidRDefault="00FC4F28">
      <w:pPr>
        <w:spacing w:after="111" w:line="248" w:lineRule="auto"/>
        <w:ind w:left="269" w:right="180" w:firstLine="1133"/>
      </w:pPr>
      <w:r>
        <w:rPr>
          <w:i/>
        </w:rPr>
        <w:t xml:space="preserve">Visto el Informe técnico que recoge las variaciones aplicables por tarifa y tramo horario al precio ofertado inicialmente, según acumulado de las revisiones trimestrales aplicadas al Acuerdo Marco y convertidas según circular 3/2021 de </w:t>
      </w:r>
      <w:r>
        <w:rPr>
          <w:i/>
        </w:rPr>
        <w:t xml:space="preserve">17 de marzo, por la CNMC, se informa favorablemente el presente expediente de prórroga del contrato basado en el Acuerdo Marco de electricidad.” </w:t>
      </w:r>
    </w:p>
    <w:p w:rsidR="00E302EC" w:rsidRDefault="00FC4F28">
      <w:pPr>
        <w:spacing w:after="130" w:line="248" w:lineRule="auto"/>
        <w:ind w:left="269" w:right="183" w:firstLine="708"/>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9443" name="Group 25944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4329" name="Rectangle 2432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4330" name="Rectangle 24330"/>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9443" style="width:12.7031pt;height:273.276pt;position:absolute;mso-position-horizontal-relative:page;mso-position-horizontal:absolute;margin-left:682.278pt;mso-position-vertical-relative:page;margin-top:538.644pt;" coordsize="1613,34706">
                <v:rect id="Rectangle 2432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4330"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159 </w:t>
                        </w:r>
                      </w:p>
                    </w:txbxContent>
                  </v:textbox>
                </v:rect>
                <w10:wrap type="square"/>
              </v:group>
            </w:pict>
          </mc:Fallback>
        </mc:AlternateContent>
      </w:r>
      <w:r>
        <w:rPr>
          <w:b/>
        </w:rPr>
        <w:t>NOVENO. -  Vistas las correcciones realizadas por la Federación Española de Municipios y Provincias (FEMP) a los sucesivos informes técnicos realizados por el Ar</w:t>
      </w:r>
      <w:r>
        <w:rPr>
          <w:b/>
        </w:rPr>
        <w:t>quitecto Técnico que constan en el expediente:</w:t>
      </w:r>
      <w:r>
        <w:t xml:space="preserve"> </w:t>
      </w:r>
    </w:p>
    <w:p w:rsidR="00E302EC" w:rsidRDefault="00FC4F28">
      <w:pPr>
        <w:spacing w:after="0" w:line="259" w:lineRule="auto"/>
        <w:ind w:left="1416" w:firstLine="0"/>
        <w:jc w:val="left"/>
      </w:pPr>
      <w:r>
        <w:rPr>
          <w:rFonts w:ascii="Times New Roman" w:eastAsia="Times New Roman" w:hAnsi="Times New Roman" w:cs="Times New Roman"/>
          <w:b/>
          <w:sz w:val="24"/>
        </w:rPr>
        <w:t xml:space="preserve"> </w:t>
      </w:r>
    </w:p>
    <w:p w:rsidR="00E302EC" w:rsidRDefault="00FC4F28">
      <w:pPr>
        <w:spacing w:after="0" w:line="259" w:lineRule="auto"/>
        <w:ind w:left="1411"/>
        <w:jc w:val="left"/>
      </w:pPr>
      <w:r>
        <w:rPr>
          <w:rFonts w:ascii="Times New Roman" w:eastAsia="Times New Roman" w:hAnsi="Times New Roman" w:cs="Times New Roman"/>
          <w:b/>
          <w:sz w:val="24"/>
        </w:rPr>
        <w:t xml:space="preserve">-Correo electrónico de 22 de marzo de 2022: </w:t>
      </w:r>
    </w:p>
    <w:p w:rsidR="00E302EC" w:rsidRDefault="00FC4F28">
      <w:pPr>
        <w:spacing w:after="0" w:line="249" w:lineRule="auto"/>
        <w:ind w:left="1426" w:right="181"/>
      </w:pPr>
      <w:r>
        <w:rPr>
          <w:rFonts w:ascii="Times New Roman" w:eastAsia="Times New Roman" w:hAnsi="Times New Roman" w:cs="Times New Roman"/>
          <w:i/>
          <w:sz w:val="24"/>
          <w:u w:val="single" w:color="000000"/>
        </w:rPr>
        <w:t>“El informe del técnico no contempla la revisión trimestral del 16.3 del PCA, se limita</w:t>
      </w: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u w:val="single" w:color="000000"/>
        </w:rPr>
        <w:t>a convertir los precios que tienen ustedes actualmente, en virtud de la circular 3/2020.</w:t>
      </w:r>
      <w:r>
        <w:rPr>
          <w:rFonts w:ascii="Times New Roman" w:eastAsia="Times New Roman" w:hAnsi="Times New Roman" w:cs="Times New Roman"/>
          <w:i/>
          <w:sz w:val="24"/>
        </w:rPr>
        <w:t xml:space="preserve"> Pero antes de convertir dichos precios, es necesario revisarlos conforme a lo previsto en las cláusulas 21 y 16.3 del PCA. </w:t>
      </w:r>
      <w:r>
        <w:rPr>
          <w:rFonts w:ascii="Times New Roman" w:eastAsia="Times New Roman" w:hAnsi="Times New Roman" w:cs="Times New Roman"/>
          <w:sz w:val="24"/>
        </w:rPr>
        <w:t xml:space="preserve"> </w:t>
      </w:r>
    </w:p>
    <w:p w:rsidR="00E302EC" w:rsidRDefault="00FC4F28">
      <w:pPr>
        <w:spacing w:after="13" w:line="249" w:lineRule="auto"/>
        <w:ind w:left="1426" w:right="182"/>
      </w:pPr>
      <w:r>
        <w:rPr>
          <w:rFonts w:ascii="Times New Roman" w:eastAsia="Times New Roman" w:hAnsi="Times New Roman" w:cs="Times New Roman"/>
          <w:i/>
          <w:sz w:val="24"/>
        </w:rPr>
        <w:t>Adjunto Excel con las revisiones trimestra</w:t>
      </w:r>
      <w:r>
        <w:rPr>
          <w:rFonts w:ascii="Times New Roman" w:eastAsia="Times New Roman" w:hAnsi="Times New Roman" w:cs="Times New Roman"/>
          <w:i/>
          <w:sz w:val="24"/>
        </w:rPr>
        <w:t xml:space="preserve">les.  </w:t>
      </w:r>
    </w:p>
    <w:p w:rsidR="00E302EC" w:rsidRDefault="00FC4F28">
      <w:pPr>
        <w:spacing w:after="13" w:line="249" w:lineRule="auto"/>
        <w:ind w:left="1426" w:right="182"/>
      </w:pPr>
      <w:r>
        <w:rPr>
          <w:rFonts w:ascii="Times New Roman" w:eastAsia="Times New Roman" w:hAnsi="Times New Roman" w:cs="Times New Roman"/>
          <w:i/>
          <w:sz w:val="24"/>
        </w:rPr>
        <w:t xml:space="preserve">La revisión que les remite ENDESA, salvo error por nuestra parte, entendemos está </w:t>
      </w:r>
    </w:p>
    <w:p w:rsidR="00E302EC" w:rsidRDefault="00FC4F28">
      <w:pPr>
        <w:spacing w:after="13" w:line="249" w:lineRule="auto"/>
        <w:ind w:left="279" w:right="182"/>
      </w:pPr>
      <w:r>
        <w:rPr>
          <w:rFonts w:ascii="Times New Roman" w:eastAsia="Times New Roman" w:hAnsi="Times New Roman" w:cs="Times New Roman"/>
          <w:i/>
          <w:sz w:val="24"/>
        </w:rPr>
        <w:t>correcta. Concretamente, los precios que os aplicarían en caso de que prorroguéis son los de la tabla: “CNMC 16/12/2021 y Orden TED 1484/2021” al menos hasta que esté</w:t>
      </w:r>
      <w:r>
        <w:rPr>
          <w:rFonts w:ascii="Times New Roman" w:eastAsia="Times New Roman" w:hAnsi="Times New Roman" w:cs="Times New Roman"/>
          <w:i/>
          <w:sz w:val="24"/>
        </w:rPr>
        <w:t xml:space="preserve">n en vigor estas medidas (son un poco más económicos).  </w:t>
      </w:r>
    </w:p>
    <w:p w:rsidR="00E302EC" w:rsidRDefault="00FC4F28">
      <w:pPr>
        <w:spacing w:after="13" w:line="249" w:lineRule="auto"/>
        <w:ind w:left="1426" w:right="182"/>
      </w:pPr>
      <w:r>
        <w:rPr>
          <w:rFonts w:ascii="Times New Roman" w:eastAsia="Times New Roman" w:hAnsi="Times New Roman" w:cs="Times New Roman"/>
          <w:i/>
          <w:sz w:val="24"/>
        </w:rPr>
        <w:t xml:space="preserve">Cuando dejasen de estar en vigor dichas medidas (de momento no tienen fecha de fin), </w:t>
      </w:r>
    </w:p>
    <w:p w:rsidR="00E302EC" w:rsidRDefault="00FC4F28">
      <w:pPr>
        <w:spacing w:after="13" w:line="249" w:lineRule="auto"/>
        <w:ind w:left="279" w:right="182"/>
      </w:pPr>
      <w:r>
        <w:rPr>
          <w:rFonts w:ascii="Times New Roman" w:eastAsia="Times New Roman" w:hAnsi="Times New Roman" w:cs="Times New Roman"/>
          <w:i/>
          <w:sz w:val="24"/>
        </w:rPr>
        <w:t xml:space="preserve">los precios que se os aplicarían en la prórroga serían los de la tabla que lleva por título “Precios </w:t>
      </w:r>
    </w:p>
    <w:p w:rsidR="00E302EC" w:rsidRDefault="00FC4F28">
      <w:pPr>
        <w:spacing w:after="13" w:line="249" w:lineRule="auto"/>
        <w:ind w:left="279" w:right="182"/>
      </w:pPr>
      <w:r>
        <w:rPr>
          <w:rFonts w:ascii="Times New Roman" w:eastAsia="Times New Roman" w:hAnsi="Times New Roman" w:cs="Times New Roman"/>
          <w:i/>
          <w:sz w:val="24"/>
        </w:rPr>
        <w:t>Bajo Circul</w:t>
      </w:r>
      <w:r>
        <w:rPr>
          <w:rFonts w:ascii="Times New Roman" w:eastAsia="Times New Roman" w:hAnsi="Times New Roman" w:cs="Times New Roman"/>
          <w:i/>
          <w:sz w:val="24"/>
        </w:rPr>
        <w:t xml:space="preserve">ar 3/2020 Conversión pactada con FEMP”.  </w:t>
      </w:r>
    </w:p>
    <w:p w:rsidR="00E302EC" w:rsidRDefault="00FC4F28">
      <w:pPr>
        <w:spacing w:after="13" w:line="249" w:lineRule="auto"/>
        <w:ind w:left="1426" w:right="182"/>
      </w:pPr>
      <w:r>
        <w:rPr>
          <w:rFonts w:ascii="Times New Roman" w:eastAsia="Times New Roman" w:hAnsi="Times New Roman" w:cs="Times New Roman"/>
          <w:i/>
          <w:sz w:val="24"/>
        </w:rPr>
        <w:t xml:space="preserve">Aunque parece que, a partir del 29 de marzo, el gobierno ha anunciado que tomará </w:t>
      </w:r>
    </w:p>
    <w:p w:rsidR="00E302EC" w:rsidRDefault="00FC4F28">
      <w:pPr>
        <w:spacing w:after="13" w:line="249" w:lineRule="auto"/>
        <w:ind w:left="279" w:right="182"/>
      </w:pPr>
      <w:r>
        <w:rPr>
          <w:rFonts w:ascii="Times New Roman" w:eastAsia="Times New Roman" w:hAnsi="Times New Roman" w:cs="Times New Roman"/>
          <w:i/>
          <w:sz w:val="24"/>
        </w:rPr>
        <w:t xml:space="preserve">nuevas medidas para tratar de bajar de nuevo la factura de la electricidad, por lo que, pueden darse nuevos cambios a partir de esa </w:t>
      </w:r>
      <w:r>
        <w:rPr>
          <w:rFonts w:ascii="Times New Roman" w:eastAsia="Times New Roman" w:hAnsi="Times New Roman" w:cs="Times New Roman"/>
          <w:i/>
          <w:sz w:val="24"/>
        </w:rPr>
        <w:t xml:space="preserve">fecha. Estaremos atentos.  </w:t>
      </w:r>
    </w:p>
    <w:p w:rsidR="00E302EC" w:rsidRDefault="00FC4F28">
      <w:pPr>
        <w:spacing w:after="13" w:line="249" w:lineRule="auto"/>
        <w:ind w:left="1426" w:right="182"/>
      </w:pPr>
      <w:r>
        <w:rPr>
          <w:rFonts w:ascii="Times New Roman" w:eastAsia="Times New Roman" w:hAnsi="Times New Roman" w:cs="Times New Roman"/>
          <w:i/>
          <w:sz w:val="24"/>
        </w:rPr>
        <w:t xml:space="preserve">Recuerden que es imprescindible que dicten resolución de prórroga expresa, pues </w:t>
      </w:r>
    </w:p>
    <w:p w:rsidR="00E302EC" w:rsidRDefault="00FC4F28">
      <w:pPr>
        <w:spacing w:after="13" w:line="249" w:lineRule="auto"/>
        <w:ind w:left="279" w:right="182"/>
      </w:pPr>
      <w:r>
        <w:rPr>
          <w:rFonts w:ascii="Times New Roman" w:eastAsia="Times New Roman" w:hAnsi="Times New Roman" w:cs="Times New Roman"/>
          <w:i/>
          <w:sz w:val="24"/>
        </w:rPr>
        <w:t>conforme al artículo 29 de la LCSP, no caben prórrogas tácitas. Si necesitan modelo de prórroga, solo tienen que hacérnoslo saber y se lo enviamos”</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E302EC" w:rsidRDefault="00FC4F28">
      <w:pPr>
        <w:spacing w:after="0" w:line="259" w:lineRule="auto"/>
        <w:ind w:left="1416" w:firstLine="0"/>
        <w:jc w:val="left"/>
      </w:pPr>
      <w:r>
        <w:rPr>
          <w:rFonts w:ascii="Times New Roman" w:eastAsia="Times New Roman" w:hAnsi="Times New Roman" w:cs="Times New Roman"/>
          <w:b/>
          <w:sz w:val="24"/>
        </w:rPr>
        <w:t xml:space="preserve"> </w:t>
      </w:r>
    </w:p>
    <w:p w:rsidR="00E302EC" w:rsidRDefault="00FC4F28">
      <w:pPr>
        <w:spacing w:after="0" w:line="259" w:lineRule="auto"/>
        <w:ind w:left="1411"/>
        <w:jc w:val="left"/>
      </w:pPr>
      <w:r>
        <w:rPr>
          <w:rFonts w:ascii="Times New Roman" w:eastAsia="Times New Roman" w:hAnsi="Times New Roman" w:cs="Times New Roman"/>
          <w:b/>
          <w:sz w:val="24"/>
        </w:rPr>
        <w:t xml:space="preserve">-Correo electrónico de 28 de marzo de 2022: </w:t>
      </w:r>
    </w:p>
    <w:p w:rsidR="00E302EC" w:rsidRDefault="00FC4F28">
      <w:pPr>
        <w:spacing w:after="36" w:line="249" w:lineRule="auto"/>
        <w:ind w:left="269" w:right="181" w:firstLine="1133"/>
      </w:pPr>
      <w:r>
        <w:rPr>
          <w:rFonts w:ascii="Times New Roman" w:eastAsia="Times New Roman" w:hAnsi="Times New Roman" w:cs="Times New Roman"/>
          <w:i/>
          <w:sz w:val="24"/>
          <w:u w:val="single" w:color="000000"/>
        </w:rPr>
        <w:t>El informe adjunto no varía demasiado del que me habíais enviado la semana pasada.</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El motivo es que, antes de convertir los precios, habríais de haber sumado a los precios de</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adjudicación</w:t>
      </w:r>
      <w:r>
        <w:rPr>
          <w:rFonts w:ascii="Times New Roman" w:eastAsia="Times New Roman" w:hAnsi="Times New Roman" w:cs="Times New Roman"/>
          <w:i/>
          <w:sz w:val="24"/>
        </w:rPr>
        <w:t xml:space="preserve"> la primera tabla q</w:t>
      </w:r>
      <w:r>
        <w:rPr>
          <w:rFonts w:ascii="Times New Roman" w:eastAsia="Times New Roman" w:hAnsi="Times New Roman" w:cs="Times New Roman"/>
          <w:i/>
          <w:sz w:val="24"/>
        </w:rPr>
        <w:t xml:space="preserve">ue añadís en el informe adjunto, que es la de las revisiones </w:t>
      </w:r>
    </w:p>
    <w:p w:rsidR="00E302EC" w:rsidRDefault="00FC4F28">
      <w:pPr>
        <w:spacing w:after="13" w:line="249" w:lineRule="auto"/>
        <w:ind w:left="279" w:right="182"/>
      </w:pPr>
      <w:r>
        <w:rPr>
          <w:rFonts w:ascii="Times New Roman" w:eastAsia="Times New Roman" w:hAnsi="Times New Roman" w:cs="Times New Roman"/>
          <w:i/>
          <w:sz w:val="24"/>
        </w:rPr>
        <w:t>trimestrales. Es decir, habría que sumar a los precios de adjudicación la siguiente tabla:(…)</w:t>
      </w:r>
      <w:r>
        <w:rPr>
          <w:rFonts w:ascii="Times New Roman" w:eastAsia="Times New Roman" w:hAnsi="Times New Roman" w:cs="Times New Roman"/>
          <w:sz w:val="24"/>
        </w:rPr>
        <w:t xml:space="preserve"> </w:t>
      </w:r>
    </w:p>
    <w:p w:rsidR="00E302EC" w:rsidRDefault="00FC4F28">
      <w:pPr>
        <w:spacing w:after="0" w:line="259" w:lineRule="auto"/>
        <w:ind w:left="148" w:firstLine="0"/>
        <w:jc w:val="center"/>
      </w:pPr>
      <w:r>
        <w:rPr>
          <w:rFonts w:ascii="Times New Roman" w:eastAsia="Times New Roman" w:hAnsi="Times New Roman" w:cs="Times New Roman"/>
          <w:b/>
          <w:sz w:val="24"/>
        </w:rPr>
        <w:t xml:space="preserve"> </w:t>
      </w:r>
    </w:p>
    <w:p w:rsidR="00E302EC" w:rsidRDefault="00FC4F28">
      <w:pPr>
        <w:spacing w:after="0" w:line="259" w:lineRule="auto"/>
        <w:ind w:left="1411"/>
        <w:jc w:val="left"/>
      </w:pPr>
      <w:r>
        <w:rPr>
          <w:rFonts w:ascii="Times New Roman" w:eastAsia="Times New Roman" w:hAnsi="Times New Roman" w:cs="Times New Roman"/>
          <w:b/>
          <w:sz w:val="24"/>
        </w:rPr>
        <w:t xml:space="preserve">-Correo electrónico de 31 de marzo de 2022: </w:t>
      </w:r>
    </w:p>
    <w:p w:rsidR="00E302EC" w:rsidRDefault="00FC4F28">
      <w:pPr>
        <w:spacing w:after="16"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 xml:space="preserve">“Buenos días, Octavio: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0" w:line="249" w:lineRule="auto"/>
        <w:ind w:left="279" w:right="181"/>
      </w:pPr>
      <w:r>
        <w:rPr>
          <w:rFonts w:ascii="Times New Roman" w:eastAsia="Times New Roman" w:hAnsi="Times New Roman" w:cs="Times New Roman"/>
          <w:i/>
          <w:sz w:val="24"/>
          <w:u w:val="single" w:color="000000"/>
        </w:rPr>
        <w:t>Confirmarles que, salvo error material o aritmético por nuestra parte, el informe es correcto,</w:t>
      </w:r>
      <w:r>
        <w:rPr>
          <w:rFonts w:ascii="Times New Roman" w:eastAsia="Times New Roman" w:hAnsi="Times New Roman" w:cs="Times New Roman"/>
          <w:i/>
          <w:sz w:val="24"/>
        </w:rPr>
        <w:t xml:space="preserve"> conforme a lo previsto en las cláusulas 21 y 16 del PCA.</w:t>
      </w:r>
      <w:r>
        <w:rPr>
          <w:rFonts w:ascii="Times New Roman" w:eastAsia="Times New Roman" w:hAnsi="Times New Roman" w:cs="Times New Roman"/>
          <w:sz w:val="24"/>
        </w:rPr>
        <w:t xml:space="preserve"> </w:t>
      </w:r>
    </w:p>
    <w:p w:rsidR="00E302EC" w:rsidRDefault="00FC4F28">
      <w:pPr>
        <w:spacing w:after="2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 xml:space="preserve">Un saludo” </w:t>
      </w:r>
    </w:p>
    <w:p w:rsidR="00E302EC" w:rsidRDefault="00FC4F28">
      <w:pPr>
        <w:spacing w:after="0" w:line="259" w:lineRule="auto"/>
        <w:ind w:left="1416" w:firstLine="0"/>
        <w:jc w:val="left"/>
      </w:pPr>
      <w:r>
        <w:rPr>
          <w:rFonts w:ascii="Times New Roman" w:eastAsia="Times New Roman" w:hAnsi="Times New Roman" w:cs="Times New Roman"/>
          <w:b/>
          <w:sz w:val="24"/>
        </w:rPr>
        <w:t xml:space="preserve"> </w:t>
      </w:r>
    </w:p>
    <w:p w:rsidR="00E302EC" w:rsidRDefault="00FC4F28">
      <w:pPr>
        <w:spacing w:after="0" w:line="259" w:lineRule="auto"/>
        <w:ind w:left="1416" w:firstLine="0"/>
        <w:jc w:val="left"/>
      </w:pPr>
      <w:r>
        <w:rPr>
          <w:rFonts w:ascii="Times New Roman" w:eastAsia="Times New Roman" w:hAnsi="Times New Roman" w:cs="Times New Roman"/>
          <w:b/>
          <w:sz w:val="24"/>
        </w:rPr>
        <w:t xml:space="preserve"> </w:t>
      </w:r>
    </w:p>
    <w:p w:rsidR="00E302EC" w:rsidRDefault="00FC4F28">
      <w:pPr>
        <w:spacing w:after="0" w:line="259" w:lineRule="auto"/>
        <w:ind w:left="0" w:right="328" w:firstLine="0"/>
        <w:jc w:val="center"/>
      </w:pPr>
      <w:r>
        <w:rPr>
          <w:rFonts w:ascii="Times New Roman" w:eastAsia="Times New Roman" w:hAnsi="Times New Roman" w:cs="Times New Roman"/>
          <w:b/>
          <w:sz w:val="24"/>
          <w:u w:val="single" w:color="000000"/>
        </w:rPr>
        <w:t>FUNDAMENTOS DE DERECHO</w:t>
      </w:r>
      <w:r>
        <w:rPr>
          <w:rFonts w:ascii="Times New Roman" w:eastAsia="Times New Roman" w:hAnsi="Times New Roman" w:cs="Times New Roman"/>
          <w:b/>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49" w:lineRule="auto"/>
        <w:ind w:left="279" w:right="176"/>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59946" name="Group 25994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4446" name="Rectangle 2444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4447" name="Rectangle 24447"/>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59946" style="width:12.7031pt;height:273.276pt;position:absolute;mso-position-horizontal-relative:page;mso-position-horizontal:absolute;margin-left:682.278pt;mso-position-vertical-relative:page;margin-top:538.644pt;" coordsize="1613,34706">
                <v:rect id="Rectangle 2444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4447"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159 </w:t>
                        </w:r>
                      </w:p>
                    </w:txbxContent>
                  </v:textbox>
                </v:rect>
                <w10:wrap type="square"/>
              </v:group>
            </w:pict>
          </mc:Fallback>
        </mc:AlternateContent>
      </w:r>
      <w:r>
        <w:rPr>
          <w:rFonts w:ascii="Times New Roman" w:eastAsia="Times New Roman" w:hAnsi="Times New Roman" w:cs="Times New Roman"/>
          <w:b/>
          <w:sz w:val="24"/>
        </w:rPr>
        <w:t>PRIMERO.</w:t>
      </w:r>
      <w:r>
        <w:rPr>
          <w:rFonts w:ascii="Times New Roman" w:eastAsia="Times New Roman" w:hAnsi="Times New Roman" w:cs="Times New Roman"/>
          <w:sz w:val="24"/>
        </w:rPr>
        <w:t xml:space="preserve"> El Pliego de Cláusulas Administrativas (en adelante,</w:t>
      </w:r>
      <w:r>
        <w:rPr>
          <w:rFonts w:ascii="Times New Roman" w:eastAsia="Times New Roman" w:hAnsi="Times New Roman" w:cs="Times New Roman"/>
          <w:sz w:val="24"/>
        </w:rPr>
        <w:t xml:space="preserve"> “PCA”), prevé en su cláusula 21.2 la posibilidad de solicitar prórrogas en sus contratos basados: </w:t>
      </w:r>
    </w:p>
    <w:p w:rsidR="00E302EC" w:rsidRDefault="00FC4F28">
      <w:pPr>
        <w:spacing w:after="13" w:line="249" w:lineRule="auto"/>
        <w:ind w:left="279" w:right="182"/>
      </w:pPr>
      <w:r>
        <w:rPr>
          <w:rFonts w:ascii="Times New Roman" w:eastAsia="Times New Roman" w:hAnsi="Times New Roman" w:cs="Times New Roman"/>
          <w:i/>
          <w:sz w:val="24"/>
        </w:rPr>
        <w:t>“La duración ordinaria de los Contratos basados será de un año, tal y como dispone la normativa sectorial de aplicación, pudiendo celebrarse prórrogas por p</w:t>
      </w:r>
      <w:r>
        <w:rPr>
          <w:rFonts w:ascii="Times New Roman" w:eastAsia="Times New Roman" w:hAnsi="Times New Roman" w:cs="Times New Roman"/>
          <w:i/>
          <w:sz w:val="24"/>
        </w:rPr>
        <w:t>eriodos de un año, hasta un máximo de cinco años. Todo ello sin perjuicio de las altas eventuales y de temporada que surjan durante la vigencia y al amparo del contrato basado, conforme a lo establecido en los Pliegos, en el Acuerdo marco y en la normativa</w:t>
      </w:r>
      <w:r>
        <w:rPr>
          <w:rFonts w:ascii="Times New Roman" w:eastAsia="Times New Roman" w:hAnsi="Times New Roman" w:cs="Times New Roman"/>
          <w:i/>
          <w:sz w:val="24"/>
        </w:rPr>
        <w:t xml:space="preserve"> de aplicación, y ajustándose a la proposición económica presentada sobre el porcentaje de incremento máximo sobre los precios de energía de las tarifas de acceso para el suministro definitivo.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b/>
          <w:sz w:val="24"/>
        </w:rPr>
        <w:t>SEGUNDO.</w:t>
      </w:r>
      <w:r>
        <w:rPr>
          <w:rFonts w:ascii="Times New Roman" w:eastAsia="Times New Roman" w:hAnsi="Times New Roman" w:cs="Times New Roman"/>
          <w:sz w:val="24"/>
        </w:rPr>
        <w:t xml:space="preserve"> De conformidad con lo indicado en el Documento de </w:t>
      </w:r>
      <w:r>
        <w:rPr>
          <w:rFonts w:ascii="Times New Roman" w:eastAsia="Times New Roman" w:hAnsi="Times New Roman" w:cs="Times New Roman"/>
          <w:sz w:val="24"/>
        </w:rPr>
        <w:t xml:space="preserve">invitación y en la cláusula 21.2 del PCA y con la intención de continuar prestando el suministro de electricidad en alta y baja tensión en el Ayuntamiento de Candelaria, </w:t>
      </w:r>
      <w:r>
        <w:rPr>
          <w:rFonts w:ascii="Times New Roman" w:eastAsia="Times New Roman" w:hAnsi="Times New Roman" w:cs="Times New Roman"/>
          <w:i/>
          <w:sz w:val="24"/>
        </w:rPr>
        <w:t>la prórroga resultará de obligada aceptación por parte del adjudicatario (y siempre qu</w:t>
      </w:r>
      <w:r>
        <w:rPr>
          <w:rFonts w:ascii="Times New Roman" w:eastAsia="Times New Roman" w:hAnsi="Times New Roman" w:cs="Times New Roman"/>
          <w:i/>
          <w:sz w:val="24"/>
        </w:rPr>
        <w:t>e haya un preaviso de 2 meses, porque así lo establece el artículo 29.2  de la LCSP) salvo que la Entidad Local disponga lo contrario en el Documento de invitación y salvo que se dé la causa de resolución prevista en el artículo 198.6 de la LCSP por habers</w:t>
      </w:r>
      <w:r>
        <w:rPr>
          <w:rFonts w:ascii="Times New Roman" w:eastAsia="Times New Roman" w:hAnsi="Times New Roman" w:cs="Times New Roman"/>
          <w:i/>
          <w:sz w:val="24"/>
        </w:rPr>
        <w:t>e demorado la Entidad Local en el pago del precio más de 6 meses, siempre que dicho impago no se produzca por incumplimiento de la empresa contratista, cuestiones ambas, que no se han producido. Si la EELL no lleva a cabo ese preaviso con 2 meses de antela</w:t>
      </w:r>
      <w:r>
        <w:rPr>
          <w:rFonts w:ascii="Times New Roman" w:eastAsia="Times New Roman" w:hAnsi="Times New Roman" w:cs="Times New Roman"/>
          <w:i/>
          <w:sz w:val="24"/>
        </w:rPr>
        <w:t xml:space="preserve">ción a la finalización del contrato, la prórroga será por acuerdo entre partes (dejará de ser potestad de la administración).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Para la tramitación de la prórroga anual, los precios vigentes en el contrato basado serán objeto de revisión (</w:t>
      </w:r>
      <w:r>
        <w:rPr>
          <w:rFonts w:ascii="Times New Roman" w:eastAsia="Times New Roman" w:hAnsi="Times New Roman" w:cs="Times New Roman"/>
          <w:sz w:val="24"/>
        </w:rPr>
        <w:t>Incluso en el c</w:t>
      </w:r>
      <w:r>
        <w:rPr>
          <w:rFonts w:ascii="Times New Roman" w:eastAsia="Times New Roman" w:hAnsi="Times New Roman" w:cs="Times New Roman"/>
          <w:sz w:val="24"/>
        </w:rPr>
        <w:t>aso de que no se produzca el preaviso de 2 meses por parte de la administración,)</w:t>
      </w:r>
      <w:r>
        <w:rPr>
          <w:rFonts w:ascii="Times New Roman" w:eastAsia="Times New Roman" w:hAnsi="Times New Roman" w:cs="Times New Roman"/>
          <w:i/>
          <w:sz w:val="24"/>
        </w:rPr>
        <w:t>. En este sentido, la adjudicataria estará obligada a comunicar al responsable del contrato basado de la Entidad Local, con al menos cuarenta y cinco días de antelación a la f</w:t>
      </w:r>
      <w:r>
        <w:rPr>
          <w:rFonts w:ascii="Times New Roman" w:eastAsia="Times New Roman" w:hAnsi="Times New Roman" w:cs="Times New Roman"/>
          <w:i/>
          <w:sz w:val="24"/>
        </w:rPr>
        <w:t>inalización del contrato basado, los precios revisados conforme a lo establecido en la cláusula 16.3 del PCA, con la diferencia de que el primer reajuste de umbrales que se realice tomará los precios –Umbral (i-1)– ofertado originalmente por las empresas a</w:t>
      </w:r>
      <w:r>
        <w:rPr>
          <w:rFonts w:ascii="Times New Roman" w:eastAsia="Times New Roman" w:hAnsi="Times New Roman" w:cs="Times New Roman"/>
          <w:i/>
          <w:sz w:val="24"/>
        </w:rPr>
        <w:t xml:space="preserve">djudicatarias para el contrato basado.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0323" name="Group 26032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4548" name="Rectangle 24548"/>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4549" name="Rectangle 24549"/>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139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0323" style="width:12.7031pt;height:273.276pt;position:absolute;mso-position-horizontal-relative:page;mso-position-horizontal:absolute;margin-left:682.278pt;mso-position-vertical-relative:page;margin-top:538.644pt;" coordsize="1613,34706">
                <v:rect id="Rectangle 24548"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4549"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159 </w:t>
                        </w:r>
                      </w:p>
                    </w:txbxContent>
                  </v:textbox>
                </v:rect>
                <w10:wrap type="square"/>
              </v:group>
            </w:pict>
          </mc:Fallback>
        </mc:AlternateContent>
      </w:r>
      <w:r>
        <w:rPr>
          <w:rFonts w:ascii="Times New Roman" w:eastAsia="Times New Roman" w:hAnsi="Times New Roman" w:cs="Times New Roman"/>
          <w:i/>
          <w:sz w:val="24"/>
        </w:rPr>
        <w:t xml:space="preserve">En el plazo de quince días desde la recepción de los precios revisados, siempre con un mes de antelación a la finalización del contrato basado, la Entidad Local deberá comunicar su intención de prorrogar el contrato basado por un año más. </w:t>
      </w:r>
      <w:r>
        <w:rPr>
          <w:rFonts w:ascii="Times New Roman" w:eastAsia="Times New Roman" w:hAnsi="Times New Roman" w:cs="Times New Roman"/>
          <w:b/>
          <w:i/>
          <w:sz w:val="24"/>
        </w:rPr>
        <w:t>En caso de que di</w:t>
      </w:r>
      <w:r>
        <w:rPr>
          <w:rFonts w:ascii="Times New Roman" w:eastAsia="Times New Roman" w:hAnsi="Times New Roman" w:cs="Times New Roman"/>
          <w:b/>
          <w:i/>
          <w:sz w:val="24"/>
        </w:rPr>
        <w:t>cha comunicación sobre la conformidad con los precios revisados no se produzca por parte de la Administración</w:t>
      </w:r>
      <w:r>
        <w:rPr>
          <w:rFonts w:ascii="Times New Roman" w:eastAsia="Times New Roman" w:hAnsi="Times New Roman" w:cs="Times New Roman"/>
          <w:i/>
          <w:sz w:val="24"/>
        </w:rPr>
        <w:t xml:space="preserve">, de conformidad con lo previsto en el artículo 29.2 de la LCSP según el cual: “En ningún caso </w:t>
      </w:r>
      <w:r>
        <w:rPr>
          <w:rFonts w:ascii="Times New Roman" w:eastAsia="Times New Roman" w:hAnsi="Times New Roman" w:cs="Times New Roman"/>
          <w:i/>
          <w:sz w:val="24"/>
        </w:rPr>
        <w:t xml:space="preserve">podrá producirse la prórroga por el consentimiento tácito de las partes”, </w:t>
      </w:r>
      <w:r>
        <w:rPr>
          <w:rFonts w:ascii="Times New Roman" w:eastAsia="Times New Roman" w:hAnsi="Times New Roman" w:cs="Times New Roman"/>
          <w:b/>
          <w:i/>
          <w:sz w:val="24"/>
        </w:rPr>
        <w:t>la empresa procederá, en el plazo de los 5 días hábiles anteriores a la fecha de finalización del suministro indicada más arriba a realizar los trámites oportunos para dar de baja lo</w:t>
      </w:r>
      <w:r>
        <w:rPr>
          <w:rFonts w:ascii="Times New Roman" w:eastAsia="Times New Roman" w:hAnsi="Times New Roman" w:cs="Times New Roman"/>
          <w:b/>
          <w:i/>
          <w:sz w:val="24"/>
        </w:rPr>
        <w:t>s puntos de suministro objeto del contrato basado</w:t>
      </w:r>
      <w:r>
        <w:rPr>
          <w:rFonts w:ascii="Times New Roman" w:eastAsia="Times New Roman" w:hAnsi="Times New Roman" w:cs="Times New Roman"/>
          <w:i/>
          <w:sz w:val="24"/>
        </w:rPr>
        <w:t>. Al producirse la extinción del contrato, la empresa Distribuidora procederá a asignar estos suministros a la comercializadora de último recurso, en aplicación de la normativa vigente, R.D. 216/2014, que en</w:t>
      </w:r>
      <w:r>
        <w:rPr>
          <w:rFonts w:ascii="Times New Roman" w:eastAsia="Times New Roman" w:hAnsi="Times New Roman" w:cs="Times New Roman"/>
          <w:i/>
          <w:sz w:val="24"/>
        </w:rPr>
        <w:t xml:space="preserve"> el apartado d) del artículo 4 establece que los comercializadores de referencia deberán atender las solicitudes de suministro de energía eléctrica y formalizar los correspondientes contratos con los consumidores, que sin cumplir los requisitos para la apl</w:t>
      </w:r>
      <w:r>
        <w:rPr>
          <w:rFonts w:ascii="Times New Roman" w:eastAsia="Times New Roman" w:hAnsi="Times New Roman" w:cs="Times New Roman"/>
          <w:i/>
          <w:sz w:val="24"/>
        </w:rPr>
        <w:t xml:space="preserve">icación del precio voluntario para el pequeño consumidor, transitoriamente carecen de contrato en vigor con un comercializador libre, y les resulten de aplicación las correspondientes tarifas de último recurso de acuerdo con lo previsto en el </w:t>
      </w:r>
      <w:r>
        <w:rPr>
          <w:rFonts w:ascii="Times New Roman" w:eastAsia="Times New Roman" w:hAnsi="Times New Roman" w:cs="Times New Roman"/>
          <w:i/>
          <w:color w:val="0000FF"/>
          <w:sz w:val="24"/>
          <w:u w:val="single" w:color="0000FF"/>
        </w:rPr>
        <w:t>artículo 17.3</w:t>
      </w:r>
      <w:r>
        <w:rPr>
          <w:rFonts w:ascii="Times New Roman" w:eastAsia="Times New Roman" w:hAnsi="Times New Roman" w:cs="Times New Roman"/>
          <w:i/>
          <w:color w:val="0000FF"/>
          <w:sz w:val="24"/>
          <w:u w:val="single" w:color="0000FF"/>
        </w:rPr>
        <w:t xml:space="preserve"> de la Ley</w:t>
      </w:r>
      <w:r>
        <w:rPr>
          <w:rFonts w:ascii="Times New Roman" w:eastAsia="Times New Roman" w:hAnsi="Times New Roman" w:cs="Times New Roman"/>
          <w:i/>
          <w:color w:val="0000FF"/>
          <w:sz w:val="24"/>
        </w:rPr>
        <w:t xml:space="preserve"> </w:t>
      </w:r>
      <w:r>
        <w:rPr>
          <w:rFonts w:ascii="Times New Roman" w:eastAsia="Times New Roman" w:hAnsi="Times New Roman" w:cs="Times New Roman"/>
          <w:i/>
          <w:color w:val="0000FF"/>
          <w:sz w:val="24"/>
          <w:u w:val="single" w:color="0000FF"/>
        </w:rPr>
        <w:t>24/2013, de 26 de diciembre</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49" w:lineRule="auto"/>
        <w:ind w:left="279" w:right="176"/>
      </w:pPr>
      <w:r>
        <w:rPr>
          <w:rFonts w:ascii="Times New Roman" w:eastAsia="Times New Roman" w:hAnsi="Times New Roman" w:cs="Times New Roman"/>
          <w:b/>
          <w:sz w:val="24"/>
        </w:rPr>
        <w:t>TERCERO.</w:t>
      </w:r>
      <w:r>
        <w:rPr>
          <w:rFonts w:ascii="Times New Roman" w:eastAsia="Times New Roman" w:hAnsi="Times New Roman" w:cs="Times New Roman"/>
          <w:sz w:val="24"/>
        </w:rPr>
        <w:t xml:space="preserve"> Las condiciones que deberán regir esta prórroga serán las mismas que las del contrato basado y se mantendrán inalterables durante toda la vigencia de la prórroga, tal y como se establece en el PCA, a exc</w:t>
      </w:r>
      <w:r>
        <w:rPr>
          <w:rFonts w:ascii="Times New Roman" w:eastAsia="Times New Roman" w:hAnsi="Times New Roman" w:cs="Times New Roman"/>
          <w:sz w:val="24"/>
        </w:rPr>
        <w:t xml:space="preserve">epción de la revisión de precios prevista en el mismo. </w:t>
      </w:r>
    </w:p>
    <w:p w:rsidR="00E302EC" w:rsidRDefault="00FC4F28">
      <w:pPr>
        <w:spacing w:after="0" w:line="259" w:lineRule="auto"/>
        <w:ind w:left="284" w:firstLine="0"/>
        <w:jc w:val="left"/>
      </w:pPr>
      <w:r>
        <w:rPr>
          <w:rFonts w:ascii="Times New Roman" w:eastAsia="Times New Roman" w:hAnsi="Times New Roman" w:cs="Times New Roman"/>
          <w:color w:val="FF0000"/>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49" w:lineRule="auto"/>
        <w:ind w:left="279" w:right="176"/>
      </w:pPr>
      <w:r>
        <w:rPr>
          <w:rFonts w:ascii="Times New Roman" w:eastAsia="Times New Roman" w:hAnsi="Times New Roman" w:cs="Times New Roman"/>
          <w:sz w:val="24"/>
        </w:rPr>
        <w:t xml:space="preserve">En virtud de lo anterior, se emite la siguiente,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59" w:lineRule="auto"/>
        <w:ind w:left="96" w:firstLine="0"/>
        <w:jc w:val="center"/>
      </w:pPr>
      <w:r>
        <w:rPr>
          <w:rFonts w:ascii="Times New Roman" w:eastAsia="Times New Roman" w:hAnsi="Times New Roman" w:cs="Times New Roman"/>
          <w:b/>
          <w:sz w:val="24"/>
        </w:rPr>
        <w:t xml:space="preserve">PROPUESTA DE RESOLUCIÓN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49" w:lineRule="auto"/>
        <w:ind w:left="279" w:right="176"/>
      </w:pPr>
      <w:r>
        <w:rPr>
          <w:rFonts w:ascii="Times New Roman" w:eastAsia="Times New Roman" w:hAnsi="Times New Roman" w:cs="Times New Roman"/>
          <w:b/>
          <w:sz w:val="24"/>
        </w:rPr>
        <w:t xml:space="preserve">PRIMERO. - </w:t>
      </w:r>
      <w:r>
        <w:rPr>
          <w:rFonts w:ascii="Times New Roman" w:eastAsia="Times New Roman" w:hAnsi="Times New Roman" w:cs="Times New Roman"/>
          <w:sz w:val="24"/>
        </w:rPr>
        <w:t>Prorrogar el Contrato basado para el suministro de electricidad en alta y baja tensión desde el día 06/</w:t>
      </w:r>
      <w:r>
        <w:rPr>
          <w:rFonts w:ascii="Times New Roman" w:eastAsia="Times New Roman" w:hAnsi="Times New Roman" w:cs="Times New Roman"/>
          <w:sz w:val="24"/>
        </w:rPr>
        <w:t xml:space="preserve">05/2022 hasta el 06/05/2023, aplicándose los precios revisados conforme a lo establecido en la cláusula 16.3 del PCA, figurando en el informe técnico del responsable del contrato de fecha 30 de marzo de 2022, y que se detallan a continuación: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tbl>
      <w:tblPr>
        <w:tblStyle w:val="TableGrid"/>
        <w:tblW w:w="8493" w:type="dxa"/>
        <w:tblInd w:w="291" w:type="dxa"/>
        <w:tblCellMar>
          <w:top w:w="23" w:type="dxa"/>
          <w:left w:w="31" w:type="dxa"/>
          <w:bottom w:w="0" w:type="dxa"/>
          <w:right w:w="28" w:type="dxa"/>
        </w:tblCellMar>
        <w:tblLook w:val="04A0" w:firstRow="1" w:lastRow="0" w:firstColumn="1" w:lastColumn="0" w:noHBand="0" w:noVBand="1"/>
      </w:tblPr>
      <w:tblGrid>
        <w:gridCol w:w="1784"/>
        <w:gridCol w:w="1280"/>
        <w:gridCol w:w="1226"/>
        <w:gridCol w:w="1228"/>
        <w:gridCol w:w="990"/>
        <w:gridCol w:w="992"/>
        <w:gridCol w:w="993"/>
      </w:tblGrid>
      <w:tr w:rsidR="00E302EC">
        <w:trPr>
          <w:trHeight w:val="259"/>
        </w:trPr>
        <w:tc>
          <w:tcPr>
            <w:tcW w:w="3064" w:type="dxa"/>
            <w:gridSpan w:val="2"/>
            <w:tcBorders>
              <w:top w:val="single" w:sz="5"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0" w:firstLine="0"/>
            </w:pPr>
            <w:r>
              <w:rPr>
                <w:b/>
                <w:sz w:val="20"/>
              </w:rPr>
              <w:t>LOTE CANAR</w:t>
            </w:r>
            <w:r>
              <w:rPr>
                <w:b/>
                <w:sz w:val="20"/>
              </w:rPr>
              <w:t>IAS CONVERTIDO</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r>
      <w:tr w:rsidR="00E302EC">
        <w:trPr>
          <w:trHeight w:val="260"/>
        </w:trPr>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0,3301</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0,2279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0,1719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0,1893</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0,2420</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0,3509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0,2478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0,3484</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0,1894</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0,2422</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0,2618</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0,2061</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0,2173</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0,1891</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0,1746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0,2212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0,2261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0,1826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0,1667</w:t>
            </w:r>
          </w:p>
        </w:tc>
      </w:tr>
      <w:tr w:rsidR="00E302EC">
        <w:trPr>
          <w:trHeight w:val="257"/>
        </w:trPr>
        <w:tc>
          <w:tcPr>
            <w:tcW w:w="1784" w:type="dxa"/>
            <w:tcBorders>
              <w:top w:val="single" w:sz="5" w:space="0" w:color="000000"/>
              <w:left w:val="single" w:sz="5" w:space="0" w:color="000000"/>
              <w:bottom w:val="single" w:sz="11" w:space="0" w:color="000000"/>
              <w:right w:val="single" w:sz="5" w:space="0" w:color="000000"/>
            </w:tcBorders>
          </w:tcPr>
          <w:p w:rsidR="00E302EC" w:rsidRDefault="00FC4F28">
            <w:pPr>
              <w:spacing w:after="0" w:line="259" w:lineRule="auto"/>
              <w:ind w:left="0" w:firstLine="0"/>
              <w:jc w:val="left"/>
            </w:pPr>
            <w:r>
              <w:rPr>
                <w:sz w:val="20"/>
              </w:rPr>
              <w:t>6.1</w:t>
            </w:r>
          </w:p>
        </w:tc>
        <w:tc>
          <w:tcPr>
            <w:tcW w:w="128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0,2174</w:t>
            </w:r>
          </w:p>
        </w:tc>
        <w:tc>
          <w:tcPr>
            <w:tcW w:w="1226"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0,2203</w:t>
            </w:r>
          </w:p>
        </w:tc>
        <w:tc>
          <w:tcPr>
            <w:tcW w:w="1228"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0,1869</w:t>
            </w:r>
          </w:p>
        </w:tc>
        <w:tc>
          <w:tcPr>
            <w:tcW w:w="99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0,1913</w:t>
            </w:r>
          </w:p>
        </w:tc>
        <w:tc>
          <w:tcPr>
            <w:tcW w:w="992"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0,1636</w:t>
            </w:r>
          </w:p>
        </w:tc>
      </w:tr>
    </w:tbl>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207" w:line="249" w:lineRule="auto"/>
        <w:ind w:left="279" w:right="176"/>
      </w:pPr>
      <w:r>
        <w:rPr>
          <w:rFonts w:ascii="Times New Roman" w:eastAsia="Times New Roman" w:hAnsi="Times New Roman" w:cs="Times New Roman"/>
          <w:b/>
          <w:sz w:val="24"/>
        </w:rPr>
        <w:t>SEGUNDO. -</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Comunicar esta resolución a la empresa adjudicataria a través de la plataforma informática de la Central de Contratación, publicarla en el perfil del contratante de esta Entidad Local y notificarla conforme a lo establecido en la LCSP.”   </w:t>
      </w:r>
    </w:p>
    <w:p w:rsidR="00E302EC" w:rsidRDefault="00FC4F28">
      <w:pPr>
        <w:spacing w:after="8" w:line="248" w:lineRule="auto"/>
        <w:ind w:left="269" w:right="183" w:firstLine="708"/>
      </w:pPr>
      <w:r>
        <w:rPr>
          <w:b/>
        </w:rPr>
        <w:t xml:space="preserve"> Consta en el ex</w:t>
      </w:r>
      <w:r>
        <w:rPr>
          <w:b/>
        </w:rPr>
        <w:t xml:space="preserve">pediente propuesta del Alcalde Accidental, de fecha 31 de marzo de 2022, cuyo tenor literal es el siguiente: </w:t>
      </w:r>
    </w:p>
    <w:p w:rsidR="00E302EC" w:rsidRDefault="00FC4F28">
      <w:pPr>
        <w:spacing w:after="98" w:line="259" w:lineRule="auto"/>
        <w:ind w:left="284" w:firstLine="0"/>
        <w:jc w:val="left"/>
      </w:pPr>
      <w:r>
        <w:t xml:space="preserve"> </w:t>
      </w:r>
    </w:p>
    <w:p w:rsidR="00E302EC" w:rsidRDefault="00FC4F28">
      <w:pPr>
        <w:spacing w:after="135" w:line="259" w:lineRule="auto"/>
        <w:ind w:left="284" w:firstLine="0"/>
        <w:jc w:val="left"/>
      </w:pPr>
      <w:r>
        <w:t xml:space="preserve"> </w:t>
      </w:r>
    </w:p>
    <w:p w:rsidR="00E302EC" w:rsidRDefault="00FC4F28">
      <w:pPr>
        <w:pStyle w:val="Ttulo1"/>
        <w:spacing w:after="98"/>
        <w:ind w:left="107" w:right="8"/>
      </w:pPr>
      <w:r>
        <w:t>“PROPUESTA</w:t>
      </w:r>
      <w:r>
        <w:rPr>
          <w:b w:val="0"/>
        </w:rPr>
        <w:t xml:space="preserve"> </w:t>
      </w:r>
    </w:p>
    <w:p w:rsidR="00E302EC" w:rsidRDefault="00FC4F28">
      <w:pPr>
        <w:spacing w:after="114" w:line="248" w:lineRule="auto"/>
        <w:ind w:left="269" w:right="183" w:firstLine="566"/>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3659" name="Group 27365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4756" name="Rectangle 2475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4757" name="Rectangle 24757"/>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3659" style="width:12.7031pt;height:273.276pt;position:absolute;mso-position-horizontal-relative:page;mso-position-horizontal:absolute;margin-left:682.278pt;mso-position-vertical-relative:page;margin-top:538.644pt;" coordsize="1613,34706">
                <v:rect id="Rectangle 2475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4757"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159 </w:t>
                        </w:r>
                      </w:p>
                    </w:txbxContent>
                  </v:textbox>
                </v:rect>
                <w10:wrap type="square"/>
              </v:group>
            </w:pict>
          </mc:Fallback>
        </mc:AlternateContent>
      </w:r>
      <w:r>
        <w:rPr>
          <w:b/>
        </w:rPr>
        <w:t xml:space="preserve">El que suscribe, Alcalde Accidental (Decreto 802/2022, de fecha 31 de marzo de 2022), al amparo de lo dispuesto en el Reglamento de Organización, Funcionamiento </w:t>
      </w:r>
      <w:r>
        <w:rPr>
          <w:b/>
        </w:rPr>
        <w:t xml:space="preserve">y Régimen Jurídico de las Entidades Locales (ROF) así como en la Ley 7/1985, de 2 abril, Reguladora de las Bases de Régimen Local, tienen el honor de someter a la consideración del Ayuntamiento Pleno la siguiente propuesta: </w:t>
      </w:r>
    </w:p>
    <w:p w:rsidR="00E302EC" w:rsidRDefault="00FC4F28">
      <w:pPr>
        <w:spacing w:after="95" w:line="259" w:lineRule="auto"/>
        <w:ind w:left="284" w:firstLine="0"/>
        <w:jc w:val="left"/>
      </w:pPr>
      <w:r>
        <w:t xml:space="preserve"> </w:t>
      </w:r>
    </w:p>
    <w:p w:rsidR="00E302EC" w:rsidRDefault="00FC4F28">
      <w:pPr>
        <w:spacing w:after="114" w:line="248" w:lineRule="auto"/>
        <w:ind w:left="269" w:right="183" w:firstLine="566"/>
      </w:pPr>
      <w:r>
        <w:rPr>
          <w:b/>
        </w:rPr>
        <w:t xml:space="preserve">Visto el informe jurídico de </w:t>
      </w:r>
      <w:r>
        <w:rPr>
          <w:b/>
        </w:rPr>
        <w:t xml:space="preserve">la Técnico de la Administración General y del Secretario General de fecha 31 de marzo de 2022 que transcrito literalmente dice: </w:t>
      </w:r>
    </w:p>
    <w:p w:rsidR="00E302EC" w:rsidRDefault="00FC4F28">
      <w:pPr>
        <w:spacing w:after="0" w:line="248" w:lineRule="auto"/>
        <w:ind w:left="269" w:right="180" w:firstLine="566"/>
      </w:pPr>
      <w:r>
        <w:rPr>
          <w:i/>
        </w:rPr>
        <w:t>Visto el expediente antedicho, la funcionaria Mª del Pilar Chico Delgado, que desempeña el puesto de trabajo de técnico de adm.</w:t>
      </w:r>
      <w:r>
        <w:rPr>
          <w:i/>
        </w:rPr>
        <w:t xml:space="preserve">gral., conformado por el Secretario General, fiscalizado favorablemente por el Interventor Municipal, emite el siguiente informe: </w:t>
      </w:r>
    </w:p>
    <w:p w:rsidR="00E302EC" w:rsidRDefault="00FC4F28">
      <w:pPr>
        <w:spacing w:after="0" w:line="259" w:lineRule="auto"/>
        <w:ind w:left="284" w:firstLine="0"/>
        <w:jc w:val="left"/>
      </w:pPr>
      <w:r>
        <w:rPr>
          <w:i/>
        </w:rPr>
        <w:t xml:space="preserve">  </w:t>
      </w:r>
    </w:p>
    <w:p w:rsidR="00E302EC" w:rsidRDefault="00FC4F28">
      <w:pPr>
        <w:spacing w:after="0" w:line="259" w:lineRule="auto"/>
        <w:ind w:left="103" w:right="5"/>
        <w:jc w:val="center"/>
      </w:pPr>
      <w:r>
        <w:rPr>
          <w:i/>
        </w:rPr>
        <w:t xml:space="preserve">Antecedentes de hecho  </w:t>
      </w:r>
    </w:p>
    <w:p w:rsidR="00E302EC" w:rsidRDefault="00FC4F28">
      <w:pPr>
        <w:spacing w:after="6" w:line="259" w:lineRule="auto"/>
        <w:ind w:left="149" w:firstLine="0"/>
        <w:jc w:val="center"/>
      </w:pPr>
      <w:r>
        <w:rPr>
          <w:i/>
        </w:rPr>
        <w:t xml:space="preserve"> </w:t>
      </w:r>
    </w:p>
    <w:p w:rsidR="00E302EC" w:rsidRDefault="00FC4F28">
      <w:pPr>
        <w:spacing w:after="0" w:line="248" w:lineRule="auto"/>
        <w:ind w:left="279" w:right="180"/>
      </w:pPr>
      <w:r>
        <w:rPr>
          <w:rFonts w:ascii="Times New Roman" w:eastAsia="Times New Roman" w:hAnsi="Times New Roman" w:cs="Times New Roman"/>
          <w:i/>
          <w:sz w:val="24"/>
        </w:rPr>
        <w:t xml:space="preserve"> </w:t>
      </w:r>
      <w:r>
        <w:rPr>
          <w:i/>
        </w:rPr>
        <w:t xml:space="preserve">PRIMERO. - </w:t>
      </w:r>
      <w:r>
        <w:rPr>
          <w:i/>
          <w:color w:val="0E0A11"/>
        </w:rPr>
        <w:t xml:space="preserve"> El Ayuntamiento de Candelaria </w:t>
      </w:r>
      <w:r>
        <w:rPr>
          <w:i/>
        </w:rPr>
        <w:t>mediante Acuerdo de la Junta de Gobierno Local de fec</w:t>
      </w:r>
      <w:r>
        <w:rPr>
          <w:i/>
        </w:rPr>
        <w:t xml:space="preserve">ha 11 de agosto de 2014 se adhirió a la Central de Contratación de la Federación Española de Municipios y Provincias, a fin de poder contratar los servicios y suministros que ofertare la citada Central, de conformidad con las condiciones y precios fijados </w:t>
      </w:r>
      <w:r>
        <w:rPr>
          <w:i/>
        </w:rPr>
        <w:t>en los correspondientes contratos o acuerdos marco que se suscriban entre dicha Central y las empresas adjudicatarias de los mismos.</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i/>
        </w:rPr>
        <w:t xml:space="preserve"> </w:t>
      </w:r>
    </w:p>
    <w:p w:rsidR="00E302EC" w:rsidRDefault="00FC4F28">
      <w:pPr>
        <w:spacing w:after="0" w:line="248" w:lineRule="auto"/>
        <w:ind w:left="279" w:right="180"/>
      </w:pPr>
      <w:r>
        <w:rPr>
          <w:i/>
        </w:rPr>
        <w:t xml:space="preserve">SEGUNDO. - Con fecha 21 de mayo de 2019 la Central de Contratación de la Federación Española de Municipios y Provincias </w:t>
      </w:r>
      <w:r>
        <w:rPr>
          <w:i/>
        </w:rPr>
        <w:t>resultaron adjudicatarias las mercantiles IBERDROLA CLIENTES, S.A.U, ENDESA ENERGÍA, S.A.U. y GAS NATURAL COMERCIALIZADORA, S.A. para los Lotes 1 al 7. La formalización de los Acuerdos Marco se produjo el día 17 de junio de 2019, finalizando la vigencia or</w:t>
      </w:r>
      <w:r>
        <w:rPr>
          <w:i/>
        </w:rPr>
        <w:t xml:space="preserve">dinaria del mismo el próximo 17 de junio de 2021. Pudiendo prorrogarse anualmente, sin que la duración total del acuerdo marco, pueda exceder de 48 meses (4 años). </w:t>
      </w:r>
    </w:p>
    <w:p w:rsidR="00E302EC" w:rsidRDefault="00FC4F28">
      <w:pPr>
        <w:spacing w:after="0" w:line="259" w:lineRule="auto"/>
        <w:ind w:left="284" w:firstLine="0"/>
        <w:jc w:val="left"/>
      </w:pPr>
      <w:r>
        <w:rPr>
          <w:i/>
        </w:rPr>
        <w:t xml:space="preserve"> </w:t>
      </w:r>
    </w:p>
    <w:p w:rsidR="00E302EC" w:rsidRDefault="00FC4F28">
      <w:pPr>
        <w:spacing w:after="0" w:line="248" w:lineRule="auto"/>
        <w:ind w:left="279" w:right="180"/>
      </w:pPr>
      <w:r>
        <w:rPr>
          <w:i/>
        </w:rPr>
        <w:t>TERCERO. - En fecha 04/03/2021 el Ayuntamiento de Candelaria envió el documento de invita</w:t>
      </w:r>
      <w:r>
        <w:rPr>
          <w:i/>
        </w:rPr>
        <w:t xml:space="preserve">ción a través de la Plataforma tecnológica a las tres empresas adjudicatarias del lote 7 de dicho Acuerdo marco.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i/>
        </w:rPr>
        <w:t xml:space="preserve"> </w:t>
      </w:r>
    </w:p>
    <w:p w:rsidR="00E302EC" w:rsidRDefault="00FC4F28">
      <w:pPr>
        <w:spacing w:after="0" w:line="248" w:lineRule="auto"/>
        <w:ind w:left="279" w:right="180"/>
      </w:pPr>
      <w:r>
        <w:rPr>
          <w:i/>
        </w:rPr>
        <w:t xml:space="preserve">CUARTA. - </w:t>
      </w:r>
      <w:r>
        <w:rPr>
          <w:i/>
        </w:rPr>
        <w:t>La adjudicación del contrato basado fue efectuada por Acuerdo del Ayuntamiento Pleno de fecha 29 de abril de 2021 resultando adjudicataria la empresa “ENDESA ENERGÍA, SAU”, con CIF nº A81948077, y siendo notificada con fecha 06/05/2021 y cuyo suministro fi</w:t>
      </w:r>
      <w:r>
        <w:rPr>
          <w:i/>
        </w:rPr>
        <w:t>nalizará el próximo</w:t>
      </w:r>
      <w:r>
        <w:rPr>
          <w:i/>
          <w:color w:val="FF0000"/>
        </w:rPr>
        <w:t xml:space="preserve"> </w:t>
      </w:r>
      <w:r>
        <w:t>06</w:t>
      </w:r>
      <w:r>
        <w:rPr>
          <w:i/>
        </w:rPr>
        <w:t>/05/2022.</w:t>
      </w:r>
      <w:r>
        <w:rPr>
          <w:i/>
          <w:sz w:val="24"/>
        </w:rPr>
        <w:t xml:space="preserve">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i/>
        </w:rPr>
        <w:t xml:space="preserve"> </w:t>
      </w:r>
    </w:p>
    <w:p w:rsidR="00E302EC" w:rsidRDefault="00FC4F28">
      <w:pPr>
        <w:spacing w:after="0" w:line="248" w:lineRule="auto"/>
        <w:ind w:left="279" w:right="180"/>
      </w:pPr>
      <w:r>
        <w:rPr>
          <w:i/>
        </w:rPr>
        <w:t xml:space="preserve">QUINTA. - La duración del contrato basado según lo dispuesto en la resolución adjudicación era de 1 año, prorrogable anualmente por cinco años.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i/>
        </w:rPr>
        <w:t xml:space="preserve"> </w:t>
      </w:r>
    </w:p>
    <w:p w:rsidR="00E302EC" w:rsidRDefault="00FC4F28">
      <w:pPr>
        <w:spacing w:after="0" w:line="248" w:lineRule="auto"/>
        <w:ind w:left="279" w:right="180"/>
      </w:pPr>
      <w:r>
        <w:rPr>
          <w:i/>
        </w:rPr>
        <w:t xml:space="preserve">SEXTA. -  </w:t>
      </w:r>
      <w:r>
        <w:rPr>
          <w:i/>
        </w:rPr>
        <w:t>Que en fecha 21 de febrero de 2022, registro de entrada nº 779, la empresa adjudicataria del contrato comunica los precios del término energía (TE), impuestos no incluidos para cada tarifa y tramo horario, revisados conforme a la cláusula 16.3 del PCA, y q</w:t>
      </w:r>
      <w:r>
        <w:rPr>
          <w:i/>
        </w:rPr>
        <w:t>ue, en caso de conformidad, resultarán de aplicación durante el año de prórroga.</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i/>
        </w:rPr>
        <w:t xml:space="preserve"> </w:t>
      </w:r>
    </w:p>
    <w:p w:rsidR="00E302EC" w:rsidRDefault="00FC4F28">
      <w:pPr>
        <w:spacing w:after="0" w:line="248" w:lineRule="auto"/>
        <w:ind w:left="279" w:right="180"/>
      </w:pPr>
      <w:r>
        <w:rPr>
          <w:i/>
        </w:rPr>
        <w:t>SEPTIMA- Que, recibidos los precios revisados por la adjudicataria, se emiten informes técnicos por el responsable designado en el contrato, de fechas 25 de marzo y 30 de m</w:t>
      </w:r>
      <w:r>
        <w:rPr>
          <w:i/>
        </w:rPr>
        <w:t>arzo de 2022, que se transcriben a continuación:</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0405" name="Group 26040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4884" name="Rectangle 2488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4885" name="Rectangle 24885"/>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0405" style="width:12.7031pt;height:273.276pt;position:absolute;mso-position-horizontal-relative:page;mso-position-horizontal:absolute;margin-left:682.278pt;mso-position-vertical-relative:page;margin-top:538.644pt;" coordsize="1613,34706">
                <v:rect id="Rectangle 2488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4885"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159 </w:t>
                        </w:r>
                      </w:p>
                    </w:txbxContent>
                  </v:textbox>
                </v:rect>
                <w10:wrap type="square"/>
              </v:group>
            </w:pict>
          </mc:Fallback>
        </mc:AlternateContent>
      </w:r>
      <w:r>
        <w:rPr>
          <w:i/>
        </w:rPr>
        <w:t xml:space="preserve"> </w:t>
      </w:r>
    </w:p>
    <w:p w:rsidR="00E302EC" w:rsidRDefault="00FC4F28">
      <w:pPr>
        <w:spacing w:after="0" w:line="259" w:lineRule="auto"/>
        <w:ind w:left="284" w:firstLine="0"/>
        <w:jc w:val="left"/>
      </w:pPr>
      <w:r>
        <w:rPr>
          <w:i/>
        </w:rPr>
        <w:t xml:space="preserve"> </w:t>
      </w:r>
    </w:p>
    <w:p w:rsidR="00E302EC" w:rsidRDefault="00FC4F28">
      <w:pPr>
        <w:spacing w:after="99" w:line="259" w:lineRule="auto"/>
        <w:ind w:left="103" w:right="4"/>
        <w:jc w:val="center"/>
      </w:pPr>
      <w:r>
        <w:rPr>
          <w:i/>
        </w:rPr>
        <w:t>“INF</w:t>
      </w:r>
      <w:r>
        <w:rPr>
          <w:i/>
        </w:rPr>
        <w:t>ORME TÉCNICO</w:t>
      </w:r>
      <w:r>
        <w:t xml:space="preserve"> </w:t>
      </w:r>
    </w:p>
    <w:p w:rsidR="00E302EC" w:rsidRDefault="00FC4F28">
      <w:pPr>
        <w:spacing w:after="111" w:line="248" w:lineRule="auto"/>
        <w:ind w:left="279" w:right="180"/>
      </w:pPr>
      <w:r>
        <w:rPr>
          <w:i/>
        </w:rPr>
        <w:t>Visto el expediente antedicho, el funcionario Don Javier González Gómez, que desempeña el puesto de trabajo de Arquitecto Técnico adscrito en la Concejalía de Obras Públicas, Servicios Públicos, Transporte y Accesibilidad emite el siguiente i</w:t>
      </w:r>
      <w:r>
        <w:rPr>
          <w:i/>
        </w:rPr>
        <w:t xml:space="preserve">nforme: </w:t>
      </w:r>
    </w:p>
    <w:p w:rsidR="00E302EC" w:rsidRDefault="00FC4F28">
      <w:pPr>
        <w:spacing w:after="99" w:line="259" w:lineRule="auto"/>
        <w:ind w:left="103"/>
        <w:jc w:val="center"/>
      </w:pPr>
      <w:r>
        <w:rPr>
          <w:i/>
        </w:rPr>
        <w:t xml:space="preserve">Antecedentes de hecho </w:t>
      </w:r>
    </w:p>
    <w:p w:rsidR="00E302EC" w:rsidRDefault="00FC4F28">
      <w:pPr>
        <w:spacing w:after="111" w:line="248" w:lineRule="auto"/>
        <w:ind w:left="279" w:right="180"/>
      </w:pPr>
      <w:r>
        <w:rPr>
          <w:i/>
        </w:rPr>
        <w:t xml:space="preserve">Emitida por parte del técnico que suscribe este informe el 31 de marzo de 2021 se emite informe con los resultados para la obtención del Coeficiente del Término de Energía de la Tarifa (CET) de </w:t>
      </w:r>
      <w:r>
        <w:rPr>
          <w:i/>
        </w:rPr>
        <w:t xml:space="preserve">las empresas invitadas: Iberdrola, Endesa y Gas Natural Comercializadora (GNCO), adjudicatarias de los lotes del 1 al 7 del acuerdo Marco. Resulta, tras la obtención de Coeficientes totales del término energía (CEO), que la empresa Endesa es la que oferta </w:t>
      </w:r>
      <w:r>
        <w:rPr>
          <w:i/>
        </w:rPr>
        <w:t>un coeficiente más ventajoso.</w:t>
      </w:r>
      <w:r>
        <w:t xml:space="preserve"> </w:t>
      </w:r>
    </w:p>
    <w:p w:rsidR="00E302EC" w:rsidRDefault="00FC4F28">
      <w:pPr>
        <w:spacing w:after="92" w:line="259" w:lineRule="auto"/>
        <w:ind w:left="284" w:firstLine="0"/>
        <w:jc w:val="left"/>
      </w:pPr>
      <w:r>
        <w:rPr>
          <w:i/>
        </w:rPr>
        <w:t xml:space="preserve"> </w:t>
      </w:r>
    </w:p>
    <w:p w:rsidR="00E302EC" w:rsidRDefault="00FC4F28">
      <w:pPr>
        <w:spacing w:after="53" w:line="259" w:lineRule="auto"/>
        <w:ind w:left="0" w:right="1178" w:firstLine="0"/>
        <w:jc w:val="right"/>
      </w:pPr>
      <w:r>
        <w:rPr>
          <w:noProof/>
        </w:rPr>
        <w:drawing>
          <wp:inline distT="0" distB="0" distL="0" distR="0">
            <wp:extent cx="5399533" cy="1013460"/>
            <wp:effectExtent l="0" t="0" r="0" b="0"/>
            <wp:docPr id="24881" name="Picture 24881"/>
            <wp:cNvGraphicFramePr/>
            <a:graphic xmlns:a="http://schemas.openxmlformats.org/drawingml/2006/main">
              <a:graphicData uri="http://schemas.openxmlformats.org/drawingml/2006/picture">
                <pic:pic xmlns:pic="http://schemas.openxmlformats.org/drawingml/2006/picture">
                  <pic:nvPicPr>
                    <pic:cNvPr id="24881" name="Picture 24881"/>
                    <pic:cNvPicPr/>
                  </pic:nvPicPr>
                  <pic:blipFill>
                    <a:blip r:embed="rId14"/>
                    <a:stretch>
                      <a:fillRect/>
                    </a:stretch>
                  </pic:blipFill>
                  <pic:spPr>
                    <a:xfrm>
                      <a:off x="0" y="0"/>
                      <a:ext cx="5399533" cy="1013460"/>
                    </a:xfrm>
                    <a:prstGeom prst="rect">
                      <a:avLst/>
                    </a:prstGeom>
                  </pic:spPr>
                </pic:pic>
              </a:graphicData>
            </a:graphic>
          </wp:inline>
        </w:drawing>
      </w:r>
      <w:r>
        <w:t xml:space="preserve"> </w:t>
      </w:r>
    </w:p>
    <w:p w:rsidR="00E302EC" w:rsidRDefault="00FC4F28">
      <w:pPr>
        <w:spacing w:after="98" w:line="259" w:lineRule="auto"/>
        <w:ind w:left="284" w:firstLine="0"/>
        <w:jc w:val="left"/>
      </w:pPr>
      <w:r>
        <w:rPr>
          <w:i/>
        </w:rPr>
        <w:t xml:space="preserve"> </w:t>
      </w:r>
    </w:p>
    <w:p w:rsidR="00E302EC" w:rsidRDefault="00FC4F28">
      <w:pPr>
        <w:spacing w:after="111" w:line="248" w:lineRule="auto"/>
        <w:ind w:left="279" w:right="180"/>
      </w:pPr>
      <w:r>
        <w:rPr>
          <w:i/>
        </w:rPr>
        <w:t>En el momento de la adjudicación y tal como se indicaba en el Pliego de Cláusulas Administrativas (PCA) las empresas ofertaran a la totalidad de las Categorías de Peaje, que continúa teniendo actualmente este Ayuntamie</w:t>
      </w:r>
      <w:r>
        <w:rPr>
          <w:i/>
        </w:rPr>
        <w:t xml:space="preserve">nto contratados puntos de suministro en las Categorías que se indican a continuación, tal como se recogía en el Anexo I del documento de invitación, 2.0A, 2.0DHA, 2.1A, 2.1DHA, 3.0A, y por tanto objeto de valoración. </w:t>
      </w:r>
    </w:p>
    <w:p w:rsidR="00E302EC" w:rsidRDefault="00FC4F28">
      <w:pPr>
        <w:spacing w:after="111" w:line="248" w:lineRule="auto"/>
        <w:ind w:left="279" w:right="180"/>
      </w:pPr>
      <w:r>
        <w:rPr>
          <w:i/>
        </w:rPr>
        <w:t>El 23 de marzo de 2021 se emite Circul</w:t>
      </w:r>
      <w:r>
        <w:rPr>
          <w:i/>
        </w:rPr>
        <w:t>ar 3/2021, de 17 de marzo, de la Comisión Nacional de los Mercados y la Competencia, por la que se modifica la Circular 3/2020, de 15 de enero, por la que se establece la metodología para el cálculo de los peajes de transporte y distribución de electricida</w:t>
      </w:r>
      <w:r>
        <w:rPr>
          <w:i/>
        </w:rPr>
        <w:t xml:space="preserve">d, en su artículo único indica que se modifica el apartado 1, “1. Las empresas distribuidoras y comercializadoras adaptarán los equipos de medida, los sistemas de facturación y los contratos a lo dispuesto en esta circular antes del 1 de junio de 2021.” </w:t>
      </w:r>
    </w:p>
    <w:p w:rsidR="00E302EC" w:rsidRDefault="00FC4F28">
      <w:pPr>
        <w:spacing w:after="111" w:line="248" w:lineRule="auto"/>
        <w:ind w:left="279" w:right="180"/>
      </w:pPr>
      <w:r>
        <w:rPr>
          <w:i/>
        </w:rPr>
        <w:t>S</w:t>
      </w:r>
      <w:r>
        <w:rPr>
          <w:i/>
        </w:rPr>
        <w:t>e registra por parte de la empresa adjudicataria ENDESA, el 21 de febrero de 2022 y registro 2022-E-RE-779, remisión de los precios vigentes actualmente, para la revisión de precios, para la tramitación de la prórroga, con las tarifas adaptadas a la Circul</w:t>
      </w:r>
      <w:r>
        <w:rPr>
          <w:i/>
        </w:rPr>
        <w:t xml:space="preserve">ar 3/2020, de la Comisión Nacional de los Mercados y la Competencia. </w:t>
      </w:r>
    </w:p>
    <w:p w:rsidR="00E302EC" w:rsidRDefault="00FC4F28">
      <w:pPr>
        <w:spacing w:after="98" w:line="259" w:lineRule="auto"/>
        <w:ind w:left="149" w:firstLine="0"/>
        <w:jc w:val="center"/>
      </w:pPr>
      <w:r>
        <w:rPr>
          <w:i/>
        </w:rPr>
        <w:t xml:space="preserve"> </w:t>
      </w:r>
    </w:p>
    <w:p w:rsidR="00E302EC" w:rsidRDefault="00FC4F28">
      <w:pPr>
        <w:spacing w:after="99" w:line="259" w:lineRule="auto"/>
        <w:ind w:left="103" w:right="1"/>
        <w:jc w:val="center"/>
      </w:pPr>
      <w:r>
        <w:rPr>
          <w:i/>
        </w:rPr>
        <w:t xml:space="preserve">Informe técnico </w:t>
      </w:r>
    </w:p>
    <w:p w:rsidR="00E302EC" w:rsidRDefault="00FC4F28">
      <w:pPr>
        <w:spacing w:after="111" w:line="248" w:lineRule="auto"/>
        <w:ind w:left="279" w:right="180"/>
      </w:pPr>
      <w:r>
        <w:rPr>
          <w:i/>
        </w:rPr>
        <w:t>Tras la modificación de la metodología por la Orden 3/2020 de la Comisión Nacional de los Mercados y la Competencia, la Federación de España de Municipios y Provincias</w:t>
      </w:r>
      <w:r>
        <w:rPr>
          <w:i/>
        </w:rPr>
        <w:t xml:space="preserve"> (FEMP), los Coeficiente del Término de Energía de la Tarifa (CET), se emite documento de conversión resultando lo siguiente; </w:t>
      </w:r>
      <w:r>
        <w:t xml:space="preserve"> </w:t>
      </w:r>
    </w:p>
    <w:p w:rsidR="00E302EC" w:rsidRDefault="00FC4F28">
      <w:pPr>
        <w:spacing w:after="11" w:line="248" w:lineRule="auto"/>
        <w:ind w:left="279" w:right="180"/>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0207" name="Group 26020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4953" name="Rectangle 2495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4954" name="Rectangle 24954"/>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0207" style="width:12.7031pt;height:273.276pt;position:absolute;mso-position-horizontal-relative:page;mso-position-horizontal:absolute;margin-left:682.278pt;mso-position-vertical-relative:page;margin-top:538.644pt;" coordsize="1613,34706">
                <v:rect id="Rectangle 2495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4954"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159 </w:t>
                        </w:r>
                      </w:p>
                    </w:txbxContent>
                  </v:textbox>
                </v:rect>
                <w10:wrap type="square"/>
              </v:group>
            </w:pict>
          </mc:Fallback>
        </mc:AlternateContent>
      </w:r>
      <w:r>
        <w:rPr>
          <w:i/>
        </w:rPr>
        <w:t xml:space="preserve">Coeficiente del Término de Energía de la Tarifa (CET) remitidos en la oferta inicial: </w:t>
      </w:r>
    </w:p>
    <w:p w:rsidR="00E302EC" w:rsidRDefault="00FC4F28">
      <w:pPr>
        <w:spacing w:after="78" w:line="259" w:lineRule="auto"/>
        <w:ind w:left="310" w:firstLine="0"/>
        <w:jc w:val="left"/>
      </w:pPr>
      <w:r>
        <w:rPr>
          <w:rFonts w:ascii="Calibri" w:eastAsia="Calibri" w:hAnsi="Calibri" w:cs="Calibri"/>
          <w:noProof/>
        </w:rPr>
        <mc:AlternateContent>
          <mc:Choice Requires="wpg">
            <w:drawing>
              <wp:inline distT="0" distB="0" distL="0" distR="0">
                <wp:extent cx="5470236" cy="3708380"/>
                <wp:effectExtent l="0" t="0" r="0" b="0"/>
                <wp:docPr id="260206" name="Group 260206"/>
                <wp:cNvGraphicFramePr/>
                <a:graphic xmlns:a="http://schemas.openxmlformats.org/drawingml/2006/main">
                  <a:graphicData uri="http://schemas.microsoft.com/office/word/2010/wordprocessingGroup">
                    <wpg:wgp>
                      <wpg:cNvGrpSpPr/>
                      <wpg:grpSpPr>
                        <a:xfrm>
                          <a:off x="0" y="0"/>
                          <a:ext cx="5470236" cy="3708380"/>
                          <a:chOff x="0" y="0"/>
                          <a:chExt cx="5470236" cy="3708380"/>
                        </a:xfrm>
                      </wpg:grpSpPr>
                      <wps:wsp>
                        <wps:cNvPr id="24944" name="Rectangle 24944"/>
                        <wps:cNvSpPr/>
                        <wps:spPr>
                          <a:xfrm>
                            <a:off x="5431282" y="3552048"/>
                            <a:ext cx="51809" cy="207921"/>
                          </a:xfrm>
                          <a:prstGeom prst="rect">
                            <a:avLst/>
                          </a:prstGeom>
                          <a:ln>
                            <a:noFill/>
                          </a:ln>
                        </wps:spPr>
                        <wps:txbx>
                          <w:txbxContent>
                            <w:p w:rsidR="00E302EC" w:rsidRDefault="00FC4F2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949" name="Picture 24949"/>
                          <pic:cNvPicPr/>
                        </pic:nvPicPr>
                        <pic:blipFill>
                          <a:blip r:embed="rId15"/>
                          <a:stretch>
                            <a:fillRect/>
                          </a:stretch>
                        </pic:blipFill>
                        <pic:spPr>
                          <a:xfrm>
                            <a:off x="1524" y="1524"/>
                            <a:ext cx="5402581" cy="3665220"/>
                          </a:xfrm>
                          <a:prstGeom prst="rect">
                            <a:avLst/>
                          </a:prstGeom>
                        </pic:spPr>
                      </pic:pic>
                      <wps:wsp>
                        <wps:cNvPr id="24950" name="Shape 24950"/>
                        <wps:cNvSpPr/>
                        <wps:spPr>
                          <a:xfrm>
                            <a:off x="0" y="0"/>
                            <a:ext cx="5405628" cy="3668268"/>
                          </a:xfrm>
                          <a:custGeom>
                            <a:avLst/>
                            <a:gdLst/>
                            <a:ahLst/>
                            <a:cxnLst/>
                            <a:rect l="0" t="0" r="0" b="0"/>
                            <a:pathLst>
                              <a:path w="5405628" h="3668268">
                                <a:moveTo>
                                  <a:pt x="0" y="3668268"/>
                                </a:moveTo>
                                <a:lnTo>
                                  <a:pt x="5405628" y="3668268"/>
                                </a:lnTo>
                                <a:lnTo>
                                  <a:pt x="540562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0206" style="width:430.727pt;height:291.998pt;mso-position-horizontal-relative:char;mso-position-vertical-relative:line" coordsize="54702,37083">
                <v:rect id="Rectangle 24944" style="position:absolute;width:518;height:2079;left:54312;top:35520;" filled="f" stroked="f">
                  <v:textbox inset="0,0,0,0">
                    <w:txbxContent>
                      <w:p>
                        <w:pPr>
                          <w:spacing w:before="0" w:after="160" w:line="259" w:lineRule="auto"/>
                          <w:ind w:left="0" w:firstLine="0"/>
                          <w:jc w:val="left"/>
                        </w:pPr>
                        <w:r>
                          <w:rPr/>
                          <w:t xml:space="preserve"> </w:t>
                        </w:r>
                      </w:p>
                    </w:txbxContent>
                  </v:textbox>
                </v:rect>
                <v:shape id="Picture 24949" style="position:absolute;width:54025;height:36652;left:15;top:15;" filled="f">
                  <v:imagedata r:id="rId16"/>
                </v:shape>
                <v:shape id="Shape 24950" style="position:absolute;width:54056;height:36682;left:0;top:0;" coordsize="5405628,3668268" path="m0,3668268l5405628,3668268l5405628,0l0,0x">
                  <v:stroke weight="0.24pt" endcap="flat" joinstyle="round" on="true" color="#000000"/>
                  <v:fill on="false" color="#000000" opacity="0"/>
                </v:shape>
              </v:group>
            </w:pict>
          </mc:Fallback>
        </mc:AlternateContent>
      </w:r>
    </w:p>
    <w:p w:rsidR="00E302EC" w:rsidRDefault="00FC4F28">
      <w:pPr>
        <w:spacing w:after="11" w:line="248" w:lineRule="auto"/>
        <w:ind w:left="279" w:right="180"/>
      </w:pPr>
      <w:r>
        <w:rPr>
          <w:i/>
        </w:rPr>
        <w:t>Convirtiéndose esas tarifas de los Coeficiente del Término de Energí</w:t>
      </w:r>
      <w:r>
        <w:rPr>
          <w:i/>
        </w:rPr>
        <w:t>a de la Tarifa (CET), remitidos en la oferta inicial, en aplicación de la metodología para el cálculo de los peajes de transporte y distribución de electricidad, de la Orden 3/2020 de la Comisión Nacional de los Mercados y la Competencia en los Coeficiente</w:t>
      </w:r>
      <w:r>
        <w:rPr>
          <w:i/>
        </w:rPr>
        <w:t xml:space="preserve"> del Término de Energía de la Tarifa (CET) siguientes:</w:t>
      </w:r>
      <w:r>
        <w:t xml:space="preserve"> </w:t>
      </w:r>
    </w:p>
    <w:tbl>
      <w:tblPr>
        <w:tblStyle w:val="TableGrid"/>
        <w:tblW w:w="8492" w:type="dxa"/>
        <w:tblInd w:w="291" w:type="dxa"/>
        <w:tblCellMar>
          <w:top w:w="24" w:type="dxa"/>
          <w:left w:w="31" w:type="dxa"/>
          <w:bottom w:w="0" w:type="dxa"/>
          <w:right w:w="28" w:type="dxa"/>
        </w:tblCellMar>
        <w:tblLook w:val="04A0" w:firstRow="1" w:lastRow="0" w:firstColumn="1" w:lastColumn="0" w:noHBand="0" w:noVBand="1"/>
      </w:tblPr>
      <w:tblGrid>
        <w:gridCol w:w="1784"/>
        <w:gridCol w:w="1280"/>
        <w:gridCol w:w="1226"/>
        <w:gridCol w:w="1228"/>
        <w:gridCol w:w="990"/>
        <w:gridCol w:w="992"/>
        <w:gridCol w:w="993"/>
      </w:tblGrid>
      <w:tr w:rsidR="00E302EC">
        <w:trPr>
          <w:trHeight w:val="260"/>
        </w:trPr>
        <w:tc>
          <w:tcPr>
            <w:tcW w:w="3064" w:type="dxa"/>
            <w:gridSpan w:val="2"/>
            <w:tcBorders>
              <w:top w:val="single" w:sz="5"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0" w:firstLine="0"/>
            </w:pPr>
            <w:r>
              <w:rPr>
                <w:b/>
                <w:sz w:val="20"/>
              </w:rPr>
              <w:t>LOTE CANARIAS CONVERTIDO</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r>
      <w:tr w:rsidR="00E302EC">
        <w:trPr>
          <w:trHeight w:val="261"/>
        </w:trPr>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0,1989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0,1028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0,0602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0,0760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0,2196</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0,1209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0,0757</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0,1227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0,0779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0,1213</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0,0762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0,0758</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0,1436</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0,1308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0,0874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0,0712</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0,0603</w:t>
            </w:r>
          </w:p>
        </w:tc>
      </w:tr>
      <w:tr w:rsidR="00E302EC">
        <w:trPr>
          <w:trHeight w:val="248"/>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0,1162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0,1101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0,0825</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0,0824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0,0676</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0,0581</w:t>
            </w:r>
          </w:p>
        </w:tc>
      </w:tr>
      <w:tr w:rsidR="00E302EC">
        <w:trPr>
          <w:trHeight w:val="258"/>
        </w:trPr>
        <w:tc>
          <w:tcPr>
            <w:tcW w:w="1784" w:type="dxa"/>
            <w:tcBorders>
              <w:top w:val="single" w:sz="5" w:space="0" w:color="000000"/>
              <w:left w:val="single" w:sz="5" w:space="0" w:color="000000"/>
              <w:bottom w:val="single" w:sz="10" w:space="0" w:color="000000"/>
              <w:right w:val="single" w:sz="5" w:space="0" w:color="000000"/>
            </w:tcBorders>
          </w:tcPr>
          <w:p w:rsidR="00E302EC" w:rsidRDefault="00FC4F28">
            <w:pPr>
              <w:spacing w:after="0" w:line="259" w:lineRule="auto"/>
              <w:ind w:left="0" w:firstLine="0"/>
              <w:jc w:val="left"/>
            </w:pPr>
            <w:r>
              <w:rPr>
                <w:sz w:val="20"/>
              </w:rPr>
              <w:t>6.1</w:t>
            </w:r>
          </w:p>
        </w:tc>
        <w:tc>
          <w:tcPr>
            <w:tcW w:w="1280"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0,1132</w:t>
            </w:r>
          </w:p>
        </w:tc>
        <w:tc>
          <w:tcPr>
            <w:tcW w:w="1226"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0,1061</w:t>
            </w:r>
          </w:p>
        </w:tc>
        <w:tc>
          <w:tcPr>
            <w:tcW w:w="1228"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0,0825</w:t>
            </w:r>
          </w:p>
        </w:tc>
        <w:tc>
          <w:tcPr>
            <w:tcW w:w="990"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0,0762</w:t>
            </w:r>
          </w:p>
        </w:tc>
        <w:tc>
          <w:tcPr>
            <w:tcW w:w="992"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0,0630</w:t>
            </w:r>
          </w:p>
        </w:tc>
        <w:tc>
          <w:tcPr>
            <w:tcW w:w="993"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0,0555</w:t>
            </w:r>
          </w:p>
        </w:tc>
      </w:tr>
    </w:tbl>
    <w:p w:rsidR="00E302EC" w:rsidRDefault="00FC4F28">
      <w:pPr>
        <w:spacing w:after="98" w:line="259" w:lineRule="auto"/>
        <w:ind w:left="284" w:firstLine="0"/>
        <w:jc w:val="left"/>
      </w:pPr>
      <w:r>
        <w:rPr>
          <w:i/>
        </w:rPr>
        <w:t xml:space="preserve"> </w:t>
      </w:r>
    </w:p>
    <w:p w:rsidR="00E302EC" w:rsidRDefault="00FC4F28">
      <w:pPr>
        <w:spacing w:after="99" w:line="259" w:lineRule="auto"/>
        <w:ind w:left="103" w:right="7"/>
        <w:jc w:val="center"/>
      </w:pPr>
      <w:r>
        <w:rPr>
          <w:i/>
        </w:rPr>
        <w:t xml:space="preserve">Conclusión </w:t>
      </w:r>
    </w:p>
    <w:p w:rsidR="00E302EC" w:rsidRDefault="00FC4F28">
      <w:pPr>
        <w:spacing w:after="111" w:line="248" w:lineRule="auto"/>
        <w:ind w:left="279" w:right="180"/>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5816" name="Group 275816"/>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5141" name="Rectangle 2514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5142" name="Rectangle 25142"/>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5816" style="width:12.7031pt;height:273.276pt;position:absolute;mso-position-horizontal-relative:page;mso-position-horizontal:absolute;margin-left:682.278pt;mso-position-vertical-relative:page;margin-top:538.644pt;" coordsize="1613,34706">
                <v:rect id="Rectangle 2514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5142"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159 </w:t>
                        </w:r>
                      </w:p>
                    </w:txbxContent>
                  </v:textbox>
                </v:rect>
                <w10:wrap type="square"/>
              </v:group>
            </w:pict>
          </mc:Fallback>
        </mc:AlternateContent>
      </w:r>
      <w:r>
        <w:rPr>
          <w:i/>
        </w:rPr>
        <w:t>Aprobar las tarifas resultantes, por tramo horario, de la con</w:t>
      </w:r>
      <w:r>
        <w:rPr>
          <w:i/>
        </w:rPr>
        <w:t>versión de Coeficiente del Término de Energía de la Tarifa (CET) de los precios ofertados inicialmente a los nuevos peajes, según metodología para el cálculo de los Peajes de transporte y distribución de electricidad, de la Orden 3/2020 de la Comisión Naci</w:t>
      </w:r>
      <w:r>
        <w:rPr>
          <w:i/>
        </w:rPr>
        <w:t>onal de los Mercados y la Competencia”.</w:t>
      </w:r>
      <w:r>
        <w:t xml:space="preserve"> </w:t>
      </w:r>
    </w:p>
    <w:p w:rsidR="00E302EC" w:rsidRDefault="00FC4F28">
      <w:pPr>
        <w:spacing w:after="0" w:line="259" w:lineRule="auto"/>
        <w:ind w:left="284" w:firstLine="0"/>
        <w:jc w:val="left"/>
      </w:pPr>
      <w:r>
        <w:rPr>
          <w:i/>
        </w:rPr>
        <w:t xml:space="preserve"> </w:t>
      </w:r>
    </w:p>
    <w:p w:rsidR="00E302EC" w:rsidRDefault="00FC4F28">
      <w:pPr>
        <w:spacing w:after="0" w:line="259" w:lineRule="auto"/>
        <w:ind w:left="284" w:firstLine="0"/>
        <w:jc w:val="left"/>
      </w:pPr>
      <w:r>
        <w:rPr>
          <w:i/>
        </w:rPr>
        <w:t xml:space="preserve"> </w:t>
      </w:r>
    </w:p>
    <w:p w:rsidR="00E302EC" w:rsidRDefault="00FC4F28">
      <w:pPr>
        <w:spacing w:after="99" w:line="259" w:lineRule="auto"/>
        <w:ind w:left="103" w:right="7"/>
        <w:jc w:val="center"/>
      </w:pPr>
      <w:r>
        <w:rPr>
          <w:i/>
        </w:rPr>
        <w:t>“INFORME TÉCNICO COMPLEMENTARIO</w:t>
      </w:r>
      <w:r>
        <w:t xml:space="preserve"> </w:t>
      </w:r>
    </w:p>
    <w:p w:rsidR="00E302EC" w:rsidRDefault="00FC4F28">
      <w:pPr>
        <w:spacing w:after="0" w:line="248" w:lineRule="auto"/>
        <w:ind w:left="279" w:right="180"/>
      </w:pPr>
      <w:r>
        <w:rPr>
          <w:i/>
        </w:rPr>
        <w:t>Visto el expediente antedicho, el funcionario Don Javier González Gómez, que desempeña el puesto de trabajo de Arquitecto Técnico adscrito en la Concejalía de Obras Públicas, Ser</w:t>
      </w:r>
      <w:r>
        <w:rPr>
          <w:i/>
        </w:rPr>
        <w:t xml:space="preserve">vicios Públicos, Transporte y Accesibilidad emite el siguiente informe: </w:t>
      </w:r>
    </w:p>
    <w:p w:rsidR="00E302EC" w:rsidRDefault="00FC4F28">
      <w:pPr>
        <w:spacing w:after="0" w:line="259" w:lineRule="auto"/>
        <w:ind w:left="284" w:firstLine="0"/>
        <w:jc w:val="left"/>
      </w:pPr>
      <w:r>
        <w:rPr>
          <w:i/>
        </w:rPr>
        <w:t xml:space="preserve"> </w:t>
      </w:r>
    </w:p>
    <w:p w:rsidR="00E302EC" w:rsidRDefault="00FC4F28">
      <w:pPr>
        <w:spacing w:after="0" w:line="259" w:lineRule="auto"/>
        <w:ind w:left="284" w:firstLine="0"/>
        <w:jc w:val="left"/>
      </w:pPr>
      <w:r>
        <w:rPr>
          <w:i/>
        </w:rPr>
        <w:t xml:space="preserve"> </w:t>
      </w:r>
    </w:p>
    <w:p w:rsidR="00E302EC" w:rsidRDefault="00FC4F28">
      <w:pPr>
        <w:spacing w:after="99" w:line="259" w:lineRule="auto"/>
        <w:ind w:left="103"/>
        <w:jc w:val="center"/>
      </w:pPr>
      <w:r>
        <w:rPr>
          <w:i/>
        </w:rPr>
        <w:t xml:space="preserve">Antecedentes de hecho </w:t>
      </w:r>
    </w:p>
    <w:p w:rsidR="00E302EC" w:rsidRDefault="00FC4F28">
      <w:pPr>
        <w:spacing w:after="111" w:line="248" w:lineRule="auto"/>
        <w:ind w:left="279" w:right="180"/>
      </w:pPr>
      <w:r>
        <w:rPr>
          <w:i/>
        </w:rPr>
        <w:t xml:space="preserve">Emitida, por parte del técnico que suscribe este informe, el 25 de marzo de 2022 se emite nuevo informe complementario con aclaraciones y la </w:t>
      </w:r>
      <w:r>
        <w:rPr>
          <w:i/>
          <w:u w:val="single" w:color="000000"/>
        </w:rPr>
        <w:t>suma</w:t>
      </w:r>
      <w:r>
        <w:rPr>
          <w:i/>
        </w:rPr>
        <w:t>, que se so</w:t>
      </w:r>
      <w:r>
        <w:rPr>
          <w:i/>
        </w:rPr>
        <w:t>licita se realice para incorporar al expediente.</w:t>
      </w:r>
      <w:r>
        <w:t xml:space="preserve"> </w:t>
      </w:r>
    </w:p>
    <w:p w:rsidR="00E302EC" w:rsidRDefault="00FC4F28">
      <w:pPr>
        <w:spacing w:after="98" w:line="259" w:lineRule="auto"/>
        <w:ind w:left="149" w:firstLine="0"/>
        <w:jc w:val="center"/>
      </w:pPr>
      <w:r>
        <w:rPr>
          <w:i/>
        </w:rPr>
        <w:t xml:space="preserve"> </w:t>
      </w:r>
    </w:p>
    <w:p w:rsidR="00E302EC" w:rsidRDefault="00FC4F28">
      <w:pPr>
        <w:spacing w:after="99" w:line="259" w:lineRule="auto"/>
        <w:ind w:left="103" w:right="1"/>
        <w:jc w:val="center"/>
      </w:pPr>
      <w:r>
        <w:rPr>
          <w:i/>
        </w:rPr>
        <w:t xml:space="preserve">Informe técnico </w:t>
      </w:r>
    </w:p>
    <w:p w:rsidR="00E302EC" w:rsidRDefault="00FC4F28">
      <w:pPr>
        <w:spacing w:after="111" w:line="248" w:lineRule="auto"/>
        <w:ind w:left="279" w:right="180"/>
      </w:pPr>
      <w:r>
        <w:rPr>
          <w:i/>
        </w:rPr>
        <w:t xml:space="preserve">Los Coeficiente del Término de Energía de la Tarifa (CET) remitidos en la oferta inicial: </w:t>
      </w:r>
    </w:p>
    <w:p w:rsidR="00E302EC" w:rsidRDefault="00FC4F28">
      <w:pPr>
        <w:spacing w:after="4" w:line="259" w:lineRule="auto"/>
        <w:ind w:left="284" w:firstLine="0"/>
        <w:jc w:val="left"/>
      </w:pPr>
      <w:r>
        <w:rPr>
          <w:rFonts w:ascii="Calibri" w:eastAsia="Calibri" w:hAnsi="Calibri" w:cs="Calibri"/>
          <w:noProof/>
        </w:rPr>
        <mc:AlternateContent>
          <mc:Choice Requires="wpg">
            <w:drawing>
              <wp:inline distT="0" distB="0" distL="0" distR="0">
                <wp:extent cx="5592521" cy="4028567"/>
                <wp:effectExtent l="0" t="0" r="0" b="0"/>
                <wp:docPr id="276878" name="Group 276878"/>
                <wp:cNvGraphicFramePr/>
                <a:graphic xmlns:a="http://schemas.openxmlformats.org/drawingml/2006/main">
                  <a:graphicData uri="http://schemas.microsoft.com/office/word/2010/wordprocessingGroup">
                    <wpg:wgp>
                      <wpg:cNvGrpSpPr/>
                      <wpg:grpSpPr>
                        <a:xfrm>
                          <a:off x="0" y="0"/>
                          <a:ext cx="5592521" cy="4028567"/>
                          <a:chOff x="0" y="0"/>
                          <a:chExt cx="5592521" cy="4028567"/>
                        </a:xfrm>
                      </wpg:grpSpPr>
                      <wps:wsp>
                        <wps:cNvPr id="25179" name="Rectangle 25179"/>
                        <wps:cNvSpPr/>
                        <wps:spPr>
                          <a:xfrm>
                            <a:off x="5519369" y="3574019"/>
                            <a:ext cx="51809" cy="207921"/>
                          </a:xfrm>
                          <a:prstGeom prst="rect">
                            <a:avLst/>
                          </a:prstGeom>
                          <a:ln>
                            <a:noFill/>
                          </a:ln>
                        </wps:spPr>
                        <wps:txbx>
                          <w:txbxContent>
                            <w:p w:rsidR="00E302EC" w:rsidRDefault="00FC4F28">
                              <w:pPr>
                                <w:spacing w:after="160" w:line="259" w:lineRule="auto"/>
                                <w:ind w:left="0" w:firstLine="0"/>
                                <w:jc w:val="left"/>
                              </w:pPr>
                              <w:r>
                                <w:t xml:space="preserve"> </w:t>
                              </w:r>
                            </w:p>
                          </w:txbxContent>
                        </wps:txbx>
                        <wps:bodyPr horzOverflow="overflow" vert="horz" lIns="0" tIns="0" rIns="0" bIns="0" rtlCol="0">
                          <a:noAutofit/>
                        </wps:bodyPr>
                      </wps:wsp>
                      <wps:wsp>
                        <wps:cNvPr id="293326" name="Shape 2933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27" name="Shape 293327"/>
                        <wps:cNvSpPr/>
                        <wps:spPr>
                          <a:xfrm>
                            <a:off x="6096" y="0"/>
                            <a:ext cx="5580253" cy="9144"/>
                          </a:xfrm>
                          <a:custGeom>
                            <a:avLst/>
                            <a:gdLst/>
                            <a:ahLst/>
                            <a:cxnLst/>
                            <a:rect l="0" t="0" r="0" b="0"/>
                            <a:pathLst>
                              <a:path w="5580253" h="9144">
                                <a:moveTo>
                                  <a:pt x="0" y="0"/>
                                </a:moveTo>
                                <a:lnTo>
                                  <a:pt x="5580253" y="0"/>
                                </a:lnTo>
                                <a:lnTo>
                                  <a:pt x="558025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28" name="Shape 293328"/>
                        <wps:cNvSpPr/>
                        <wps:spPr>
                          <a:xfrm>
                            <a:off x="558642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29" name="Shape 293329"/>
                        <wps:cNvSpPr/>
                        <wps:spPr>
                          <a:xfrm>
                            <a:off x="0" y="6097"/>
                            <a:ext cx="9144" cy="3772535"/>
                          </a:xfrm>
                          <a:custGeom>
                            <a:avLst/>
                            <a:gdLst/>
                            <a:ahLst/>
                            <a:cxnLst/>
                            <a:rect l="0" t="0" r="0" b="0"/>
                            <a:pathLst>
                              <a:path w="9144" h="3772535">
                                <a:moveTo>
                                  <a:pt x="0" y="0"/>
                                </a:moveTo>
                                <a:lnTo>
                                  <a:pt x="9144" y="0"/>
                                </a:lnTo>
                                <a:lnTo>
                                  <a:pt x="9144" y="3772535"/>
                                </a:lnTo>
                                <a:lnTo>
                                  <a:pt x="0" y="377253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30" name="Shape 293330"/>
                        <wps:cNvSpPr/>
                        <wps:spPr>
                          <a:xfrm>
                            <a:off x="5586426" y="6097"/>
                            <a:ext cx="9144" cy="3772535"/>
                          </a:xfrm>
                          <a:custGeom>
                            <a:avLst/>
                            <a:gdLst/>
                            <a:ahLst/>
                            <a:cxnLst/>
                            <a:rect l="0" t="0" r="0" b="0"/>
                            <a:pathLst>
                              <a:path w="9144" h="3772535">
                                <a:moveTo>
                                  <a:pt x="0" y="0"/>
                                </a:moveTo>
                                <a:lnTo>
                                  <a:pt x="9144" y="0"/>
                                </a:lnTo>
                                <a:lnTo>
                                  <a:pt x="9144" y="3772535"/>
                                </a:lnTo>
                                <a:lnTo>
                                  <a:pt x="0" y="377253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5187" name="Rectangle 25187"/>
                        <wps:cNvSpPr/>
                        <wps:spPr>
                          <a:xfrm>
                            <a:off x="5028260" y="3787379"/>
                            <a:ext cx="655620" cy="207549"/>
                          </a:xfrm>
                          <a:prstGeom prst="rect">
                            <a:avLst/>
                          </a:prstGeom>
                          <a:ln>
                            <a:noFill/>
                          </a:ln>
                        </wps:spPr>
                        <wps:txbx>
                          <w:txbxContent>
                            <w:p w:rsidR="00E302EC" w:rsidRDefault="00FC4F28">
                              <w:pPr>
                                <w:spacing w:after="160" w:line="259" w:lineRule="auto"/>
                                <w:ind w:left="0" w:firstLine="0"/>
                                <w:jc w:val="left"/>
                              </w:pPr>
                              <w:r>
                                <w:rPr>
                                  <w:i/>
                                </w:rPr>
                                <w:t>Tabla 1.</w:t>
                              </w:r>
                            </w:p>
                          </w:txbxContent>
                        </wps:txbx>
                        <wps:bodyPr horzOverflow="overflow" vert="horz" lIns="0" tIns="0" rIns="0" bIns="0" rtlCol="0">
                          <a:noAutofit/>
                        </wps:bodyPr>
                      </wps:wsp>
                      <wps:wsp>
                        <wps:cNvPr id="25188" name="Rectangle 25188"/>
                        <wps:cNvSpPr/>
                        <wps:spPr>
                          <a:xfrm>
                            <a:off x="5520893" y="3787379"/>
                            <a:ext cx="51809" cy="207549"/>
                          </a:xfrm>
                          <a:prstGeom prst="rect">
                            <a:avLst/>
                          </a:prstGeom>
                          <a:ln>
                            <a:noFill/>
                          </a:ln>
                        </wps:spPr>
                        <wps:txbx>
                          <w:txbxContent>
                            <w:p w:rsidR="00E302EC" w:rsidRDefault="00FC4F28">
                              <w:pPr>
                                <w:spacing w:after="160" w:line="259" w:lineRule="auto"/>
                                <w:ind w:left="0" w:firstLine="0"/>
                                <w:jc w:val="left"/>
                              </w:pPr>
                              <w:r>
                                <w:rPr>
                                  <w:i/>
                                </w:rPr>
                                <w:t xml:space="preserve"> </w:t>
                              </w:r>
                            </w:p>
                          </w:txbxContent>
                        </wps:txbx>
                        <wps:bodyPr horzOverflow="overflow" vert="horz" lIns="0" tIns="0" rIns="0" bIns="0" rtlCol="0">
                          <a:noAutofit/>
                        </wps:bodyPr>
                      </wps:wsp>
                      <wps:wsp>
                        <wps:cNvPr id="293331" name="Shape 293331"/>
                        <wps:cNvSpPr/>
                        <wps:spPr>
                          <a:xfrm>
                            <a:off x="0" y="377863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32" name="Shape 293332"/>
                        <wps:cNvSpPr/>
                        <wps:spPr>
                          <a:xfrm>
                            <a:off x="6096" y="3778631"/>
                            <a:ext cx="5580253" cy="9144"/>
                          </a:xfrm>
                          <a:custGeom>
                            <a:avLst/>
                            <a:gdLst/>
                            <a:ahLst/>
                            <a:cxnLst/>
                            <a:rect l="0" t="0" r="0" b="0"/>
                            <a:pathLst>
                              <a:path w="5580253" h="9144">
                                <a:moveTo>
                                  <a:pt x="0" y="0"/>
                                </a:moveTo>
                                <a:lnTo>
                                  <a:pt x="5580253" y="0"/>
                                </a:lnTo>
                                <a:lnTo>
                                  <a:pt x="558025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33" name="Shape 293333"/>
                        <wps:cNvSpPr/>
                        <wps:spPr>
                          <a:xfrm>
                            <a:off x="5586426" y="377863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34" name="Shape 293334"/>
                        <wps:cNvSpPr/>
                        <wps:spPr>
                          <a:xfrm>
                            <a:off x="0" y="3784727"/>
                            <a:ext cx="9144" cy="237744"/>
                          </a:xfrm>
                          <a:custGeom>
                            <a:avLst/>
                            <a:gdLst/>
                            <a:ahLst/>
                            <a:cxnLst/>
                            <a:rect l="0" t="0" r="0" b="0"/>
                            <a:pathLst>
                              <a:path w="9144" h="237744">
                                <a:moveTo>
                                  <a:pt x="0" y="0"/>
                                </a:moveTo>
                                <a:lnTo>
                                  <a:pt x="9144" y="0"/>
                                </a:lnTo>
                                <a:lnTo>
                                  <a:pt x="9144" y="237744"/>
                                </a:lnTo>
                                <a:lnTo>
                                  <a:pt x="0" y="2377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35" name="Shape 293335"/>
                        <wps:cNvSpPr/>
                        <wps:spPr>
                          <a:xfrm>
                            <a:off x="0" y="402247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36" name="Shape 293336"/>
                        <wps:cNvSpPr/>
                        <wps:spPr>
                          <a:xfrm>
                            <a:off x="6096" y="4022471"/>
                            <a:ext cx="5580253" cy="9144"/>
                          </a:xfrm>
                          <a:custGeom>
                            <a:avLst/>
                            <a:gdLst/>
                            <a:ahLst/>
                            <a:cxnLst/>
                            <a:rect l="0" t="0" r="0" b="0"/>
                            <a:pathLst>
                              <a:path w="5580253" h="9144">
                                <a:moveTo>
                                  <a:pt x="0" y="0"/>
                                </a:moveTo>
                                <a:lnTo>
                                  <a:pt x="5580253" y="0"/>
                                </a:lnTo>
                                <a:lnTo>
                                  <a:pt x="5580253"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37" name="Shape 293337"/>
                        <wps:cNvSpPr/>
                        <wps:spPr>
                          <a:xfrm>
                            <a:off x="5586426" y="3784727"/>
                            <a:ext cx="9144" cy="237744"/>
                          </a:xfrm>
                          <a:custGeom>
                            <a:avLst/>
                            <a:gdLst/>
                            <a:ahLst/>
                            <a:cxnLst/>
                            <a:rect l="0" t="0" r="0" b="0"/>
                            <a:pathLst>
                              <a:path w="9144" h="237744">
                                <a:moveTo>
                                  <a:pt x="0" y="0"/>
                                </a:moveTo>
                                <a:lnTo>
                                  <a:pt x="9144" y="0"/>
                                </a:lnTo>
                                <a:lnTo>
                                  <a:pt x="9144" y="237744"/>
                                </a:lnTo>
                                <a:lnTo>
                                  <a:pt x="0" y="2377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93338" name="Shape 293338"/>
                        <wps:cNvSpPr/>
                        <wps:spPr>
                          <a:xfrm>
                            <a:off x="5586426" y="402247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231" name="Picture 25231"/>
                          <pic:cNvPicPr/>
                        </pic:nvPicPr>
                        <pic:blipFill>
                          <a:blip r:embed="rId15"/>
                          <a:stretch>
                            <a:fillRect/>
                          </a:stretch>
                        </pic:blipFill>
                        <pic:spPr>
                          <a:xfrm>
                            <a:off x="89611" y="25654"/>
                            <a:ext cx="5402580" cy="3665220"/>
                          </a:xfrm>
                          <a:prstGeom prst="rect">
                            <a:avLst/>
                          </a:prstGeom>
                        </pic:spPr>
                      </pic:pic>
                      <wps:wsp>
                        <wps:cNvPr id="25232" name="Shape 25232"/>
                        <wps:cNvSpPr/>
                        <wps:spPr>
                          <a:xfrm>
                            <a:off x="88087" y="24130"/>
                            <a:ext cx="5405628" cy="3668268"/>
                          </a:xfrm>
                          <a:custGeom>
                            <a:avLst/>
                            <a:gdLst/>
                            <a:ahLst/>
                            <a:cxnLst/>
                            <a:rect l="0" t="0" r="0" b="0"/>
                            <a:pathLst>
                              <a:path w="5405628" h="3668268">
                                <a:moveTo>
                                  <a:pt x="0" y="3668268"/>
                                </a:moveTo>
                                <a:lnTo>
                                  <a:pt x="5405628" y="3668268"/>
                                </a:lnTo>
                                <a:lnTo>
                                  <a:pt x="5405628"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6878" style="width:440.356pt;height:317.21pt;mso-position-horizontal-relative:char;mso-position-vertical-relative:line" coordsize="55925,40285">
                <v:rect id="Rectangle 25179" style="position:absolute;width:518;height:2079;left:55193;top:35740;" filled="f" stroked="f">
                  <v:textbox inset="0,0,0,0">
                    <w:txbxContent>
                      <w:p>
                        <w:pPr>
                          <w:spacing w:before="0" w:after="160" w:line="259" w:lineRule="auto"/>
                          <w:ind w:left="0" w:firstLine="0"/>
                          <w:jc w:val="left"/>
                        </w:pPr>
                        <w:r>
                          <w:rPr/>
                          <w:t xml:space="preserve"> </w:t>
                        </w:r>
                      </w:p>
                    </w:txbxContent>
                  </v:textbox>
                </v:rect>
                <v:shape id="Shape 293339" style="position:absolute;width:91;height:91;left:0;top:0;" coordsize="9144,9144" path="m0,0l9144,0l9144,9144l0,9144l0,0">
                  <v:stroke weight="0pt" endcap="square" joinstyle="miter" miterlimit="10" on="false" color="#000000" opacity="0"/>
                  <v:fill on="true" color="#000000"/>
                </v:shape>
                <v:shape id="Shape 293340" style="position:absolute;width:55802;height:91;left:60;top:0;" coordsize="5580253,9144" path="m0,0l5580253,0l5580253,9144l0,9144l0,0">
                  <v:stroke weight="0pt" endcap="square" joinstyle="miter" miterlimit="10" on="false" color="#000000" opacity="0"/>
                  <v:fill on="true" color="#000000"/>
                </v:shape>
                <v:shape id="Shape 293341" style="position:absolute;width:91;height:91;left:55864;top:0;" coordsize="9144,9144" path="m0,0l9144,0l9144,9144l0,9144l0,0">
                  <v:stroke weight="0pt" endcap="square" joinstyle="miter" miterlimit="10" on="false" color="#000000" opacity="0"/>
                  <v:fill on="true" color="#000000"/>
                </v:shape>
                <v:shape id="Shape 293342" style="position:absolute;width:91;height:37725;left:0;top:60;" coordsize="9144,3772535" path="m0,0l9144,0l9144,3772535l0,3772535l0,0">
                  <v:stroke weight="0pt" endcap="square" joinstyle="miter" miterlimit="10" on="false" color="#000000" opacity="0"/>
                  <v:fill on="true" color="#000000"/>
                </v:shape>
                <v:shape id="Shape 293343" style="position:absolute;width:91;height:37725;left:55864;top:60;" coordsize="9144,3772535" path="m0,0l9144,0l9144,3772535l0,3772535l0,0">
                  <v:stroke weight="0pt" endcap="square" joinstyle="miter" miterlimit="10" on="false" color="#000000" opacity="0"/>
                  <v:fill on="true" color="#000000"/>
                </v:shape>
                <v:rect id="Rectangle 25187" style="position:absolute;width:6556;height:2075;left:50282;top:37873;" filled="f" stroked="f">
                  <v:textbox inset="0,0,0,0">
                    <w:txbxContent>
                      <w:p>
                        <w:pPr>
                          <w:spacing w:before="0" w:after="160" w:line="259" w:lineRule="auto"/>
                          <w:ind w:left="0" w:firstLine="0"/>
                          <w:jc w:val="left"/>
                        </w:pPr>
                        <w:r>
                          <w:rPr>
                            <w:rFonts w:cs="Arial" w:hAnsi="Arial" w:eastAsia="Arial" w:ascii="Arial"/>
                            <w:i w:val="1"/>
                          </w:rPr>
                          <w:t xml:space="preserve">Tabla 1.</w:t>
                        </w:r>
                      </w:p>
                    </w:txbxContent>
                  </v:textbox>
                </v:rect>
                <v:rect id="Rectangle 25188" style="position:absolute;width:518;height:2075;left:55208;top:37873;" filled="f" stroked="f">
                  <v:textbox inset="0,0,0,0">
                    <w:txbxContent>
                      <w:p>
                        <w:pPr>
                          <w:spacing w:before="0" w:after="160" w:line="259" w:lineRule="auto"/>
                          <w:ind w:left="0" w:firstLine="0"/>
                          <w:jc w:val="left"/>
                        </w:pPr>
                        <w:r>
                          <w:rPr>
                            <w:rFonts w:cs="Arial" w:hAnsi="Arial" w:eastAsia="Arial" w:ascii="Arial"/>
                            <w:i w:val="1"/>
                          </w:rPr>
                          <w:t xml:space="preserve"> </w:t>
                        </w:r>
                      </w:p>
                    </w:txbxContent>
                  </v:textbox>
                </v:rect>
                <v:shape id="Shape 293344" style="position:absolute;width:91;height:91;left:0;top:37786;" coordsize="9144,9144" path="m0,0l9144,0l9144,9144l0,9144l0,0">
                  <v:stroke weight="0pt" endcap="square" joinstyle="miter" miterlimit="10" on="false" color="#000000" opacity="0"/>
                  <v:fill on="true" color="#000000"/>
                </v:shape>
                <v:shape id="Shape 293345" style="position:absolute;width:55802;height:91;left:60;top:37786;" coordsize="5580253,9144" path="m0,0l5580253,0l5580253,9144l0,9144l0,0">
                  <v:stroke weight="0pt" endcap="square" joinstyle="miter" miterlimit="10" on="false" color="#000000" opacity="0"/>
                  <v:fill on="true" color="#000000"/>
                </v:shape>
                <v:shape id="Shape 293346" style="position:absolute;width:91;height:91;left:55864;top:37786;" coordsize="9144,9144" path="m0,0l9144,0l9144,9144l0,9144l0,0">
                  <v:stroke weight="0pt" endcap="square" joinstyle="miter" miterlimit="10" on="false" color="#000000" opacity="0"/>
                  <v:fill on="true" color="#000000"/>
                </v:shape>
                <v:shape id="Shape 293347" style="position:absolute;width:91;height:2377;left:0;top:37847;" coordsize="9144,237744" path="m0,0l9144,0l9144,237744l0,237744l0,0">
                  <v:stroke weight="0pt" endcap="square" joinstyle="miter" miterlimit="10" on="false" color="#000000" opacity="0"/>
                  <v:fill on="true" color="#000000"/>
                </v:shape>
                <v:shape id="Shape 293348" style="position:absolute;width:91;height:91;left:0;top:40224;" coordsize="9144,9144" path="m0,0l9144,0l9144,9144l0,9144l0,0">
                  <v:stroke weight="0pt" endcap="square" joinstyle="miter" miterlimit="10" on="false" color="#000000" opacity="0"/>
                  <v:fill on="true" color="#000000"/>
                </v:shape>
                <v:shape id="Shape 293349" style="position:absolute;width:55802;height:91;left:60;top:40224;" coordsize="5580253,9144" path="m0,0l5580253,0l5580253,9144l0,9144l0,0">
                  <v:stroke weight="0pt" endcap="square" joinstyle="miter" miterlimit="10" on="false" color="#000000" opacity="0"/>
                  <v:fill on="true" color="#000000"/>
                </v:shape>
                <v:shape id="Shape 293350" style="position:absolute;width:91;height:2377;left:55864;top:37847;" coordsize="9144,237744" path="m0,0l9144,0l9144,237744l0,237744l0,0">
                  <v:stroke weight="0pt" endcap="square" joinstyle="miter" miterlimit="10" on="false" color="#000000" opacity="0"/>
                  <v:fill on="true" color="#000000"/>
                </v:shape>
                <v:shape id="Shape 293351" style="position:absolute;width:91;height:91;left:55864;top:40224;" coordsize="9144,9144" path="m0,0l9144,0l9144,9144l0,9144l0,0">
                  <v:stroke weight="0pt" endcap="square" joinstyle="miter" miterlimit="10" on="false" color="#000000" opacity="0"/>
                  <v:fill on="true" color="#000000"/>
                </v:shape>
                <v:shape id="Picture 25231" style="position:absolute;width:54025;height:36652;left:896;top:256;" filled="f">
                  <v:imagedata r:id="rId16"/>
                </v:shape>
                <v:shape id="Shape 25232" style="position:absolute;width:54056;height:36682;left:880;top:241;" coordsize="5405628,3668268" path="m0,3668268l5405628,3668268l5405628,0l0,0x">
                  <v:stroke weight="0.24pt" endcap="flat" joinstyle="round" on="true" color="#000000"/>
                  <v:fill on="false" color="#000000" opacity="0"/>
                </v:shape>
              </v:group>
            </w:pict>
          </mc:Fallback>
        </mc:AlternateContent>
      </w:r>
    </w:p>
    <w:p w:rsidR="00E302EC" w:rsidRDefault="00FC4F28">
      <w:pPr>
        <w:spacing w:after="11" w:line="248" w:lineRule="auto"/>
        <w:ind w:left="279" w:right="180"/>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6882" name="Group 27688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5344" name="Rectangle 25344"/>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5345" name="Rectangle 25345"/>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6882" style="width:12.7031pt;height:273.276pt;position:absolute;mso-position-horizontal-relative:page;mso-position-horizontal:absolute;margin-left:682.278pt;mso-position-vertical-relative:page;margin-top:538.644pt;" coordsize="1613,34706">
                <v:rect id="Rectangle 25344"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5345"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159 </w:t>
                        </w:r>
                      </w:p>
                    </w:txbxContent>
                  </v:textbox>
                </v:rect>
                <w10:wrap type="square"/>
              </v:group>
            </w:pict>
          </mc:Fallback>
        </mc:AlternateContent>
      </w:r>
      <w:r>
        <w:rPr>
          <w:i/>
        </w:rPr>
        <w:t>convertidos (que se debieron convertir en junio de 2021 con l</w:t>
      </w:r>
      <w:r>
        <w:rPr>
          <w:i/>
        </w:rPr>
        <w:t xml:space="preserve">a entrada en vigor de la Circular 3/2021, de 17 de marzo, de la Comisión Nacional de los Mercados y la Competencia) y son los de esta tabla que se copia a continuación, ambas figuran en el informe del 25 de marzo indicado en antecedentes: </w:t>
      </w:r>
    </w:p>
    <w:tbl>
      <w:tblPr>
        <w:tblStyle w:val="TableGrid"/>
        <w:tblW w:w="8738" w:type="dxa"/>
        <w:tblInd w:w="288" w:type="dxa"/>
        <w:tblCellMar>
          <w:top w:w="9" w:type="dxa"/>
          <w:left w:w="19" w:type="dxa"/>
          <w:bottom w:w="4" w:type="dxa"/>
          <w:right w:w="28" w:type="dxa"/>
        </w:tblCellMar>
        <w:tblLook w:val="04A0" w:firstRow="1" w:lastRow="0" w:firstColumn="1" w:lastColumn="0" w:noHBand="0" w:noVBand="1"/>
      </w:tblPr>
      <w:tblGrid>
        <w:gridCol w:w="116"/>
        <w:gridCol w:w="1784"/>
        <w:gridCol w:w="1280"/>
        <w:gridCol w:w="1226"/>
        <w:gridCol w:w="1228"/>
        <w:gridCol w:w="990"/>
        <w:gridCol w:w="992"/>
        <w:gridCol w:w="993"/>
        <w:gridCol w:w="129"/>
      </w:tblGrid>
      <w:tr w:rsidR="00E302EC">
        <w:trPr>
          <w:trHeight w:val="264"/>
        </w:trPr>
        <w:tc>
          <w:tcPr>
            <w:tcW w:w="116" w:type="dxa"/>
            <w:vMerge w:val="restart"/>
            <w:tcBorders>
              <w:top w:val="single" w:sz="9" w:space="0" w:color="000000"/>
              <w:left w:val="single" w:sz="4" w:space="0" w:color="000000"/>
              <w:bottom w:val="single" w:sz="4" w:space="0" w:color="000000"/>
              <w:right w:val="single" w:sz="5" w:space="0" w:color="000000"/>
            </w:tcBorders>
          </w:tcPr>
          <w:p w:rsidR="00E302EC" w:rsidRDefault="00E302EC">
            <w:pPr>
              <w:spacing w:after="160" w:line="259" w:lineRule="auto"/>
              <w:ind w:left="0" w:firstLine="0"/>
              <w:jc w:val="left"/>
            </w:pPr>
          </w:p>
        </w:tc>
        <w:tc>
          <w:tcPr>
            <w:tcW w:w="3064" w:type="dxa"/>
            <w:gridSpan w:val="2"/>
            <w:tcBorders>
              <w:top w:val="single" w:sz="9"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12" w:firstLine="0"/>
            </w:pPr>
            <w:r>
              <w:rPr>
                <w:b/>
                <w:sz w:val="20"/>
              </w:rPr>
              <w:t>LOTE CANARIAS CONVERTIDO</w:t>
            </w:r>
          </w:p>
        </w:tc>
        <w:tc>
          <w:tcPr>
            <w:tcW w:w="1226" w:type="dxa"/>
            <w:tcBorders>
              <w:top w:val="single" w:sz="9"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9"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9"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9"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9"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129" w:type="dxa"/>
            <w:vMerge w:val="restart"/>
            <w:tcBorders>
              <w:top w:val="single" w:sz="9" w:space="0" w:color="000000"/>
              <w:left w:val="single" w:sz="5" w:space="0" w:color="000000"/>
              <w:bottom w:val="single" w:sz="4" w:space="0" w:color="000000"/>
              <w:right w:val="single" w:sz="4" w:space="0" w:color="000000"/>
            </w:tcBorders>
            <w:vAlign w:val="bottom"/>
          </w:tcPr>
          <w:p w:rsidR="00E302EC" w:rsidRDefault="00FC4F28">
            <w:pPr>
              <w:spacing w:after="0" w:line="259" w:lineRule="auto"/>
              <w:ind w:left="0" w:firstLine="0"/>
            </w:pPr>
            <w:r>
              <w:t xml:space="preserve"> </w:t>
            </w:r>
          </w:p>
        </w:tc>
      </w:tr>
      <w:tr w:rsidR="00E302EC">
        <w:trPr>
          <w:trHeight w:val="261"/>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12"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0,1989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0,1028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0,0602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0,0760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0,2196</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0,1209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0,0757</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0,1227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0,0779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0,1213</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0,0762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0,2197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0,1211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0,0758</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0,1436</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0,1308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0,0874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0,0712</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0,0603</w:t>
            </w: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4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12"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0,1162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0,1101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0,0825</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0,0824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0,0676</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0,0581</w:t>
            </w: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258"/>
        </w:trPr>
        <w:tc>
          <w:tcPr>
            <w:tcW w:w="0" w:type="auto"/>
            <w:vMerge/>
            <w:tcBorders>
              <w:top w:val="nil"/>
              <w:left w:val="single" w:sz="4" w:space="0" w:color="000000"/>
              <w:bottom w:val="nil"/>
              <w:right w:val="single" w:sz="5" w:space="0" w:color="000000"/>
            </w:tcBorders>
          </w:tcPr>
          <w:p w:rsidR="00E302EC" w:rsidRDefault="00E302EC">
            <w:pPr>
              <w:spacing w:after="160" w:line="259" w:lineRule="auto"/>
              <w:ind w:left="0" w:firstLine="0"/>
              <w:jc w:val="left"/>
            </w:pPr>
          </w:p>
        </w:tc>
        <w:tc>
          <w:tcPr>
            <w:tcW w:w="1784" w:type="dxa"/>
            <w:tcBorders>
              <w:top w:val="single" w:sz="5" w:space="0" w:color="000000"/>
              <w:left w:val="single" w:sz="5" w:space="0" w:color="000000"/>
              <w:bottom w:val="single" w:sz="10" w:space="0" w:color="000000"/>
              <w:right w:val="single" w:sz="5" w:space="0" w:color="000000"/>
            </w:tcBorders>
          </w:tcPr>
          <w:p w:rsidR="00E302EC" w:rsidRDefault="00FC4F28">
            <w:pPr>
              <w:spacing w:after="0" w:line="259" w:lineRule="auto"/>
              <w:ind w:left="12" w:firstLine="0"/>
              <w:jc w:val="left"/>
            </w:pPr>
            <w:r>
              <w:rPr>
                <w:sz w:val="20"/>
              </w:rPr>
              <w:t>6.1</w:t>
            </w:r>
          </w:p>
        </w:tc>
        <w:tc>
          <w:tcPr>
            <w:tcW w:w="1280"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0,1132</w:t>
            </w:r>
          </w:p>
        </w:tc>
        <w:tc>
          <w:tcPr>
            <w:tcW w:w="1226"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0,1061</w:t>
            </w:r>
          </w:p>
        </w:tc>
        <w:tc>
          <w:tcPr>
            <w:tcW w:w="1228"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0,0825</w:t>
            </w:r>
          </w:p>
        </w:tc>
        <w:tc>
          <w:tcPr>
            <w:tcW w:w="990"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firstLine="0"/>
              <w:jc w:val="right"/>
            </w:pPr>
            <w:r>
              <w:rPr>
                <w:sz w:val="20"/>
              </w:rPr>
              <w:t>0,0762</w:t>
            </w:r>
          </w:p>
        </w:tc>
        <w:tc>
          <w:tcPr>
            <w:tcW w:w="992"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1" w:firstLine="0"/>
              <w:jc w:val="right"/>
            </w:pPr>
            <w:r>
              <w:rPr>
                <w:sz w:val="20"/>
              </w:rPr>
              <w:t>0,0630</w:t>
            </w:r>
          </w:p>
        </w:tc>
        <w:tc>
          <w:tcPr>
            <w:tcW w:w="993" w:type="dxa"/>
            <w:tcBorders>
              <w:top w:val="single" w:sz="5" w:space="0" w:color="000000"/>
              <w:left w:val="single" w:sz="5" w:space="0" w:color="000000"/>
              <w:bottom w:val="single" w:sz="10"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0,0555</w:t>
            </w:r>
          </w:p>
        </w:tc>
        <w:tc>
          <w:tcPr>
            <w:tcW w:w="0" w:type="auto"/>
            <w:vMerge/>
            <w:tcBorders>
              <w:top w:val="nil"/>
              <w:left w:val="single" w:sz="5" w:space="0" w:color="000000"/>
              <w:bottom w:val="nil"/>
              <w:right w:val="single" w:sz="4" w:space="0" w:color="000000"/>
            </w:tcBorders>
          </w:tcPr>
          <w:p w:rsidR="00E302EC" w:rsidRDefault="00E302EC">
            <w:pPr>
              <w:spacing w:after="160" w:line="259" w:lineRule="auto"/>
              <w:ind w:left="0" w:firstLine="0"/>
              <w:jc w:val="left"/>
            </w:pPr>
          </w:p>
        </w:tc>
      </w:tr>
      <w:tr w:rsidR="00E302EC">
        <w:trPr>
          <w:trHeight w:val="144"/>
        </w:trPr>
        <w:tc>
          <w:tcPr>
            <w:tcW w:w="0" w:type="auto"/>
            <w:vMerge/>
            <w:tcBorders>
              <w:top w:val="nil"/>
              <w:left w:val="single" w:sz="4" w:space="0" w:color="000000"/>
              <w:bottom w:val="single" w:sz="4" w:space="0" w:color="000000"/>
              <w:right w:val="single" w:sz="5" w:space="0" w:color="000000"/>
            </w:tcBorders>
          </w:tcPr>
          <w:p w:rsidR="00E302EC" w:rsidRDefault="00E302EC">
            <w:pPr>
              <w:spacing w:after="160" w:line="259" w:lineRule="auto"/>
              <w:ind w:left="0" w:firstLine="0"/>
              <w:jc w:val="left"/>
            </w:pPr>
          </w:p>
        </w:tc>
        <w:tc>
          <w:tcPr>
            <w:tcW w:w="3064" w:type="dxa"/>
            <w:gridSpan w:val="2"/>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1226"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1228"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990"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992"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993" w:type="dxa"/>
            <w:tcBorders>
              <w:top w:val="single" w:sz="10" w:space="0" w:color="000000"/>
              <w:left w:val="nil"/>
              <w:bottom w:val="single" w:sz="4" w:space="0" w:color="000000"/>
              <w:right w:val="nil"/>
            </w:tcBorders>
          </w:tcPr>
          <w:p w:rsidR="00E302EC" w:rsidRDefault="00E302EC">
            <w:pPr>
              <w:spacing w:after="160" w:line="259" w:lineRule="auto"/>
              <w:ind w:left="0" w:firstLine="0"/>
              <w:jc w:val="left"/>
            </w:pPr>
          </w:p>
        </w:tc>
        <w:tc>
          <w:tcPr>
            <w:tcW w:w="0" w:type="auto"/>
            <w:vMerge/>
            <w:tcBorders>
              <w:top w:val="nil"/>
              <w:left w:val="single" w:sz="5" w:space="0" w:color="000000"/>
              <w:bottom w:val="single" w:sz="4" w:space="0" w:color="000000"/>
              <w:right w:val="single" w:sz="4" w:space="0" w:color="000000"/>
            </w:tcBorders>
          </w:tcPr>
          <w:p w:rsidR="00E302EC" w:rsidRDefault="00E302EC">
            <w:pPr>
              <w:spacing w:after="160" w:line="259" w:lineRule="auto"/>
              <w:ind w:left="0" w:firstLine="0"/>
              <w:jc w:val="left"/>
            </w:pPr>
          </w:p>
        </w:tc>
      </w:tr>
      <w:tr w:rsidR="00E302EC">
        <w:trPr>
          <w:trHeight w:val="382"/>
        </w:trPr>
        <w:tc>
          <w:tcPr>
            <w:tcW w:w="3180" w:type="dxa"/>
            <w:gridSpan w:val="3"/>
            <w:tcBorders>
              <w:top w:val="single" w:sz="4" w:space="0" w:color="000000"/>
              <w:left w:val="single" w:sz="4" w:space="0" w:color="000000"/>
              <w:bottom w:val="single" w:sz="4" w:space="0" w:color="000000"/>
              <w:right w:val="nil"/>
            </w:tcBorders>
          </w:tcPr>
          <w:p w:rsidR="00E302EC" w:rsidRDefault="00E302EC">
            <w:pPr>
              <w:spacing w:after="160" w:line="259" w:lineRule="auto"/>
              <w:ind w:left="0" w:firstLine="0"/>
              <w:jc w:val="left"/>
            </w:pPr>
          </w:p>
        </w:tc>
        <w:tc>
          <w:tcPr>
            <w:tcW w:w="1226"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1228"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990"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992" w:type="dxa"/>
            <w:tcBorders>
              <w:top w:val="single" w:sz="4" w:space="0" w:color="000000"/>
              <w:left w:val="nil"/>
              <w:bottom w:val="single" w:sz="4" w:space="0" w:color="000000"/>
              <w:right w:val="nil"/>
            </w:tcBorders>
          </w:tcPr>
          <w:p w:rsidR="00E302EC" w:rsidRDefault="00E302EC">
            <w:pPr>
              <w:spacing w:after="160" w:line="259" w:lineRule="auto"/>
              <w:ind w:left="0" w:firstLine="0"/>
              <w:jc w:val="left"/>
            </w:pPr>
          </w:p>
        </w:tc>
        <w:tc>
          <w:tcPr>
            <w:tcW w:w="1122" w:type="dxa"/>
            <w:gridSpan w:val="2"/>
            <w:tcBorders>
              <w:top w:val="single" w:sz="4" w:space="0" w:color="000000"/>
              <w:left w:val="nil"/>
              <w:bottom w:val="single" w:sz="4" w:space="0" w:color="000000"/>
              <w:right w:val="single" w:sz="4" w:space="0" w:color="000000"/>
            </w:tcBorders>
          </w:tcPr>
          <w:p w:rsidR="00E302EC" w:rsidRDefault="00FC4F28">
            <w:pPr>
              <w:spacing w:after="0" w:line="259" w:lineRule="auto"/>
              <w:ind w:left="0" w:right="79" w:firstLine="0"/>
              <w:jc w:val="right"/>
            </w:pPr>
            <w:r>
              <w:rPr>
                <w:i/>
              </w:rPr>
              <w:t xml:space="preserve">Tabla 2. </w:t>
            </w:r>
          </w:p>
        </w:tc>
      </w:tr>
    </w:tbl>
    <w:p w:rsidR="00E302EC" w:rsidRDefault="00FC4F28">
      <w:pPr>
        <w:spacing w:after="0" w:line="248" w:lineRule="auto"/>
        <w:ind w:left="279" w:right="180"/>
      </w:pPr>
      <w:r>
        <w:rPr>
          <w:i/>
        </w:rPr>
        <w:t>Los precios registrados por parte de la empresa adjudicataria ENDESA, revisados según conforme a lo establecido en la cláusula 16.3 del Pliego de Cláusulas Administrativas (PCA), son los de la tabla que también figura en el informe del 25 de marzo indicado</w:t>
      </w:r>
      <w:r>
        <w:rPr>
          <w:i/>
        </w:rPr>
        <w:t xml:space="preserve"> en los antecedentes. </w:t>
      </w:r>
    </w:p>
    <w:tbl>
      <w:tblPr>
        <w:tblStyle w:val="TableGrid"/>
        <w:tblW w:w="8738" w:type="dxa"/>
        <w:tblInd w:w="288" w:type="dxa"/>
        <w:tblCellMar>
          <w:top w:w="4" w:type="dxa"/>
          <w:left w:w="108" w:type="dxa"/>
          <w:bottom w:w="81" w:type="dxa"/>
          <w:right w:w="47" w:type="dxa"/>
        </w:tblCellMar>
        <w:tblLook w:val="04A0" w:firstRow="1" w:lastRow="0" w:firstColumn="1" w:lastColumn="0" w:noHBand="0" w:noVBand="1"/>
      </w:tblPr>
      <w:tblGrid>
        <w:gridCol w:w="8738"/>
      </w:tblGrid>
      <w:tr w:rsidR="00E302EC">
        <w:trPr>
          <w:trHeight w:val="5562"/>
        </w:trPr>
        <w:tc>
          <w:tcPr>
            <w:tcW w:w="8738" w:type="dxa"/>
            <w:tcBorders>
              <w:top w:val="single" w:sz="4" w:space="0" w:color="000000"/>
              <w:left w:val="single" w:sz="4" w:space="0" w:color="000000"/>
              <w:bottom w:val="single" w:sz="4" w:space="0" w:color="000000"/>
              <w:right w:val="single" w:sz="4" w:space="0" w:color="000000"/>
            </w:tcBorders>
            <w:vAlign w:val="bottom"/>
          </w:tcPr>
          <w:p w:rsidR="00E302EC" w:rsidRDefault="00FC4F28">
            <w:pPr>
              <w:spacing w:after="0" w:line="259" w:lineRule="auto"/>
              <w:ind w:left="0" w:right="2" w:firstLine="0"/>
              <w:jc w:val="right"/>
            </w:pPr>
            <w:r>
              <w:rPr>
                <w:noProof/>
              </w:rPr>
              <w:drawing>
                <wp:inline distT="0" distB="0" distL="0" distR="0">
                  <wp:extent cx="5401057" cy="3444240"/>
                  <wp:effectExtent l="0" t="0" r="0" b="0"/>
                  <wp:docPr id="25429" name="Picture 25429"/>
                  <wp:cNvGraphicFramePr/>
                  <a:graphic xmlns:a="http://schemas.openxmlformats.org/drawingml/2006/main">
                    <a:graphicData uri="http://schemas.openxmlformats.org/drawingml/2006/picture">
                      <pic:pic xmlns:pic="http://schemas.openxmlformats.org/drawingml/2006/picture">
                        <pic:nvPicPr>
                          <pic:cNvPr id="25429" name="Picture 25429"/>
                          <pic:cNvPicPr/>
                        </pic:nvPicPr>
                        <pic:blipFill>
                          <a:blip r:embed="rId17"/>
                          <a:stretch>
                            <a:fillRect/>
                          </a:stretch>
                        </pic:blipFill>
                        <pic:spPr>
                          <a:xfrm>
                            <a:off x="0" y="0"/>
                            <a:ext cx="5401057" cy="3444240"/>
                          </a:xfrm>
                          <a:prstGeom prst="rect">
                            <a:avLst/>
                          </a:prstGeom>
                        </pic:spPr>
                      </pic:pic>
                    </a:graphicData>
                  </a:graphic>
                </wp:inline>
              </w:drawing>
            </w:r>
            <w:r>
              <w:t xml:space="preserve"> </w:t>
            </w:r>
          </w:p>
        </w:tc>
      </w:tr>
      <w:tr w:rsidR="00E302EC">
        <w:trPr>
          <w:trHeight w:val="384"/>
        </w:trPr>
        <w:tc>
          <w:tcPr>
            <w:tcW w:w="8738" w:type="dxa"/>
            <w:tcBorders>
              <w:top w:val="single" w:sz="4" w:space="0" w:color="000000"/>
              <w:left w:val="single" w:sz="4" w:space="0" w:color="000000"/>
              <w:bottom w:val="single" w:sz="4" w:space="0" w:color="000000"/>
              <w:right w:val="single" w:sz="4" w:space="0" w:color="000000"/>
            </w:tcBorders>
          </w:tcPr>
          <w:p w:rsidR="00E302EC" w:rsidRDefault="00FC4F28">
            <w:pPr>
              <w:spacing w:after="0" w:line="259" w:lineRule="auto"/>
              <w:ind w:left="0" w:right="60" w:firstLine="0"/>
              <w:jc w:val="right"/>
            </w:pPr>
            <w:r>
              <w:rPr>
                <w:i/>
              </w:rPr>
              <w:t xml:space="preserve">Tabla 3 </w:t>
            </w:r>
          </w:p>
        </w:tc>
      </w:tr>
    </w:tbl>
    <w:p w:rsidR="00E302EC" w:rsidRDefault="00FC4F28">
      <w:pPr>
        <w:spacing w:after="11" w:line="248" w:lineRule="auto"/>
        <w:ind w:left="279" w:right="180"/>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5610" name="Group 27561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5549" name="Rectangle 25549"/>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5550" name="Rectangle 25550"/>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5610" style="width:12.7031pt;height:273.276pt;position:absolute;mso-position-horizontal-relative:page;mso-position-horizontal:absolute;margin-left:682.278pt;mso-position-vertical-relative:page;margin-top:538.644pt;" coordsize="1613,34706">
                <v:rect id="Rectangle 25549"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5550"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159 </w:t>
                        </w:r>
                      </w:p>
                    </w:txbxContent>
                  </v:textbox>
                </v:rect>
                <w10:wrap type="square"/>
              </v:group>
            </w:pict>
          </mc:Fallback>
        </mc:AlternateContent>
      </w:r>
      <w:r>
        <w:rPr>
          <w:i/>
          <w:u w:val="single" w:color="000000"/>
        </w:rPr>
        <w:t>Sumado tabla 1 y 3</w:t>
      </w:r>
      <w:r>
        <w:rPr>
          <w:i/>
        </w:rPr>
        <w:t xml:space="preserve"> </w:t>
      </w:r>
      <w:r>
        <w:rPr>
          <w:i/>
        </w:rPr>
        <w:t>y convertido, según la metodología explicada en el informe anterior ya reseñado, resulta:</w:t>
      </w:r>
      <w:r>
        <w:t xml:space="preserve"> </w:t>
      </w:r>
    </w:p>
    <w:tbl>
      <w:tblPr>
        <w:tblStyle w:val="TableGrid"/>
        <w:tblW w:w="8493" w:type="dxa"/>
        <w:tblInd w:w="291" w:type="dxa"/>
        <w:tblCellMar>
          <w:top w:w="23" w:type="dxa"/>
          <w:left w:w="31" w:type="dxa"/>
          <w:bottom w:w="0" w:type="dxa"/>
          <w:right w:w="28" w:type="dxa"/>
        </w:tblCellMar>
        <w:tblLook w:val="04A0" w:firstRow="1" w:lastRow="0" w:firstColumn="1" w:lastColumn="0" w:noHBand="0" w:noVBand="1"/>
      </w:tblPr>
      <w:tblGrid>
        <w:gridCol w:w="1784"/>
        <w:gridCol w:w="1280"/>
        <w:gridCol w:w="1226"/>
        <w:gridCol w:w="1228"/>
        <w:gridCol w:w="990"/>
        <w:gridCol w:w="992"/>
        <w:gridCol w:w="993"/>
      </w:tblGrid>
      <w:tr w:rsidR="00E302EC">
        <w:trPr>
          <w:trHeight w:val="259"/>
        </w:trPr>
        <w:tc>
          <w:tcPr>
            <w:tcW w:w="3064" w:type="dxa"/>
            <w:gridSpan w:val="2"/>
            <w:tcBorders>
              <w:top w:val="single" w:sz="5"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0" w:firstLine="0"/>
            </w:pPr>
            <w:r>
              <w:rPr>
                <w:b/>
                <w:sz w:val="20"/>
              </w:rPr>
              <w:t>LOTE CANARIAS CONVERTIDO</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r>
      <w:tr w:rsidR="00E302EC">
        <w:trPr>
          <w:trHeight w:val="260"/>
        </w:trPr>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0,3301</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0,2279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0,1719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0,1893</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0,2420</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0,3509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0,2478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0,3484</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0,1894</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vAlign w:val="bottom"/>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0,2422</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0,2618</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0,2061</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0,2173</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0,1891</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0,1746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0,2212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0,2261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0,1826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0,1667</w:t>
            </w:r>
          </w:p>
        </w:tc>
      </w:tr>
      <w:tr w:rsidR="00E302EC">
        <w:trPr>
          <w:trHeight w:val="257"/>
        </w:trPr>
        <w:tc>
          <w:tcPr>
            <w:tcW w:w="1784" w:type="dxa"/>
            <w:tcBorders>
              <w:top w:val="single" w:sz="5" w:space="0" w:color="000000"/>
              <w:left w:val="single" w:sz="5" w:space="0" w:color="000000"/>
              <w:bottom w:val="single" w:sz="11" w:space="0" w:color="000000"/>
              <w:right w:val="single" w:sz="5" w:space="0" w:color="000000"/>
            </w:tcBorders>
          </w:tcPr>
          <w:p w:rsidR="00E302EC" w:rsidRDefault="00FC4F28">
            <w:pPr>
              <w:spacing w:after="0" w:line="259" w:lineRule="auto"/>
              <w:ind w:left="0" w:firstLine="0"/>
              <w:jc w:val="left"/>
            </w:pPr>
            <w:r>
              <w:rPr>
                <w:sz w:val="20"/>
              </w:rPr>
              <w:t>6.1</w:t>
            </w:r>
          </w:p>
        </w:tc>
        <w:tc>
          <w:tcPr>
            <w:tcW w:w="128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0,2174</w:t>
            </w:r>
          </w:p>
        </w:tc>
        <w:tc>
          <w:tcPr>
            <w:tcW w:w="1226"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0,2203</w:t>
            </w:r>
          </w:p>
        </w:tc>
        <w:tc>
          <w:tcPr>
            <w:tcW w:w="1228"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0,1869</w:t>
            </w:r>
          </w:p>
        </w:tc>
        <w:tc>
          <w:tcPr>
            <w:tcW w:w="99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0,1913</w:t>
            </w:r>
          </w:p>
        </w:tc>
        <w:tc>
          <w:tcPr>
            <w:tcW w:w="992"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0,1636</w:t>
            </w:r>
          </w:p>
        </w:tc>
      </w:tr>
    </w:tbl>
    <w:p w:rsidR="00E302EC" w:rsidRDefault="00FC4F28">
      <w:pPr>
        <w:spacing w:after="98" w:line="259" w:lineRule="auto"/>
        <w:ind w:left="149" w:firstLine="0"/>
        <w:jc w:val="center"/>
      </w:pPr>
      <w:r>
        <w:rPr>
          <w:i/>
        </w:rPr>
        <w:t xml:space="preserve"> </w:t>
      </w:r>
    </w:p>
    <w:p w:rsidR="00E302EC" w:rsidRDefault="00FC4F28">
      <w:pPr>
        <w:spacing w:after="99" w:line="259" w:lineRule="auto"/>
        <w:ind w:left="103" w:right="7"/>
        <w:jc w:val="center"/>
      </w:pPr>
      <w:r>
        <w:rPr>
          <w:i/>
        </w:rPr>
        <w:t xml:space="preserve">Conclusión </w:t>
      </w:r>
    </w:p>
    <w:p w:rsidR="00E302EC" w:rsidRDefault="00FC4F28">
      <w:pPr>
        <w:spacing w:after="111" w:line="248" w:lineRule="auto"/>
        <w:ind w:left="279" w:right="180"/>
      </w:pPr>
      <w:r>
        <w:rPr>
          <w:i/>
        </w:rPr>
        <w:t xml:space="preserve">Dar traslado para su aprobación de los precios </w:t>
      </w:r>
      <w:r>
        <w:rPr>
          <w:i/>
          <w:u w:val="single" w:color="000000"/>
        </w:rPr>
        <w:t>sumados,</w:t>
      </w:r>
      <w:r>
        <w:rPr>
          <w:i/>
        </w:rPr>
        <w:t xml:space="preserve"> los ofertados con la propuesta revisada según cláusula 16.3 del PCA, y convertidos según Circular 3/2021, de 17 de marzo, de la Comisión Nacional de los Mercados y la Competencia”.</w:t>
      </w:r>
      <w:r>
        <w:t xml:space="preserve"> </w:t>
      </w:r>
    </w:p>
    <w:p w:rsidR="00E302EC" w:rsidRDefault="00FC4F28">
      <w:pPr>
        <w:spacing w:after="101" w:line="259" w:lineRule="auto"/>
        <w:ind w:left="284" w:firstLine="0"/>
        <w:jc w:val="left"/>
      </w:pPr>
      <w:r>
        <w:rPr>
          <w:i/>
        </w:rPr>
        <w:t xml:space="preserve"> </w:t>
      </w:r>
    </w:p>
    <w:p w:rsidR="00E302EC" w:rsidRDefault="00FC4F28">
      <w:pPr>
        <w:spacing w:after="111" w:line="248" w:lineRule="auto"/>
        <w:ind w:left="279" w:right="180"/>
      </w:pPr>
      <w:r>
        <w:rPr>
          <w:i/>
        </w:rPr>
        <w:t xml:space="preserve">OCTAVA. - </w:t>
      </w:r>
      <w:r>
        <w:rPr>
          <w:i/>
        </w:rPr>
        <w:t xml:space="preserve">Consta emitido informe favorable por el Interventor municipal que dice: </w:t>
      </w:r>
    </w:p>
    <w:p w:rsidR="00E302EC" w:rsidRDefault="00FC4F28">
      <w:pPr>
        <w:spacing w:after="0" w:line="259" w:lineRule="auto"/>
        <w:ind w:left="284" w:firstLine="0"/>
        <w:jc w:val="left"/>
      </w:pPr>
      <w:r>
        <w:rPr>
          <w:i/>
        </w:rPr>
        <w:t xml:space="preserve"> </w:t>
      </w:r>
    </w:p>
    <w:p w:rsidR="00E302EC" w:rsidRDefault="00FC4F28">
      <w:pPr>
        <w:spacing w:after="99" w:line="259" w:lineRule="auto"/>
        <w:ind w:left="103" w:right="3"/>
        <w:jc w:val="center"/>
      </w:pPr>
      <w:r>
        <w:rPr>
          <w:i/>
        </w:rPr>
        <w:t>“INFORME DE INTEVRENCIÓN</w:t>
      </w:r>
      <w:r>
        <w:t xml:space="preserve"> </w:t>
      </w:r>
    </w:p>
    <w:p w:rsidR="00E302EC" w:rsidRDefault="00FC4F28">
      <w:pPr>
        <w:spacing w:after="98" w:line="259" w:lineRule="auto"/>
        <w:ind w:left="284" w:firstLine="0"/>
        <w:jc w:val="left"/>
      </w:pPr>
      <w:r>
        <w:rPr>
          <w:i/>
        </w:rPr>
        <w:t xml:space="preserve">  </w:t>
      </w:r>
    </w:p>
    <w:p w:rsidR="00E302EC" w:rsidRDefault="00FC4F28">
      <w:pPr>
        <w:spacing w:after="98" w:line="259" w:lineRule="auto"/>
        <w:ind w:left="284" w:firstLine="0"/>
        <w:jc w:val="left"/>
      </w:pPr>
      <w:r>
        <w:rPr>
          <w:i/>
        </w:rPr>
        <w:t xml:space="preserve">  </w:t>
      </w:r>
    </w:p>
    <w:p w:rsidR="00E302EC" w:rsidRDefault="00FC4F28">
      <w:pPr>
        <w:spacing w:after="111" w:line="248" w:lineRule="auto"/>
        <w:ind w:left="279" w:right="180"/>
      </w:pPr>
      <w:r>
        <w:rPr>
          <w:i/>
        </w:rPr>
        <w:t>PRIMERO. Vista la prórroga del Contrato basado en el Acuerdo Marco para la contratación del suministro de electricidad en alta y baja tensión del Ayu</w:t>
      </w:r>
      <w:r>
        <w:rPr>
          <w:i/>
        </w:rPr>
        <w:t>ntamiento de Candelaria (Lote 7) a través de la Central de Contratación de la FEMP, que el pleno municipal aprobó el 25 de febrero de 2021, a favor de la empresa ENDESA ENERGÍA S.A.U., CIF: A81948077, por un plazo de duración del contrato de un año, de con</w:t>
      </w:r>
      <w:r>
        <w:rPr>
          <w:i/>
        </w:rPr>
        <w:t>formidad con lo establecido en la cláusula 21.2 del Pliego de Cláusulas Administrativas Particulares, que rige el “Acuerdo Marco para el suministro de electricidad de alta y baja tensión de la Central de Contratación de la FEMP” y lo dispuesto en la normat</w:t>
      </w:r>
      <w:r>
        <w:rPr>
          <w:i/>
        </w:rPr>
        <w:t xml:space="preserve">iva sectorial, pudiendo celebrarse prórrogas por períodos de un año hasta un máximo de tres años. </w:t>
      </w:r>
    </w:p>
    <w:p w:rsidR="00E302EC" w:rsidRDefault="00FC4F28">
      <w:pPr>
        <w:spacing w:after="111" w:line="248" w:lineRule="auto"/>
        <w:ind w:left="279" w:right="180"/>
      </w:pPr>
      <w:r>
        <w:rPr>
          <w:i/>
        </w:rPr>
        <w:t xml:space="preserve">SEGUNDO. Se incorpora documento contable 2.22.0.00207 correspondiente a las cantidades comprometidas para el ejercicio 2022, por un importe total de 553.000 </w:t>
      </w:r>
      <w:r>
        <w:rPr>
          <w:i/>
        </w:rPr>
        <w:t>Euros, en las aplicaciones presupuestarias 920.00-221.00, por importe de 263.000 Euros y 165.000-221.00, por importe de 290.000 Euros, del Presupuesto General del ejercicio 2021, prorrogado hasta la aprobación y publicación definitiva del correspondiente a</w:t>
      </w:r>
      <w:r>
        <w:rPr>
          <w:i/>
        </w:rPr>
        <w:t xml:space="preserve">l del ejercicio 2022. </w:t>
      </w:r>
    </w:p>
    <w:p w:rsidR="00E302EC" w:rsidRDefault="00FC4F28">
      <w:pPr>
        <w:spacing w:after="111" w:line="248" w:lineRule="auto"/>
        <w:ind w:left="269" w:right="180" w:firstLine="1133"/>
      </w:pPr>
      <w:r>
        <w:rPr>
          <w:i/>
        </w:rPr>
        <w:t xml:space="preserve">Visto el Informe técnico que recoge las variaciones aplicables por tarifa y tramo horario al precio ofertado inicialmente, según acumulado de las revisiones trimestrales aplicadas al Acuerdo Marco y convertidas según circular 3/2021 </w:t>
      </w:r>
      <w:r>
        <w:rPr>
          <w:i/>
        </w:rPr>
        <w:t xml:space="preserve">de 17 de marzo, por la CNMC, se informa favorablemente el presente expediente de prórroga del contrato basado en el Acuerdo Marco de electricidad.” </w:t>
      </w:r>
    </w:p>
    <w:p w:rsidR="00E302EC" w:rsidRDefault="00FC4F28">
      <w:pPr>
        <w:spacing w:after="98" w:line="259" w:lineRule="auto"/>
        <w:ind w:left="284" w:firstLine="0"/>
        <w:jc w:val="left"/>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1303" name="Group 26130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5671" name="Rectangle 2567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5672" name="Rectangle 25672"/>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1303" style="width:12.7031pt;height:273.276pt;position:absolute;mso-position-horizontal-relative:page;mso-position-horizontal:absolute;margin-left:682.278pt;mso-position-vertical-relative:page;margin-top:538.644pt;" coordsize="1613,34706">
                <v:rect id="Rectangle 2567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5672"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159 </w:t>
                        </w:r>
                      </w:p>
                    </w:txbxContent>
                  </v:textbox>
                </v:rect>
                <w10:wrap type="square"/>
              </v:group>
            </w:pict>
          </mc:Fallback>
        </mc:AlternateContent>
      </w:r>
      <w:r>
        <w:rPr>
          <w:i/>
        </w:rPr>
        <w:t xml:space="preserve"> </w:t>
      </w:r>
    </w:p>
    <w:p w:rsidR="00E302EC" w:rsidRDefault="00FC4F28">
      <w:pPr>
        <w:spacing w:after="111" w:line="248" w:lineRule="auto"/>
        <w:ind w:left="279" w:right="180"/>
      </w:pPr>
      <w:r>
        <w:rPr>
          <w:i/>
        </w:rPr>
        <w:t xml:space="preserve">  NOVENO. -  Vistas las correcciones realizadas por la Federación Española de Municipios y Provincias (FEMP) a los sucesivos informes técnicos realizados por e</w:t>
      </w:r>
      <w:r>
        <w:rPr>
          <w:i/>
        </w:rPr>
        <w:t>l Arquitecto Técnico que constan en el expediente:</w:t>
      </w:r>
      <w:r>
        <w:t xml:space="preserve"> </w:t>
      </w:r>
    </w:p>
    <w:p w:rsidR="00E302EC" w:rsidRDefault="00FC4F28">
      <w:pPr>
        <w:spacing w:after="0" w:line="259" w:lineRule="auto"/>
        <w:ind w:left="1416" w:firstLine="0"/>
        <w:jc w:val="left"/>
      </w:pPr>
      <w:r>
        <w:rPr>
          <w:rFonts w:ascii="Times New Roman" w:eastAsia="Times New Roman" w:hAnsi="Times New Roman" w:cs="Times New Roman"/>
          <w:i/>
          <w:sz w:val="24"/>
        </w:rPr>
        <w:t xml:space="preserve"> </w:t>
      </w:r>
    </w:p>
    <w:p w:rsidR="00E302EC" w:rsidRDefault="00FC4F28">
      <w:pPr>
        <w:spacing w:after="13" w:line="249" w:lineRule="auto"/>
        <w:ind w:left="1426" w:right="182"/>
      </w:pPr>
      <w:r>
        <w:rPr>
          <w:rFonts w:ascii="Times New Roman" w:eastAsia="Times New Roman" w:hAnsi="Times New Roman" w:cs="Times New Roman"/>
          <w:i/>
          <w:sz w:val="24"/>
        </w:rPr>
        <w:t xml:space="preserve">-Correo electrónico de 22 de marzo de 2022: </w:t>
      </w:r>
    </w:p>
    <w:p w:rsidR="00E302EC" w:rsidRDefault="00FC4F28">
      <w:pPr>
        <w:spacing w:after="0" w:line="249" w:lineRule="auto"/>
        <w:ind w:left="1426" w:right="181"/>
      </w:pPr>
      <w:r>
        <w:rPr>
          <w:rFonts w:ascii="Times New Roman" w:eastAsia="Times New Roman" w:hAnsi="Times New Roman" w:cs="Times New Roman"/>
          <w:i/>
          <w:sz w:val="24"/>
          <w:u w:val="single" w:color="000000"/>
        </w:rPr>
        <w:t>“El informe del técnico no contempla la revisión trimestral del 16.3 del PCA, se limita</w:t>
      </w: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u w:val="single" w:color="000000"/>
        </w:rPr>
        <w:t>a convertir los precios que tienen ustedes actualmente, en virtud de la circular 3/2020.</w:t>
      </w:r>
      <w:r>
        <w:rPr>
          <w:rFonts w:ascii="Times New Roman" w:eastAsia="Times New Roman" w:hAnsi="Times New Roman" w:cs="Times New Roman"/>
          <w:i/>
          <w:sz w:val="24"/>
        </w:rPr>
        <w:t xml:space="preserve"> Pero antes de convertir dichos precios, es necesario revisarlos conforme a lo previsto en las cláusulas 21 y 16.3 del PCA. </w:t>
      </w:r>
      <w:r>
        <w:rPr>
          <w:rFonts w:ascii="Times New Roman" w:eastAsia="Times New Roman" w:hAnsi="Times New Roman" w:cs="Times New Roman"/>
          <w:sz w:val="24"/>
        </w:rPr>
        <w:t xml:space="preserve"> </w:t>
      </w:r>
    </w:p>
    <w:p w:rsidR="00E302EC" w:rsidRDefault="00FC4F28">
      <w:pPr>
        <w:spacing w:after="13" w:line="249" w:lineRule="auto"/>
        <w:ind w:left="1426" w:right="182"/>
      </w:pPr>
      <w:r>
        <w:rPr>
          <w:rFonts w:ascii="Times New Roman" w:eastAsia="Times New Roman" w:hAnsi="Times New Roman" w:cs="Times New Roman"/>
          <w:i/>
          <w:sz w:val="24"/>
        </w:rPr>
        <w:t>Adjunto Excel con las revisiones trimestra</w:t>
      </w:r>
      <w:r>
        <w:rPr>
          <w:rFonts w:ascii="Times New Roman" w:eastAsia="Times New Roman" w:hAnsi="Times New Roman" w:cs="Times New Roman"/>
          <w:i/>
          <w:sz w:val="24"/>
        </w:rPr>
        <w:t xml:space="preserve">les.  </w:t>
      </w:r>
    </w:p>
    <w:p w:rsidR="00E302EC" w:rsidRDefault="00FC4F28">
      <w:pPr>
        <w:spacing w:after="13" w:line="249" w:lineRule="auto"/>
        <w:ind w:left="1426" w:right="182"/>
      </w:pPr>
      <w:r>
        <w:rPr>
          <w:rFonts w:ascii="Times New Roman" w:eastAsia="Times New Roman" w:hAnsi="Times New Roman" w:cs="Times New Roman"/>
          <w:i/>
          <w:sz w:val="24"/>
        </w:rPr>
        <w:t xml:space="preserve">La revisión que les remite ENDESA, salvo error por nuestra parte, entendemos está </w:t>
      </w:r>
    </w:p>
    <w:p w:rsidR="00E302EC" w:rsidRDefault="00FC4F28">
      <w:pPr>
        <w:spacing w:after="13" w:line="249" w:lineRule="auto"/>
        <w:ind w:left="279" w:right="182"/>
      </w:pPr>
      <w:r>
        <w:rPr>
          <w:rFonts w:ascii="Times New Roman" w:eastAsia="Times New Roman" w:hAnsi="Times New Roman" w:cs="Times New Roman"/>
          <w:i/>
          <w:sz w:val="24"/>
        </w:rPr>
        <w:t>correcta. Concretamente, los precios que os aplicarían en caso de que prorroguéis son los de la tabla: “CNMC 16/12/2021 y Orden TED 1484/2021” al menos hasta que esté</w:t>
      </w:r>
      <w:r>
        <w:rPr>
          <w:rFonts w:ascii="Times New Roman" w:eastAsia="Times New Roman" w:hAnsi="Times New Roman" w:cs="Times New Roman"/>
          <w:i/>
          <w:sz w:val="24"/>
        </w:rPr>
        <w:t xml:space="preserve">n en vigor estas medidas (son un poco más económicos).  </w:t>
      </w:r>
    </w:p>
    <w:p w:rsidR="00E302EC" w:rsidRDefault="00FC4F28">
      <w:pPr>
        <w:spacing w:after="13" w:line="249" w:lineRule="auto"/>
        <w:ind w:left="1426" w:right="182"/>
      </w:pPr>
      <w:r>
        <w:rPr>
          <w:rFonts w:ascii="Times New Roman" w:eastAsia="Times New Roman" w:hAnsi="Times New Roman" w:cs="Times New Roman"/>
          <w:i/>
          <w:sz w:val="24"/>
        </w:rPr>
        <w:t xml:space="preserve">Cuando dejasen de estar en vigor dichas medidas (de momento no tienen fecha de fin), </w:t>
      </w:r>
    </w:p>
    <w:p w:rsidR="00E302EC" w:rsidRDefault="00FC4F28">
      <w:pPr>
        <w:spacing w:after="13" w:line="249" w:lineRule="auto"/>
        <w:ind w:left="279" w:right="182"/>
      </w:pPr>
      <w:r>
        <w:rPr>
          <w:rFonts w:ascii="Times New Roman" w:eastAsia="Times New Roman" w:hAnsi="Times New Roman" w:cs="Times New Roman"/>
          <w:i/>
          <w:sz w:val="24"/>
        </w:rPr>
        <w:t xml:space="preserve">los precios que se os aplicarían en la prórroga serían los de la tabla que lleva por título “Precios </w:t>
      </w:r>
    </w:p>
    <w:p w:rsidR="00E302EC" w:rsidRDefault="00FC4F28">
      <w:pPr>
        <w:spacing w:after="13" w:line="249" w:lineRule="auto"/>
        <w:ind w:left="279" w:right="182"/>
      </w:pPr>
      <w:r>
        <w:rPr>
          <w:rFonts w:ascii="Times New Roman" w:eastAsia="Times New Roman" w:hAnsi="Times New Roman" w:cs="Times New Roman"/>
          <w:i/>
          <w:sz w:val="24"/>
        </w:rPr>
        <w:t>Bajo Circul</w:t>
      </w:r>
      <w:r>
        <w:rPr>
          <w:rFonts w:ascii="Times New Roman" w:eastAsia="Times New Roman" w:hAnsi="Times New Roman" w:cs="Times New Roman"/>
          <w:i/>
          <w:sz w:val="24"/>
        </w:rPr>
        <w:t xml:space="preserve">ar 3/2020 Conversión pactada con FEMP”.  </w:t>
      </w:r>
    </w:p>
    <w:p w:rsidR="00E302EC" w:rsidRDefault="00FC4F28">
      <w:pPr>
        <w:spacing w:after="13" w:line="249" w:lineRule="auto"/>
        <w:ind w:left="1426" w:right="182"/>
      </w:pPr>
      <w:r>
        <w:rPr>
          <w:rFonts w:ascii="Times New Roman" w:eastAsia="Times New Roman" w:hAnsi="Times New Roman" w:cs="Times New Roman"/>
          <w:i/>
          <w:sz w:val="24"/>
        </w:rPr>
        <w:t xml:space="preserve">Aunque parece que, a partir del 29 de marzo, el gobierno ha anunciado que tomará </w:t>
      </w:r>
    </w:p>
    <w:p w:rsidR="00E302EC" w:rsidRDefault="00FC4F28">
      <w:pPr>
        <w:spacing w:after="13" w:line="249" w:lineRule="auto"/>
        <w:ind w:left="279" w:right="182"/>
      </w:pPr>
      <w:r>
        <w:rPr>
          <w:rFonts w:ascii="Times New Roman" w:eastAsia="Times New Roman" w:hAnsi="Times New Roman" w:cs="Times New Roman"/>
          <w:i/>
          <w:sz w:val="24"/>
        </w:rPr>
        <w:t xml:space="preserve">nuevas medidas para tratar de bajar de nuevo la factura de la electricidad, por lo que, pueden darse nuevos cambios a partir de esa </w:t>
      </w:r>
      <w:r>
        <w:rPr>
          <w:rFonts w:ascii="Times New Roman" w:eastAsia="Times New Roman" w:hAnsi="Times New Roman" w:cs="Times New Roman"/>
          <w:i/>
          <w:sz w:val="24"/>
        </w:rPr>
        <w:t xml:space="preserve">fecha. Estaremos atentos.  </w:t>
      </w:r>
    </w:p>
    <w:p w:rsidR="00E302EC" w:rsidRDefault="00FC4F28">
      <w:pPr>
        <w:spacing w:after="13" w:line="249" w:lineRule="auto"/>
        <w:ind w:left="1426" w:right="182"/>
      </w:pPr>
      <w:r>
        <w:rPr>
          <w:rFonts w:ascii="Times New Roman" w:eastAsia="Times New Roman" w:hAnsi="Times New Roman" w:cs="Times New Roman"/>
          <w:i/>
          <w:sz w:val="24"/>
        </w:rPr>
        <w:t xml:space="preserve">Recuerden que es imprescindible que dicten resolución de prórroga expresa, pues </w:t>
      </w:r>
    </w:p>
    <w:p w:rsidR="00E302EC" w:rsidRDefault="00FC4F28">
      <w:pPr>
        <w:spacing w:after="13" w:line="249" w:lineRule="auto"/>
        <w:ind w:left="279" w:right="182"/>
      </w:pPr>
      <w:r>
        <w:rPr>
          <w:rFonts w:ascii="Times New Roman" w:eastAsia="Times New Roman" w:hAnsi="Times New Roman" w:cs="Times New Roman"/>
          <w:i/>
          <w:sz w:val="24"/>
        </w:rPr>
        <w:t>conforme al artículo 29 de la LCSP, no caben prórrogas tácitas. Si necesitan modelo de prórroga, solo tienen que hacérnoslo saber y se lo enviamos”</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E302EC" w:rsidRDefault="00FC4F28">
      <w:pPr>
        <w:spacing w:after="0" w:line="259" w:lineRule="auto"/>
        <w:ind w:left="1416" w:firstLine="0"/>
        <w:jc w:val="left"/>
      </w:pPr>
      <w:r>
        <w:rPr>
          <w:rFonts w:ascii="Times New Roman" w:eastAsia="Times New Roman" w:hAnsi="Times New Roman" w:cs="Times New Roman"/>
          <w:i/>
          <w:sz w:val="24"/>
        </w:rPr>
        <w:t xml:space="preserve"> </w:t>
      </w:r>
    </w:p>
    <w:p w:rsidR="00E302EC" w:rsidRDefault="00FC4F28">
      <w:pPr>
        <w:spacing w:after="13" w:line="249" w:lineRule="auto"/>
        <w:ind w:left="1426" w:right="182"/>
      </w:pPr>
      <w:r>
        <w:rPr>
          <w:rFonts w:ascii="Times New Roman" w:eastAsia="Times New Roman" w:hAnsi="Times New Roman" w:cs="Times New Roman"/>
          <w:i/>
          <w:sz w:val="24"/>
        </w:rPr>
        <w:t xml:space="preserve">-Correo electrónico de 28 de marzo de 2022: </w:t>
      </w:r>
    </w:p>
    <w:p w:rsidR="00E302EC" w:rsidRDefault="00FC4F28">
      <w:pPr>
        <w:spacing w:after="37" w:line="249" w:lineRule="auto"/>
        <w:ind w:left="269" w:right="181" w:firstLine="1133"/>
      </w:pPr>
      <w:r>
        <w:rPr>
          <w:rFonts w:ascii="Times New Roman" w:eastAsia="Times New Roman" w:hAnsi="Times New Roman" w:cs="Times New Roman"/>
          <w:i/>
          <w:sz w:val="24"/>
          <w:u w:val="single" w:color="000000"/>
        </w:rPr>
        <w:t>El informe adjunto no varía demasiado del que me habíais enviado la semana pasada.</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El motivo es que, antes de convertir los precios, habríais de haber sumado a los precios de</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adjudicación</w:t>
      </w:r>
      <w:r>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la primera tabla que añadís en el informe adjunto, que es la de las revisiones </w:t>
      </w:r>
    </w:p>
    <w:p w:rsidR="00E302EC" w:rsidRDefault="00FC4F28">
      <w:pPr>
        <w:spacing w:after="13" w:line="249" w:lineRule="auto"/>
        <w:ind w:left="279" w:right="182"/>
      </w:pPr>
      <w:r>
        <w:rPr>
          <w:rFonts w:ascii="Times New Roman" w:eastAsia="Times New Roman" w:hAnsi="Times New Roman" w:cs="Times New Roman"/>
          <w:i/>
          <w:sz w:val="24"/>
        </w:rPr>
        <w:t>trimestrales. Es decir, habría que sumar a los precios de adjudicación la siguiente tabla:(…)</w:t>
      </w:r>
      <w:r>
        <w:rPr>
          <w:rFonts w:ascii="Times New Roman" w:eastAsia="Times New Roman" w:hAnsi="Times New Roman" w:cs="Times New Roman"/>
          <w:sz w:val="24"/>
        </w:rPr>
        <w:t xml:space="preserve"> </w:t>
      </w:r>
    </w:p>
    <w:p w:rsidR="00E302EC" w:rsidRDefault="00FC4F28">
      <w:pPr>
        <w:spacing w:after="0" w:line="259" w:lineRule="auto"/>
        <w:ind w:left="148" w:firstLine="0"/>
        <w:jc w:val="center"/>
      </w:pPr>
      <w:r>
        <w:rPr>
          <w:rFonts w:ascii="Times New Roman" w:eastAsia="Times New Roman" w:hAnsi="Times New Roman" w:cs="Times New Roman"/>
          <w:i/>
          <w:sz w:val="24"/>
        </w:rPr>
        <w:t xml:space="preserve"> </w:t>
      </w:r>
    </w:p>
    <w:p w:rsidR="00E302EC" w:rsidRDefault="00FC4F28">
      <w:pPr>
        <w:spacing w:after="13" w:line="249" w:lineRule="auto"/>
        <w:ind w:left="1426" w:right="182"/>
      </w:pPr>
      <w:r>
        <w:rPr>
          <w:rFonts w:ascii="Times New Roman" w:eastAsia="Times New Roman" w:hAnsi="Times New Roman" w:cs="Times New Roman"/>
          <w:i/>
          <w:sz w:val="24"/>
        </w:rPr>
        <w:t xml:space="preserve">-Correo electrónico de 31 de marzo de 2022: </w:t>
      </w:r>
    </w:p>
    <w:p w:rsidR="00E302EC" w:rsidRDefault="00FC4F28">
      <w:pPr>
        <w:spacing w:after="22"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 xml:space="preserve">“Buenos días, Octavio: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0" w:line="249" w:lineRule="auto"/>
        <w:ind w:left="279" w:right="181"/>
      </w:pPr>
      <w:r>
        <w:rPr>
          <w:rFonts w:ascii="Times New Roman" w:eastAsia="Times New Roman" w:hAnsi="Times New Roman" w:cs="Times New Roman"/>
          <w:i/>
          <w:sz w:val="24"/>
          <w:u w:val="single" w:color="000000"/>
        </w:rPr>
        <w:t>Confi</w:t>
      </w:r>
      <w:r>
        <w:rPr>
          <w:rFonts w:ascii="Times New Roman" w:eastAsia="Times New Roman" w:hAnsi="Times New Roman" w:cs="Times New Roman"/>
          <w:i/>
          <w:sz w:val="24"/>
          <w:u w:val="single" w:color="000000"/>
        </w:rPr>
        <w:t>rmarles que, salvo error material o aritmético por nuestra parte, el informe es correcto,</w:t>
      </w:r>
      <w:r>
        <w:rPr>
          <w:rFonts w:ascii="Times New Roman" w:eastAsia="Times New Roman" w:hAnsi="Times New Roman" w:cs="Times New Roman"/>
          <w:i/>
          <w:sz w:val="24"/>
        </w:rPr>
        <w:t xml:space="preserve"> conforme a lo previsto en las cláusulas 21 y 16 del PCA.</w:t>
      </w:r>
      <w:r>
        <w:rPr>
          <w:rFonts w:ascii="Times New Roman" w:eastAsia="Times New Roman" w:hAnsi="Times New Roman" w:cs="Times New Roman"/>
          <w:sz w:val="24"/>
        </w:rPr>
        <w:t xml:space="preserve"> </w:t>
      </w:r>
    </w:p>
    <w:p w:rsidR="00E302EC" w:rsidRDefault="00FC4F28">
      <w:pPr>
        <w:spacing w:after="2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 xml:space="preserve">Un saludo” </w:t>
      </w:r>
    </w:p>
    <w:p w:rsidR="00E302EC" w:rsidRDefault="00FC4F28">
      <w:pPr>
        <w:spacing w:after="0" w:line="259" w:lineRule="auto"/>
        <w:ind w:left="1416" w:firstLine="0"/>
        <w:jc w:val="left"/>
      </w:pPr>
      <w:r>
        <w:rPr>
          <w:rFonts w:ascii="Times New Roman" w:eastAsia="Times New Roman" w:hAnsi="Times New Roman" w:cs="Times New Roman"/>
          <w:i/>
          <w:sz w:val="24"/>
        </w:rPr>
        <w:t xml:space="preserve"> </w:t>
      </w:r>
    </w:p>
    <w:p w:rsidR="00E302EC" w:rsidRDefault="00FC4F28">
      <w:pPr>
        <w:spacing w:after="0" w:line="259" w:lineRule="auto"/>
        <w:ind w:left="0" w:right="581" w:firstLine="0"/>
        <w:jc w:val="center"/>
      </w:pPr>
      <w:r>
        <w:rPr>
          <w:rFonts w:ascii="Times New Roman" w:eastAsia="Times New Roman" w:hAnsi="Times New Roman" w:cs="Times New Roman"/>
          <w:i/>
          <w:sz w:val="24"/>
          <w:u w:val="single" w:color="000000"/>
        </w:rPr>
        <w:t>FUNDAMENTOS DE DERECHO</w:t>
      </w:r>
      <w:r>
        <w:rPr>
          <w:rFonts w:ascii="Times New Roman" w:eastAsia="Times New Roman" w:hAnsi="Times New Roman" w:cs="Times New Roman"/>
          <w:i/>
          <w:sz w:val="24"/>
        </w:rPr>
        <w:t xml:space="preserve">  </w:t>
      </w:r>
    </w:p>
    <w:p w:rsidR="00E302EC" w:rsidRDefault="00FC4F28">
      <w:pPr>
        <w:spacing w:after="17"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1372" name="Group 261372"/>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5786" name="Rectangle 2578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5787" name="Rectangle 25787"/>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1372" style="width:12.7031pt;height:273.276pt;position:absolute;mso-position-horizontal-relative:page;mso-position-horizontal:absolute;margin-left:682.278pt;mso-position-vertical-relative:page;margin-top:538.644pt;" coordsize="1613,34706">
                <v:rect id="Rectangle 2578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5787"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159 </w:t>
                        </w:r>
                      </w:p>
                    </w:txbxContent>
                  </v:textbox>
                </v:rect>
                <w10:wrap type="square"/>
              </v:group>
            </w:pict>
          </mc:Fallback>
        </mc:AlternateContent>
      </w:r>
      <w:r>
        <w:rPr>
          <w:rFonts w:ascii="Times New Roman" w:eastAsia="Times New Roman" w:hAnsi="Times New Roman" w:cs="Times New Roman"/>
          <w:i/>
          <w:sz w:val="24"/>
        </w:rPr>
        <w:t xml:space="preserve">PRIMERO. </w:t>
      </w:r>
      <w:r>
        <w:rPr>
          <w:rFonts w:ascii="Times New Roman" w:eastAsia="Times New Roman" w:hAnsi="Times New Roman" w:cs="Times New Roman"/>
          <w:i/>
          <w:sz w:val="24"/>
        </w:rPr>
        <w:t>El Pliego de Cláusulas Administrativas (en adelante, “PCA”), prevé en su cláusula 21.2 la posibilidad de solicitar prórrogas en sus contratos basados:</w:t>
      </w:r>
      <w:r>
        <w:rPr>
          <w:rFonts w:ascii="Times New Roman" w:eastAsia="Times New Roman" w:hAnsi="Times New Roman" w:cs="Times New Roman"/>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“La duración ordinaria de los Contratos basados será de un año, tal y como dispone la normativa sectoria</w:t>
      </w:r>
      <w:r>
        <w:rPr>
          <w:rFonts w:ascii="Times New Roman" w:eastAsia="Times New Roman" w:hAnsi="Times New Roman" w:cs="Times New Roman"/>
          <w:i/>
          <w:sz w:val="24"/>
        </w:rPr>
        <w:t>l de aplicación, pudiendo celebrarse prórrogas por periodos de un año, hasta un máximo de cinco años. Todo ello sin perjuicio de las altas eventuales y de temporada que surjan durante la vigencia y al amparo del contrato basado, conforme a lo establecido e</w:t>
      </w:r>
      <w:r>
        <w:rPr>
          <w:rFonts w:ascii="Times New Roman" w:eastAsia="Times New Roman" w:hAnsi="Times New Roman" w:cs="Times New Roman"/>
          <w:i/>
          <w:sz w:val="24"/>
        </w:rPr>
        <w:t xml:space="preserve">n los Pliegos, en el Acuerdo marco y en la normativa de aplicación, y ajustándose a la proposición económica presentada sobre el porcentaje de incremento máximo sobre los precios de energía de las tarifas de acceso para el suministro definitivo.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SEGUNDO</w:t>
      </w:r>
      <w:r>
        <w:rPr>
          <w:rFonts w:ascii="Times New Roman" w:eastAsia="Times New Roman" w:hAnsi="Times New Roman" w:cs="Times New Roman"/>
          <w:i/>
          <w:sz w:val="24"/>
        </w:rPr>
        <w:t xml:space="preserve">. De conformidad con lo indicado en el Documento de invitación y en la cláusula 21.2 del PCA y con la intención de continuar prestando el suministro de electricidad en alta y baja tensión en el Ayuntamiento de Candelaria, la prórroga resultará de obligada </w:t>
      </w:r>
      <w:r>
        <w:rPr>
          <w:rFonts w:ascii="Times New Roman" w:eastAsia="Times New Roman" w:hAnsi="Times New Roman" w:cs="Times New Roman"/>
          <w:i/>
          <w:sz w:val="24"/>
        </w:rPr>
        <w:t>aceptación por parte del adjudicatario (y siempre que haya un preaviso de 2 meses, porque así lo establece el artículo 29.2  de la LCSP) salvo que la Entidad Local disponga lo contrario en el Documento de invitación y salvo que se dé la causa de resolución</w:t>
      </w:r>
      <w:r>
        <w:rPr>
          <w:rFonts w:ascii="Times New Roman" w:eastAsia="Times New Roman" w:hAnsi="Times New Roman" w:cs="Times New Roman"/>
          <w:i/>
          <w:sz w:val="24"/>
        </w:rPr>
        <w:t xml:space="preserve"> prevista en el artículo 198.6 de la LCSP por haberse demorado la Entidad Local en el pago del precio más de 6 meses, siempre que dicho impago no se produzca por incumplimiento de la empresa contratista, cuestiones ambas, que no se han producido. Si la EEL</w:t>
      </w:r>
      <w:r>
        <w:rPr>
          <w:rFonts w:ascii="Times New Roman" w:eastAsia="Times New Roman" w:hAnsi="Times New Roman" w:cs="Times New Roman"/>
          <w:i/>
          <w:sz w:val="24"/>
        </w:rPr>
        <w:t xml:space="preserve">L no lleva a cabo ese preaviso con 2 meses de antelación a la finalización del contrato, la prórroga será por acuerdo entre partes (dejará de ser potestad de la administración).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Para la tramitación de la prórroga anual, los precios vigentes en el contr</w:t>
      </w:r>
      <w:r>
        <w:rPr>
          <w:rFonts w:ascii="Times New Roman" w:eastAsia="Times New Roman" w:hAnsi="Times New Roman" w:cs="Times New Roman"/>
          <w:i/>
          <w:sz w:val="24"/>
        </w:rPr>
        <w:t>ato basado serán objeto de revisión (Incluso en el caso de que no se produzca el preaviso de 2 meses por parte de la administración,). En este sentido, la adjudicataria estará obligada a comunicar al responsable del contrato basado de la Entidad Local, con</w:t>
      </w:r>
      <w:r>
        <w:rPr>
          <w:rFonts w:ascii="Times New Roman" w:eastAsia="Times New Roman" w:hAnsi="Times New Roman" w:cs="Times New Roman"/>
          <w:i/>
          <w:sz w:val="24"/>
        </w:rPr>
        <w:t xml:space="preserve"> al menos cuarenta y cinco días de antelación a la finalización del contrato basado, los precios revisados conforme a lo establecido en la cláusula 16.3 del PCA, con la diferencia de que el primer reajuste de umbrales que se realice tomará los precios –Umb</w:t>
      </w:r>
      <w:r>
        <w:rPr>
          <w:rFonts w:ascii="Times New Roman" w:eastAsia="Times New Roman" w:hAnsi="Times New Roman" w:cs="Times New Roman"/>
          <w:i/>
          <w:sz w:val="24"/>
        </w:rPr>
        <w:t xml:space="preserve">ral (i-1)– ofertado originalmente por las empresas adjudicatarias para el contrato basado.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1911" name="Group 26191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5887" name="Rectangle 25887"/>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5888" name="Rectangle 25888"/>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1911" style="width:12.7031pt;height:273.276pt;position:absolute;mso-position-horizontal-relative:page;mso-position-horizontal:absolute;margin-left:682.278pt;mso-position-vertical-relative:page;margin-top:538.644pt;" coordsize="1613,34706">
                <v:rect id="Rectangle 25887"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5888"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159 </w:t>
                        </w:r>
                      </w:p>
                    </w:txbxContent>
                  </v:textbox>
                </v:rect>
                <w10:wrap type="square"/>
              </v:group>
            </w:pict>
          </mc:Fallback>
        </mc:AlternateContent>
      </w:r>
      <w:r>
        <w:rPr>
          <w:rFonts w:ascii="Times New Roman" w:eastAsia="Times New Roman" w:hAnsi="Times New Roman" w:cs="Times New Roman"/>
          <w:i/>
          <w:sz w:val="24"/>
        </w:rPr>
        <w:t xml:space="preserve">En el plazo de quince días desde la recepción de los precios revisados, siempre con un mes de antelación a la finalización del contrato basado, la Entidad Local </w:t>
      </w:r>
      <w:r>
        <w:rPr>
          <w:rFonts w:ascii="Times New Roman" w:eastAsia="Times New Roman" w:hAnsi="Times New Roman" w:cs="Times New Roman"/>
          <w:i/>
          <w:sz w:val="24"/>
        </w:rPr>
        <w:t>deberá comunicar su intención de prorrogar el contrato basado por un año más. En caso de que dicha comunicación sobre la conformidad con los precios revisados no se produzca por parte de la Administración, de conformidad con lo previsto en el artículo 29.2</w:t>
      </w:r>
      <w:r>
        <w:rPr>
          <w:rFonts w:ascii="Times New Roman" w:eastAsia="Times New Roman" w:hAnsi="Times New Roman" w:cs="Times New Roman"/>
          <w:i/>
          <w:sz w:val="24"/>
        </w:rPr>
        <w:t xml:space="preserve"> de la LCSP según el cual: “En ningún caso podrá producirse la prórroga por el consentimiento tácito de las partes”, la empresa procederá, en el plazo de los 5 días hábiles anteriores a la fecha de finalización del suministro indicada más arriba a realizar</w:t>
      </w:r>
      <w:r>
        <w:rPr>
          <w:rFonts w:ascii="Times New Roman" w:eastAsia="Times New Roman" w:hAnsi="Times New Roman" w:cs="Times New Roman"/>
          <w:i/>
          <w:sz w:val="24"/>
        </w:rPr>
        <w:t xml:space="preserve"> los trámites oportunos para dar de baja los puntos de suministro objeto del contrato basado. Al producirse la extinción del contrato, la empresa Distribuidora procederá a asignar estos suministros a la comercializadora de último recurso, en aplicación de </w:t>
      </w:r>
      <w:r>
        <w:rPr>
          <w:rFonts w:ascii="Times New Roman" w:eastAsia="Times New Roman" w:hAnsi="Times New Roman" w:cs="Times New Roman"/>
          <w:i/>
          <w:sz w:val="24"/>
        </w:rPr>
        <w:t>la normativa vigente, R.D. 216/2014, que en el apartado d) del artículo 4 establece que los comercializadores de referencia deberán atender las solicitudes de suministro de energía eléctrica y formalizar los correspondientes contratos con los consumidores,</w:t>
      </w:r>
      <w:r>
        <w:rPr>
          <w:rFonts w:ascii="Times New Roman" w:eastAsia="Times New Roman" w:hAnsi="Times New Roman" w:cs="Times New Roman"/>
          <w:i/>
          <w:sz w:val="24"/>
        </w:rPr>
        <w:t xml:space="preserve"> que sin cumplir los requisitos para la aplicación del precio voluntario para el pequeño consumidor, transitoriamente carecen de contrato en vigor con un comercializador libre, y les resulten de aplicación las correspondientes tarifas de último recurso de </w:t>
      </w:r>
      <w:r>
        <w:rPr>
          <w:rFonts w:ascii="Times New Roman" w:eastAsia="Times New Roman" w:hAnsi="Times New Roman" w:cs="Times New Roman"/>
          <w:i/>
          <w:sz w:val="24"/>
        </w:rPr>
        <w:t xml:space="preserve">acuerdo con lo previsto en el </w:t>
      </w:r>
      <w:r>
        <w:rPr>
          <w:rFonts w:ascii="Times New Roman" w:eastAsia="Times New Roman" w:hAnsi="Times New Roman" w:cs="Times New Roman"/>
          <w:i/>
          <w:color w:val="0000FF"/>
          <w:sz w:val="24"/>
          <w:u w:val="single" w:color="0000FF"/>
        </w:rPr>
        <w:t>artículo 17.3 de la Ley</w:t>
      </w:r>
      <w:r>
        <w:rPr>
          <w:rFonts w:ascii="Times New Roman" w:eastAsia="Times New Roman" w:hAnsi="Times New Roman" w:cs="Times New Roman"/>
          <w:i/>
          <w:color w:val="0000FF"/>
          <w:sz w:val="24"/>
        </w:rPr>
        <w:t xml:space="preserve"> </w:t>
      </w:r>
      <w:r>
        <w:rPr>
          <w:rFonts w:ascii="Times New Roman" w:eastAsia="Times New Roman" w:hAnsi="Times New Roman" w:cs="Times New Roman"/>
          <w:i/>
          <w:color w:val="0000FF"/>
          <w:sz w:val="24"/>
          <w:u w:val="single" w:color="0000FF"/>
        </w:rPr>
        <w:t>24/2013, de 26 de diciembre</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TERCERO. Las condiciones que deberán regir esta prórroga serán las mismas que las del contrato basado y se mantendrán inalterables durante toda la vigencia de la prórrog</w:t>
      </w:r>
      <w:r>
        <w:rPr>
          <w:rFonts w:ascii="Times New Roman" w:eastAsia="Times New Roman" w:hAnsi="Times New Roman" w:cs="Times New Roman"/>
          <w:i/>
          <w:sz w:val="24"/>
        </w:rPr>
        <w:t>a, tal y como se establece en el PCA, a excepción de la revisión de precios prevista en el mismo.</w:t>
      </w:r>
      <w:r>
        <w:rPr>
          <w:rFonts w:ascii="Times New Roman" w:eastAsia="Times New Roman" w:hAnsi="Times New Roman" w:cs="Times New Roman"/>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color w:val="FF0000"/>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 xml:space="preserve">En virtud de lo anterior, se emite la siguiente,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0" w:line="259" w:lineRule="auto"/>
        <w:ind w:left="92" w:firstLine="0"/>
        <w:jc w:val="center"/>
      </w:pPr>
      <w:r>
        <w:rPr>
          <w:rFonts w:ascii="Times New Roman" w:eastAsia="Times New Roman" w:hAnsi="Times New Roman" w:cs="Times New Roman"/>
          <w:i/>
          <w:sz w:val="24"/>
        </w:rPr>
        <w:t xml:space="preserve">PROPUESTA DE RESOLUCIÓN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PRIMERO. - Prorrogar el Contrato basado para el suministro de electrici</w:t>
      </w:r>
      <w:r>
        <w:rPr>
          <w:rFonts w:ascii="Times New Roman" w:eastAsia="Times New Roman" w:hAnsi="Times New Roman" w:cs="Times New Roman"/>
          <w:i/>
          <w:sz w:val="24"/>
        </w:rPr>
        <w:t>dad en alta y baja tensión desde el día 06/05/2022 hasta el 06/05/2023, aplicándose los precios revisados conforme a lo establecido en la cláusula 16.3 del PCA, figurando en el informe técnico del responsable del contrato de fecha 30 de marzo de 2022, y qu</w:t>
      </w:r>
      <w:r>
        <w:rPr>
          <w:rFonts w:ascii="Times New Roman" w:eastAsia="Times New Roman" w:hAnsi="Times New Roman" w:cs="Times New Roman"/>
          <w:i/>
          <w:sz w:val="24"/>
        </w:rPr>
        <w:t xml:space="preserve">e se detallan a continuación: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tbl>
      <w:tblPr>
        <w:tblStyle w:val="TableGrid"/>
        <w:tblW w:w="8493" w:type="dxa"/>
        <w:tblInd w:w="291" w:type="dxa"/>
        <w:tblCellMar>
          <w:top w:w="23" w:type="dxa"/>
          <w:left w:w="31" w:type="dxa"/>
          <w:bottom w:w="0" w:type="dxa"/>
          <w:right w:w="28" w:type="dxa"/>
        </w:tblCellMar>
        <w:tblLook w:val="04A0" w:firstRow="1" w:lastRow="0" w:firstColumn="1" w:lastColumn="0" w:noHBand="0" w:noVBand="1"/>
      </w:tblPr>
      <w:tblGrid>
        <w:gridCol w:w="1784"/>
        <w:gridCol w:w="1280"/>
        <w:gridCol w:w="1226"/>
        <w:gridCol w:w="1228"/>
        <w:gridCol w:w="990"/>
        <w:gridCol w:w="992"/>
        <w:gridCol w:w="993"/>
      </w:tblGrid>
      <w:tr w:rsidR="00E302EC">
        <w:trPr>
          <w:trHeight w:val="259"/>
        </w:trPr>
        <w:tc>
          <w:tcPr>
            <w:tcW w:w="3064" w:type="dxa"/>
            <w:gridSpan w:val="2"/>
            <w:tcBorders>
              <w:top w:val="single" w:sz="5"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0" w:firstLine="0"/>
            </w:pPr>
            <w:r>
              <w:rPr>
                <w:b/>
                <w:sz w:val="20"/>
              </w:rPr>
              <w:t>LOTE CANARIAS CONVERTIDO</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r>
      <w:tr w:rsidR="00E302EC">
        <w:trPr>
          <w:trHeight w:val="260"/>
        </w:trPr>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0,3301</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0,2279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0,1719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0,1893</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0,2420</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0,3509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0,2478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0,3484</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0,1894</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0,2422</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0,2618</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0,2061</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0,2173</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0,1891</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0,1746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0,2212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0,2261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0,1826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0,1667</w:t>
            </w:r>
          </w:p>
        </w:tc>
      </w:tr>
      <w:tr w:rsidR="00E302EC">
        <w:trPr>
          <w:trHeight w:val="257"/>
        </w:trPr>
        <w:tc>
          <w:tcPr>
            <w:tcW w:w="1784" w:type="dxa"/>
            <w:tcBorders>
              <w:top w:val="single" w:sz="5" w:space="0" w:color="000000"/>
              <w:left w:val="single" w:sz="5" w:space="0" w:color="000000"/>
              <w:bottom w:val="single" w:sz="11" w:space="0" w:color="000000"/>
              <w:right w:val="single" w:sz="5" w:space="0" w:color="000000"/>
            </w:tcBorders>
          </w:tcPr>
          <w:p w:rsidR="00E302EC" w:rsidRDefault="00FC4F28">
            <w:pPr>
              <w:spacing w:after="0" w:line="259" w:lineRule="auto"/>
              <w:ind w:left="0" w:firstLine="0"/>
              <w:jc w:val="left"/>
            </w:pPr>
            <w:r>
              <w:rPr>
                <w:sz w:val="20"/>
              </w:rPr>
              <w:t>6.1</w:t>
            </w:r>
          </w:p>
        </w:tc>
        <w:tc>
          <w:tcPr>
            <w:tcW w:w="128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0,2174</w:t>
            </w:r>
          </w:p>
        </w:tc>
        <w:tc>
          <w:tcPr>
            <w:tcW w:w="1226"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0,2203</w:t>
            </w:r>
          </w:p>
        </w:tc>
        <w:tc>
          <w:tcPr>
            <w:tcW w:w="1228"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0,1869</w:t>
            </w:r>
          </w:p>
        </w:tc>
        <w:tc>
          <w:tcPr>
            <w:tcW w:w="99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0,1913</w:t>
            </w:r>
          </w:p>
        </w:tc>
        <w:tc>
          <w:tcPr>
            <w:tcW w:w="992"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0,1636</w:t>
            </w:r>
          </w:p>
        </w:tc>
      </w:tr>
    </w:tbl>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0"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13" w:line="249" w:lineRule="auto"/>
        <w:ind w:left="279" w:right="182"/>
      </w:pPr>
      <w:r>
        <w:rPr>
          <w:rFonts w:ascii="Times New Roman" w:eastAsia="Times New Roman" w:hAnsi="Times New Roman" w:cs="Times New Roman"/>
          <w:i/>
          <w:sz w:val="24"/>
        </w:rPr>
        <w:t xml:space="preserve">SEGUNDO. -  </w:t>
      </w:r>
      <w:r>
        <w:rPr>
          <w:rFonts w:ascii="Times New Roman" w:eastAsia="Times New Roman" w:hAnsi="Times New Roman" w:cs="Times New Roman"/>
          <w:i/>
          <w:sz w:val="24"/>
        </w:rPr>
        <w:t>Comunicar esta resolución a la empresa adjudicataria a través de la plataforma informática de la Central de Contratación, publicarla en el perfil del contratante de esta Entidad Local y notificarla conforme a lo establecido en la LCSP. “</w:t>
      </w:r>
      <w:r>
        <w:rPr>
          <w:rFonts w:ascii="Times New Roman" w:eastAsia="Times New Roman" w:hAnsi="Times New Roman" w:cs="Times New Roman"/>
          <w:sz w:val="24"/>
        </w:rPr>
        <w:t xml:space="preserve"> </w:t>
      </w:r>
    </w:p>
    <w:p w:rsidR="00E302EC" w:rsidRDefault="00FC4F28">
      <w:pPr>
        <w:spacing w:after="201" w:line="259" w:lineRule="auto"/>
        <w:ind w:left="284" w:firstLine="0"/>
        <w:jc w:val="left"/>
      </w:pPr>
      <w:r>
        <w:rPr>
          <w:rFonts w:ascii="Times New Roman" w:eastAsia="Times New Roman" w:hAnsi="Times New Roman" w:cs="Times New Roman"/>
          <w:i/>
          <w:sz w:val="24"/>
        </w:rPr>
        <w:t xml:space="preserve"> </w:t>
      </w:r>
    </w:p>
    <w:p w:rsidR="00E302EC" w:rsidRDefault="00FC4F28">
      <w:pPr>
        <w:spacing w:after="229" w:line="248" w:lineRule="auto"/>
        <w:ind w:left="1710" w:right="183"/>
      </w:pPr>
      <w:r>
        <w:rPr>
          <w:b/>
        </w:rPr>
        <w:t>En virtud de lo</w:t>
      </w:r>
      <w:r>
        <w:rPr>
          <w:b/>
        </w:rPr>
        <w:t xml:space="preserve"> expuesto, se somete al Pleno la siguiente: </w:t>
      </w:r>
    </w:p>
    <w:p w:rsidR="00E302EC" w:rsidRDefault="00FC4F28">
      <w:pPr>
        <w:spacing w:after="0" w:line="259" w:lineRule="auto"/>
        <w:ind w:left="284" w:firstLine="0"/>
        <w:jc w:val="left"/>
      </w:pPr>
      <w:r>
        <w:rPr>
          <w:b/>
        </w:rPr>
        <w:t xml:space="preserve"> </w:t>
      </w:r>
    </w:p>
    <w:p w:rsidR="00E302EC" w:rsidRDefault="00FC4F28">
      <w:pPr>
        <w:spacing w:after="108" w:line="248" w:lineRule="auto"/>
        <w:ind w:left="279" w:right="183"/>
      </w:pPr>
      <w:r>
        <w:rPr>
          <w:b/>
        </w:rPr>
        <w:t>PROPUESTA DE ACUERDO</w:t>
      </w:r>
      <w:r>
        <w:t xml:space="preserve"> </w:t>
      </w:r>
    </w:p>
    <w:p w:rsidR="00E302EC" w:rsidRDefault="00FC4F28">
      <w:pPr>
        <w:spacing w:after="1" w:line="259" w:lineRule="auto"/>
        <w:ind w:left="10" w:right="184"/>
        <w:jc w:val="right"/>
      </w:pPr>
      <w:r>
        <w:rPr>
          <w:b/>
        </w:rPr>
        <w:t xml:space="preserve">PRIMERO. - Prorrogar el Contrato basado para el suministro de electricidad en alta </w:t>
      </w:r>
    </w:p>
    <w:p w:rsidR="00E302EC" w:rsidRDefault="00FC4F28">
      <w:pPr>
        <w:spacing w:after="8" w:line="248" w:lineRule="auto"/>
        <w:ind w:left="279" w:right="183"/>
      </w:pPr>
      <w:r>
        <w:rPr>
          <w:b/>
        </w:rPr>
        <w:t xml:space="preserve">y baja tensión desde el día 06/05/2022 hasta el 06/05/2023, aplicándose los precios revisados conforme </w:t>
      </w:r>
      <w:r>
        <w:rPr>
          <w:b/>
        </w:rPr>
        <w:t xml:space="preserve">a lo establecido en la cláusula 16.3 del PCA, figurando en el informe técnico del responsable del contrato de fecha 30 de marzo de 2022, y que se detallan a continuación: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81377" name="Group 281377"/>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6195" name="Rectangle 2619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 7MT23JRFLY7JHEN56D753ZS5Q | Verificación: https://candelaria.sed</w:t>
                              </w:r>
                              <w:r>
                                <w:rPr>
                                  <w:sz w:val="12"/>
                                </w:rPr>
                                <w:t xml:space="preserve">electronica.es/ </w:t>
                              </w:r>
                            </w:p>
                          </w:txbxContent>
                        </wps:txbx>
                        <wps:bodyPr horzOverflow="overflow" vert="horz" lIns="0" tIns="0" rIns="0" bIns="0" rtlCol="0">
                          <a:noAutofit/>
                        </wps:bodyPr>
                      </wps:wsp>
                      <wps:wsp>
                        <wps:cNvPr id="26196" name="Rectangle 26196"/>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149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81377" style="width:12.7031pt;height:273.276pt;position:absolute;mso-position-horizontal-relative:page;mso-position-horizontal:absolute;margin-left:682.278pt;mso-position-vertical-relative:page;margin-top:538.644pt;" coordsize="1613,34706">
                <v:rect id="Rectangle 2619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6196"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159 </w:t>
                        </w:r>
                      </w:p>
                    </w:txbxContent>
                  </v:textbox>
                </v:rect>
                <w10:wrap type="square"/>
              </v:group>
            </w:pict>
          </mc:Fallback>
        </mc:AlternateContent>
      </w:r>
      <w:r>
        <w:t xml:space="preserve"> </w:t>
      </w:r>
    </w:p>
    <w:tbl>
      <w:tblPr>
        <w:tblStyle w:val="TableGrid"/>
        <w:tblW w:w="8493" w:type="dxa"/>
        <w:tblInd w:w="291" w:type="dxa"/>
        <w:tblCellMar>
          <w:top w:w="23" w:type="dxa"/>
          <w:left w:w="31" w:type="dxa"/>
          <w:bottom w:w="0" w:type="dxa"/>
          <w:right w:w="28" w:type="dxa"/>
        </w:tblCellMar>
        <w:tblLook w:val="04A0" w:firstRow="1" w:lastRow="0" w:firstColumn="1" w:lastColumn="0" w:noHBand="0" w:noVBand="1"/>
      </w:tblPr>
      <w:tblGrid>
        <w:gridCol w:w="1784"/>
        <w:gridCol w:w="1280"/>
        <w:gridCol w:w="1226"/>
        <w:gridCol w:w="1228"/>
        <w:gridCol w:w="990"/>
        <w:gridCol w:w="992"/>
        <w:gridCol w:w="993"/>
      </w:tblGrid>
      <w:tr w:rsidR="00E302EC">
        <w:trPr>
          <w:trHeight w:val="259"/>
        </w:trPr>
        <w:tc>
          <w:tcPr>
            <w:tcW w:w="3064" w:type="dxa"/>
            <w:gridSpan w:val="2"/>
            <w:tcBorders>
              <w:top w:val="single" w:sz="5"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0" w:firstLine="0"/>
            </w:pPr>
            <w:r>
              <w:rPr>
                <w:b/>
                <w:sz w:val="20"/>
              </w:rPr>
              <w:t>LOTE CANARIAS CONVERTIDO</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r>
      <w:tr w:rsidR="00E302EC">
        <w:trPr>
          <w:trHeight w:val="260"/>
        </w:trPr>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0,3301</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0,2279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0,1719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vAlign w:val="center"/>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0,1893</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0,2420</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0,3509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0,2478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0,3484</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0,1894</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0,2422</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0,2618</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0,2061</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0,2173</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0,1891</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0,1746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0,2212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0,2261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0,1826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0,1667</w:t>
            </w:r>
          </w:p>
        </w:tc>
      </w:tr>
      <w:tr w:rsidR="00E302EC">
        <w:trPr>
          <w:trHeight w:val="257"/>
        </w:trPr>
        <w:tc>
          <w:tcPr>
            <w:tcW w:w="1784" w:type="dxa"/>
            <w:tcBorders>
              <w:top w:val="single" w:sz="5" w:space="0" w:color="000000"/>
              <w:left w:val="single" w:sz="5" w:space="0" w:color="000000"/>
              <w:bottom w:val="single" w:sz="11" w:space="0" w:color="000000"/>
              <w:right w:val="single" w:sz="5" w:space="0" w:color="000000"/>
            </w:tcBorders>
          </w:tcPr>
          <w:p w:rsidR="00E302EC" w:rsidRDefault="00FC4F28">
            <w:pPr>
              <w:spacing w:after="0" w:line="259" w:lineRule="auto"/>
              <w:ind w:left="0" w:firstLine="0"/>
              <w:jc w:val="left"/>
            </w:pPr>
            <w:r>
              <w:rPr>
                <w:sz w:val="20"/>
              </w:rPr>
              <w:t>6.1</w:t>
            </w:r>
          </w:p>
        </w:tc>
        <w:tc>
          <w:tcPr>
            <w:tcW w:w="128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0,2174</w:t>
            </w:r>
          </w:p>
        </w:tc>
        <w:tc>
          <w:tcPr>
            <w:tcW w:w="1226"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0,2203</w:t>
            </w:r>
          </w:p>
        </w:tc>
        <w:tc>
          <w:tcPr>
            <w:tcW w:w="1228"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0,1869</w:t>
            </w:r>
          </w:p>
        </w:tc>
        <w:tc>
          <w:tcPr>
            <w:tcW w:w="99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0,1913</w:t>
            </w:r>
          </w:p>
        </w:tc>
        <w:tc>
          <w:tcPr>
            <w:tcW w:w="992"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0,1636</w:t>
            </w:r>
          </w:p>
        </w:tc>
      </w:tr>
    </w:tbl>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1" w:line="259" w:lineRule="auto"/>
        <w:ind w:left="10" w:right="184"/>
        <w:jc w:val="right"/>
      </w:pPr>
      <w:r>
        <w:rPr>
          <w:b/>
        </w:rPr>
        <w:t xml:space="preserve">SEGUNDO. -  Comunicar esta resolución a la empresa adjudicataria a través de la </w:t>
      </w:r>
    </w:p>
    <w:p w:rsidR="00E302EC" w:rsidRDefault="00FC4F28">
      <w:pPr>
        <w:spacing w:after="8" w:line="248" w:lineRule="auto"/>
        <w:ind w:left="279" w:right="183"/>
      </w:pPr>
      <w:r>
        <w:rPr>
          <w:b/>
        </w:rPr>
        <w:t xml:space="preserve">plataforma informática de la Central de Contratación, publicarla en el perfil del contratante de esta Entidad Local y notificarla conforme a lo establecido en la LCSP. </w:t>
      </w:r>
      <w:r>
        <w:rPr>
          <w:rFonts w:ascii="Times New Roman" w:eastAsia="Times New Roman" w:hAnsi="Times New Roman" w:cs="Times New Roman"/>
          <w:sz w:val="24"/>
        </w:rPr>
        <w:t xml:space="preserve"> </w:t>
      </w:r>
    </w:p>
    <w:p w:rsidR="00E302EC" w:rsidRDefault="00FC4F28">
      <w:pPr>
        <w:spacing w:after="112"/>
        <w:ind w:left="269" w:right="184" w:firstLine="708"/>
      </w:pPr>
      <w:r>
        <w:t>Por la ausencia de la Alcaldesa-</w:t>
      </w:r>
      <w:r>
        <w:t xml:space="preserve">Presidenta por motivos de viaje, fue nombrado Alcalde Accidental Don Jorge Baute Delgado que pasó a presidir la sesión en este último punto del orden del día de la parte resolutiva en el punto de urgencias. </w:t>
      </w:r>
    </w:p>
    <w:p w:rsidR="00E302EC" w:rsidRDefault="00FC4F28">
      <w:pPr>
        <w:spacing w:after="8" w:line="248" w:lineRule="auto"/>
        <w:ind w:left="1002" w:right="183"/>
      </w:pPr>
      <w:r>
        <w:rPr>
          <w:b/>
        </w:rPr>
        <w:t xml:space="preserve">VOTACIÓN EN EL PLENO DE 31 DE MARZO DE 2022. </w:t>
      </w:r>
    </w:p>
    <w:p w:rsidR="00E302EC" w:rsidRDefault="00FC4F28">
      <w:pPr>
        <w:spacing w:after="8" w:line="248" w:lineRule="auto"/>
        <w:ind w:left="269" w:right="183" w:firstLine="708"/>
      </w:pPr>
      <w:r>
        <w:rPr>
          <w:b/>
        </w:rPr>
        <w:t xml:space="preserve">El Pleno de la Corporación por la unanimidad de los miembros presentes declaró la urgencia del presente asunto y su ratificación en el orden del día según el artículo 46.2 b) de la Ley de Bases del Régimen Local y el artículo 82.3 del ROF. </w:t>
      </w:r>
    </w:p>
    <w:p w:rsidR="00E302EC" w:rsidRDefault="00FC4F28">
      <w:pPr>
        <w:spacing w:after="0" w:line="259" w:lineRule="auto"/>
        <w:ind w:left="992" w:firstLine="0"/>
        <w:jc w:val="left"/>
      </w:pPr>
      <w:r>
        <w:rPr>
          <w:b/>
        </w:rPr>
        <w:t xml:space="preserve"> </w:t>
      </w:r>
    </w:p>
    <w:p w:rsidR="00E302EC" w:rsidRDefault="00FC4F28">
      <w:pPr>
        <w:spacing w:after="8" w:line="248" w:lineRule="auto"/>
        <w:ind w:left="2420" w:right="183"/>
      </w:pPr>
      <w:r>
        <w:rPr>
          <w:b/>
        </w:rPr>
        <w:t>ACUERDO DEL P</w:t>
      </w:r>
      <w:r>
        <w:rPr>
          <w:b/>
        </w:rPr>
        <w:t xml:space="preserve">LENO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 xml:space="preserve">Votos a favor: 10. </w:t>
      </w:r>
    </w:p>
    <w:p w:rsidR="00E302EC" w:rsidRDefault="00FC4F28">
      <w:pPr>
        <w:spacing w:after="109"/>
        <w:ind w:left="279" w:right="184"/>
      </w:pPr>
      <w:r>
        <w:t>10 concejales del Grupo Socialista: Doña Don Jorge Baute Delgado, Doña Olivia Concepción Pérez Díaz, Don José Francisco Pinto Ramos, Doña Hilaria Cecilia Otazo González, Don Airam Pérez Chinea, Doña Margarita Eva Tendero Barroso</w:t>
      </w:r>
      <w:r>
        <w:t xml:space="preserve">, Don Manuel Alberto González Pestano, Doña María del Carmen Clemente Díaz, Don Olegario Francisco Alonso Bello y Don Reinaldo José Triviño Blanco. </w:t>
      </w:r>
    </w:p>
    <w:p w:rsidR="00E302EC" w:rsidRDefault="00FC4F28">
      <w:pPr>
        <w:spacing w:after="111" w:line="248" w:lineRule="auto"/>
        <w:ind w:left="279" w:right="183"/>
      </w:pPr>
      <w:r>
        <w:rPr>
          <w:b/>
        </w:rPr>
        <w:t xml:space="preserve">Votos en contra: 0. </w:t>
      </w:r>
    </w:p>
    <w:p w:rsidR="00E302EC" w:rsidRDefault="00FC4F28">
      <w:pPr>
        <w:spacing w:after="111" w:line="248" w:lineRule="auto"/>
        <w:ind w:left="279" w:right="183"/>
      </w:pPr>
      <w:r>
        <w:rPr>
          <w:b/>
        </w:rPr>
        <w:t xml:space="preserve">Abstenciones: 5. </w:t>
      </w:r>
    </w:p>
    <w:p w:rsidR="00E302EC" w:rsidRDefault="00FC4F28">
      <w:pPr>
        <w:numPr>
          <w:ilvl w:val="0"/>
          <w:numId w:val="127"/>
        </w:numPr>
        <w:spacing w:after="109"/>
        <w:ind w:right="184" w:hanging="184"/>
      </w:pPr>
      <w:r>
        <w:t xml:space="preserve">del concejal del Grupo Popular: Don Jacobo López Fariña. </w:t>
      </w:r>
    </w:p>
    <w:p w:rsidR="00E302EC" w:rsidRDefault="00FC4F28">
      <w:pPr>
        <w:numPr>
          <w:ilvl w:val="0"/>
          <w:numId w:val="127"/>
        </w:numPr>
        <w:spacing w:after="111"/>
        <w:ind w:right="184" w:hanging="184"/>
      </w:pPr>
      <w:r>
        <w:t xml:space="preserve">de los concejales del Grupo Mixto (SSP): Doña Lourdes del Carmen Mondéjar Rondón y Don Antonio Delgado García. </w:t>
      </w:r>
    </w:p>
    <w:p w:rsidR="00E302EC" w:rsidRDefault="00FC4F28">
      <w:pPr>
        <w:ind w:left="279" w:right="184"/>
      </w:pPr>
      <w:r>
        <w:t xml:space="preserve">1 de la concejal Doña Ángela Cruz Perera. </w:t>
      </w:r>
    </w:p>
    <w:p w:rsidR="00E302EC" w:rsidRDefault="00FC4F28">
      <w:pPr>
        <w:spacing w:after="106"/>
        <w:ind w:left="279" w:right="184"/>
      </w:pPr>
      <w:r>
        <w:t xml:space="preserve">1 de la concejal del Grupo Mixto (VxC): Doña Alicia Mercedes Marrero Meneses. </w:t>
      </w:r>
    </w:p>
    <w:p w:rsidR="00E302EC" w:rsidRDefault="00FC4F28">
      <w:pPr>
        <w:spacing w:after="0" w:line="259" w:lineRule="auto"/>
        <w:ind w:left="284" w:firstLine="0"/>
        <w:jc w:val="left"/>
      </w:pPr>
      <w:r>
        <w:rPr>
          <w:b/>
        </w:rPr>
        <w:t xml:space="preserve"> </w:t>
      </w:r>
    </w:p>
    <w:p w:rsidR="00E302EC" w:rsidRDefault="00FC4F28">
      <w:pPr>
        <w:spacing w:after="0" w:line="259" w:lineRule="auto"/>
        <w:ind w:left="1416" w:firstLine="0"/>
        <w:jc w:val="left"/>
      </w:pPr>
      <w:r>
        <w:rPr>
          <w:b/>
        </w:rPr>
        <w:t xml:space="preserve"> </w:t>
      </w:r>
    </w:p>
    <w:p w:rsidR="00E302EC" w:rsidRDefault="00FC4F28">
      <w:pPr>
        <w:spacing w:after="0" w:line="259" w:lineRule="auto"/>
        <w:ind w:left="1416" w:firstLine="0"/>
        <w:jc w:val="left"/>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75678" name="Group 275678"/>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6433" name="Rectangle 2643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Validación</w:t>
                              </w:r>
                              <w:r>
                                <w:rPr>
                                  <w:sz w:val="12"/>
                                </w:rPr>
                                <w:t xml:space="preserve">: 7MT23JRFLY7JHEN56D753ZS5Q | Verificación: https://candelaria.sedelectronica.es/ </w:t>
                              </w:r>
                            </w:p>
                          </w:txbxContent>
                        </wps:txbx>
                        <wps:bodyPr horzOverflow="overflow" vert="horz" lIns="0" tIns="0" rIns="0" bIns="0" rtlCol="0">
                          <a:noAutofit/>
                        </wps:bodyPr>
                      </wps:wsp>
                      <wps:wsp>
                        <wps:cNvPr id="26434" name="Rectangle 26434"/>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150 de 159 </w:t>
                              </w:r>
                            </w:p>
                          </w:txbxContent>
                        </wps:txbx>
                        <wps:bodyPr horzOverflow="overflow" vert="horz" lIns="0" tIns="0" rIns="0" bIns="0" rtlCol="0">
                          <a:noAutofit/>
                        </wps:bodyPr>
                      </wps:wsp>
                    </wpg:wgp>
                  </a:graphicData>
                </a:graphic>
              </wp:anchor>
            </w:drawing>
          </mc:Choice>
          <mc:Fallback xmlns:a="http://schemas.openxmlformats.org/drawingml/2006/main">
            <w:pict>
              <v:group id="Group 275678" style="width:12.7031pt;height:273.276pt;position:absolute;mso-position-horizontal-relative:page;mso-position-horizontal:absolute;margin-left:682.278pt;mso-position-vertical-relative:page;margin-top:538.644pt;" coordsize="1613,34706">
                <v:rect id="Rectangle 2643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6434"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159 </w:t>
                        </w:r>
                      </w:p>
                    </w:txbxContent>
                  </v:textbox>
                </v:rect>
                <w10:wrap type="square"/>
              </v:group>
            </w:pict>
          </mc:Fallback>
        </mc:AlternateContent>
      </w:r>
      <w:r>
        <w:rPr>
          <w:b/>
        </w:rPr>
        <w:t xml:space="preserve"> </w:t>
      </w:r>
    </w:p>
    <w:p w:rsidR="00E302EC" w:rsidRDefault="00FC4F28">
      <w:pPr>
        <w:spacing w:after="0" w:line="259" w:lineRule="auto"/>
        <w:ind w:left="1416" w:firstLine="0"/>
        <w:jc w:val="left"/>
      </w:pPr>
      <w:r>
        <w:rPr>
          <w:b/>
        </w:rPr>
        <w:t xml:space="preserve"> </w:t>
      </w:r>
    </w:p>
    <w:p w:rsidR="00E302EC" w:rsidRDefault="00FC4F28">
      <w:pPr>
        <w:spacing w:after="0" w:line="259" w:lineRule="auto"/>
        <w:ind w:left="1416" w:firstLine="0"/>
        <w:jc w:val="left"/>
      </w:pPr>
      <w:r>
        <w:rPr>
          <w:b/>
        </w:rPr>
        <w:t xml:space="preserve"> </w:t>
      </w:r>
    </w:p>
    <w:p w:rsidR="00E302EC" w:rsidRDefault="00FC4F28">
      <w:pPr>
        <w:spacing w:after="0" w:line="259" w:lineRule="auto"/>
        <w:ind w:left="1416" w:firstLine="0"/>
        <w:jc w:val="left"/>
      </w:pPr>
      <w:r>
        <w:rPr>
          <w:b/>
        </w:rPr>
        <w:t xml:space="preserve"> </w:t>
      </w:r>
    </w:p>
    <w:p w:rsidR="00E302EC" w:rsidRDefault="00FC4F28">
      <w:pPr>
        <w:spacing w:after="0" w:line="259" w:lineRule="auto"/>
        <w:ind w:left="1416" w:firstLine="0"/>
        <w:jc w:val="left"/>
      </w:pPr>
      <w:r>
        <w:rPr>
          <w:b/>
        </w:rPr>
        <w:t xml:space="preserve"> </w:t>
      </w:r>
    </w:p>
    <w:p w:rsidR="00E302EC" w:rsidRDefault="00FC4F28">
      <w:pPr>
        <w:spacing w:after="8" w:line="248" w:lineRule="auto"/>
        <w:ind w:left="1426" w:right="183"/>
      </w:pPr>
      <w:r>
        <w:rPr>
          <w:b/>
        </w:rPr>
        <w:t xml:space="preserve">ACUERDO DEL PLENO DE 31 DE MARZO DE 2022. </w:t>
      </w:r>
    </w:p>
    <w:p w:rsidR="00E302EC" w:rsidRDefault="00FC4F28">
      <w:pPr>
        <w:spacing w:after="0" w:line="259" w:lineRule="auto"/>
        <w:ind w:left="992" w:firstLine="0"/>
        <w:jc w:val="left"/>
      </w:pPr>
      <w:r>
        <w:rPr>
          <w:b/>
        </w:rPr>
        <w:t xml:space="preserve"> </w:t>
      </w:r>
    </w:p>
    <w:p w:rsidR="00E302EC" w:rsidRDefault="00FC4F28">
      <w:pPr>
        <w:spacing w:after="95" w:line="259" w:lineRule="auto"/>
        <w:ind w:left="284" w:firstLine="0"/>
        <w:jc w:val="left"/>
      </w:pPr>
      <w:r>
        <w:t xml:space="preserve"> </w:t>
      </w:r>
    </w:p>
    <w:p w:rsidR="00E302EC" w:rsidRDefault="00FC4F28">
      <w:pPr>
        <w:spacing w:after="8" w:line="248" w:lineRule="auto"/>
        <w:ind w:left="1426" w:right="183"/>
      </w:pPr>
      <w:r>
        <w:rPr>
          <w:b/>
        </w:rPr>
        <w:t xml:space="preserve">PRIMERO. - </w:t>
      </w:r>
      <w:r>
        <w:rPr>
          <w:b/>
        </w:rPr>
        <w:t xml:space="preserve">Prorrogar el Contrato basado para el suministro de electricidad en alta </w:t>
      </w:r>
    </w:p>
    <w:p w:rsidR="00E302EC" w:rsidRDefault="00FC4F28">
      <w:pPr>
        <w:spacing w:after="8" w:line="248" w:lineRule="auto"/>
        <w:ind w:left="279" w:right="183"/>
      </w:pPr>
      <w:r>
        <w:rPr>
          <w:b/>
        </w:rPr>
        <w:t>y baja tensión desde el día 06/05/2022 hasta el 06/05/2023, aplicándose los precios revisados conforme a lo establecido en la cláusula 16.3 del PCA, figurando en el informe técnico de</w:t>
      </w:r>
      <w:r>
        <w:rPr>
          <w:b/>
        </w:rPr>
        <w:t xml:space="preserve">l responsable del contrato de fecha 30 de marzo de 2022, y que se detallan a continuación: </w:t>
      </w:r>
    </w:p>
    <w:p w:rsidR="00E302EC" w:rsidRDefault="00FC4F28">
      <w:pPr>
        <w:spacing w:after="0" w:line="259" w:lineRule="auto"/>
        <w:ind w:left="284" w:firstLine="0"/>
        <w:jc w:val="left"/>
      </w:pPr>
      <w:r>
        <w:t xml:space="preserve"> </w:t>
      </w:r>
    </w:p>
    <w:tbl>
      <w:tblPr>
        <w:tblStyle w:val="TableGrid"/>
        <w:tblW w:w="8493" w:type="dxa"/>
        <w:tblInd w:w="291" w:type="dxa"/>
        <w:tblCellMar>
          <w:top w:w="23" w:type="dxa"/>
          <w:left w:w="31" w:type="dxa"/>
          <w:bottom w:w="0" w:type="dxa"/>
          <w:right w:w="28" w:type="dxa"/>
        </w:tblCellMar>
        <w:tblLook w:val="04A0" w:firstRow="1" w:lastRow="0" w:firstColumn="1" w:lastColumn="0" w:noHBand="0" w:noVBand="1"/>
      </w:tblPr>
      <w:tblGrid>
        <w:gridCol w:w="1784"/>
        <w:gridCol w:w="1280"/>
        <w:gridCol w:w="1226"/>
        <w:gridCol w:w="1228"/>
        <w:gridCol w:w="990"/>
        <w:gridCol w:w="992"/>
        <w:gridCol w:w="993"/>
      </w:tblGrid>
      <w:tr w:rsidR="00E302EC">
        <w:trPr>
          <w:trHeight w:val="259"/>
        </w:trPr>
        <w:tc>
          <w:tcPr>
            <w:tcW w:w="3064" w:type="dxa"/>
            <w:gridSpan w:val="2"/>
            <w:tcBorders>
              <w:top w:val="single" w:sz="5" w:space="0" w:color="000000"/>
              <w:left w:val="single" w:sz="5" w:space="0" w:color="000000"/>
              <w:bottom w:val="single" w:sz="5" w:space="0" w:color="000000"/>
              <w:right w:val="single" w:sz="5" w:space="0" w:color="000000"/>
            </w:tcBorders>
            <w:shd w:val="clear" w:color="auto" w:fill="FFF2CC"/>
          </w:tcPr>
          <w:p w:rsidR="00E302EC" w:rsidRDefault="00FC4F28">
            <w:pPr>
              <w:spacing w:after="0" w:line="259" w:lineRule="auto"/>
              <w:ind w:left="0" w:firstLine="0"/>
            </w:pPr>
            <w:r>
              <w:rPr>
                <w:b/>
                <w:sz w:val="20"/>
              </w:rPr>
              <w:t>LOTE CANARIAS CONVERTIDO</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E302EC">
            <w:pPr>
              <w:spacing w:after="160" w:line="259" w:lineRule="auto"/>
              <w:ind w:left="0" w:firstLine="0"/>
              <w:jc w:val="left"/>
            </w:pPr>
          </w:p>
        </w:tc>
        <w:tc>
          <w:tcPr>
            <w:tcW w:w="990"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tcPr>
          <w:p w:rsidR="00E302EC" w:rsidRDefault="00E302EC">
            <w:pPr>
              <w:spacing w:after="160" w:line="259" w:lineRule="auto"/>
              <w:ind w:left="0" w:firstLine="0"/>
              <w:jc w:val="left"/>
            </w:pPr>
          </w:p>
        </w:tc>
      </w:tr>
      <w:tr w:rsidR="00E302EC">
        <w:trPr>
          <w:trHeight w:val="260"/>
        </w:trPr>
        <w:tc>
          <w:tcPr>
            <w:tcW w:w="1784"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left"/>
            </w:pPr>
            <w:r>
              <w:rPr>
                <w:b/>
                <w:sz w:val="20"/>
              </w:rPr>
              <w:t>TARIFA</w:t>
            </w:r>
          </w:p>
        </w:tc>
        <w:tc>
          <w:tcPr>
            <w:tcW w:w="1280"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TE1</w:t>
            </w:r>
          </w:p>
        </w:tc>
        <w:tc>
          <w:tcPr>
            <w:tcW w:w="1226"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firstLine="0"/>
              <w:jc w:val="right"/>
            </w:pPr>
            <w:r>
              <w:rPr>
                <w:b/>
                <w:sz w:val="20"/>
              </w:rPr>
              <w:t>TE2</w:t>
            </w:r>
          </w:p>
        </w:tc>
        <w:tc>
          <w:tcPr>
            <w:tcW w:w="1228" w:type="dxa"/>
            <w:tcBorders>
              <w:top w:val="single" w:sz="5" w:space="0" w:color="000000"/>
              <w:left w:val="single" w:sz="5" w:space="0" w:color="000000"/>
              <w:bottom w:val="single" w:sz="5" w:space="0" w:color="000000"/>
              <w:right w:val="single" w:sz="5" w:space="0" w:color="000000"/>
            </w:tcBorders>
            <w:shd w:val="clear" w:color="auto" w:fill="FFFFFF"/>
          </w:tcPr>
          <w:p w:rsidR="00E302EC" w:rsidRDefault="00FC4F28">
            <w:pPr>
              <w:spacing w:after="0" w:line="259" w:lineRule="auto"/>
              <w:ind w:left="0" w:right="2" w:firstLine="0"/>
              <w:jc w:val="right"/>
            </w:pPr>
            <w:r>
              <w:rPr>
                <w:b/>
                <w:sz w:val="20"/>
              </w:rPr>
              <w:t>TE3</w:t>
            </w:r>
          </w:p>
        </w:tc>
        <w:tc>
          <w:tcPr>
            <w:tcW w:w="990"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TE4</w:t>
            </w:r>
          </w:p>
        </w:tc>
        <w:tc>
          <w:tcPr>
            <w:tcW w:w="992"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right"/>
            </w:pPr>
            <w:r>
              <w:rPr>
                <w:b/>
                <w:sz w:val="20"/>
              </w:rPr>
              <w:t>TE5</w:t>
            </w:r>
          </w:p>
        </w:tc>
        <w:tc>
          <w:tcPr>
            <w:tcW w:w="993"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right="1" w:firstLine="0"/>
              <w:jc w:val="right"/>
            </w:pPr>
            <w:r>
              <w:rPr>
                <w:b/>
                <w:sz w:val="20"/>
              </w:rPr>
              <w:t>TE6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0,3301</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0,2279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0,1719</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0,2467</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0,1893</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2.0DHS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0,3465</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0,2420</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0,1930</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0,3509</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0,2478</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0,3484</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0,2469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0,1894</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2.1DHS</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0,3467</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0,2422</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0,1932</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E302EC">
            <w:pPr>
              <w:spacing w:after="160" w:line="259" w:lineRule="auto"/>
              <w:ind w:left="0" w:firstLine="0"/>
              <w:jc w:val="left"/>
            </w:pP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3.0.A=3.0. TD</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0,2618</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0,2619</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0,2061</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0,2173</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0,1891</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0,1746</w:t>
            </w:r>
          </w:p>
        </w:tc>
      </w:tr>
      <w:tr w:rsidR="00E302EC">
        <w:trPr>
          <w:trHeight w:val="247"/>
        </w:trPr>
        <w:tc>
          <w:tcPr>
            <w:tcW w:w="1784" w:type="dxa"/>
            <w:tcBorders>
              <w:top w:val="single" w:sz="5" w:space="0" w:color="000000"/>
              <w:left w:val="single" w:sz="5" w:space="0" w:color="000000"/>
              <w:bottom w:val="single" w:sz="5" w:space="0" w:color="000000"/>
              <w:right w:val="single" w:sz="5" w:space="0" w:color="000000"/>
            </w:tcBorders>
          </w:tcPr>
          <w:p w:rsidR="00E302EC" w:rsidRDefault="00FC4F28">
            <w:pPr>
              <w:spacing w:after="0" w:line="259" w:lineRule="auto"/>
              <w:ind w:left="0" w:firstLine="0"/>
              <w:jc w:val="left"/>
            </w:pPr>
            <w:r>
              <w:rPr>
                <w:sz w:val="20"/>
              </w:rPr>
              <w:t>3.1 A</w:t>
            </w:r>
          </w:p>
        </w:tc>
        <w:tc>
          <w:tcPr>
            <w:tcW w:w="128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0,2212</w:t>
            </w:r>
          </w:p>
        </w:tc>
        <w:tc>
          <w:tcPr>
            <w:tcW w:w="1226"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0,2261</w:t>
            </w:r>
          </w:p>
        </w:tc>
        <w:tc>
          <w:tcPr>
            <w:tcW w:w="1228"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0,1826</w:t>
            </w:r>
          </w:p>
        </w:tc>
        <w:tc>
          <w:tcPr>
            <w:tcW w:w="990"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0,1974</w:t>
            </w:r>
          </w:p>
        </w:tc>
        <w:tc>
          <w:tcPr>
            <w:tcW w:w="992"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5"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0,1667</w:t>
            </w:r>
          </w:p>
        </w:tc>
      </w:tr>
      <w:tr w:rsidR="00E302EC">
        <w:trPr>
          <w:trHeight w:val="257"/>
        </w:trPr>
        <w:tc>
          <w:tcPr>
            <w:tcW w:w="1784" w:type="dxa"/>
            <w:tcBorders>
              <w:top w:val="single" w:sz="5" w:space="0" w:color="000000"/>
              <w:left w:val="single" w:sz="5" w:space="0" w:color="000000"/>
              <w:bottom w:val="single" w:sz="11" w:space="0" w:color="000000"/>
              <w:right w:val="single" w:sz="5" w:space="0" w:color="000000"/>
            </w:tcBorders>
          </w:tcPr>
          <w:p w:rsidR="00E302EC" w:rsidRDefault="00FC4F28">
            <w:pPr>
              <w:spacing w:after="0" w:line="259" w:lineRule="auto"/>
              <w:ind w:left="0" w:firstLine="0"/>
              <w:jc w:val="left"/>
            </w:pPr>
            <w:r>
              <w:rPr>
                <w:sz w:val="20"/>
              </w:rPr>
              <w:t>6.1</w:t>
            </w:r>
          </w:p>
        </w:tc>
        <w:tc>
          <w:tcPr>
            <w:tcW w:w="128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0,2174</w:t>
            </w:r>
          </w:p>
        </w:tc>
        <w:tc>
          <w:tcPr>
            <w:tcW w:w="1226"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0,2203</w:t>
            </w:r>
          </w:p>
        </w:tc>
        <w:tc>
          <w:tcPr>
            <w:tcW w:w="1228"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0,1869</w:t>
            </w:r>
          </w:p>
        </w:tc>
        <w:tc>
          <w:tcPr>
            <w:tcW w:w="990"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0,1913</w:t>
            </w:r>
          </w:p>
        </w:tc>
        <w:tc>
          <w:tcPr>
            <w:tcW w:w="992"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firstLine="0"/>
              <w:jc w:val="right"/>
            </w:pPr>
            <w:r>
              <w:rPr>
                <w:sz w:val="20"/>
              </w:rPr>
              <w:t>0,1724</w:t>
            </w:r>
          </w:p>
        </w:tc>
        <w:tc>
          <w:tcPr>
            <w:tcW w:w="993" w:type="dxa"/>
            <w:tcBorders>
              <w:top w:val="single" w:sz="5" w:space="0" w:color="000000"/>
              <w:left w:val="single" w:sz="5" w:space="0" w:color="000000"/>
              <w:bottom w:val="single" w:sz="11" w:space="0" w:color="000000"/>
              <w:right w:val="single" w:sz="5" w:space="0" w:color="000000"/>
            </w:tcBorders>
            <w:shd w:val="clear" w:color="auto" w:fill="F4B084"/>
          </w:tcPr>
          <w:p w:rsidR="00E302EC" w:rsidRDefault="00FC4F28">
            <w:pPr>
              <w:spacing w:after="0" w:line="259" w:lineRule="auto"/>
              <w:ind w:left="0" w:right="2" w:firstLine="0"/>
              <w:jc w:val="right"/>
            </w:pPr>
            <w:r>
              <w:rPr>
                <w:sz w:val="20"/>
              </w:rPr>
              <w:t>0,1636</w:t>
            </w:r>
          </w:p>
        </w:tc>
      </w:tr>
    </w:tbl>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1" w:line="259" w:lineRule="auto"/>
        <w:ind w:left="10" w:right="184"/>
        <w:jc w:val="right"/>
      </w:pPr>
      <w:r>
        <w:rPr>
          <w:b/>
        </w:rPr>
        <w:t xml:space="preserve">SEGUNDO. </w:t>
      </w:r>
      <w:r>
        <w:rPr>
          <w:b/>
        </w:rPr>
        <w:t xml:space="preserve">-  Comunicar esta resolución a la empresa adjudicataria a través de la </w:t>
      </w:r>
    </w:p>
    <w:p w:rsidR="00E302EC" w:rsidRDefault="00FC4F28">
      <w:pPr>
        <w:spacing w:after="8" w:line="248" w:lineRule="auto"/>
        <w:ind w:left="279" w:right="183"/>
      </w:pPr>
      <w:r>
        <w:rPr>
          <w:b/>
        </w:rPr>
        <w:t xml:space="preserve">plataforma informática de la Central de Contratación, publicarla en el perfil del contratante de esta Entidad Local y notificarla conforme a lo establecido en la LCSP. </w:t>
      </w:r>
      <w:r>
        <w:rPr>
          <w:rFonts w:ascii="Times New Roman" w:eastAsia="Times New Roman" w:hAnsi="Times New Roman" w:cs="Times New Roman"/>
          <w:sz w:val="24"/>
        </w:rPr>
        <w:t xml:space="preserve"> </w:t>
      </w:r>
    </w:p>
    <w:p w:rsidR="00E302EC" w:rsidRDefault="00FC4F28">
      <w:pPr>
        <w:spacing w:after="119" w:line="259" w:lineRule="auto"/>
        <w:ind w:left="284" w:firstLine="0"/>
        <w:jc w:val="left"/>
      </w:pPr>
      <w:r>
        <w:t xml:space="preserve"> </w:t>
      </w:r>
    </w:p>
    <w:p w:rsidR="00E302EC" w:rsidRDefault="00FC4F28">
      <w:pPr>
        <w:numPr>
          <w:ilvl w:val="0"/>
          <w:numId w:val="128"/>
        </w:numPr>
        <w:spacing w:after="10" w:line="249" w:lineRule="auto"/>
        <w:ind w:right="183" w:hanging="360"/>
      </w:pPr>
      <w:r>
        <w:rPr>
          <w:b/>
          <w:sz w:val="24"/>
        </w:rPr>
        <w:t xml:space="preserve">Actividad de control. </w:t>
      </w:r>
    </w:p>
    <w:p w:rsidR="00E302EC" w:rsidRDefault="00FC4F28">
      <w:pPr>
        <w:spacing w:after="0" w:line="259" w:lineRule="auto"/>
        <w:ind w:left="284" w:firstLine="0"/>
        <w:jc w:val="left"/>
      </w:pPr>
      <w:r>
        <w:rPr>
          <w:rFonts w:ascii="Times New Roman" w:eastAsia="Times New Roman" w:hAnsi="Times New Roman" w:cs="Times New Roman"/>
          <w:sz w:val="24"/>
        </w:rPr>
        <w:t xml:space="preserve"> </w:t>
      </w:r>
    </w:p>
    <w:p w:rsidR="00E302EC" w:rsidRDefault="00FC4F28">
      <w:pPr>
        <w:spacing w:after="0" w:line="249" w:lineRule="auto"/>
        <w:ind w:left="279" w:right="183"/>
      </w:pPr>
      <w:r>
        <w:rPr>
          <w:b/>
          <w:sz w:val="24"/>
        </w:rPr>
        <w:t xml:space="preserve">12.- Dación de cuenta de los Decretos de la Alcaldía-Presidencia y Concejales delegados desde la última sesión ordinaria. </w:t>
      </w:r>
    </w:p>
    <w:p w:rsidR="00E302EC" w:rsidRDefault="00FC4F28">
      <w:pPr>
        <w:spacing w:after="0" w:line="259" w:lineRule="auto"/>
        <w:ind w:left="284" w:firstLine="0"/>
        <w:jc w:val="left"/>
      </w:pPr>
      <w:r>
        <w:rPr>
          <w:sz w:val="24"/>
        </w:rPr>
        <w:t xml:space="preserve"> </w:t>
      </w:r>
    </w:p>
    <w:p w:rsidR="00E302EC" w:rsidRDefault="00FC4F28">
      <w:pPr>
        <w:ind w:left="279" w:right="184"/>
      </w:pPr>
      <w:r>
        <w:t xml:space="preserve">Se dio cuenta a los concejales presentes del CD con los Decretos desde la última sesión ordinaria. </w:t>
      </w:r>
    </w:p>
    <w:p w:rsidR="00E302EC" w:rsidRDefault="00FC4F28">
      <w:pPr>
        <w:spacing w:after="0" w:line="259" w:lineRule="auto"/>
        <w:ind w:left="284" w:firstLine="0"/>
        <w:jc w:val="left"/>
      </w:pPr>
      <w:r>
        <w:rPr>
          <w:sz w:val="24"/>
        </w:rPr>
        <w:t xml:space="preserve"> </w:t>
      </w:r>
    </w:p>
    <w:p w:rsidR="00E302EC" w:rsidRDefault="00FC4F28">
      <w:pPr>
        <w:spacing w:after="0" w:line="249" w:lineRule="auto"/>
        <w:ind w:left="279" w:right="266"/>
      </w:pPr>
      <w:r>
        <w:rPr>
          <w:b/>
          <w:sz w:val="24"/>
        </w:rPr>
        <w:t>13.-</w:t>
      </w:r>
      <w:r>
        <w:rPr>
          <w:b/>
          <w:sz w:val="24"/>
        </w:rPr>
        <w:t xml:space="preserve"> Informe de la Intervención sobre las resoluciones adoptadas contrarios a los reparos efectuados conforme la ley 27/2013, de 27 de diciembre, de racionalización y sostenibilidad de la Administración local. </w:t>
      </w:r>
    </w:p>
    <w:p w:rsidR="00E302EC" w:rsidRDefault="00FC4F28">
      <w:pPr>
        <w:spacing w:after="0" w:line="259" w:lineRule="auto"/>
        <w:ind w:left="284" w:firstLine="0"/>
        <w:jc w:val="left"/>
      </w:pPr>
      <w:r>
        <w:rPr>
          <w:b/>
          <w:sz w:val="24"/>
        </w:rPr>
        <w:t xml:space="preserve"> </w:t>
      </w:r>
    </w:p>
    <w:p w:rsidR="00E302EC" w:rsidRDefault="00FC4F28">
      <w:pPr>
        <w:ind w:left="279" w:right="258"/>
      </w:pPr>
      <w:r>
        <w:t>El Alcalde Accidental preguntó por si existía i</w:t>
      </w:r>
      <w:r>
        <w:t xml:space="preserve">nforme del Interventor, pero el Interventor había abandonado anteriormente el salón de sesiones y tanto el Alcalde Accidental como el Secretario General hicieron constar “No está presente”. </w:t>
      </w:r>
    </w:p>
    <w:p w:rsidR="00E302EC" w:rsidRDefault="00FC4F28">
      <w:pPr>
        <w:spacing w:after="0" w:line="259" w:lineRule="auto"/>
        <w:ind w:left="284" w:firstLine="0"/>
        <w:jc w:val="left"/>
      </w:pPr>
      <w:r>
        <w:t xml:space="preserve"> </w:t>
      </w:r>
    </w:p>
    <w:p w:rsidR="00E302EC" w:rsidRDefault="00FC4F28">
      <w:pPr>
        <w:numPr>
          <w:ilvl w:val="0"/>
          <w:numId w:val="128"/>
        </w:numPr>
        <w:spacing w:after="10" w:line="249" w:lineRule="auto"/>
        <w:ind w:right="183" w:hanging="360"/>
      </w:pPr>
      <w:r>
        <w:rPr>
          <w:b/>
          <w:sz w:val="24"/>
        </w:rPr>
        <w:t xml:space="preserve">Ruegos y preguntas. </w:t>
      </w:r>
    </w:p>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2455" name="Group 26245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6576" name="Rectangle 26576"/>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6577" name="Rectangle 26577"/>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151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2455" style="width:12.7031pt;height:273.276pt;position:absolute;mso-position-horizontal-relative:page;mso-position-horizontal:absolute;margin-left:682.278pt;mso-position-vertical-relative:page;margin-top:538.644pt;" coordsize="1613,34706">
                <v:rect id="Rectangle 26576"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6577"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159 </w:t>
                        </w:r>
                      </w:p>
                    </w:txbxContent>
                  </v:textbox>
                </v:rect>
                <w10:wrap type="square"/>
              </v:group>
            </w:pict>
          </mc:Fallback>
        </mc:AlternateContent>
      </w:r>
      <w:r>
        <w:rPr>
          <w:b/>
        </w:rPr>
        <w:t xml:space="preserve"> </w:t>
      </w:r>
    </w:p>
    <w:p w:rsidR="00E302EC" w:rsidRDefault="00FC4F28">
      <w:pPr>
        <w:spacing w:after="8" w:line="248" w:lineRule="auto"/>
        <w:ind w:left="279" w:right="183"/>
      </w:pPr>
      <w:r>
        <w:rPr>
          <w:b/>
        </w:rPr>
        <w:t xml:space="preserve">14.- Ruegos y preguntas. </w:t>
      </w:r>
    </w:p>
    <w:p w:rsidR="00E302EC" w:rsidRDefault="00FC4F28">
      <w:pPr>
        <w:spacing w:after="0" w:line="259" w:lineRule="auto"/>
        <w:ind w:left="284" w:firstLine="0"/>
        <w:jc w:val="left"/>
      </w:pPr>
      <w:r>
        <w:rPr>
          <w:b/>
        </w:rPr>
        <w:t xml:space="preserve"> </w:t>
      </w:r>
    </w:p>
    <w:p w:rsidR="00E302EC" w:rsidRDefault="00FC4F28">
      <w:pPr>
        <w:spacing w:after="8" w:line="248" w:lineRule="auto"/>
        <w:ind w:left="279" w:right="183"/>
      </w:pPr>
      <w:r>
        <w:rPr>
          <w:b/>
        </w:rPr>
        <w:t>INTERVIENE DON JORGE BAUTE DELG</w:t>
      </w:r>
      <w:r>
        <w:rPr>
          <w:b/>
        </w:rPr>
        <w:t xml:space="preserve">ADO. - </w:t>
      </w:r>
    </w:p>
    <w:p w:rsidR="00E302EC" w:rsidRDefault="00FC4F28">
      <w:pPr>
        <w:spacing w:after="41"/>
        <w:ind w:left="279" w:right="184"/>
      </w:pPr>
      <w:r>
        <w:t xml:space="preserve"> Pasamos al apartado C, Ruegos y Preguntas. </w:t>
      </w:r>
    </w:p>
    <w:p w:rsidR="00E302EC" w:rsidRDefault="00FC4F28">
      <w:pPr>
        <w:ind w:left="279" w:right="184"/>
      </w:pPr>
      <w:r>
        <w:t>Ruegos, Alicia. -</w:t>
      </w:r>
      <w:r>
        <w:rPr>
          <w:rFonts w:ascii="Times New Roman" w:eastAsia="Times New Roman" w:hAnsi="Times New Roman" w:cs="Times New Roman"/>
          <w:sz w:val="24"/>
        </w:rPr>
        <w:t xml:space="preserve"> </w:t>
      </w:r>
    </w:p>
    <w:p w:rsidR="00E302EC" w:rsidRDefault="00FC4F28">
      <w:pPr>
        <w:spacing w:after="16" w:line="259" w:lineRule="auto"/>
        <w:ind w:left="284" w:firstLine="0"/>
        <w:jc w:val="left"/>
      </w:pPr>
      <w:r>
        <w:rPr>
          <w:b/>
        </w:rPr>
        <w:t xml:space="preserve"> </w:t>
      </w:r>
    </w:p>
    <w:p w:rsidR="00E302EC" w:rsidRDefault="00FC4F28">
      <w:pPr>
        <w:spacing w:after="8" w:line="248" w:lineRule="auto"/>
        <w:ind w:left="279" w:right="183"/>
      </w:pPr>
      <w:r>
        <w:rPr>
          <w:b/>
        </w:rPr>
        <w:t xml:space="preserve">INTERVIENE DOÑA ALICIA MERCEDES MARRERO MENESES. - </w:t>
      </w:r>
    </w:p>
    <w:p w:rsidR="00E302EC" w:rsidRDefault="00FC4F28">
      <w:pPr>
        <w:spacing w:after="26"/>
        <w:ind w:left="279" w:right="184"/>
      </w:pPr>
      <w:r>
        <w:t xml:space="preserve">Ruego se proceda a solucionar el estado en que se encuentra la tapa de alcantarillado ubicada junto al depósito de residuos en la </w:t>
      </w:r>
      <w:r>
        <w:t xml:space="preserve">Avenida Los Menceyes, esquina con la calle Mencey Bentor a la altura de la rotonda existente, por lo visto se han caído varias personas y me han llegado las quejas.  </w:t>
      </w:r>
    </w:p>
    <w:p w:rsidR="00E302EC" w:rsidRDefault="00FC4F28">
      <w:pPr>
        <w:spacing w:after="17" w:line="259" w:lineRule="auto"/>
        <w:ind w:left="284" w:firstLine="0"/>
        <w:jc w:val="left"/>
      </w:pPr>
      <w:r>
        <w:rPr>
          <w:b/>
        </w:rP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1" w:line="259" w:lineRule="auto"/>
        <w:ind w:left="284" w:firstLine="0"/>
        <w:jc w:val="left"/>
      </w:pPr>
      <w:r>
        <w:rPr>
          <w:b/>
        </w:rPr>
        <w:t xml:space="preserve"> </w:t>
      </w:r>
    </w:p>
    <w:p w:rsidR="00E302EC" w:rsidRDefault="00FC4F28">
      <w:pPr>
        <w:spacing w:after="27"/>
        <w:ind w:left="279" w:right="184"/>
      </w:pPr>
      <w:r>
        <w:t xml:space="preserve">Ok. Algún otro ruego, Ángela.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DOÑA ÁNGELA CRUZ PERERA - </w:t>
      </w:r>
    </w:p>
    <w:p w:rsidR="00E302EC" w:rsidRDefault="00FC4F28">
      <w:pPr>
        <w:spacing w:after="26"/>
        <w:ind w:left="279" w:right="184"/>
      </w:pPr>
      <w:r>
        <w:t xml:space="preserve">Rogamos que lo antes posible se acometa la renovación de la farola que permanece caída a la entrada de Candelaria por Punta Larga, al tratarse de un punto neurálgico de nuestro municipio, que precisa iluminación.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I</w:t>
      </w:r>
      <w:r>
        <w:rPr>
          <w:b/>
        </w:rPr>
        <w:t xml:space="preserve">NTERVIENE DON JORGE BAUTE DELGADO. -.  </w:t>
      </w:r>
    </w:p>
    <w:p w:rsidR="00E302EC" w:rsidRDefault="00FC4F28">
      <w:pPr>
        <w:spacing w:after="30"/>
        <w:ind w:left="279" w:right="184"/>
      </w:pPr>
      <w:r>
        <w:t xml:space="preserve">Perdona, no te entiendo bien, la farola que está.  </w:t>
      </w:r>
    </w:p>
    <w:p w:rsidR="00E302EC" w:rsidRDefault="00FC4F28">
      <w:pPr>
        <w:spacing w:after="14" w:line="259" w:lineRule="auto"/>
        <w:ind w:left="284" w:firstLine="0"/>
        <w:jc w:val="left"/>
      </w:pPr>
      <w:r>
        <w:t xml:space="preserve"> </w:t>
      </w:r>
    </w:p>
    <w:p w:rsidR="00E302EC" w:rsidRDefault="00FC4F28">
      <w:pPr>
        <w:spacing w:after="68" w:line="248" w:lineRule="auto"/>
        <w:ind w:left="279" w:right="183"/>
      </w:pPr>
      <w:r>
        <w:rPr>
          <w:b/>
        </w:rPr>
        <w:t xml:space="preserve">INTERVIENE DOÑA ÁNGELA CRUZ PERERA - </w:t>
      </w:r>
    </w:p>
    <w:p w:rsidR="00E302EC" w:rsidRDefault="00FC4F28">
      <w:pPr>
        <w:spacing w:after="27"/>
        <w:ind w:left="279" w:right="184"/>
      </w:pPr>
      <w:r>
        <w:t xml:space="preserve">En la entrada de Punta Larga… </w:t>
      </w:r>
    </w:p>
    <w:p w:rsidR="00E302EC" w:rsidRDefault="00FC4F28">
      <w:pPr>
        <w:spacing w:after="17"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7"/>
        <w:ind w:left="279" w:right="184"/>
      </w:pPr>
      <w:r>
        <w:t xml:space="preserve">¿Entrada de la autopista hacia Punta Larga?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DOÑA ÁNGELA CRUZ PERERA - </w:t>
      </w:r>
    </w:p>
    <w:p w:rsidR="00E302EC" w:rsidRDefault="00FC4F28">
      <w:pPr>
        <w:spacing w:after="30"/>
        <w:ind w:left="279" w:right="184"/>
      </w:pPr>
      <w:r>
        <w:t xml:space="preserve">En la curva después de que pasas el puente.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w:t>
      </w:r>
    </w:p>
    <w:p w:rsidR="00E302EC" w:rsidRDefault="00FC4F28">
      <w:pPr>
        <w:spacing w:after="27"/>
        <w:ind w:left="279" w:right="184"/>
      </w:pPr>
      <w:r>
        <w:t xml:space="preserve">Que la tiró un coche el domingo.  </w:t>
      </w:r>
    </w:p>
    <w:p w:rsidR="00E302EC" w:rsidRDefault="00FC4F28">
      <w:pPr>
        <w:spacing w:after="16" w:line="259" w:lineRule="auto"/>
        <w:ind w:left="284" w:firstLine="0"/>
        <w:jc w:val="left"/>
      </w:pPr>
      <w:r>
        <w:t xml:space="preserve"> </w:t>
      </w:r>
    </w:p>
    <w:p w:rsidR="00E302EC" w:rsidRDefault="00FC4F28">
      <w:pPr>
        <w:spacing w:after="8" w:line="248" w:lineRule="auto"/>
        <w:ind w:left="279" w:right="183"/>
      </w:pPr>
      <w:r>
        <w:rPr>
          <w:b/>
        </w:rPr>
        <w:t xml:space="preserve">INTERVIENE DOÑA ÁNGELA CRUZ PERERA - </w:t>
      </w:r>
    </w:p>
    <w:p w:rsidR="00E302EC" w:rsidRDefault="00FC4F28">
      <w:pPr>
        <w:spacing w:after="26"/>
        <w:ind w:left="279" w:right="184"/>
      </w:pPr>
      <w:r>
        <w:t>De entrada, a Punta Larga, hay una farola caída, no sé si</w:t>
      </w:r>
      <w:r>
        <w:t xml:space="preserve"> es por la acción del viento o si ha sido un accidente automovilístico o algo.  </w:t>
      </w:r>
    </w:p>
    <w:p w:rsidR="00E302EC" w:rsidRDefault="00FC4F28">
      <w:pPr>
        <w:spacing w:after="14" w:line="259" w:lineRule="auto"/>
        <w:ind w:left="284" w:firstLine="0"/>
        <w:jc w:val="left"/>
      </w:pPr>
      <w:r>
        <w:t xml:space="preserve"> </w:t>
      </w:r>
    </w:p>
    <w:p w:rsidR="00E302EC" w:rsidRDefault="00FC4F28">
      <w:pPr>
        <w:spacing w:after="32" w:line="248" w:lineRule="auto"/>
        <w:ind w:left="279" w:right="183"/>
      </w:pPr>
      <w:r>
        <w:rPr>
          <w:b/>
        </w:rPr>
        <w:t xml:space="preserve">INTERVIENE DON JORGE BAUTE DELGADO. - </w:t>
      </w:r>
    </w:p>
    <w:p w:rsidR="00E302EC" w:rsidRDefault="00FC4F28">
      <w:pPr>
        <w:spacing w:after="27"/>
        <w:ind w:left="279" w:right="184"/>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2451" name="Group 262451"/>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6683" name="Rectangle 26683"/>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6684" name="Rectangle 26684"/>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152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2451" style="width:12.7031pt;height:273.276pt;position:absolute;mso-position-horizontal-relative:page;mso-position-horizontal:absolute;margin-left:682.278pt;mso-position-vertical-relative:page;margin-top:538.644pt;" coordsize="1613,34706">
                <v:rect id="Rectangle 26683"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6684"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159 </w:t>
                        </w:r>
                      </w:p>
                    </w:txbxContent>
                  </v:textbox>
                </v:rect>
                <w10:wrap type="square"/>
              </v:group>
            </w:pict>
          </mc:Fallback>
        </mc:AlternateContent>
      </w:r>
      <w:r>
        <w:t xml:space="preserve">Le dio un golpe un coche.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DOÑA ÁNGELA CRUZ PERERA - </w:t>
      </w:r>
    </w:p>
    <w:p w:rsidR="00E302EC" w:rsidRDefault="00FC4F28">
      <w:pPr>
        <w:spacing w:after="30"/>
        <w:ind w:left="279" w:right="184"/>
      </w:pPr>
      <w:r>
        <w:t xml:space="preserve">Le dieron un golpe o algo, pero está caída y solicitar que se reponga cuanto antes.  </w:t>
      </w:r>
    </w:p>
    <w:p w:rsidR="00E302EC" w:rsidRDefault="00FC4F28">
      <w:pPr>
        <w:spacing w:after="15" w:line="259" w:lineRule="auto"/>
        <w:ind w:left="284" w:firstLine="0"/>
        <w:jc w:val="left"/>
      </w:pPr>
      <w:r>
        <w:t xml:space="preserve"> </w:t>
      </w:r>
    </w:p>
    <w:p w:rsidR="00E302EC" w:rsidRDefault="00FC4F28">
      <w:pPr>
        <w:spacing w:after="8" w:line="248" w:lineRule="auto"/>
        <w:ind w:left="279" w:right="183"/>
      </w:pPr>
      <w:r>
        <w:rPr>
          <w:b/>
        </w:rPr>
        <w:t>INTER</w:t>
      </w:r>
      <w:r>
        <w:rPr>
          <w:b/>
        </w:rPr>
        <w:t xml:space="preserve">VIENE DON JORGE BAUTE DELGADO. – </w:t>
      </w:r>
    </w:p>
    <w:p w:rsidR="00E302EC" w:rsidRDefault="00FC4F28">
      <w:pPr>
        <w:spacing w:after="25"/>
        <w:ind w:left="279" w:right="184"/>
      </w:pPr>
      <w:r>
        <w:t xml:space="preserve">Sí, eso fue el domingo y se apartó ahí a un lado para retirarla, no sé si hoy habrá dado tiempo a retirarla, pero tenemos que quitarla. </w:t>
      </w:r>
    </w:p>
    <w:p w:rsidR="00E302EC" w:rsidRDefault="00FC4F28">
      <w:pPr>
        <w:spacing w:after="30"/>
        <w:ind w:left="279" w:right="184"/>
      </w:pPr>
      <w:r>
        <w:t xml:space="preserve">Otro ruego, Lourdes, ah perdón.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DON. ANTONIO DELGADO GARCÍA. - </w:t>
      </w:r>
    </w:p>
    <w:p w:rsidR="00E302EC" w:rsidRDefault="00FC4F28">
      <w:pPr>
        <w:spacing w:after="27"/>
        <w:ind w:left="279" w:right="184"/>
      </w:pPr>
      <w:r>
        <w:t>Buenas</w:t>
      </w:r>
      <w:r>
        <w:t xml:space="preserve"> tardes a todos. </w:t>
      </w:r>
    </w:p>
    <w:p w:rsidR="00E302EC" w:rsidRDefault="00FC4F28">
      <w:pPr>
        <w:spacing w:after="26"/>
        <w:ind w:left="279" w:right="184"/>
      </w:pPr>
      <w:r>
        <w:t xml:space="preserve">Rodamos dar solución al regadío de los árboles que se encuentran plantados en el centro de la Avenida de Los Menceyes, a partir del Centro Comercial Punta Larga en dirección Candelaria. La mayoría de los árboles se encuentran secos.  </w:t>
      </w:r>
    </w:p>
    <w:p w:rsidR="00E302EC" w:rsidRDefault="00FC4F28">
      <w:pPr>
        <w:spacing w:after="15"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30"/>
        <w:ind w:left="279" w:right="184"/>
      </w:pPr>
      <w:r>
        <w:t xml:space="preserve">En la Avenida Los Menceyes, a qué altura, perdona.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DON ANTONIO DELGADO GARCÍA. - </w:t>
      </w:r>
    </w:p>
    <w:p w:rsidR="00E302EC" w:rsidRDefault="00FC4F28">
      <w:pPr>
        <w:spacing w:after="28"/>
        <w:ind w:left="279" w:right="184"/>
      </w:pPr>
      <w:r>
        <w:t xml:space="preserve">Desde el Centro Comercial hacia Candelaria, en sentido a Candelaria. –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30"/>
        <w:ind w:left="279" w:right="184"/>
      </w:pPr>
      <w:r>
        <w:t>Te refi</w:t>
      </w:r>
      <w:r>
        <w:t xml:space="preserve">eres a la mediana, al paseo central, que se encuentran secos los árboles. – </w:t>
      </w:r>
    </w:p>
    <w:p w:rsidR="00E302EC" w:rsidRDefault="00FC4F28">
      <w:pPr>
        <w:spacing w:after="15" w:line="259" w:lineRule="auto"/>
        <w:ind w:left="284" w:firstLine="0"/>
        <w:jc w:val="left"/>
      </w:pPr>
      <w:r>
        <w:t xml:space="preserve"> </w:t>
      </w:r>
    </w:p>
    <w:p w:rsidR="00E302EC" w:rsidRDefault="00FC4F28">
      <w:pPr>
        <w:spacing w:after="39" w:line="248" w:lineRule="auto"/>
        <w:ind w:left="279" w:right="183"/>
      </w:pPr>
      <w:r>
        <w:rPr>
          <w:b/>
        </w:rPr>
        <w:t xml:space="preserve">INTERVIENE DON ANTONIO DELGADO GARCÍA. – </w:t>
      </w:r>
    </w:p>
    <w:p w:rsidR="00E302EC" w:rsidRDefault="00FC4F28">
      <w:pPr>
        <w:spacing w:after="28"/>
        <w:ind w:left="279" w:right="184"/>
      </w:pPr>
      <w:r>
        <w:t xml:space="preserve">Si. – </w:t>
      </w:r>
    </w:p>
    <w:p w:rsidR="00E302EC" w:rsidRDefault="00FC4F28">
      <w:pPr>
        <w:spacing w:after="17"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7"/>
        <w:ind w:left="279" w:right="184"/>
      </w:pPr>
      <w:r>
        <w:t xml:space="preserve">Miraremos. </w:t>
      </w:r>
    </w:p>
    <w:p w:rsidR="00E302EC" w:rsidRDefault="00FC4F28">
      <w:pPr>
        <w:spacing w:after="27"/>
        <w:ind w:left="279" w:right="184"/>
      </w:pPr>
      <w:r>
        <w:t xml:space="preserve">Jacobo. - </w:t>
      </w:r>
    </w:p>
    <w:p w:rsidR="00E302EC" w:rsidRDefault="00FC4F28">
      <w:pPr>
        <w:spacing w:after="14" w:line="259" w:lineRule="auto"/>
        <w:ind w:left="284" w:firstLine="0"/>
        <w:jc w:val="left"/>
      </w:pPr>
      <w:r>
        <w:t xml:space="preserve"> </w:t>
      </w:r>
    </w:p>
    <w:p w:rsidR="00E302EC" w:rsidRDefault="00FC4F28">
      <w:pPr>
        <w:spacing w:after="32" w:line="248" w:lineRule="auto"/>
        <w:ind w:left="279" w:right="183"/>
      </w:pPr>
      <w:r>
        <w:rPr>
          <w:b/>
        </w:rPr>
        <w:t xml:space="preserve">INTERVIENE JACOBO LÓPEZ FARIÑA. - </w:t>
      </w:r>
    </w:p>
    <w:p w:rsidR="00E302EC" w:rsidRDefault="00FC4F28">
      <w:pPr>
        <w:spacing w:after="26"/>
        <w:ind w:left="279" w:right="184"/>
      </w:pPr>
      <w:r>
        <w:t>Hace varios años se realizaron actuaciones en varios parques del municipio, uno de ellos fue el de Punta Larga, donde se ubicó entre otros elementos una tirolina. Han pasado algunos años y hoy en día el espacio está totalmente abandonado, generando una ima</w:t>
      </w:r>
      <w:r>
        <w:t xml:space="preserve">gen poco adecuada para el municipio de Candelaria. Esperamos que tengan en cuenta esta solicitud de los vecinos y se tomen las medidas oportunas en la mayor brevedad posible. </w:t>
      </w:r>
    </w:p>
    <w:p w:rsidR="00E302EC" w:rsidRDefault="00FC4F28">
      <w:pPr>
        <w:spacing w:after="27"/>
        <w:ind w:left="279" w:right="184"/>
      </w:pPr>
      <w:r>
        <w:t>Hace varios meses solicitamos la retirada de las cabinas de teléfono que se encu</w:t>
      </w:r>
      <w:r>
        <w:t xml:space="preserve">entran en el municipio, que carecen de funcionalidad y que suponen un obstáculo para los viandantes. Solicitamos al Grupo de Gobierno que realice la gestión oportuna para que se le pueda dar una respuesta adecuada a este ruego de los vecinos. </w:t>
      </w:r>
    </w:p>
    <w:p w:rsidR="00E302EC" w:rsidRDefault="00FC4F28">
      <w:pPr>
        <w:spacing w:after="27"/>
        <w:ind w:left="279" w:right="184"/>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2680" name="Group 26268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6781" name="Rectangle 26781"/>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Cód. Vali</w:t>
                              </w:r>
                              <w:r>
                                <w:rPr>
                                  <w:sz w:val="12"/>
                                </w:rPr>
                                <w:t xml:space="preserve">dación: 7MT23JRFLY7JHEN56D753ZS5Q | Verificación: https://candelaria.sedelectronica.es/ </w:t>
                              </w:r>
                            </w:p>
                          </w:txbxContent>
                        </wps:txbx>
                        <wps:bodyPr horzOverflow="overflow" vert="horz" lIns="0" tIns="0" rIns="0" bIns="0" rtlCol="0">
                          <a:noAutofit/>
                        </wps:bodyPr>
                      </wps:wsp>
                      <wps:wsp>
                        <wps:cNvPr id="26782" name="Rectangle 26782"/>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153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2680" style="width:12.7031pt;height:273.276pt;position:absolute;mso-position-horizontal-relative:page;mso-position-horizontal:absolute;margin-left:682.278pt;mso-position-vertical-relative:page;margin-top:538.644pt;" coordsize="1613,34706">
                <v:rect id="Rectangle 26781"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6782"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159 </w:t>
                        </w:r>
                      </w:p>
                    </w:txbxContent>
                  </v:textbox>
                </v:rect>
                <w10:wrap type="square"/>
              </v:group>
            </w:pict>
          </mc:Fallback>
        </mc:AlternateContent>
      </w:r>
      <w:r>
        <w:t xml:space="preserve">Tengo otra. </w:t>
      </w:r>
    </w:p>
    <w:p w:rsidR="00E302EC" w:rsidRDefault="00FC4F28">
      <w:pPr>
        <w:spacing w:after="28"/>
        <w:ind w:left="279" w:right="184"/>
      </w:pPr>
      <w:r>
        <w:t xml:space="preserve">Recientemente se han instalado señales de tráfico en las </w:t>
      </w:r>
      <w:r>
        <w:t xml:space="preserve">calles Padre Jesús Mendoza y Periodista Ernesto Salcedo, que dificultan el flujo de peatones. Se ruega que se reubiquen las señales de tráfico.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7"/>
        <w:ind w:left="279" w:right="184"/>
      </w:pPr>
      <w:r>
        <w:t>Si, ya lo estuvimos comentando antes, ¿no? Quieres comentar algo Mano</w:t>
      </w:r>
      <w:r>
        <w:t xml:space="preserve">lo.  </w:t>
      </w:r>
    </w:p>
    <w:p w:rsidR="00E302EC" w:rsidRDefault="00FC4F28">
      <w:pPr>
        <w:spacing w:after="14" w:line="259" w:lineRule="auto"/>
        <w:ind w:left="284" w:firstLine="0"/>
        <w:jc w:val="left"/>
      </w:pPr>
      <w:r>
        <w:t xml:space="preserve"> </w:t>
      </w:r>
    </w:p>
    <w:p w:rsidR="00E302EC" w:rsidRDefault="00FC4F28">
      <w:pPr>
        <w:spacing w:after="32" w:line="248" w:lineRule="auto"/>
        <w:ind w:left="279" w:right="183"/>
      </w:pPr>
      <w:r>
        <w:rPr>
          <w:b/>
        </w:rPr>
        <w:t xml:space="preserve">INTERVIENE DON MANUEL ALBERTO GONZÁLEZ PESTANO.  </w:t>
      </w:r>
    </w:p>
    <w:p w:rsidR="00E302EC" w:rsidRDefault="00FC4F28">
      <w:pPr>
        <w:spacing w:after="26"/>
        <w:ind w:left="279" w:right="184"/>
      </w:pPr>
      <w:r>
        <w:t>Buenas tardes, para hacerte el comentario de las cabinas de teléfono, se ha solicitado la retirada a Telefónica España, ellos dicen que están en el trámite de una licitación desde hace meses, ya nos lo han comunicado, se retiró ya una que estaba en la acer</w:t>
      </w:r>
      <w:r>
        <w:t xml:space="preserve">a de la Plaza Ajoreña, la obra que ese está acometiendo arriba y también se ha preguntado, se ha consultado por la que está en frente de la Hornilla. </w:t>
      </w:r>
    </w:p>
    <w:p w:rsidR="00E302EC" w:rsidRDefault="00FC4F28">
      <w:pPr>
        <w:spacing w:after="26"/>
        <w:ind w:left="279" w:right="184"/>
      </w:pPr>
      <w:r>
        <w:t>Ellos nos comentan que el proceso de licitación puede que tarde meses, que las van a retirar todas de Ten</w:t>
      </w:r>
      <w:r>
        <w:t>erife, pero que no se saben porque municipio comenzarán, lo que nos han comentados es que si el Ayuntamiento estima retirarlas por iniciativa propia que se lo comuniquemos cuando se vaya a realizar la retirada que ellos la autorizarán porque básicamente no</w:t>
      </w:r>
      <w:r>
        <w:t xml:space="preserve"> saben en qué momento, no estiman que sea antes de año y medio, dos años, el plazo, nos han enviado también un documento con todas las que en su momento contaban, creo que el documento data de la década de los setenta, los ochenta y creo que, a día de hoy </w:t>
      </w:r>
      <w:r>
        <w:t xml:space="preserve">queda una o dos nada más, y lo que estamos </w:t>
      </w:r>
    </w:p>
    <w:p w:rsidR="00E302EC" w:rsidRDefault="00FC4F28">
      <w:pPr>
        <w:spacing w:after="28"/>
        <w:ind w:left="279" w:right="184"/>
      </w:pPr>
      <w:r>
        <w:t>Jorge y yo planteando su retirada que creo que es la única de las pocas que van quedando ya es la de la Plaza de la Hornilla, no sé, como el audio no llega muy bien, no sé si te refería en concreto a esa. Gracias</w:t>
      </w:r>
      <w:r>
        <w:t xml:space="preserve">.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7"/>
        <w:ind w:left="279" w:right="184"/>
      </w:pPr>
      <w:r>
        <w:t xml:space="preserve">Muchas gracias. </w:t>
      </w:r>
    </w:p>
    <w:p w:rsidR="00E302EC" w:rsidRDefault="00FC4F28">
      <w:pPr>
        <w:spacing w:after="30"/>
        <w:ind w:left="279" w:right="184"/>
      </w:pPr>
      <w:r>
        <w:t xml:space="preserve">Pasamos a las preguntas. Alicia.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DOÑA ALICIA MERCEDES MARRERO MENESES. - </w:t>
      </w:r>
    </w:p>
    <w:p w:rsidR="00E302EC" w:rsidRDefault="00FC4F28">
      <w:pPr>
        <w:spacing w:after="26"/>
        <w:ind w:left="279" w:right="184"/>
      </w:pPr>
      <w:r>
        <w:t xml:space="preserve">En septiembre del año pasado este plenario acordó implantar y aplicar mejores medidas de control, medición </w:t>
      </w:r>
      <w:r>
        <w:t>e información sobre la calidad del aire, la contaminación acústica y el estado sanitario de las aguas de baño de la Playa de La Viuda. Han pasado varios meses y queremos saber, sobre todo los vecinos de Playa de la Viuda, qué trámites, informes y expedient</w:t>
      </w:r>
      <w:r>
        <w:t xml:space="preserve">es se han realizado desde entonces para cumplir con lo acordado en este salón plenario.  </w:t>
      </w:r>
    </w:p>
    <w:p w:rsidR="00E302EC" w:rsidRDefault="00FC4F28">
      <w:pPr>
        <w:spacing w:after="14" w:line="259" w:lineRule="auto"/>
        <w:ind w:left="284" w:firstLine="0"/>
        <w:jc w:val="left"/>
      </w:pPr>
      <w:r>
        <w:t xml:space="preserve"> </w:t>
      </w:r>
    </w:p>
    <w:p w:rsidR="00E302EC" w:rsidRDefault="00FC4F28">
      <w:pPr>
        <w:spacing w:after="32" w:line="248" w:lineRule="auto"/>
        <w:ind w:left="279" w:right="183"/>
      </w:pPr>
      <w:r>
        <w:rPr>
          <w:b/>
        </w:rPr>
        <w:t xml:space="preserve">INTERVIENE DON JORGE BAUTE DELGADO.  </w:t>
      </w:r>
    </w:p>
    <w:p w:rsidR="00E302EC" w:rsidRDefault="00FC4F28">
      <w:pPr>
        <w:spacing w:after="27"/>
        <w:ind w:left="279" w:right="184"/>
      </w:pPr>
      <w:r>
        <w:t xml:space="preserve">Compañero, Cecilia. -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DOÑA CECILIA OTAZO GONZÁLEZ.  </w:t>
      </w:r>
    </w:p>
    <w:p w:rsidR="00E302EC" w:rsidRDefault="00FC4F28">
      <w:pPr>
        <w:spacing w:after="27"/>
        <w:ind w:left="279" w:right="184"/>
      </w:pPr>
      <w:r>
        <w:t xml:space="preserve">Pues Alicia, no hemos hecho nada, lo siento, no me ha dado </w:t>
      </w:r>
      <w:r>
        <w:t xml:space="preserve">tiempo de tomar esto en consideración. </w:t>
      </w:r>
    </w:p>
    <w:p w:rsidR="00E302EC" w:rsidRDefault="00FC4F28">
      <w:pPr>
        <w:spacing w:after="30"/>
        <w:ind w:left="279" w:right="184"/>
      </w:pPr>
      <w:r>
        <w:t xml:space="preserve">- </w:t>
      </w:r>
    </w:p>
    <w:p w:rsidR="00E302EC" w:rsidRDefault="00FC4F28">
      <w:pPr>
        <w:spacing w:after="14" w:line="259" w:lineRule="auto"/>
        <w:ind w:left="284" w:firstLine="0"/>
        <w:jc w:val="left"/>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2960" name="Group 26296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6882" name="Rectangle 26882"/>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6883" name="Rectangle 26883"/>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154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2960" style="width:12.7031pt;height:273.276pt;position:absolute;mso-position-horizontal-relative:page;mso-position-horizontal:absolute;margin-left:682.278pt;mso-position-vertical-relative:page;margin-top:538.644pt;" coordsize="1613,34706">
                <v:rect id="Rectangle 26882"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6883"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159 </w:t>
                        </w:r>
                      </w:p>
                    </w:txbxContent>
                  </v:textbox>
                </v:rect>
                <w10:wrap type="square"/>
              </v:group>
            </w:pict>
          </mc:Fallback>
        </mc:AlternateContent>
      </w:r>
      <w:r>
        <w:t xml:space="preserve"> </w:t>
      </w:r>
    </w:p>
    <w:p w:rsidR="00E302EC" w:rsidRDefault="00FC4F28">
      <w:pPr>
        <w:spacing w:after="8" w:line="248" w:lineRule="auto"/>
        <w:ind w:left="279" w:right="183"/>
      </w:pPr>
      <w:r>
        <w:rPr>
          <w:b/>
        </w:rPr>
        <w:t xml:space="preserve">INTERVIENE DON JORGE BAUTE DELGADO.  </w:t>
      </w:r>
    </w:p>
    <w:p w:rsidR="00E302EC" w:rsidRDefault="00FC4F28">
      <w:pPr>
        <w:spacing w:after="29"/>
        <w:ind w:left="279" w:right="184"/>
      </w:pPr>
      <w:r>
        <w:t xml:space="preserve">Muchas gracias. </w:t>
      </w:r>
    </w:p>
    <w:p w:rsidR="00E302EC" w:rsidRDefault="00FC4F28">
      <w:pPr>
        <w:spacing w:after="30"/>
        <w:ind w:left="279" w:right="184"/>
      </w:pPr>
      <w:r>
        <w:t xml:space="preserve">Ángela, pregunta, por favor. – </w:t>
      </w:r>
    </w:p>
    <w:p w:rsidR="00E302EC" w:rsidRDefault="00FC4F28">
      <w:pPr>
        <w:spacing w:after="15" w:line="259" w:lineRule="auto"/>
        <w:ind w:left="284" w:firstLine="0"/>
        <w:jc w:val="left"/>
      </w:pPr>
      <w:r>
        <w:t xml:space="preserve"> </w:t>
      </w:r>
    </w:p>
    <w:p w:rsidR="00E302EC" w:rsidRDefault="00FC4F28">
      <w:pPr>
        <w:spacing w:after="8" w:line="248" w:lineRule="auto"/>
        <w:ind w:left="279" w:right="183"/>
      </w:pPr>
      <w:r>
        <w:rPr>
          <w:b/>
        </w:rPr>
        <w:t xml:space="preserve">INTERVIENE DOÑA ÁNGELA CRUZ PERERA. – </w:t>
      </w:r>
    </w:p>
    <w:p w:rsidR="00E302EC" w:rsidRDefault="00FC4F28">
      <w:pPr>
        <w:spacing w:after="28"/>
        <w:ind w:left="279" w:right="184"/>
      </w:pPr>
      <w:r>
        <w:t>Pues volvemos una vez más a preguntar por el estado en que se encuentra el pliego de condiciones de recogida de residuos y de li</w:t>
      </w:r>
      <w:r>
        <w:t xml:space="preserve">mpieza viaria, si cuenta con alguna previsión de cuándo será traído al Pleno este documento.  </w:t>
      </w:r>
    </w:p>
    <w:p w:rsidR="00E302EC" w:rsidRDefault="00FC4F28">
      <w:pPr>
        <w:spacing w:after="15"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6"/>
        <w:ind w:left="279" w:right="184"/>
      </w:pPr>
      <w:r>
        <w:t>Airam no se encuentra ahora mismo, se lo trasladamos y él te comenta, te comenta en qué punto se encuentra ahora mismo, sé que en estos días ha habido reuniones con los técnicos y el Señor Secretario, avanzando, ya vino el informe favorable que estaba espe</w:t>
      </w:r>
      <w:r>
        <w:t xml:space="preserve">rando por parte del Gobierno y se sigue tramitando, dando los pasos para cuanto antes terminar el expediente y sacar la licitación.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DOÑA ÁNGELA CRUZ PERERA.  </w:t>
      </w:r>
    </w:p>
    <w:p w:rsidR="00E302EC" w:rsidRDefault="00FC4F28">
      <w:pPr>
        <w:spacing w:after="30"/>
        <w:ind w:left="279" w:right="184"/>
      </w:pPr>
      <w:r>
        <w:t xml:space="preserve">Entonces ya se cuenta con el informe de esta Junta de contratación. –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INTERVIEN</w:t>
      </w:r>
      <w:r>
        <w:rPr>
          <w:b/>
        </w:rPr>
        <w:t xml:space="preserve">E DON JORGE BAUTE DELGADO. - </w:t>
      </w:r>
    </w:p>
    <w:p w:rsidR="00E302EC" w:rsidRDefault="00FC4F28">
      <w:pPr>
        <w:spacing w:after="28"/>
        <w:ind w:left="279" w:right="184"/>
      </w:pPr>
      <w:r>
        <w:t xml:space="preserve">Si, ya llegó el informe, bueno el Señor Secretario puede contestar. – </w:t>
      </w:r>
    </w:p>
    <w:p w:rsidR="00E302EC" w:rsidRDefault="00FC4F28">
      <w:pPr>
        <w:spacing w:after="0" w:line="259" w:lineRule="auto"/>
        <w:ind w:left="284" w:firstLine="0"/>
        <w:jc w:val="left"/>
      </w:pPr>
      <w:r>
        <w:t xml:space="preserve"> </w:t>
      </w:r>
    </w:p>
    <w:p w:rsidR="00E302EC" w:rsidRDefault="00FC4F28">
      <w:pPr>
        <w:spacing w:after="53" w:line="248" w:lineRule="auto"/>
        <w:ind w:left="279" w:right="183"/>
      </w:pPr>
      <w:r>
        <w:rPr>
          <w:b/>
        </w:rPr>
        <w:t xml:space="preserve">INTERVIENE DON OCTAVIO MANUEL FERNÁNDEZ HERNÁNDEZ, SECRETARIO GENERAL. </w:t>
      </w:r>
    </w:p>
    <w:p w:rsidR="00E302EC" w:rsidRDefault="00FC4F28">
      <w:pPr>
        <w:spacing w:after="32" w:line="248" w:lineRule="auto"/>
        <w:ind w:left="279" w:right="183"/>
      </w:pPr>
      <w:r>
        <w:rPr>
          <w:b/>
        </w:rPr>
        <w:t xml:space="preserve">– </w:t>
      </w:r>
    </w:p>
    <w:p w:rsidR="00E302EC" w:rsidRDefault="00FC4F28">
      <w:pPr>
        <w:spacing w:after="27"/>
        <w:ind w:left="279" w:right="184"/>
      </w:pPr>
      <w:r>
        <w:t>Si, la semana pasada o la otra, bueno, durante el mes de marzo llegó el inform</w:t>
      </w:r>
      <w:r>
        <w:t>e del Gobierno de Canarias, de la Dirección General de Patrimonio y Contratación, favorable sobre la estructura de coste y ahora pues se tiene que hacer el pliego, ahora hay que hacer el expediente por el Ayuntamiento de Candelaria porque lo que se había h</w:t>
      </w:r>
      <w:r>
        <w:t>echo hasta ahora era la fase preparatoria del expediente de la estructura de coste, ahora hay que hacer el expediente, hay que hacer la memoria de la alcaldía, hay que hacer el pliego de prescripciones técnicas, hay que hacer el pliego de cláusulas, el inf</w:t>
      </w:r>
      <w:r>
        <w:t xml:space="preserve">orme de Secretaría, el informe de Intervención y cuando esté el expediente concluso se traerá al Pleno que es el Órgano competente al superar el importe el 10 por ciento de los recursos ordinarios del presupuesto. </w:t>
      </w:r>
    </w:p>
    <w:p w:rsidR="00E302EC" w:rsidRDefault="00FC4F28">
      <w:pPr>
        <w:spacing w:after="28" w:line="259" w:lineRule="auto"/>
        <w:ind w:left="284" w:firstLine="0"/>
        <w:jc w:val="left"/>
      </w:pPr>
      <w:r>
        <w:t xml:space="preserve"> </w:t>
      </w:r>
    </w:p>
    <w:p w:rsidR="00E302EC" w:rsidRDefault="00FC4F28">
      <w:pPr>
        <w:spacing w:after="8" w:line="248" w:lineRule="auto"/>
        <w:ind w:left="279" w:right="183"/>
      </w:pPr>
      <w:r>
        <w:t xml:space="preserve"> </w:t>
      </w:r>
      <w:r>
        <w:rPr>
          <w:b/>
        </w:rPr>
        <w:t xml:space="preserve">INTERVIENE DOÑA ÁNGELA CRUZ PERERA. </w:t>
      </w:r>
      <w:r>
        <w:rPr>
          <w:rFonts w:ascii="Times New Roman" w:eastAsia="Times New Roman" w:hAnsi="Times New Roman" w:cs="Times New Roman"/>
          <w:sz w:val="24"/>
        </w:rPr>
        <w:t xml:space="preserve"> </w:t>
      </w:r>
    </w:p>
    <w:p w:rsidR="00E302EC" w:rsidRDefault="00FC4F28">
      <w:pPr>
        <w:spacing w:after="27"/>
        <w:ind w:left="279" w:right="184"/>
      </w:pPr>
      <w:r>
        <w:t xml:space="preserve">Ya, gracias Señor Secretario.  </w:t>
      </w:r>
    </w:p>
    <w:p w:rsidR="00E302EC" w:rsidRDefault="00FC4F28">
      <w:pPr>
        <w:spacing w:after="16"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7"/>
        <w:ind w:left="279" w:right="184"/>
      </w:pPr>
      <w:r>
        <w:t xml:space="preserve">Muchas gracias. Lourdes. - </w:t>
      </w:r>
    </w:p>
    <w:p w:rsidR="00E302EC" w:rsidRDefault="00FC4F28">
      <w:pPr>
        <w:spacing w:after="14" w:line="259" w:lineRule="auto"/>
        <w:ind w:left="284" w:firstLine="0"/>
        <w:jc w:val="left"/>
      </w:pPr>
      <w:r>
        <w:t xml:space="preserve"> </w:t>
      </w:r>
    </w:p>
    <w:p w:rsidR="00E302EC" w:rsidRDefault="00FC4F28">
      <w:pPr>
        <w:spacing w:after="17" w:line="259" w:lineRule="auto"/>
        <w:ind w:left="284" w:firstLine="0"/>
        <w:jc w:val="left"/>
      </w:pPr>
      <w:r>
        <w:rPr>
          <w:b/>
        </w:rPr>
        <w:t xml:space="preserve"> </w:t>
      </w:r>
    </w:p>
    <w:p w:rsidR="00E302EC" w:rsidRDefault="00FC4F28">
      <w:pPr>
        <w:spacing w:after="32" w:line="248" w:lineRule="auto"/>
        <w:ind w:left="279" w:right="183"/>
      </w:pPr>
      <w:r>
        <w:rPr>
          <w:b/>
        </w:rPr>
        <w:t xml:space="preserve">INTERVIENE DON ANTONIO DELGADO GARCÍA. – </w:t>
      </w:r>
    </w:p>
    <w:p w:rsidR="00E302EC" w:rsidRDefault="00FC4F28">
      <w:pPr>
        <w:spacing w:after="25"/>
        <w:ind w:left="279" w:right="184"/>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3465" name="Group 263465"/>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6980" name="Rectangle 2698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6981" name="Rectangle 26981"/>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155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3465" style="width:12.7031pt;height:273.276pt;position:absolute;mso-position-horizontal-relative:page;mso-position-horizontal:absolute;margin-left:682.278pt;mso-position-vertical-relative:page;margin-top:538.644pt;" coordsize="1613,34706">
                <v:rect id="Rectangle 2698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6981"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159 </w:t>
                        </w:r>
                      </w:p>
                    </w:txbxContent>
                  </v:textbox>
                </v:rect>
                <w10:wrap type="square"/>
              </v:group>
            </w:pict>
          </mc:Fallback>
        </mc:AlternateContent>
      </w:r>
      <w:r>
        <w:t xml:space="preserve">El año pasado se realizaron trabajos de carpintería en el Paseo de la Playa de Punta Larga, reparando y barnizando parte de las maderas del Paseo, pero quedaron </w:t>
      </w:r>
      <w:r>
        <w:t xml:space="preserve">tramos sin reparar, cuándo se va a terminar las reparaciones de las maderas situadas en el Paseo de la Playa de Punta Larga.  </w:t>
      </w:r>
    </w:p>
    <w:p w:rsidR="00E302EC" w:rsidRDefault="00FC4F28">
      <w:pPr>
        <w:spacing w:after="17"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8"/>
        <w:ind w:left="279" w:right="184"/>
      </w:pPr>
      <w:r>
        <w:t>Ese Paseo como bien comenta, se ha estado interviniendo, había un convenio de los que te</w:t>
      </w:r>
      <w:r>
        <w:t>níamos que estaba dedicado, entraron dos carpinteros y estaban dedicados a arreglar las tarimas, las tablas que componen el Paseo, llegamos hasta un punto, ahora mismo el convenio terminó hace unos meses atrás y pendientes de que entre otro convenio que al</w:t>
      </w:r>
      <w:r>
        <w:t xml:space="preserve"> parecer va a entrar pronto para seguir actuando. De todas formas, en las cosas más eminentes, más urgentes estamos actuado sobre la marcha, pero es verdad que queremos seguir haciendo el tratamiento que empezamos al inicio del propio Paseo. </w:t>
      </w:r>
    </w:p>
    <w:p w:rsidR="00E302EC" w:rsidRDefault="00FC4F28">
      <w:pPr>
        <w:spacing w:after="30"/>
        <w:ind w:left="279" w:right="184"/>
      </w:pPr>
      <w:r>
        <w:t>Gracias. Jaco</w:t>
      </w:r>
      <w:r>
        <w:t xml:space="preserve">bo – </w:t>
      </w:r>
    </w:p>
    <w:p w:rsidR="00E302EC" w:rsidRDefault="00FC4F28">
      <w:pPr>
        <w:spacing w:after="15" w:line="259" w:lineRule="auto"/>
        <w:ind w:left="284" w:firstLine="0"/>
        <w:jc w:val="left"/>
      </w:pPr>
      <w:r>
        <w:t xml:space="preserve"> </w:t>
      </w:r>
    </w:p>
    <w:p w:rsidR="00E302EC" w:rsidRDefault="00FC4F28">
      <w:pPr>
        <w:spacing w:after="8" w:line="248" w:lineRule="auto"/>
        <w:ind w:left="279" w:right="183"/>
      </w:pPr>
      <w:r>
        <w:rPr>
          <w:b/>
        </w:rPr>
        <w:t xml:space="preserve">INTERVIENE DON JACOBO LÓPEZ FARIÑA. – </w:t>
      </w:r>
    </w:p>
    <w:p w:rsidR="00E302EC" w:rsidRDefault="00FC4F28">
      <w:pPr>
        <w:spacing w:after="27"/>
        <w:ind w:left="279" w:right="184"/>
      </w:pPr>
      <w:r>
        <w:t xml:space="preserve">Gracias. </w:t>
      </w:r>
    </w:p>
    <w:p w:rsidR="00E302EC" w:rsidRDefault="00FC4F28">
      <w:pPr>
        <w:spacing w:after="27"/>
        <w:ind w:left="279" w:right="184"/>
      </w:pPr>
      <w:r>
        <w:t xml:space="preserve">Desde hace bastante tiempo, los vecinos se vienen quejando de la proliferación de los vehículos abandonados en el municipio que a la vez dan una mala imagen y </w:t>
      </w:r>
      <w:r>
        <w:t xml:space="preserve">lo peor de todo es que ocupan plazas de aparcamientos. Qué medida está desarrollando o pretende desarrollar el grupo de Gobierno. – </w:t>
      </w:r>
    </w:p>
    <w:p w:rsidR="00E302EC" w:rsidRDefault="00FC4F28">
      <w:pPr>
        <w:spacing w:after="14"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16" w:line="259" w:lineRule="auto"/>
        <w:ind w:left="284" w:firstLine="0"/>
        <w:jc w:val="left"/>
      </w:pPr>
      <w:r>
        <w:rPr>
          <w:b/>
        </w:rPr>
        <w:t xml:space="preserve"> </w:t>
      </w:r>
    </w:p>
    <w:p w:rsidR="00E302EC" w:rsidRDefault="00FC4F28">
      <w:pPr>
        <w:spacing w:after="20" w:line="259" w:lineRule="auto"/>
        <w:ind w:left="284" w:firstLine="0"/>
        <w:jc w:val="left"/>
      </w:pPr>
      <w:r>
        <w:rPr>
          <w:b/>
        </w:rPr>
        <w:t xml:space="preserve"> </w:t>
      </w:r>
    </w:p>
    <w:p w:rsidR="00E302EC" w:rsidRDefault="00FC4F28">
      <w:pPr>
        <w:spacing w:after="8" w:line="248" w:lineRule="auto"/>
        <w:ind w:left="279" w:right="183"/>
      </w:pPr>
      <w:r>
        <w:rPr>
          <w:b/>
        </w:rPr>
        <w:t xml:space="preserve">INTERVIENE DON JORGE BAUTE DELGADO. – </w:t>
      </w:r>
    </w:p>
    <w:p w:rsidR="00E302EC" w:rsidRDefault="00FC4F28">
      <w:pPr>
        <w:spacing w:after="27"/>
        <w:ind w:left="279" w:right="184"/>
      </w:pPr>
      <w:r>
        <w:t xml:space="preserve">Francis el compañero.  </w:t>
      </w:r>
    </w:p>
    <w:p w:rsidR="00E302EC" w:rsidRDefault="00FC4F28">
      <w:pPr>
        <w:spacing w:after="14" w:line="259" w:lineRule="auto"/>
        <w:ind w:left="284" w:firstLine="0"/>
        <w:jc w:val="left"/>
      </w:pPr>
      <w:r>
        <w:t xml:space="preserve"> </w:t>
      </w:r>
    </w:p>
    <w:p w:rsidR="00E302EC" w:rsidRDefault="00FC4F28">
      <w:pPr>
        <w:spacing w:after="8" w:line="248" w:lineRule="auto"/>
        <w:ind w:left="279" w:right="183"/>
      </w:pPr>
      <w:r>
        <w:rPr>
          <w:b/>
        </w:rPr>
        <w:t xml:space="preserve">INTERVIENE FRANCISCO ALONSO BELLO. - </w:t>
      </w:r>
    </w:p>
    <w:p w:rsidR="00E302EC" w:rsidRDefault="00FC4F28">
      <w:pPr>
        <w:ind w:left="279" w:right="184"/>
      </w:pPr>
      <w:r>
        <w:t>Hola, buenas tardes, pues con respecto a la retirada de vehículos en estado de abandono se está trabajando y últimamente se han retirado alrededor de 20 vehículos en el municipio y es verdad que todavía queda alguno por tramitar, pero ya hemos avanzado bas</w:t>
      </w:r>
      <w:r>
        <w:t xml:space="preserve">tante y se han retirado pues eso, alrededor de 15 o 20 vehículos se han retirado ya de la vía pública. -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JORGE BAUTE DELGADO. – </w:t>
      </w:r>
    </w:p>
    <w:p w:rsidR="00E302EC" w:rsidRDefault="00FC4F28">
      <w:pPr>
        <w:ind w:left="279" w:right="184"/>
      </w:pPr>
      <w:r>
        <w:t xml:space="preserve">Muchas gracias Francis.  </w:t>
      </w:r>
    </w:p>
    <w:p w:rsidR="00E302EC" w:rsidRDefault="00FC4F28">
      <w:pPr>
        <w:ind w:left="279" w:right="184"/>
      </w:pPr>
      <w:r>
        <w:t xml:space="preserve">Jacobo. -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JACOBO LÓPEZ FARIÑA. - </w:t>
      </w:r>
    </w:p>
    <w:p w:rsidR="00E302EC" w:rsidRDefault="00FC4F28">
      <w:pPr>
        <w:ind w:left="279" w:right="184"/>
      </w:pPr>
      <w:r>
        <w:t>Hace varios meses preguntamos por la si</w:t>
      </w:r>
      <w:r>
        <w:t>tuación de la salida de emergencia del Cine Viejo dado que se encuentra obstaculizada por la ubicación permanente del portal de Belén y nos comentó el Concejal de Cultura que no había problema dado que el aforo permitido era el establecido según las restri</w:t>
      </w:r>
      <w:r>
        <w:t xml:space="preserve">cciones. Bien, ya que las restricciones han finalizado y aún sigue estando el portal de Belén obstaculizando la salida de emergencia con la cantidad de actividades que se desarrollan en ese lugar.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4089" name="Group 26408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7095" name="Rectangle 2709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7096" name="Rectangle 27096"/>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156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4089" style="width:12.7031pt;height:273.276pt;position:absolute;mso-position-horizontal-relative:page;mso-position-horizontal:absolute;margin-left:682.278pt;mso-position-vertical-relative:page;margin-top:538.644pt;" coordsize="1613,34706">
                <v:rect id="Rectangle 2709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7096"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159 </w:t>
                        </w:r>
                      </w:p>
                    </w:txbxContent>
                  </v:textbox>
                </v:rect>
                <w10:wrap type="square"/>
              </v:group>
            </w:pict>
          </mc:Fallback>
        </mc:AlternateContent>
      </w:r>
      <w:r>
        <w:t>Cuándo tienen previsto quitar el portal de Belén y garantizar</w:t>
      </w:r>
      <w:r>
        <w:t xml:space="preserve"> las medidas de seguridad para dar viabilidad a la puerta de emergencia del cine viejo.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ind w:left="279" w:right="184"/>
      </w:pPr>
      <w:r>
        <w:t xml:space="preserve">Muchas gracias, Manolo, por favor. –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DON MANUEL ALBERTO GONZÁLEZ PESTANO. - </w:t>
      </w:r>
    </w:p>
    <w:p w:rsidR="00E302EC" w:rsidRDefault="00FC4F28">
      <w:pPr>
        <w:spacing w:after="27"/>
        <w:ind w:left="279" w:right="184"/>
      </w:pPr>
      <w:r>
        <w:t>Si, la pregunta exactamente no te l</w:t>
      </w:r>
      <w:r>
        <w:t xml:space="preserve">a entendí Jacobo, entiendo por dónde va pero discúlpame, es por el audio pero este, te respondo…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DON JACOBO LÓPEZ FARIÑA. -  </w:t>
      </w:r>
    </w:p>
    <w:p w:rsidR="00E302EC" w:rsidRDefault="00FC4F28">
      <w:pPr>
        <w:ind w:left="279" w:right="184"/>
      </w:pPr>
      <w:r>
        <w:t xml:space="preserve">Básicamente si tienen previsto retirar la estructura del Belén para habilitar la salida de emergencia.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INTERVIENE</w:t>
      </w:r>
      <w:r>
        <w:rPr>
          <w:b/>
        </w:rPr>
        <w:t xml:space="preserve"> DON MANUEL ALBERTO GONZÁLEZ PESTANO. - </w:t>
      </w:r>
    </w:p>
    <w:p w:rsidR="00E302EC" w:rsidRDefault="00FC4F28">
      <w:pPr>
        <w:ind w:left="279" w:right="184"/>
      </w:pPr>
      <w:r>
        <w:t xml:space="preserve">Mira la solución que se le va a dar no va a ser esa, ya lo hemos visto, se está concluyendo el plan de autoprotección del cine, el aforo en condiciones normales, al cien por cien del aforo serian unas cuatrocientas </w:t>
      </w:r>
      <w:r>
        <w:t xml:space="preserve">butacas, como ves no la estamos llevando ahora a cabo, la solución se va hacer o bien por un pequeño pasillo en la trasera del Belén o bien habilitando una salida en el espacio de protección civil que es simplemente colocar unas barreras anti pánico y una </w:t>
      </w:r>
      <w:r>
        <w:t>apertura anti pánico, estamos con eso para poder llegar a ese aforo que es el que pretendemos, el del cien por cien que son una cuatrocientas sillas como ves apenas ahora estamos llegando a unas ciento sesenta, ciento ochenta, estamos con compañeros Franci</w:t>
      </w:r>
      <w:r>
        <w:t>s para habilitar una de esas dos opciones, en ningún caso se va a retirar la estructura del Belén pero ya está visto con la persona que está desarrollando ese plan que para poderle dar más del cincuenta por ciento del aforo que permite por los metros cuadr</w:t>
      </w:r>
      <w:r>
        <w:t xml:space="preserve">ados pues hacerlo. </w:t>
      </w:r>
    </w:p>
    <w:p w:rsidR="00E302EC" w:rsidRDefault="00FC4F28">
      <w:pPr>
        <w:ind w:left="279" w:right="184"/>
      </w:pPr>
      <w:r>
        <w:t xml:space="preserve">Espero haberte respondido la pregunta. </w:t>
      </w:r>
    </w:p>
    <w:p w:rsidR="00E302EC" w:rsidRDefault="00FC4F28">
      <w:pPr>
        <w:ind w:left="279" w:right="184"/>
      </w:pPr>
      <w:r>
        <w:t xml:space="preserve">Muchas gracias. -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DON JORGE BAUTE DELGADO. - </w:t>
      </w:r>
    </w:p>
    <w:p w:rsidR="00E302EC" w:rsidRDefault="00FC4F28">
      <w:pPr>
        <w:ind w:left="279" w:right="184"/>
      </w:pPr>
      <w:r>
        <w:t xml:space="preserve">Muchas gracias Manolo. -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JACOBO LÓPEZ FARIÑA. - </w:t>
      </w:r>
    </w:p>
    <w:p w:rsidR="00E302EC" w:rsidRDefault="00FC4F28">
      <w:pPr>
        <w:ind w:left="279" w:right="184"/>
      </w:pPr>
      <w:r>
        <w:t xml:space="preserve">Bueno y por último lugar. </w:t>
      </w:r>
    </w:p>
    <w:p w:rsidR="00E302EC" w:rsidRDefault="00FC4F28">
      <w:pPr>
        <w:ind w:left="279" w:right="184"/>
      </w:pPr>
      <w:r>
        <w:t>Desde hace varias semanas finalizó el plazo para la regulación de las terrazas del municipio según la Ordenanza que este Grupo de Gobierno de forma unilateral impulsó y aprobó, por tanto, quisiéramos saber qué medidas se están tomando por parte de las área</w:t>
      </w:r>
      <w:r>
        <w:t xml:space="preserve">s responsables dado que no se observa que haya habido cambio alguno en las terrazas del municipio. Gracias. - </w:t>
      </w:r>
    </w:p>
    <w:p w:rsidR="00E302EC" w:rsidRDefault="00FC4F28">
      <w:pPr>
        <w:spacing w:after="0" w:line="259" w:lineRule="auto"/>
        <w:ind w:left="284" w:firstLine="0"/>
        <w:jc w:val="left"/>
      </w:pPr>
      <w:r>
        <w:t xml:space="preserve"> </w:t>
      </w:r>
    </w:p>
    <w:p w:rsidR="00E302EC" w:rsidRDefault="00FC4F28">
      <w:pPr>
        <w:spacing w:after="8" w:line="248" w:lineRule="auto"/>
        <w:ind w:left="279" w:right="183"/>
      </w:pPr>
      <w:r>
        <w:rPr>
          <w:b/>
        </w:rPr>
        <w:t xml:space="preserve">INTERVIENE DOÑA MARÍA DEL CARMEN CLEMENTE DÍAZ. - </w:t>
      </w:r>
    </w:p>
    <w:p w:rsidR="00E302EC" w:rsidRDefault="00FC4F28">
      <w:pPr>
        <w:ind w:left="279" w:right="184"/>
      </w:pPr>
      <w:r>
        <w:t xml:space="preserve">Si, hola, buenas tardes. </w:t>
      </w:r>
    </w:p>
    <w:p w:rsidR="00E302EC" w:rsidRDefault="00FC4F28">
      <w:pPr>
        <w:ind w:left="279" w:right="184"/>
      </w:pPr>
      <w:r>
        <w:t>Si, Jacobo te respondo, estamos ahora mismo en un proceso administ</w:t>
      </w:r>
      <w:r>
        <w:t xml:space="preserve">rativo, donde estamos recopilando toda la información de todos, buenos los comercios dedicados a la hostelería para saber la situación actual de cada uno, y bueno, poder proceder a aplicar la ordenanza, pero hay un paso previo administrativo en el que nos </w:t>
      </w:r>
      <w:r>
        <w:t xml:space="preserve">encontramos actualmente. Cuando tengamos mayor información pues vamos informando, pero si, efectivamente se aplicará, pero hay ese proceso previo que tenemos, y estamos trabajando en él. </w:t>
      </w:r>
    </w:p>
    <w:p w:rsidR="00E302EC" w:rsidRDefault="00FC4F28">
      <w:pPr>
        <w:spacing w:after="0" w:line="259" w:lineRule="auto"/>
        <w:ind w:left="284" w:firstLine="0"/>
        <w:jc w:val="left"/>
      </w:pPr>
      <w:r>
        <w:t xml:space="preserve"> </w:t>
      </w:r>
    </w:p>
    <w:p w:rsidR="00E302EC" w:rsidRDefault="00FC4F28">
      <w:pPr>
        <w:spacing w:after="8" w:line="248" w:lineRule="auto"/>
        <w:ind w:left="279" w:right="4054"/>
      </w:pPr>
      <w:r>
        <w:rPr>
          <w:b/>
        </w:rPr>
        <w:t xml:space="preserve">INTERVIENE DON JORGE BAUTE DELGADO. - </w:t>
      </w:r>
      <w:r>
        <w:t xml:space="preserve">Muchas gracias Mari Carmen. </w:t>
      </w:r>
    </w:p>
    <w:p w:rsidR="00E302EC" w:rsidRDefault="00FC4F28">
      <w:pPr>
        <w:ind w:left="279" w:right="184"/>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6840779</wp:posOffset>
                </wp:positionV>
                <wp:extent cx="161330" cy="3470605"/>
                <wp:effectExtent l="0" t="0" r="0" b="0"/>
                <wp:wrapSquare wrapText="bothSides"/>
                <wp:docPr id="263720" name="Group 263720"/>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7215" name="Rectangle 2721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7216" name="Rectangle 27216"/>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157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3720" style="width:12.7031pt;height:273.276pt;position:absolute;mso-position-horizontal-relative:page;mso-position-horizontal:absolute;margin-left:682.278pt;mso-position-vertical-relative:page;margin-top:538.644pt;" coordsize="1613,34706">
                <v:rect id="Rectangle 2721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7216"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159 </w:t>
                        </w:r>
                      </w:p>
                    </w:txbxContent>
                  </v:textbox>
                </v:rect>
                <w10:wrap type="square"/>
              </v:group>
            </w:pict>
          </mc:Fallback>
        </mc:AlternateContent>
      </w:r>
      <w:r>
        <w:t>Bueno llegado a este punto, el último punto de la Orden d</w:t>
      </w:r>
      <w:r>
        <w:t xml:space="preserve">el Día damos por terminada la sesión. Muchas gracias. </w:t>
      </w:r>
    </w:p>
    <w:p w:rsidR="00E302EC" w:rsidRDefault="00FC4F28">
      <w:pPr>
        <w:spacing w:after="0" w:line="259" w:lineRule="auto"/>
        <w:ind w:left="284" w:firstLine="0"/>
        <w:jc w:val="left"/>
      </w:pPr>
      <w:r>
        <w:t xml:space="preserve"> </w:t>
      </w:r>
    </w:p>
    <w:p w:rsidR="00E302EC" w:rsidRDefault="00FC4F28">
      <w:pPr>
        <w:ind w:left="279" w:right="184"/>
      </w:pPr>
      <w:r>
        <w:t xml:space="preserve">Se levanta la sesión a las 15 horas del mismo día. De todo lo cual yo, como Secretario General, doy fe. </w:t>
      </w:r>
    </w:p>
    <w:p w:rsidR="00E302EC" w:rsidRDefault="00FC4F28">
      <w:pPr>
        <w:spacing w:after="99" w:line="259" w:lineRule="auto"/>
        <w:ind w:left="284" w:firstLine="0"/>
        <w:jc w:val="left"/>
      </w:pPr>
      <w:r>
        <w:rPr>
          <w:b/>
        </w:rPr>
        <w:t xml:space="preserve"> </w:t>
      </w:r>
    </w:p>
    <w:p w:rsidR="00E302EC" w:rsidRDefault="00FC4F28">
      <w:pPr>
        <w:tabs>
          <w:tab w:val="center" w:pos="284"/>
          <w:tab w:val="center" w:pos="1700"/>
          <w:tab w:val="center" w:pos="2408"/>
          <w:tab w:val="center" w:pos="3116"/>
          <w:tab w:val="center" w:pos="4241"/>
        </w:tabs>
        <w:spacing w:after="121" w:line="248" w:lineRule="auto"/>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rPr>
          <w:b/>
        </w:rPr>
        <w:t>Vº. Bº.</w:t>
      </w:r>
      <w:r>
        <w:rPr>
          <w:vertAlign w:val="subscript"/>
        </w:rPr>
        <w:t xml:space="preserve"> </w:t>
      </w:r>
    </w:p>
    <w:p w:rsidR="00E302EC" w:rsidRDefault="00FC4F28">
      <w:pPr>
        <w:spacing w:after="0" w:line="259" w:lineRule="auto"/>
        <w:ind w:left="284" w:firstLine="0"/>
        <w:jc w:val="left"/>
      </w:pPr>
      <w:r>
        <w:t xml:space="preserve"> </w:t>
      </w:r>
    </w:p>
    <w:p w:rsidR="00E302EC" w:rsidRDefault="00FC4F28">
      <w:pPr>
        <w:tabs>
          <w:tab w:val="center" w:pos="284"/>
          <w:tab w:val="center" w:pos="2605"/>
          <w:tab w:val="center" w:pos="5954"/>
          <w:tab w:val="center" w:pos="8073"/>
        </w:tabs>
        <w:spacing w:after="284" w:line="248" w:lineRule="auto"/>
        <w:ind w:left="0" w:firstLine="0"/>
        <w:jc w:val="left"/>
      </w:pPr>
      <w:r>
        <w:rPr>
          <w:rFonts w:ascii="Calibri" w:eastAsia="Calibri" w:hAnsi="Calibri" w:cs="Calibri"/>
        </w:rPr>
        <w:tab/>
      </w:r>
      <w:r>
        <w:rPr>
          <w:b/>
        </w:rPr>
        <w:t xml:space="preserve"> </w:t>
      </w:r>
      <w:r>
        <w:rPr>
          <w:b/>
        </w:rPr>
        <w:tab/>
        <w:t xml:space="preserve">LA ALCALDESA-PRESIDENTA, </w:t>
      </w:r>
      <w:r>
        <w:rPr>
          <w:b/>
        </w:rPr>
        <w:tab/>
        <w:t xml:space="preserve">EL ALCALDE ACCIDENTAL </w:t>
      </w:r>
      <w:r>
        <w:rPr>
          <w:b/>
        </w:rPr>
        <w:t xml:space="preserve"> </w:t>
      </w:r>
      <w:r>
        <w:rPr>
          <w:b/>
        </w:rPr>
        <w:tab/>
        <w:t xml:space="preserve">       </w:t>
      </w:r>
      <w:r>
        <w:rPr>
          <w:vertAlign w:val="subscript"/>
        </w:rPr>
        <w:t xml:space="preserve"> </w:t>
      </w:r>
    </w:p>
    <w:p w:rsidR="00E302EC" w:rsidRDefault="00FC4F28">
      <w:pPr>
        <w:spacing w:after="272"/>
        <w:ind w:left="279" w:right="184"/>
      </w:pPr>
      <w:r>
        <w:t xml:space="preserve">             María Concepción Brito Núñez       Don Jorge Baute Delgado. </w:t>
      </w:r>
    </w:p>
    <w:p w:rsidR="00E302EC" w:rsidRDefault="00FC4F28">
      <w:pPr>
        <w:spacing w:after="259" w:line="259" w:lineRule="auto"/>
        <w:ind w:left="284" w:firstLine="0"/>
        <w:jc w:val="left"/>
      </w:pPr>
      <w:r>
        <w:t xml:space="preserve"> </w:t>
      </w:r>
    </w:p>
    <w:p w:rsidR="00E302EC" w:rsidRDefault="00FC4F28">
      <w:pPr>
        <w:tabs>
          <w:tab w:val="center" w:pos="284"/>
          <w:tab w:val="center" w:pos="992"/>
          <w:tab w:val="center" w:pos="1700"/>
          <w:tab w:val="center" w:pos="2408"/>
          <w:tab w:val="center" w:pos="4564"/>
        </w:tabs>
        <w:spacing w:after="282" w:line="248" w:lineRule="auto"/>
        <w:ind w:left="0" w:firstLine="0"/>
        <w:jc w:val="left"/>
      </w:pPr>
      <w:r>
        <w:rPr>
          <w:rFonts w:ascii="Calibri" w:eastAsia="Calibri" w:hAnsi="Calibri" w:cs="Calibri"/>
        </w:rPr>
        <w:tab/>
      </w:r>
      <w:r>
        <w:t xml:space="preserve"> </w:t>
      </w:r>
      <w:r>
        <w:tab/>
        <w:t xml:space="preserve"> </w:t>
      </w:r>
      <w:r>
        <w:tab/>
        <w:t xml:space="preserve"> </w:t>
      </w:r>
      <w:r>
        <w:tab/>
        <w:t xml:space="preserve"> </w:t>
      </w:r>
      <w:r>
        <w:tab/>
      </w:r>
      <w:r>
        <w:rPr>
          <w:b/>
        </w:rPr>
        <w:t>EL SECRETARIO GENERAL</w:t>
      </w:r>
      <w:r>
        <w:rPr>
          <w:vertAlign w:val="subscript"/>
        </w:rPr>
        <w:t xml:space="preserve"> </w:t>
      </w:r>
    </w:p>
    <w:p w:rsidR="00E302EC" w:rsidRDefault="00FC4F28">
      <w:pPr>
        <w:spacing w:after="261" w:line="259" w:lineRule="auto"/>
        <w:ind w:left="284" w:firstLine="0"/>
        <w:jc w:val="left"/>
      </w:pPr>
      <w:r>
        <w:rPr>
          <w:b/>
        </w:rPr>
        <w:t xml:space="preserve"> </w:t>
      </w:r>
    </w:p>
    <w:p w:rsidR="00E302EC" w:rsidRDefault="00FC4F28">
      <w:pPr>
        <w:spacing w:after="274" w:line="248" w:lineRule="auto"/>
        <w:ind w:left="2418" w:right="183"/>
      </w:pPr>
      <w:r>
        <w:rPr>
          <w:b/>
        </w:rPr>
        <w:t xml:space="preserve">Octavio Manuel Fernández Hernández </w:t>
      </w:r>
    </w:p>
    <w:p w:rsidR="00E302EC" w:rsidRDefault="00FC4F28">
      <w:pPr>
        <w:spacing w:after="263"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263"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rPr>
          <w:b/>
        </w:rP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t xml:space="preserve"> </w:t>
      </w:r>
    </w:p>
    <w:p w:rsidR="00E302EC" w:rsidRDefault="00FC4F28">
      <w:pPr>
        <w:spacing w:after="0" w:line="259" w:lineRule="auto"/>
        <w:ind w:left="284" w:firstLine="0"/>
        <w:jc w:val="left"/>
      </w:pPr>
      <w:r>
        <w:rPr>
          <w:b/>
        </w:rPr>
        <w:t xml:space="preserve"> </w:t>
      </w:r>
    </w:p>
    <w:p w:rsidR="00E302EC" w:rsidRDefault="00FC4F28">
      <w:pPr>
        <w:spacing w:after="100" w:line="259" w:lineRule="auto"/>
        <w:ind w:left="284" w:firstLine="0"/>
        <w:jc w:val="left"/>
      </w:pPr>
      <w:r>
        <w:rPr>
          <w:b/>
        </w:rPr>
        <w:t xml:space="preserve"> </w:t>
      </w:r>
    </w:p>
    <w:p w:rsidR="00E302EC" w:rsidRDefault="00FC4F28">
      <w:pPr>
        <w:spacing w:after="98" w:line="259" w:lineRule="auto"/>
        <w:ind w:left="284" w:firstLine="0"/>
        <w:jc w:val="left"/>
      </w:pPr>
      <w:r>
        <w:t xml:space="preserve">          </w:t>
      </w:r>
    </w:p>
    <w:p w:rsidR="00E302EC" w:rsidRDefault="00FC4F28">
      <w:pPr>
        <w:spacing w:after="100" w:line="259" w:lineRule="auto"/>
        <w:ind w:left="284" w:firstLine="0"/>
        <w:jc w:val="left"/>
      </w:pPr>
      <w:r>
        <w:t xml:space="preserve"> </w:t>
      </w:r>
    </w:p>
    <w:p w:rsidR="00E302EC" w:rsidRDefault="00FC4F28">
      <w:pPr>
        <w:spacing w:after="98" w:line="259" w:lineRule="auto"/>
        <w:ind w:left="284" w:firstLine="0"/>
        <w:jc w:val="left"/>
      </w:pPr>
      <w:r>
        <w:t xml:space="preserve"> </w:t>
      </w:r>
    </w:p>
    <w:p w:rsidR="00E302EC" w:rsidRDefault="00FC4F28">
      <w:pPr>
        <w:spacing w:after="100" w:line="259" w:lineRule="auto"/>
        <w:ind w:left="284" w:firstLine="0"/>
        <w:jc w:val="left"/>
      </w:pPr>
      <w:r>
        <w:t xml:space="preserve"> </w:t>
      </w:r>
    </w:p>
    <w:p w:rsidR="00E302EC" w:rsidRDefault="00FC4F28">
      <w:pPr>
        <w:spacing w:after="98" w:line="259" w:lineRule="auto"/>
        <w:ind w:left="284" w:firstLine="0"/>
        <w:jc w:val="left"/>
      </w:pPr>
      <w:r>
        <w:t xml:space="preserve"> </w:t>
      </w:r>
    </w:p>
    <w:p w:rsidR="00E302EC" w:rsidRDefault="00FC4F28">
      <w:pPr>
        <w:spacing w:after="100" w:line="259" w:lineRule="auto"/>
        <w:ind w:left="284" w:firstLine="0"/>
        <w:jc w:val="left"/>
      </w:pPr>
      <w:r>
        <w:t xml:space="preserve"> </w:t>
      </w:r>
    </w:p>
    <w:p w:rsidR="00E302EC" w:rsidRDefault="00FC4F28">
      <w:pPr>
        <w:spacing w:after="98" w:line="259" w:lineRule="auto"/>
        <w:ind w:left="284" w:firstLine="0"/>
        <w:jc w:val="left"/>
      </w:pPr>
      <w:r>
        <w:t xml:space="preserve"> </w:t>
      </w:r>
    </w:p>
    <w:p w:rsidR="00E302EC" w:rsidRDefault="00FC4F28">
      <w:pPr>
        <w:spacing w:after="98" w:line="259" w:lineRule="auto"/>
        <w:ind w:left="284" w:firstLine="0"/>
        <w:jc w:val="left"/>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63613" name="Group 263613"/>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7275" name="Rectangle 27275"/>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7276" name="Rectangle 27276"/>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158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3613" style="width:12.7031pt;height:273.276pt;position:absolute;mso-position-horizontal-relative:page;mso-position-horizontal:absolute;margin-left:682.278pt;mso-position-vertical-relative:page;margin-top:538.644pt;" coordsize="1613,34706">
                <v:rect id="Rectangle 27275"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7276"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159 </w:t>
                        </w:r>
                      </w:p>
                    </w:txbxContent>
                  </v:textbox>
                </v:rect>
                <w10:wrap type="topAndBottom"/>
              </v:group>
            </w:pict>
          </mc:Fallback>
        </mc:AlternateContent>
      </w:r>
      <w:r>
        <w:t xml:space="preserve"> </w:t>
      </w:r>
    </w:p>
    <w:p w:rsidR="00E302EC" w:rsidRDefault="00FC4F28">
      <w:pPr>
        <w:spacing w:after="100" w:line="259" w:lineRule="auto"/>
        <w:ind w:left="284" w:firstLine="0"/>
        <w:jc w:val="left"/>
      </w:pPr>
      <w:r>
        <w:t xml:space="preserve"> </w:t>
      </w:r>
    </w:p>
    <w:p w:rsidR="00E302EC" w:rsidRDefault="00FC4F28">
      <w:pPr>
        <w:spacing w:after="98" w:line="259" w:lineRule="auto"/>
        <w:ind w:left="284" w:firstLine="0"/>
        <w:jc w:val="left"/>
      </w:pPr>
      <w:r>
        <w:t xml:space="preserve"> </w:t>
      </w:r>
    </w:p>
    <w:p w:rsidR="00E302EC" w:rsidRDefault="00FC4F28">
      <w:pPr>
        <w:spacing w:after="100" w:line="259" w:lineRule="auto"/>
        <w:ind w:left="284" w:firstLine="0"/>
        <w:jc w:val="left"/>
      </w:pPr>
      <w:r>
        <w:t xml:space="preserve"> </w:t>
      </w:r>
    </w:p>
    <w:p w:rsidR="00E302EC" w:rsidRDefault="00FC4F28">
      <w:pPr>
        <w:spacing w:after="98" w:line="259" w:lineRule="auto"/>
        <w:ind w:left="284" w:firstLine="0"/>
        <w:jc w:val="left"/>
      </w:pPr>
      <w:r>
        <w:t xml:space="preserve"> </w:t>
      </w:r>
    </w:p>
    <w:p w:rsidR="00E302EC" w:rsidRDefault="00FC4F28">
      <w:pPr>
        <w:spacing w:after="98" w:line="259" w:lineRule="auto"/>
        <w:ind w:left="284" w:firstLine="0"/>
        <w:jc w:val="left"/>
      </w:pPr>
      <w:r>
        <w:t xml:space="preserve"> </w:t>
      </w:r>
    </w:p>
    <w:p w:rsidR="00E302EC" w:rsidRDefault="00FC4F28">
      <w:pPr>
        <w:spacing w:after="100" w:line="259" w:lineRule="auto"/>
        <w:ind w:left="284" w:firstLine="0"/>
        <w:jc w:val="lef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0"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6840779</wp:posOffset>
                </wp:positionV>
                <wp:extent cx="161330" cy="3470605"/>
                <wp:effectExtent l="0" t="0" r="0" b="0"/>
                <wp:wrapTopAndBottom/>
                <wp:docPr id="264109" name="Group 264109"/>
                <wp:cNvGraphicFramePr/>
                <a:graphic xmlns:a="http://schemas.openxmlformats.org/drawingml/2006/main">
                  <a:graphicData uri="http://schemas.microsoft.com/office/word/2010/wordprocessingGroup">
                    <wpg:wgp>
                      <wpg:cNvGrpSpPr/>
                      <wpg:grpSpPr>
                        <a:xfrm>
                          <a:off x="0" y="0"/>
                          <a:ext cx="161330" cy="3470605"/>
                          <a:chOff x="0" y="0"/>
                          <a:chExt cx="161330" cy="3470605"/>
                        </a:xfrm>
                      </wpg:grpSpPr>
                      <wps:wsp>
                        <wps:cNvPr id="27330" name="Rectangle 27330"/>
                        <wps:cNvSpPr/>
                        <wps:spPr>
                          <a:xfrm rot="-5399999">
                            <a:off x="-2251341" y="1106040"/>
                            <a:ext cx="4615906" cy="113224"/>
                          </a:xfrm>
                          <a:prstGeom prst="rect">
                            <a:avLst/>
                          </a:prstGeom>
                          <a:ln>
                            <a:noFill/>
                          </a:ln>
                        </wps:spPr>
                        <wps:txbx>
                          <w:txbxContent>
                            <w:p w:rsidR="00E302EC" w:rsidRDefault="00FC4F28">
                              <w:pPr>
                                <w:spacing w:after="160" w:line="259" w:lineRule="auto"/>
                                <w:ind w:left="0" w:firstLine="0"/>
                                <w:jc w:val="left"/>
                              </w:pPr>
                              <w:r>
                                <w:rPr>
                                  <w:sz w:val="12"/>
                                </w:rPr>
                                <w:t xml:space="preserve">Cód. Validación: 7MT23JRFLY7JHEN56D753ZS5Q | Verificación: https://candelaria.sedelectronica.es/ </w:t>
                              </w:r>
                            </w:p>
                          </w:txbxContent>
                        </wps:txbx>
                        <wps:bodyPr horzOverflow="overflow" vert="horz" lIns="0" tIns="0" rIns="0" bIns="0" rtlCol="0">
                          <a:noAutofit/>
                        </wps:bodyPr>
                      </wps:wsp>
                      <wps:wsp>
                        <wps:cNvPr id="27331" name="Rectangle 27331"/>
                        <wps:cNvSpPr/>
                        <wps:spPr>
                          <a:xfrm rot="-5399999">
                            <a:off x="-2098575" y="1182607"/>
                            <a:ext cx="4462772" cy="113224"/>
                          </a:xfrm>
                          <a:prstGeom prst="rect">
                            <a:avLst/>
                          </a:prstGeom>
                          <a:ln>
                            <a:noFill/>
                          </a:ln>
                        </wps:spPr>
                        <wps:txbx>
                          <w:txbxContent>
                            <w:p w:rsidR="00E302EC" w:rsidRDefault="00FC4F28">
                              <w:pPr>
                                <w:spacing w:after="160" w:line="259" w:lineRule="auto"/>
                                <w:ind w:left="0" w:firstLine="0"/>
                                <w:jc w:val="left"/>
                              </w:pPr>
                              <w:r>
                                <w:rPr>
                                  <w:sz w:val="12"/>
                                </w:rPr>
                                <w:t xml:space="preserve">Documento firmado electrónicamente desde la plataforma esPublico Gestiona | Página 159 de 159 </w:t>
                              </w:r>
                            </w:p>
                          </w:txbxContent>
                        </wps:txbx>
                        <wps:bodyPr horzOverflow="overflow" vert="horz" lIns="0" tIns="0" rIns="0" bIns="0" rtlCol="0">
                          <a:noAutofit/>
                        </wps:bodyPr>
                      </wps:wsp>
                    </wpg:wgp>
                  </a:graphicData>
                </a:graphic>
              </wp:anchor>
            </w:drawing>
          </mc:Choice>
          <mc:Fallback xmlns:a="http://schemas.openxmlformats.org/drawingml/2006/main">
            <w:pict>
              <v:group id="Group 264109" style="width:12.7031pt;height:273.276pt;position:absolute;mso-position-horizontal-relative:page;mso-position-horizontal:absolute;margin-left:682.278pt;mso-position-vertical-relative:page;margin-top:538.644pt;" coordsize="1613,34706">
                <v:rect id="Rectangle 27330" style="position:absolute;width:46159;height:1132;left:-22513;top:110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7MT23JRFLY7JHEN56D753ZS5Q | Verificación: https://candelaria.sedelectronica.es/ </w:t>
                        </w:r>
                      </w:p>
                    </w:txbxContent>
                  </v:textbox>
                </v:rect>
                <v:rect id="Rectangle 27331" style="position:absolute;width:44627;height:1132;left:-20985;top:118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159 </w:t>
                        </w:r>
                      </w:p>
                    </w:txbxContent>
                  </v:textbox>
                </v:rect>
                <w10:wrap type="topAndBottom"/>
              </v:group>
            </w:pict>
          </mc:Fallback>
        </mc:AlternateContent>
      </w: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1"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0"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98" w:line="259" w:lineRule="auto"/>
        <w:ind w:left="0" w:right="8281" w:firstLine="0"/>
        <w:jc w:val="right"/>
      </w:pPr>
      <w:r>
        <w:t xml:space="preserve"> </w:t>
      </w:r>
    </w:p>
    <w:p w:rsidR="00E302EC" w:rsidRDefault="00FC4F28">
      <w:pPr>
        <w:spacing w:after="101" w:line="259" w:lineRule="auto"/>
        <w:ind w:left="0" w:right="8281" w:firstLine="0"/>
        <w:jc w:val="right"/>
      </w:pPr>
      <w:r>
        <w:t xml:space="preserve"> </w:t>
      </w:r>
    </w:p>
    <w:p w:rsidR="00E302EC" w:rsidRDefault="00FC4F28">
      <w:pPr>
        <w:spacing w:after="0" w:line="259" w:lineRule="auto"/>
        <w:ind w:left="0" w:right="8281" w:firstLine="0"/>
        <w:jc w:val="right"/>
      </w:pPr>
      <w:r>
        <w:t xml:space="preserve"> </w:t>
      </w:r>
    </w:p>
    <w:p w:rsidR="00E302EC" w:rsidRDefault="00FC4F28">
      <w:pPr>
        <w:spacing w:after="0" w:line="259" w:lineRule="auto"/>
        <w:ind w:left="284" w:firstLine="0"/>
        <w:jc w:val="left"/>
      </w:pPr>
      <w:r>
        <w:t xml:space="preserve"> </w:t>
      </w:r>
    </w:p>
    <w:sectPr w:rsidR="00E302EC">
      <w:headerReference w:type="even" r:id="rId18"/>
      <w:headerReference w:type="default" r:id="rId19"/>
      <w:footerReference w:type="even" r:id="rId20"/>
      <w:footerReference w:type="default" r:id="rId21"/>
      <w:headerReference w:type="first" r:id="rId22"/>
      <w:footerReference w:type="first" r:id="rId23"/>
      <w:pgSz w:w="14174" w:h="16838"/>
      <w:pgMar w:top="2834" w:right="1863" w:bottom="572" w:left="2269"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C4F28">
      <w:pPr>
        <w:spacing w:after="0" w:line="240" w:lineRule="auto"/>
      </w:pPr>
      <w:r>
        <w:separator/>
      </w:r>
    </w:p>
  </w:endnote>
  <w:endnote w:type="continuationSeparator" w:id="0">
    <w:p w:rsidR="00000000" w:rsidRDefault="00FC4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2EC" w:rsidRDefault="00FC4F28">
    <w:pPr>
      <w:spacing w:after="0" w:line="259" w:lineRule="auto"/>
      <w:ind w:left="337"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82442" name="Group 28244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82443" name="Shape 28244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442" style="width:459.1pt;height:1.34998pt;position:absolute;mso-position-horizontal-relative:page;mso-position-horizontal:absolute;margin-left:130.31pt;mso-position-vertical-relative:page;margin-top:783.42pt;" coordsize="58305,171">
              <v:shape id="Shape 28244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302EC" w:rsidRDefault="00FC4F28">
    <w:pPr>
      <w:spacing w:after="57" w:line="238" w:lineRule="auto"/>
      <w:ind w:left="4403" w:right="1942" w:hanging="1976"/>
    </w:pPr>
    <w:r>
      <w:rPr>
        <w:sz w:val="14"/>
      </w:rPr>
      <w:t xml:space="preserve">Avenida Constitución Nº 7. Código postal: 38530, Candelaria. Teléfono: 922.500.800. </w:t>
    </w:r>
    <w:r>
      <w:rPr>
        <w:b/>
        <w:sz w:val="14"/>
      </w:rPr>
      <w:t xml:space="preserve">www. candelaria. es </w:t>
    </w:r>
  </w:p>
  <w:p w:rsidR="00E302EC" w:rsidRDefault="00FC4F28">
    <w:pPr>
      <w:spacing w:after="0" w:line="259" w:lineRule="auto"/>
      <w:ind w:left="0" w:right="19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2EC" w:rsidRDefault="00FC4F28">
    <w:pPr>
      <w:spacing w:after="0" w:line="259" w:lineRule="auto"/>
      <w:ind w:left="337"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82408" name="Group 28240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82409" name="Shape 28240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408" style="width:459.1pt;height:1.34998pt;position:absolute;mso-position-horizontal-relative:page;mso-position-horizontal:absolute;margin-left:130.31pt;mso-position-vertical-relative:page;margin-top:783.42pt;" coordsize="58305,171">
              <v:shape id="Shape 28240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302EC" w:rsidRDefault="00FC4F28">
    <w:pPr>
      <w:spacing w:after="57" w:line="238" w:lineRule="auto"/>
      <w:ind w:left="4403" w:right="1942" w:hanging="1976"/>
    </w:pPr>
    <w:r>
      <w:rPr>
        <w:sz w:val="14"/>
      </w:rPr>
      <w:t xml:space="preserve">Avenida Constitución Nº 7. Código postal: 38530, Candelaria. Teléfono: 922.500.800. </w:t>
    </w:r>
    <w:r>
      <w:rPr>
        <w:b/>
        <w:sz w:val="14"/>
      </w:rPr>
      <w:t xml:space="preserve">www. candelaria. es </w:t>
    </w:r>
  </w:p>
  <w:p w:rsidR="00E302EC" w:rsidRDefault="00FC4F28">
    <w:pPr>
      <w:spacing w:after="0" w:line="259" w:lineRule="auto"/>
      <w:ind w:left="0" w:right="192" w:firstLine="0"/>
      <w:jc w:val="right"/>
    </w:pPr>
    <w:r>
      <w:fldChar w:fldCharType="begin"/>
    </w:r>
    <w:r>
      <w:instrText xml:space="preserve"> PAGE   \* MERGEFORMAT </w:instrText>
    </w:r>
    <w:r>
      <w:fldChar w:fldCharType="separate"/>
    </w:r>
    <w:r w:rsidRPr="00FC4F28">
      <w:rPr>
        <w:noProof/>
        <w:sz w:val="14"/>
      </w:rPr>
      <w:t>5</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2EC" w:rsidRDefault="00E302E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C4F28">
      <w:pPr>
        <w:spacing w:after="0" w:line="240" w:lineRule="auto"/>
      </w:pPr>
      <w:r>
        <w:separator/>
      </w:r>
    </w:p>
  </w:footnote>
  <w:footnote w:type="continuationSeparator" w:id="0">
    <w:p w:rsidR="00000000" w:rsidRDefault="00FC4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82427" name="Group 28242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82428" name="Shape 28242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82430" name="Rectangle 282430"/>
                      <wps:cNvSpPr/>
                      <wps:spPr>
                        <a:xfrm>
                          <a:off x="1137158" y="0"/>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431" name="Rectangle 282431"/>
                      <wps:cNvSpPr/>
                      <wps:spPr>
                        <a:xfrm>
                          <a:off x="495554" y="175260"/>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432" name="Rectangle 282432"/>
                      <wps:cNvSpPr/>
                      <wps:spPr>
                        <a:xfrm>
                          <a:off x="495554" y="350520"/>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433" name="Rectangle 282433"/>
                      <wps:cNvSpPr/>
                      <wps:spPr>
                        <a:xfrm>
                          <a:off x="495554" y="526034"/>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2429" name="Picture 28242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82427" style="width:472.41pt;height:64.392pt;position:absolute;mso-position-horizontal-relative:page;mso-position-horizontal:absolute;margin-left:130.25pt;mso-position-vertical-relative:page;margin-top:34.668pt;" coordsize="59996,8177">
              <v:shape id="Shape 282428" style="position:absolute;width:59988;height:0;left:7;top:8177;" coordsize="5998845,0" path="m0,0l5998845,0">
                <v:stroke weight="2.04pt" endcap="square" joinstyle="miter" miterlimit="10" on="true" color="#993366"/>
                <v:fill on="false" color="#000000" opacity="0"/>
              </v:shape>
              <v:rect id="Rectangle 28243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43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43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433"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82429" style="position:absolute;width:3992;height:5699;left:0;top:565;" filled="f">
                <v:imagedata r:id="rId17"/>
              </v:shape>
              <w10:wrap type="square"/>
            </v:group>
          </w:pict>
        </mc:Fallback>
      </mc:AlternateContent>
    </w:r>
    <w:r>
      <w:rPr>
        <w:rFonts w:ascii="Times New Roman" w:eastAsia="Times New Roman" w:hAnsi="Times New Roman" w:cs="Times New Roman"/>
        <w:sz w:val="24"/>
      </w:rPr>
      <w:t xml:space="preserve"> </w:t>
    </w:r>
  </w:p>
  <w:p w:rsidR="00E302EC" w:rsidRDefault="00FC4F28">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82434" name="Group 28243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82435" name="Picture 282435"/>
                        <pic:cNvPicPr/>
                      </pic:nvPicPr>
                      <pic:blipFill>
                        <a:blip r:embed="rId1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82434" style="width:28pt;height:310pt;position:absolute;z-index:-2147483648;mso-position-horizontal-relative:page;mso-position-horizontal:absolute;margin-left:653.71pt;mso-position-vertical-relative:page;margin-top:501.92pt;" coordsize="3556,39370">
              <v:shape id="Picture 282435" style="position:absolute;width:39369;height:3556;left:-17906;top:17906;rotation:-89;" filled="f">
                <v:imagedata r:id="rId16"/>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2EC" w:rsidRDefault="00FC4F2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82393" name="Group 28239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82394" name="Shape 28239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82396" name="Rectangle 282396"/>
                      <wps:cNvSpPr/>
                      <wps:spPr>
                        <a:xfrm>
                          <a:off x="1137158" y="0"/>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397" name="Rectangle 282397"/>
                      <wps:cNvSpPr/>
                      <wps:spPr>
                        <a:xfrm>
                          <a:off x="495554" y="175260"/>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398" name="Rectangle 282398"/>
                      <wps:cNvSpPr/>
                      <wps:spPr>
                        <a:xfrm>
                          <a:off x="495554" y="350520"/>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2399" name="Rectangle 282399"/>
                      <wps:cNvSpPr/>
                      <wps:spPr>
                        <a:xfrm>
                          <a:off x="495554" y="526034"/>
                          <a:ext cx="50673" cy="224380"/>
                        </a:xfrm>
                        <a:prstGeom prst="rect">
                          <a:avLst/>
                        </a:prstGeom>
                        <a:ln>
                          <a:noFill/>
                        </a:ln>
                      </wps:spPr>
                      <wps:txbx>
                        <w:txbxContent>
                          <w:p w:rsidR="00E302EC" w:rsidRDefault="00FC4F2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2395" name="Picture 28239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82393" style="width:472.41pt;height:64.392pt;position:absolute;mso-position-horizontal-relative:page;mso-position-horizontal:absolute;margin-left:130.25pt;mso-position-vertical-relative:page;margin-top:34.668pt;" coordsize="59996,8177">
              <v:shape id="Shape 282394" style="position:absolute;width:59988;height:0;left:7;top:8177;" coordsize="5998845,0" path="m0,0l5998845,0">
                <v:stroke weight="2.04pt" endcap="square" joinstyle="miter" miterlimit="10" on="true" color="#993366"/>
                <v:fill on="false" color="#000000" opacity="0"/>
              </v:shape>
              <v:rect id="Rectangle 28239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39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39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2399"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82395" style="position:absolute;width:3992;height:5699;left:0;top:565;" filled="f">
                <v:imagedata r:id="rId17"/>
              </v:shape>
              <w10:wrap type="square"/>
            </v:group>
          </w:pict>
        </mc:Fallback>
      </mc:AlternateContent>
    </w:r>
    <w:r>
      <w:rPr>
        <w:rFonts w:ascii="Times New Roman" w:eastAsia="Times New Roman" w:hAnsi="Times New Roman" w:cs="Times New Roman"/>
        <w:sz w:val="24"/>
      </w:rPr>
      <w:t xml:space="preserve"> </w:t>
    </w:r>
  </w:p>
  <w:p w:rsidR="00E302EC" w:rsidRDefault="00FC4F28">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82400" name="Group 28240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82401" name="Picture 282401"/>
                        <pic:cNvPicPr/>
                      </pic:nvPicPr>
                      <pic:blipFill>
                        <a:blip r:embed="rId1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82400" style="width:28pt;height:310pt;position:absolute;z-index:-2147483648;mso-position-horizontal-relative:page;mso-position-horizontal:absolute;margin-left:653.71pt;mso-position-vertical-relative:page;margin-top:501.92pt;" coordsize="3556,39370">
              <v:shape id="Picture 282401" style="position:absolute;width:39369;height:3556;left:-17906;top:17906;rotation:-89;" filled="f">
                <v:imagedata r:id="rId16"/>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2EC" w:rsidRDefault="00FC4F28">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82384" name="Group 28238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82385" name="Picture 282385"/>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82384" style="width:28pt;height:310pt;position:absolute;z-index:-2147483648;mso-position-horizontal-relative:page;mso-position-horizontal:absolute;margin-left:653.71pt;mso-position-vertical-relative:page;margin-top:501.92pt;" coordsize="3556,39370">
              <v:shape id="Picture 282385" style="position:absolute;width:39369;height:3556;left:-17906;top:17906;rotation:-89;" filled="f">
                <v:imagedata r:id="rId16"/>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26"/>
    <w:multiLevelType w:val="hybridMultilevel"/>
    <w:tmpl w:val="8A6A750A"/>
    <w:lvl w:ilvl="0" w:tplc="967A3ECA">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4A367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5631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D2D1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A673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1E93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24884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22B6A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A2F3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DA179F"/>
    <w:multiLevelType w:val="hybridMultilevel"/>
    <w:tmpl w:val="AC8C08BA"/>
    <w:lvl w:ilvl="0" w:tplc="3DFC4904">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E2C7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206F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B6AB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4E72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3A6A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BAC8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0600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6E53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7C637F"/>
    <w:multiLevelType w:val="hybridMultilevel"/>
    <w:tmpl w:val="B6042DA8"/>
    <w:lvl w:ilvl="0" w:tplc="CFA8F690">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085F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B4B1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6C75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1CB2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A84C1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E2DE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085B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2655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A20E45"/>
    <w:multiLevelType w:val="hybridMultilevel"/>
    <w:tmpl w:val="46FA32DC"/>
    <w:lvl w:ilvl="0" w:tplc="6D2212AA">
      <w:start w:val="3"/>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AE46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C4AA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5835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FE9B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8600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E25A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7CEA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0818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E16795"/>
    <w:multiLevelType w:val="hybridMultilevel"/>
    <w:tmpl w:val="398ADD36"/>
    <w:lvl w:ilvl="0" w:tplc="1690F690">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9A59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9ADA1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C475F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589A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4884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08BF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86F3D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8A7E7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18109C"/>
    <w:multiLevelType w:val="hybridMultilevel"/>
    <w:tmpl w:val="D0BAE586"/>
    <w:lvl w:ilvl="0" w:tplc="06289796">
      <w:start w:val="1"/>
      <w:numFmt w:val="bullet"/>
      <w:lvlText w:val=""/>
      <w:lvlJc w:val="left"/>
      <w:pPr>
        <w:ind w:left="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5D041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D8D0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3625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CA84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3EBA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5A82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D451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6080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0B0D1F"/>
    <w:multiLevelType w:val="hybridMultilevel"/>
    <w:tmpl w:val="04D84CDA"/>
    <w:lvl w:ilvl="0" w:tplc="94C0FA3C">
      <w:start w:val="3"/>
      <w:numFmt w:val="upperLetter"/>
      <w:lvlText w:val="%1)"/>
      <w:lvlJc w:val="left"/>
      <w:pPr>
        <w:ind w:left="111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9B98A330">
      <w:start w:val="1"/>
      <w:numFmt w:val="lowerLetter"/>
      <w:lvlText w:val="%2"/>
      <w:lvlJc w:val="left"/>
      <w:pPr>
        <w:ind w:left="16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D71CCFDA">
      <w:start w:val="1"/>
      <w:numFmt w:val="lowerRoman"/>
      <w:lvlText w:val="%3"/>
      <w:lvlJc w:val="left"/>
      <w:pPr>
        <w:ind w:left="23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8DBC08BC">
      <w:start w:val="1"/>
      <w:numFmt w:val="decimal"/>
      <w:lvlText w:val="%4"/>
      <w:lvlJc w:val="left"/>
      <w:pPr>
        <w:ind w:left="30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733675C8">
      <w:start w:val="1"/>
      <w:numFmt w:val="lowerLetter"/>
      <w:lvlText w:val="%5"/>
      <w:lvlJc w:val="left"/>
      <w:pPr>
        <w:ind w:left="37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EF6A3B64">
      <w:start w:val="1"/>
      <w:numFmt w:val="lowerRoman"/>
      <w:lvlText w:val="%6"/>
      <w:lvlJc w:val="left"/>
      <w:pPr>
        <w:ind w:left="45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FA48288E">
      <w:start w:val="1"/>
      <w:numFmt w:val="decimal"/>
      <w:lvlText w:val="%7"/>
      <w:lvlJc w:val="left"/>
      <w:pPr>
        <w:ind w:left="52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266EB282">
      <w:start w:val="1"/>
      <w:numFmt w:val="lowerLetter"/>
      <w:lvlText w:val="%8"/>
      <w:lvlJc w:val="left"/>
      <w:pPr>
        <w:ind w:left="59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9B20A158">
      <w:start w:val="1"/>
      <w:numFmt w:val="lowerRoman"/>
      <w:lvlText w:val="%9"/>
      <w:lvlJc w:val="left"/>
      <w:pPr>
        <w:ind w:left="66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2F6821"/>
    <w:multiLevelType w:val="hybridMultilevel"/>
    <w:tmpl w:val="11E6072E"/>
    <w:lvl w:ilvl="0" w:tplc="AE36C50A">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0681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A857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80AF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B8AC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6C3A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189E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7A69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54A6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6B02E2C"/>
    <w:multiLevelType w:val="hybridMultilevel"/>
    <w:tmpl w:val="FDA667DE"/>
    <w:lvl w:ilvl="0" w:tplc="2BA4992E">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B479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D25A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7A52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840B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90FB2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5057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A4328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80CE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76610AF"/>
    <w:multiLevelType w:val="hybridMultilevel"/>
    <w:tmpl w:val="729672FC"/>
    <w:lvl w:ilvl="0" w:tplc="9438D04C">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C23D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0026B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D0EC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3CAD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02E89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AAF4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AA31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965B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7C0127A"/>
    <w:multiLevelType w:val="hybridMultilevel"/>
    <w:tmpl w:val="0360E90E"/>
    <w:lvl w:ilvl="0" w:tplc="74DA297C">
      <w:start w:val="1"/>
      <w:numFmt w:val="lowerLetter"/>
      <w:lvlText w:val="%1)"/>
      <w:lvlJc w:val="left"/>
      <w:pPr>
        <w:ind w:left="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567C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3C09F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E07B1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7AC82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AEC1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5A3A4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622A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F21D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7F61C79"/>
    <w:multiLevelType w:val="hybridMultilevel"/>
    <w:tmpl w:val="033C9570"/>
    <w:lvl w:ilvl="0" w:tplc="5C6E800E">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4060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58BC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9A3B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C463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3E22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9CF6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8029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36DB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8677D9A"/>
    <w:multiLevelType w:val="hybridMultilevel"/>
    <w:tmpl w:val="A23C7D9C"/>
    <w:lvl w:ilvl="0" w:tplc="4C2CAE24">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22FF9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D40D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8CCF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1693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BCC7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F04E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0074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8658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BA14011"/>
    <w:multiLevelType w:val="hybridMultilevel"/>
    <w:tmpl w:val="3F46DCD6"/>
    <w:lvl w:ilvl="0" w:tplc="8E96A3C6">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FC3C6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7888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5C54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6C13D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C6B0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34D7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86E5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F0CD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BB00E24"/>
    <w:multiLevelType w:val="hybridMultilevel"/>
    <w:tmpl w:val="57D4D728"/>
    <w:lvl w:ilvl="0" w:tplc="9E2C9894">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ECB0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A6AB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D2E94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907C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227E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A68D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60C7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34F8A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D05EDF"/>
    <w:multiLevelType w:val="hybridMultilevel"/>
    <w:tmpl w:val="99A4BCE8"/>
    <w:lvl w:ilvl="0" w:tplc="837A6C6A">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5C63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AE1E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5887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D0214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3015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E0229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04DF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96FBC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BEC7F30"/>
    <w:multiLevelType w:val="hybridMultilevel"/>
    <w:tmpl w:val="72F0E5C8"/>
    <w:lvl w:ilvl="0" w:tplc="C71E5D08">
      <w:start w:val="1"/>
      <w:numFmt w:val="lowerLetter"/>
      <w:lvlText w:val="%1)"/>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2EAB6A">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D60F5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9E652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46CF7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D6C3B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5056D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E4A52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9A632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D686E97"/>
    <w:multiLevelType w:val="hybridMultilevel"/>
    <w:tmpl w:val="E5DCCC58"/>
    <w:lvl w:ilvl="0" w:tplc="C422BDDE">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66B5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A638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90B0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8290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0450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F023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2FB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BAC5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ED41C49"/>
    <w:multiLevelType w:val="hybridMultilevel"/>
    <w:tmpl w:val="A58A4860"/>
    <w:lvl w:ilvl="0" w:tplc="FDC059F8">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7CBA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B49B4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E64D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10CF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36479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68BF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4E00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E624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F473687"/>
    <w:multiLevelType w:val="hybridMultilevel"/>
    <w:tmpl w:val="0AC449D6"/>
    <w:lvl w:ilvl="0" w:tplc="15024E4C">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888E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C678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10C9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54D7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FEBB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EC21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2EBD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0C11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F4A38E4"/>
    <w:multiLevelType w:val="hybridMultilevel"/>
    <w:tmpl w:val="8612E992"/>
    <w:lvl w:ilvl="0" w:tplc="05642BB0">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C871F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DA3DE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5839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64DDD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9CBDC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9076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B086A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CC4AA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00F3738"/>
    <w:multiLevelType w:val="hybridMultilevel"/>
    <w:tmpl w:val="54B87C0E"/>
    <w:lvl w:ilvl="0" w:tplc="8F7892C6">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275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4A19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94D42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C6E7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989F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002A9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1C6F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6A90D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18A055E"/>
    <w:multiLevelType w:val="hybridMultilevel"/>
    <w:tmpl w:val="3C169DFA"/>
    <w:lvl w:ilvl="0" w:tplc="E968E610">
      <w:start w:val="1"/>
      <w:numFmt w:val="lowerLetter"/>
      <w:lvlText w:val="%1)"/>
      <w:lvlJc w:val="left"/>
      <w:pPr>
        <w:ind w:left="9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37ED6B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33EEEB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7B2AC2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C6EAB8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3923A6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0B6421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71CB30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EC05E0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44E27EB"/>
    <w:multiLevelType w:val="hybridMultilevel"/>
    <w:tmpl w:val="37B0AD4E"/>
    <w:lvl w:ilvl="0" w:tplc="2CCAA792">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C0DC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D8D5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CC084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A278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1CE11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0AC7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5215D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1211B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4622C9F"/>
    <w:multiLevelType w:val="hybridMultilevel"/>
    <w:tmpl w:val="1BBA10C4"/>
    <w:lvl w:ilvl="0" w:tplc="9FFC01B6">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B672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46E4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0810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FA0B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623F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8836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8EA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E60F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4B34A02"/>
    <w:multiLevelType w:val="hybridMultilevel"/>
    <w:tmpl w:val="EA74ED86"/>
    <w:lvl w:ilvl="0" w:tplc="D6589B10">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765FB0">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123EDE">
      <w:start w:val="1"/>
      <w:numFmt w:val="bullet"/>
      <w:lvlText w:val="▪"/>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A4F602">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507F5A">
      <w:start w:val="1"/>
      <w:numFmt w:val="bullet"/>
      <w:lvlText w:val="o"/>
      <w:lvlJc w:val="left"/>
      <w:pPr>
        <w:ind w:left="2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C6A1F2">
      <w:start w:val="1"/>
      <w:numFmt w:val="bullet"/>
      <w:lvlText w:val="▪"/>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BA7C9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EBC5A">
      <w:start w:val="1"/>
      <w:numFmt w:val="bullet"/>
      <w:lvlText w:val="o"/>
      <w:lvlJc w:val="left"/>
      <w:pPr>
        <w:ind w:left="5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D05C94">
      <w:start w:val="1"/>
      <w:numFmt w:val="bullet"/>
      <w:lvlText w:val="▪"/>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4CD3439"/>
    <w:multiLevelType w:val="hybridMultilevel"/>
    <w:tmpl w:val="615EB732"/>
    <w:lvl w:ilvl="0" w:tplc="6B8EAD7A">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FEEF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EEF8C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20C5E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98BE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D0E7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CA2F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3887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DE9D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5BC73F0"/>
    <w:multiLevelType w:val="hybridMultilevel"/>
    <w:tmpl w:val="0DFE3AE8"/>
    <w:lvl w:ilvl="0" w:tplc="4CC81D98">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A6A6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7C5D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4692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920D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7887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1002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048D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D03C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6502165"/>
    <w:multiLevelType w:val="hybridMultilevel"/>
    <w:tmpl w:val="969EC69A"/>
    <w:lvl w:ilvl="0" w:tplc="B608FDC8">
      <w:start w:val="1"/>
      <w:numFmt w:val="bullet"/>
      <w:lvlText w:val=""/>
      <w:lvlJc w:val="left"/>
      <w:pPr>
        <w:ind w:left="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DEE7B3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B227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6C60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2E8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605C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DEEF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52CE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7A37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7803C2E"/>
    <w:multiLevelType w:val="hybridMultilevel"/>
    <w:tmpl w:val="06D2FE06"/>
    <w:lvl w:ilvl="0" w:tplc="C81206A4">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9675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1609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5084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047D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D075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AE7BC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383F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B632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9366B9A"/>
    <w:multiLevelType w:val="hybridMultilevel"/>
    <w:tmpl w:val="6E0C256C"/>
    <w:lvl w:ilvl="0" w:tplc="F0FE08E8">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3E8E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32BE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6459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20AE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ECB3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681E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78A4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24CA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AA31103"/>
    <w:multiLevelType w:val="hybridMultilevel"/>
    <w:tmpl w:val="8312CAC4"/>
    <w:lvl w:ilvl="0" w:tplc="7B22651E">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1E7A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837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B01B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E6E2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B25F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0869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F093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58DA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BAF4068"/>
    <w:multiLevelType w:val="hybridMultilevel"/>
    <w:tmpl w:val="0AA019CC"/>
    <w:lvl w:ilvl="0" w:tplc="E598B134">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FE6D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B4B1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F279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3CCC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3ED4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0E1D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4AC0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64F8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C690DCC"/>
    <w:multiLevelType w:val="hybridMultilevel"/>
    <w:tmpl w:val="E424F38E"/>
    <w:lvl w:ilvl="0" w:tplc="471ED952">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5E784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5AAF6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307F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EADD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868E3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9626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52816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72FFB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C772677"/>
    <w:multiLevelType w:val="hybridMultilevel"/>
    <w:tmpl w:val="C3EE3AF0"/>
    <w:lvl w:ilvl="0" w:tplc="9A9856A0">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06AF9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38C5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1055E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5AD5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8ED5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6A48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4A71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02D2C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D864FA0"/>
    <w:multiLevelType w:val="hybridMultilevel"/>
    <w:tmpl w:val="FF4CD108"/>
    <w:lvl w:ilvl="0" w:tplc="C2B29804">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CCD3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1211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E467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0A9A3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1A63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1E8F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F6BB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E625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E2103B9"/>
    <w:multiLevelType w:val="hybridMultilevel"/>
    <w:tmpl w:val="E6700BA6"/>
    <w:lvl w:ilvl="0" w:tplc="3670EC04">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FEF3FC">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CC2E6C">
      <w:start w:val="1"/>
      <w:numFmt w:val="bullet"/>
      <w:lvlText w:val="▪"/>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88C38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8652E4">
      <w:start w:val="1"/>
      <w:numFmt w:val="bullet"/>
      <w:lvlText w:val="o"/>
      <w:lvlJc w:val="left"/>
      <w:pPr>
        <w:ind w:left="2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6896FA">
      <w:start w:val="1"/>
      <w:numFmt w:val="bullet"/>
      <w:lvlText w:val="▪"/>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6A626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FA1528">
      <w:start w:val="1"/>
      <w:numFmt w:val="bullet"/>
      <w:lvlText w:val="o"/>
      <w:lvlJc w:val="left"/>
      <w:pPr>
        <w:ind w:left="5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7AB43C">
      <w:start w:val="1"/>
      <w:numFmt w:val="bullet"/>
      <w:lvlText w:val="▪"/>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E2532AB"/>
    <w:multiLevelType w:val="hybridMultilevel"/>
    <w:tmpl w:val="07801C78"/>
    <w:lvl w:ilvl="0" w:tplc="8E92166A">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16F3A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50A7E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4648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4264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C077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2CC6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0E8A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DACD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F215C8E"/>
    <w:multiLevelType w:val="hybridMultilevel"/>
    <w:tmpl w:val="15C0EE72"/>
    <w:lvl w:ilvl="0" w:tplc="14428116">
      <w:start w:val="1"/>
      <w:numFmt w:val="lowerLetter"/>
      <w:lvlText w:val="%1)"/>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2236E0">
      <w:start w:val="1"/>
      <w:numFmt w:val="lowerLetter"/>
      <w:lvlText w:val="%2"/>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88D784">
      <w:start w:val="1"/>
      <w:numFmt w:val="lowerRoman"/>
      <w:lvlText w:val="%3"/>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42C00">
      <w:start w:val="1"/>
      <w:numFmt w:val="decimal"/>
      <w:lvlText w:val="%4"/>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C6E950">
      <w:start w:val="1"/>
      <w:numFmt w:val="lowerLetter"/>
      <w:lvlText w:val="%5"/>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20FB10">
      <w:start w:val="1"/>
      <w:numFmt w:val="lowerRoman"/>
      <w:lvlText w:val="%6"/>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5CE752">
      <w:start w:val="1"/>
      <w:numFmt w:val="decimal"/>
      <w:lvlText w:val="%7"/>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4AECD6">
      <w:start w:val="1"/>
      <w:numFmt w:val="lowerLetter"/>
      <w:lvlText w:val="%8"/>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884EBA">
      <w:start w:val="1"/>
      <w:numFmt w:val="lowerRoman"/>
      <w:lvlText w:val="%9"/>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FC75DFC"/>
    <w:multiLevelType w:val="hybridMultilevel"/>
    <w:tmpl w:val="B742E138"/>
    <w:lvl w:ilvl="0" w:tplc="CBD8C258">
      <w:start w:val="3"/>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B43D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5828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0212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4C5D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F0921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D67E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E680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94A6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1156940"/>
    <w:multiLevelType w:val="hybridMultilevel"/>
    <w:tmpl w:val="FF60BC02"/>
    <w:lvl w:ilvl="0" w:tplc="3B8A9AA8">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6C51B0">
      <w:start w:val="1"/>
      <w:numFmt w:val="bullet"/>
      <w:lvlText w:val="o"/>
      <w:lvlJc w:val="left"/>
      <w:pPr>
        <w:ind w:left="1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7251B4">
      <w:start w:val="1"/>
      <w:numFmt w:val="bullet"/>
      <w:lvlText w:val="▪"/>
      <w:lvlJc w:val="left"/>
      <w:pPr>
        <w:ind w:left="1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EEB856">
      <w:start w:val="1"/>
      <w:numFmt w:val="bullet"/>
      <w:lvlText w:val="•"/>
      <w:lvlJc w:val="left"/>
      <w:pPr>
        <w:ind w:left="2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A9C88">
      <w:start w:val="1"/>
      <w:numFmt w:val="bullet"/>
      <w:lvlText w:val="o"/>
      <w:lvlJc w:val="left"/>
      <w:pPr>
        <w:ind w:left="3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7E0900">
      <w:start w:val="1"/>
      <w:numFmt w:val="bullet"/>
      <w:lvlText w:val="▪"/>
      <w:lvlJc w:val="left"/>
      <w:pPr>
        <w:ind w:left="4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EE8810">
      <w:start w:val="1"/>
      <w:numFmt w:val="bullet"/>
      <w:lvlText w:val="•"/>
      <w:lvlJc w:val="left"/>
      <w:pPr>
        <w:ind w:left="4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DEA958">
      <w:start w:val="1"/>
      <w:numFmt w:val="bullet"/>
      <w:lvlText w:val="o"/>
      <w:lvlJc w:val="left"/>
      <w:pPr>
        <w:ind w:left="5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48C5B8">
      <w:start w:val="1"/>
      <w:numFmt w:val="bullet"/>
      <w:lvlText w:val="▪"/>
      <w:lvlJc w:val="left"/>
      <w:pPr>
        <w:ind w:left="6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2043966"/>
    <w:multiLevelType w:val="hybridMultilevel"/>
    <w:tmpl w:val="59769FA2"/>
    <w:lvl w:ilvl="0" w:tplc="A3B4D8EE">
      <w:start w:val="4"/>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8A7C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2C6B1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E2E3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E94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A442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723F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861AB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70B0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33B3A22"/>
    <w:multiLevelType w:val="hybridMultilevel"/>
    <w:tmpl w:val="EE249288"/>
    <w:lvl w:ilvl="0" w:tplc="DEB096BE">
      <w:start w:val="1"/>
      <w:numFmt w:val="bullet"/>
      <w:lvlText w:val="-"/>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E8CC1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E8090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F4E7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0A8BE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181BC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0AC9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DABDB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C6288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821223F"/>
    <w:multiLevelType w:val="hybridMultilevel"/>
    <w:tmpl w:val="101E9738"/>
    <w:lvl w:ilvl="0" w:tplc="C2D62978">
      <w:start w:val="4"/>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CBB3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8A9F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AE3D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FE0F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08EFA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5AC7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166C2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ECAA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9E74B89"/>
    <w:multiLevelType w:val="hybridMultilevel"/>
    <w:tmpl w:val="1D0227FE"/>
    <w:lvl w:ilvl="0" w:tplc="936C1024">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EEBC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66AD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54B7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D00C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80980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F6AA8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F611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C85F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AEE2123"/>
    <w:multiLevelType w:val="hybridMultilevel"/>
    <w:tmpl w:val="03A2D8BC"/>
    <w:lvl w:ilvl="0" w:tplc="3A005F12">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DE2EC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1A9CB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6EEC2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F80FB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54FE2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68C1D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942ED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F2FCA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B075EE8"/>
    <w:multiLevelType w:val="hybridMultilevel"/>
    <w:tmpl w:val="5E0A3CF6"/>
    <w:lvl w:ilvl="0" w:tplc="20F4B3AE">
      <w:start w:val="1"/>
      <w:numFmt w:val="lowerLetter"/>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3CDA6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5202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04BD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BAC7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14B4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4EC8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A2C2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BE62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B272E15"/>
    <w:multiLevelType w:val="hybridMultilevel"/>
    <w:tmpl w:val="24A2A1D0"/>
    <w:lvl w:ilvl="0" w:tplc="43AC8E7A">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3A6CD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A05F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A0CB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6AD0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7E5EF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CC92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1A34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681B7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B8A7C7B"/>
    <w:multiLevelType w:val="hybridMultilevel"/>
    <w:tmpl w:val="9C9A6312"/>
    <w:lvl w:ilvl="0" w:tplc="1AE63400">
      <w:start w:val="5"/>
      <w:numFmt w:val="lowerLetter"/>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649A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B43A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1217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86CC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E49D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B4E5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3654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2829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BC14FB1"/>
    <w:multiLevelType w:val="hybridMultilevel"/>
    <w:tmpl w:val="F07AF6AE"/>
    <w:lvl w:ilvl="0" w:tplc="38903E6A">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220B4C">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92141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AAE91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502526">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1EA31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F88B0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24F4E0">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DA1EDC">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BC84252"/>
    <w:multiLevelType w:val="hybridMultilevel"/>
    <w:tmpl w:val="E714A6DC"/>
    <w:lvl w:ilvl="0" w:tplc="F204325C">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4E31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3E3F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18BC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6E6A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125F5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8897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86DA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CCF6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C015FB4"/>
    <w:multiLevelType w:val="hybridMultilevel"/>
    <w:tmpl w:val="A7E4609C"/>
    <w:lvl w:ilvl="0" w:tplc="94CE08D0">
      <w:start w:val="1"/>
      <w:numFmt w:val="lowerLetter"/>
      <w:lvlText w:val="%1."/>
      <w:lvlJc w:val="left"/>
      <w:pPr>
        <w:ind w:left="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874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9493A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9A36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A082E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520A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9C3E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9CA3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E7E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CD06168"/>
    <w:multiLevelType w:val="hybridMultilevel"/>
    <w:tmpl w:val="39C22206"/>
    <w:lvl w:ilvl="0" w:tplc="9EF8FA4E">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FA8C1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A471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2CB6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420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84CD1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3226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12525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A66D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D0425A7"/>
    <w:multiLevelType w:val="hybridMultilevel"/>
    <w:tmpl w:val="84ECE6B6"/>
    <w:lvl w:ilvl="0" w:tplc="72D61D0A">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1EF4F8">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D8873A">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1A8978">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58D5BA">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B2E00A">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9807C4">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707CFC">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3C58A4">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D083838"/>
    <w:multiLevelType w:val="hybridMultilevel"/>
    <w:tmpl w:val="1654EFD8"/>
    <w:lvl w:ilvl="0" w:tplc="E6DE7C52">
      <w:start w:val="6"/>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98E6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56FD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825E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BCA6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56CB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B6B7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A8D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0E68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D0D139E"/>
    <w:multiLevelType w:val="hybridMultilevel"/>
    <w:tmpl w:val="A3547864"/>
    <w:lvl w:ilvl="0" w:tplc="169A9A4E">
      <w:start w:val="1"/>
      <w:numFmt w:val="bullet"/>
      <w:lvlText w:val="•"/>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9A87D4">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AC3E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F07F4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EC28D6">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F6B9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3022F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68CAA8">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9A9E5E">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D2D5588"/>
    <w:multiLevelType w:val="hybridMultilevel"/>
    <w:tmpl w:val="F2B6D9BA"/>
    <w:lvl w:ilvl="0" w:tplc="50C4F026">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620BB6">
      <w:start w:val="1"/>
      <w:numFmt w:val="bullet"/>
      <w:lvlText w:val="o"/>
      <w:lvlJc w:val="left"/>
      <w:pPr>
        <w:ind w:left="1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C2708">
      <w:start w:val="1"/>
      <w:numFmt w:val="bullet"/>
      <w:lvlText w:val="▪"/>
      <w:lvlJc w:val="left"/>
      <w:pPr>
        <w:ind w:left="1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2E68AC">
      <w:start w:val="1"/>
      <w:numFmt w:val="bullet"/>
      <w:lvlText w:val="•"/>
      <w:lvlJc w:val="left"/>
      <w:pPr>
        <w:ind w:left="2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461782">
      <w:start w:val="1"/>
      <w:numFmt w:val="bullet"/>
      <w:lvlText w:val="o"/>
      <w:lvlJc w:val="left"/>
      <w:pPr>
        <w:ind w:left="3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3A3E8E">
      <w:start w:val="1"/>
      <w:numFmt w:val="bullet"/>
      <w:lvlText w:val="▪"/>
      <w:lvlJc w:val="left"/>
      <w:pPr>
        <w:ind w:left="4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0452AA">
      <w:start w:val="1"/>
      <w:numFmt w:val="bullet"/>
      <w:lvlText w:val="•"/>
      <w:lvlJc w:val="left"/>
      <w:pPr>
        <w:ind w:left="4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E2A428">
      <w:start w:val="1"/>
      <w:numFmt w:val="bullet"/>
      <w:lvlText w:val="o"/>
      <w:lvlJc w:val="left"/>
      <w:pPr>
        <w:ind w:left="5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66867E">
      <w:start w:val="1"/>
      <w:numFmt w:val="bullet"/>
      <w:lvlText w:val="▪"/>
      <w:lvlJc w:val="left"/>
      <w:pPr>
        <w:ind w:left="6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E3D22BA"/>
    <w:multiLevelType w:val="hybridMultilevel"/>
    <w:tmpl w:val="E3CE1BA0"/>
    <w:lvl w:ilvl="0" w:tplc="17C064BA">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D222E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CA4C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CAAF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0434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286A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FE64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DACB2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68FE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F1911F5"/>
    <w:multiLevelType w:val="hybridMultilevel"/>
    <w:tmpl w:val="2DB2689A"/>
    <w:lvl w:ilvl="0" w:tplc="6D780988">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86F94">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589B9A">
      <w:start w:val="1"/>
      <w:numFmt w:val="bullet"/>
      <w:lvlText w:val="▪"/>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10FF5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2A454E">
      <w:start w:val="1"/>
      <w:numFmt w:val="bullet"/>
      <w:lvlText w:val="o"/>
      <w:lvlJc w:val="left"/>
      <w:pPr>
        <w:ind w:left="2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FAF1D4">
      <w:start w:val="1"/>
      <w:numFmt w:val="bullet"/>
      <w:lvlText w:val="▪"/>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EAC446">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0A5C4E">
      <w:start w:val="1"/>
      <w:numFmt w:val="bullet"/>
      <w:lvlText w:val="o"/>
      <w:lvlJc w:val="left"/>
      <w:pPr>
        <w:ind w:left="5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F2C330">
      <w:start w:val="1"/>
      <w:numFmt w:val="bullet"/>
      <w:lvlText w:val="▪"/>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FFB6699"/>
    <w:multiLevelType w:val="hybridMultilevel"/>
    <w:tmpl w:val="9064B51E"/>
    <w:lvl w:ilvl="0" w:tplc="C616CA82">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9E13A8">
      <w:start w:val="1"/>
      <w:numFmt w:val="lowerLetter"/>
      <w:lvlText w:val="%2"/>
      <w:lvlJc w:val="left"/>
      <w:pPr>
        <w:ind w:left="1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964DCC">
      <w:start w:val="1"/>
      <w:numFmt w:val="lowerRoman"/>
      <w:lvlText w:val="%3"/>
      <w:lvlJc w:val="left"/>
      <w:pPr>
        <w:ind w:left="1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7C8596">
      <w:start w:val="1"/>
      <w:numFmt w:val="decimal"/>
      <w:lvlText w:val="%4"/>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D8A88A">
      <w:start w:val="1"/>
      <w:numFmt w:val="lowerLetter"/>
      <w:lvlText w:val="%5"/>
      <w:lvlJc w:val="left"/>
      <w:pPr>
        <w:ind w:left="3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285180">
      <w:start w:val="1"/>
      <w:numFmt w:val="lowerRoman"/>
      <w:lvlText w:val="%6"/>
      <w:lvlJc w:val="left"/>
      <w:pPr>
        <w:ind w:left="3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5698DC">
      <w:start w:val="1"/>
      <w:numFmt w:val="decimal"/>
      <w:lvlText w:val="%7"/>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B2B652">
      <w:start w:val="1"/>
      <w:numFmt w:val="lowerLetter"/>
      <w:lvlText w:val="%8"/>
      <w:lvlJc w:val="left"/>
      <w:pPr>
        <w:ind w:left="5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EAC1BE">
      <w:start w:val="1"/>
      <w:numFmt w:val="lowerRoman"/>
      <w:lvlText w:val="%9"/>
      <w:lvlJc w:val="left"/>
      <w:pPr>
        <w:ind w:left="6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1F07D74"/>
    <w:multiLevelType w:val="hybridMultilevel"/>
    <w:tmpl w:val="55A879E8"/>
    <w:lvl w:ilvl="0" w:tplc="54385D40">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A840F4">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388264">
      <w:start w:val="1"/>
      <w:numFmt w:val="bullet"/>
      <w:lvlText w:val="▪"/>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0A0F5C">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B46CB0">
      <w:start w:val="1"/>
      <w:numFmt w:val="bullet"/>
      <w:lvlText w:val="o"/>
      <w:lvlJc w:val="left"/>
      <w:pPr>
        <w:ind w:left="2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36AE72">
      <w:start w:val="1"/>
      <w:numFmt w:val="bullet"/>
      <w:lvlText w:val="▪"/>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5C489A">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048392">
      <w:start w:val="1"/>
      <w:numFmt w:val="bullet"/>
      <w:lvlText w:val="o"/>
      <w:lvlJc w:val="left"/>
      <w:pPr>
        <w:ind w:left="5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AE3BD0">
      <w:start w:val="1"/>
      <w:numFmt w:val="bullet"/>
      <w:lvlText w:val="▪"/>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2082AB5"/>
    <w:multiLevelType w:val="hybridMultilevel"/>
    <w:tmpl w:val="2AC8BD82"/>
    <w:lvl w:ilvl="0" w:tplc="B80C5CFE">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929D1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AC7E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3C35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E63A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E8A7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444B7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7CF1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0054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39F1385"/>
    <w:multiLevelType w:val="hybridMultilevel"/>
    <w:tmpl w:val="3342DF5E"/>
    <w:lvl w:ilvl="0" w:tplc="BA803702">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D29B4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4836F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0082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BE3B9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5CDEB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0AEC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CC3E4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E8247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3DB259D"/>
    <w:multiLevelType w:val="hybridMultilevel"/>
    <w:tmpl w:val="7BBE8BE8"/>
    <w:lvl w:ilvl="0" w:tplc="D9C02FC8">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E0A7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AE43A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904F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886F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EE9E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2E2B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5CD3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B2F1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63A021A"/>
    <w:multiLevelType w:val="hybridMultilevel"/>
    <w:tmpl w:val="7DD6F628"/>
    <w:lvl w:ilvl="0" w:tplc="171C01F6">
      <w:start w:val="1"/>
      <w:numFmt w:val="lowerLetter"/>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3EE6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B010B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3602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FEFA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482B9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7E0F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AEB7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BC7CD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69778D5"/>
    <w:multiLevelType w:val="hybridMultilevel"/>
    <w:tmpl w:val="8F205904"/>
    <w:lvl w:ilvl="0" w:tplc="4AFE804E">
      <w:start w:val="1"/>
      <w:numFmt w:val="lowerLetter"/>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FC17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788A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34C2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61D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B4E8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1A39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70E5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BEDE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8F67702"/>
    <w:multiLevelType w:val="hybridMultilevel"/>
    <w:tmpl w:val="9E742E98"/>
    <w:lvl w:ilvl="0" w:tplc="E7146E1E">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066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98CF5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DA0B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64B2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B4F7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48B3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B035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2E13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968799A"/>
    <w:multiLevelType w:val="hybridMultilevel"/>
    <w:tmpl w:val="AF2E065C"/>
    <w:lvl w:ilvl="0" w:tplc="747C559C">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A2162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D4AD6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8824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A69E2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B661F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50F6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3A5A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20987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AE10658"/>
    <w:multiLevelType w:val="hybridMultilevel"/>
    <w:tmpl w:val="1AACB38C"/>
    <w:lvl w:ilvl="0" w:tplc="9A869F5A">
      <w:start w:val="1"/>
      <w:numFmt w:val="lowerLetter"/>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3897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64B8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56F9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B860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4AD4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E40C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0A5A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8AC0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EEE7961"/>
    <w:multiLevelType w:val="hybridMultilevel"/>
    <w:tmpl w:val="BB74DF36"/>
    <w:lvl w:ilvl="0" w:tplc="A2E0F296">
      <w:start w:val="4"/>
      <w:numFmt w:val="upperLetter"/>
      <w:lvlText w:val="%1)"/>
      <w:lvlJc w:val="left"/>
      <w:pPr>
        <w:ind w:left="10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84A063C">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5580D8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A10DF1E">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ACC252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738CCB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0E2133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F16863A">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972232C">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F817C50"/>
    <w:multiLevelType w:val="hybridMultilevel"/>
    <w:tmpl w:val="DEBA2574"/>
    <w:lvl w:ilvl="0" w:tplc="323EE168">
      <w:start w:val="4"/>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5802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3899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0C5E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501D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E432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4642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2038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4E31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110516A"/>
    <w:multiLevelType w:val="hybridMultilevel"/>
    <w:tmpl w:val="14D8FC8C"/>
    <w:lvl w:ilvl="0" w:tplc="420ACF3E">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9CE1B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EC54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0894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681B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3254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46B8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7629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2A38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17C02A5"/>
    <w:multiLevelType w:val="hybridMultilevel"/>
    <w:tmpl w:val="4E0A426E"/>
    <w:lvl w:ilvl="0" w:tplc="FB7A01A8">
      <w:start w:val="1"/>
      <w:numFmt w:val="lowerLetter"/>
      <w:lvlText w:val="%1)"/>
      <w:lvlJc w:val="left"/>
      <w:pPr>
        <w:ind w:left="9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E32A87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A7260D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BC8C24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48AB26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FE4BCE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CB2095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F94A92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FD4CD5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3304683"/>
    <w:multiLevelType w:val="hybridMultilevel"/>
    <w:tmpl w:val="AB264C80"/>
    <w:lvl w:ilvl="0" w:tplc="3ABC923A">
      <w:start w:val="1"/>
      <w:numFmt w:val="bullet"/>
      <w:lvlText w:val=""/>
      <w:lvlJc w:val="left"/>
      <w:pPr>
        <w:ind w:left="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5C67F7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B054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006D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C8D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D4022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441A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FAB8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BAED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5D53E2B"/>
    <w:multiLevelType w:val="hybridMultilevel"/>
    <w:tmpl w:val="829AC2E6"/>
    <w:lvl w:ilvl="0" w:tplc="A3C41450">
      <w:start w:val="1"/>
      <w:numFmt w:val="lowerLetter"/>
      <w:lvlText w:val="%1)"/>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FE54E0">
      <w:start w:val="1"/>
      <w:numFmt w:val="bullet"/>
      <w:lvlText w:val="•"/>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3683B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6AFAB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4A6CF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A65F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B0C33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42393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5CDF0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5E774D6"/>
    <w:multiLevelType w:val="hybridMultilevel"/>
    <w:tmpl w:val="FA44B8F0"/>
    <w:lvl w:ilvl="0" w:tplc="61F21558">
      <w:start w:val="1"/>
      <w:numFmt w:val="lowerLetter"/>
      <w:lvlText w:val="%1)"/>
      <w:lvlJc w:val="left"/>
      <w:pPr>
        <w:ind w:left="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C0A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706D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5204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2A74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D8ED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5CCB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16F1C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2476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48BC167C"/>
    <w:multiLevelType w:val="hybridMultilevel"/>
    <w:tmpl w:val="A1A4A116"/>
    <w:lvl w:ilvl="0" w:tplc="5BAA06CA">
      <w:start w:val="1"/>
      <w:numFmt w:val="lowerLetter"/>
      <w:lvlText w:val="%1)"/>
      <w:lvlJc w:val="left"/>
      <w:pPr>
        <w:ind w:left="2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A2ECA8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20C534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B12279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3CABCE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2D22DA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8F2C6E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A96EF7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BB242E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490465C8"/>
    <w:multiLevelType w:val="hybridMultilevel"/>
    <w:tmpl w:val="1270A570"/>
    <w:lvl w:ilvl="0" w:tplc="583C6862">
      <w:start w:val="2"/>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C050F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7ED9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9012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92EE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3653F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9E5B7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8E164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E02C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BEB3647"/>
    <w:multiLevelType w:val="hybridMultilevel"/>
    <w:tmpl w:val="E84EA536"/>
    <w:lvl w:ilvl="0" w:tplc="A2960240">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7810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CEF2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7076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7C34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A4D3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F83A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5607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5CF2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CF057ED"/>
    <w:multiLevelType w:val="hybridMultilevel"/>
    <w:tmpl w:val="E98C67F6"/>
    <w:lvl w:ilvl="0" w:tplc="C88E75EE">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2A9B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12FD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AA3E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CC37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429F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FA22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72541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64B1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D213D1E"/>
    <w:multiLevelType w:val="hybridMultilevel"/>
    <w:tmpl w:val="D7E6142A"/>
    <w:lvl w:ilvl="0" w:tplc="D7F42AA0">
      <w:start w:val="6"/>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F2DCC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026B4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6EDE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E402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F415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EEB02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B027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06BA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DD94530"/>
    <w:multiLevelType w:val="hybridMultilevel"/>
    <w:tmpl w:val="EA124F7C"/>
    <w:lvl w:ilvl="0" w:tplc="B1824FAA">
      <w:start w:val="2"/>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F0648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2E06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5628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AE68E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2A3D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1EA4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C648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765F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ED751D7"/>
    <w:multiLevelType w:val="hybridMultilevel"/>
    <w:tmpl w:val="B79EAB66"/>
    <w:lvl w:ilvl="0" w:tplc="15FE131E">
      <w:start w:val="3"/>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D2E70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66C2B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10DB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F0D3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0AF8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12B7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38A50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ACD7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FE841AF"/>
    <w:multiLevelType w:val="hybridMultilevel"/>
    <w:tmpl w:val="18BEA222"/>
    <w:lvl w:ilvl="0" w:tplc="93803604">
      <w:start w:val="3"/>
      <w:numFmt w:val="upperLetter"/>
      <w:lvlText w:val="%1)"/>
      <w:lvlJc w:val="left"/>
      <w:pPr>
        <w:ind w:left="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CC143C">
      <w:start w:val="1"/>
      <w:numFmt w:val="lowerLetter"/>
      <w:lvlText w:val="%2"/>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BC6F02">
      <w:start w:val="1"/>
      <w:numFmt w:val="lowerRoman"/>
      <w:lvlText w:val="%3"/>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E0234E">
      <w:start w:val="1"/>
      <w:numFmt w:val="decimal"/>
      <w:lvlText w:val="%4"/>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221312">
      <w:start w:val="1"/>
      <w:numFmt w:val="lowerLetter"/>
      <w:lvlText w:val="%5"/>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143904">
      <w:start w:val="1"/>
      <w:numFmt w:val="lowerRoman"/>
      <w:lvlText w:val="%6"/>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F8F68C">
      <w:start w:val="1"/>
      <w:numFmt w:val="decimal"/>
      <w:lvlText w:val="%7"/>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D2D8A2">
      <w:start w:val="1"/>
      <w:numFmt w:val="lowerLetter"/>
      <w:lvlText w:val="%8"/>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7A477E">
      <w:start w:val="1"/>
      <w:numFmt w:val="lowerRoman"/>
      <w:lvlText w:val="%9"/>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0465B6A"/>
    <w:multiLevelType w:val="hybridMultilevel"/>
    <w:tmpl w:val="8416DC02"/>
    <w:lvl w:ilvl="0" w:tplc="E14E1AA2">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2CD162">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6AA67A">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8A9482">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0CD6FA">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9C9E86">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8E670A">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D29668">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2E65B6">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14A5CE4"/>
    <w:multiLevelType w:val="hybridMultilevel"/>
    <w:tmpl w:val="A5ECC704"/>
    <w:lvl w:ilvl="0" w:tplc="6AB2D072">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7E45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02468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2284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9AB4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6E0C4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563E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FE87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B6D3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44F220B"/>
    <w:multiLevelType w:val="hybridMultilevel"/>
    <w:tmpl w:val="5E0C5A92"/>
    <w:lvl w:ilvl="0" w:tplc="E59056AA">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7C601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B0752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1A46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1A87F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72501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FC9E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6C70A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A2861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5C05C00"/>
    <w:multiLevelType w:val="hybridMultilevel"/>
    <w:tmpl w:val="5C464442"/>
    <w:lvl w:ilvl="0" w:tplc="F2B48D52">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F254C0">
      <w:start w:val="1"/>
      <w:numFmt w:val="bullet"/>
      <w:lvlText w:val="o"/>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0C85C0">
      <w:start w:val="1"/>
      <w:numFmt w:val="bullet"/>
      <w:lvlText w:val="▪"/>
      <w:lvlJc w:val="left"/>
      <w:pPr>
        <w:ind w:left="1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BE36C4">
      <w:start w:val="1"/>
      <w:numFmt w:val="bullet"/>
      <w:lvlText w:val="•"/>
      <w:lvlJc w:val="left"/>
      <w:pPr>
        <w:ind w:left="2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18FFC6">
      <w:start w:val="1"/>
      <w:numFmt w:val="bullet"/>
      <w:lvlText w:val="o"/>
      <w:lvlJc w:val="left"/>
      <w:pPr>
        <w:ind w:left="3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6E75EA">
      <w:start w:val="1"/>
      <w:numFmt w:val="bullet"/>
      <w:lvlText w:val="▪"/>
      <w:lvlJc w:val="left"/>
      <w:pPr>
        <w:ind w:left="4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6A0D82">
      <w:start w:val="1"/>
      <w:numFmt w:val="bullet"/>
      <w:lvlText w:val="•"/>
      <w:lvlJc w:val="left"/>
      <w:pPr>
        <w:ind w:left="4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A643A4">
      <w:start w:val="1"/>
      <w:numFmt w:val="bullet"/>
      <w:lvlText w:val="o"/>
      <w:lvlJc w:val="left"/>
      <w:pPr>
        <w:ind w:left="5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6268B0">
      <w:start w:val="1"/>
      <w:numFmt w:val="bullet"/>
      <w:lvlText w:val="▪"/>
      <w:lvlJc w:val="left"/>
      <w:pPr>
        <w:ind w:left="6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6FB2366"/>
    <w:multiLevelType w:val="hybridMultilevel"/>
    <w:tmpl w:val="86FE34A4"/>
    <w:lvl w:ilvl="0" w:tplc="FA6EFEB6">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D4CA1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CAD5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A8D26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823B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E439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814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3480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A04A1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7116BEA"/>
    <w:multiLevelType w:val="hybridMultilevel"/>
    <w:tmpl w:val="61C4F5E6"/>
    <w:lvl w:ilvl="0" w:tplc="21B69722">
      <w:start w:val="5"/>
      <w:numFmt w:val="lowerLetter"/>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5098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62E1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5CFB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A630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3675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667A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C697E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6EE9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7D36F9D"/>
    <w:multiLevelType w:val="hybridMultilevel"/>
    <w:tmpl w:val="66BC914E"/>
    <w:lvl w:ilvl="0" w:tplc="F1B410E0">
      <w:start w:val="1"/>
      <w:numFmt w:val="lowerLetter"/>
      <w:lvlText w:val="%1."/>
      <w:lvlJc w:val="left"/>
      <w:pPr>
        <w:ind w:left="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A8FF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3A99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A045A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BCC5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4861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7026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F666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3ACD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A606009"/>
    <w:multiLevelType w:val="hybridMultilevel"/>
    <w:tmpl w:val="EA2E6BD6"/>
    <w:lvl w:ilvl="0" w:tplc="8D4AC868">
      <w:start w:val="1"/>
      <w:numFmt w:val="lowerLetter"/>
      <w:lvlText w:val="%1."/>
      <w:lvlJc w:val="left"/>
      <w:pPr>
        <w:ind w:left="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D89408">
      <w:start w:val="1"/>
      <w:numFmt w:val="lowerLetter"/>
      <w:lvlText w:val="%2"/>
      <w:lvlJc w:val="left"/>
      <w:pPr>
        <w:ind w:left="1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BEC8E0">
      <w:start w:val="1"/>
      <w:numFmt w:val="lowerRoman"/>
      <w:lvlText w:val="%3"/>
      <w:lvlJc w:val="left"/>
      <w:pPr>
        <w:ind w:left="1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40A242">
      <w:start w:val="1"/>
      <w:numFmt w:val="decimal"/>
      <w:lvlText w:val="%4"/>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EEEAE6">
      <w:start w:val="1"/>
      <w:numFmt w:val="lowerLetter"/>
      <w:lvlText w:val="%5"/>
      <w:lvlJc w:val="left"/>
      <w:pPr>
        <w:ind w:left="3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10F38A">
      <w:start w:val="1"/>
      <w:numFmt w:val="lowerRoman"/>
      <w:lvlText w:val="%6"/>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32658C">
      <w:start w:val="1"/>
      <w:numFmt w:val="decimal"/>
      <w:lvlText w:val="%7"/>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60EF08">
      <w:start w:val="1"/>
      <w:numFmt w:val="lowerLetter"/>
      <w:lvlText w:val="%8"/>
      <w:lvlJc w:val="left"/>
      <w:pPr>
        <w:ind w:left="5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C2419A">
      <w:start w:val="1"/>
      <w:numFmt w:val="lowerRoman"/>
      <w:lvlText w:val="%9"/>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5E0946E2"/>
    <w:multiLevelType w:val="hybridMultilevel"/>
    <w:tmpl w:val="30EE7620"/>
    <w:lvl w:ilvl="0" w:tplc="13BC8B2C">
      <w:start w:val="1"/>
      <w:numFmt w:val="bullet"/>
      <w:lvlText w:val="-"/>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06D9C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88AD9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7CD0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EEEA2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38091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1EED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E2D0C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5E490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F562EFF"/>
    <w:multiLevelType w:val="hybridMultilevel"/>
    <w:tmpl w:val="43208330"/>
    <w:lvl w:ilvl="0" w:tplc="27F09D1A">
      <w:start w:val="2"/>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B2F8BA">
      <w:start w:val="1"/>
      <w:numFmt w:val="lowerLetter"/>
      <w:lvlText w:val="%2"/>
      <w:lvlJc w:val="left"/>
      <w:pPr>
        <w:ind w:left="1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564F48">
      <w:start w:val="1"/>
      <w:numFmt w:val="lowerRoman"/>
      <w:lvlText w:val="%3"/>
      <w:lvlJc w:val="left"/>
      <w:pPr>
        <w:ind w:left="1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FABB6C">
      <w:start w:val="1"/>
      <w:numFmt w:val="decimal"/>
      <w:lvlText w:val="%4"/>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46836">
      <w:start w:val="1"/>
      <w:numFmt w:val="lowerLetter"/>
      <w:lvlText w:val="%5"/>
      <w:lvlJc w:val="left"/>
      <w:pPr>
        <w:ind w:left="3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1E6FBC">
      <w:start w:val="1"/>
      <w:numFmt w:val="lowerRoman"/>
      <w:lvlText w:val="%6"/>
      <w:lvlJc w:val="left"/>
      <w:pPr>
        <w:ind w:left="3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F2D098">
      <w:start w:val="1"/>
      <w:numFmt w:val="decimal"/>
      <w:lvlText w:val="%7"/>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241FB6">
      <w:start w:val="1"/>
      <w:numFmt w:val="lowerLetter"/>
      <w:lvlText w:val="%8"/>
      <w:lvlJc w:val="left"/>
      <w:pPr>
        <w:ind w:left="5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7A9CE2">
      <w:start w:val="1"/>
      <w:numFmt w:val="lowerRoman"/>
      <w:lvlText w:val="%9"/>
      <w:lvlJc w:val="left"/>
      <w:pPr>
        <w:ind w:left="6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61EE3319"/>
    <w:multiLevelType w:val="hybridMultilevel"/>
    <w:tmpl w:val="FF8E7192"/>
    <w:lvl w:ilvl="0" w:tplc="5C8832B2">
      <w:start w:val="1"/>
      <w:numFmt w:val="upperLetter"/>
      <w:lvlText w:val="%1)"/>
      <w:lvlJc w:val="left"/>
      <w:pPr>
        <w:ind w:left="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1873E4">
      <w:start w:val="1"/>
      <w:numFmt w:val="lowerLetter"/>
      <w:lvlText w:val="%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8E347E">
      <w:start w:val="1"/>
      <w:numFmt w:val="lowerRoman"/>
      <w:lvlText w:val="%3"/>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BECC66">
      <w:start w:val="1"/>
      <w:numFmt w:val="decimal"/>
      <w:lvlText w:val="%4"/>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0C2998">
      <w:start w:val="1"/>
      <w:numFmt w:val="lowerLetter"/>
      <w:lvlText w:val="%5"/>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4AACF2">
      <w:start w:val="1"/>
      <w:numFmt w:val="lowerRoman"/>
      <w:lvlText w:val="%6"/>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AC8E48">
      <w:start w:val="1"/>
      <w:numFmt w:val="decimal"/>
      <w:lvlText w:val="%7"/>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2E0054">
      <w:start w:val="1"/>
      <w:numFmt w:val="lowerLetter"/>
      <w:lvlText w:val="%8"/>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023076">
      <w:start w:val="1"/>
      <w:numFmt w:val="lowerRoman"/>
      <w:lvlText w:val="%9"/>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29A7C6A"/>
    <w:multiLevelType w:val="hybridMultilevel"/>
    <w:tmpl w:val="93E2D67A"/>
    <w:lvl w:ilvl="0" w:tplc="8F402F4E">
      <w:start w:val="5"/>
      <w:numFmt w:val="lowerLetter"/>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C5C0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2C172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64C9A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CAD1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F438A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C605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8A5AF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4E27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35D35AC"/>
    <w:multiLevelType w:val="hybridMultilevel"/>
    <w:tmpl w:val="66147630"/>
    <w:lvl w:ilvl="0" w:tplc="6D00FF16">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222A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389D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A0156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C2771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40D26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8C0F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8371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EEDBA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63686AEF"/>
    <w:multiLevelType w:val="hybridMultilevel"/>
    <w:tmpl w:val="33A47620"/>
    <w:lvl w:ilvl="0" w:tplc="2882752A">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9010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9EFA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FC0F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965B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8A45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7CC1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9CDB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50AE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3D11C8A"/>
    <w:multiLevelType w:val="hybridMultilevel"/>
    <w:tmpl w:val="2A567900"/>
    <w:lvl w:ilvl="0" w:tplc="8AB001A2">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5A0C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9699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102EB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8829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486F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DA18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E4A7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2C50C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3EC114C"/>
    <w:multiLevelType w:val="hybridMultilevel"/>
    <w:tmpl w:val="A4D65326"/>
    <w:lvl w:ilvl="0" w:tplc="6D26AC80">
      <w:start w:val="6"/>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4C42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D839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004F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626F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A65E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0A3EC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0661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0ADFD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64F85AB6"/>
    <w:multiLevelType w:val="hybridMultilevel"/>
    <w:tmpl w:val="96189146"/>
    <w:lvl w:ilvl="0" w:tplc="D0863E52">
      <w:start w:val="7"/>
      <w:numFmt w:val="lowerLetter"/>
      <w:lvlText w:val="%1)"/>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F41B80">
      <w:start w:val="1"/>
      <w:numFmt w:val="lowerLetter"/>
      <w:lvlText w:val="%2"/>
      <w:lvlJc w:val="left"/>
      <w:pPr>
        <w:ind w:left="1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0A84DC">
      <w:start w:val="1"/>
      <w:numFmt w:val="lowerRoman"/>
      <w:lvlText w:val="%3"/>
      <w:lvlJc w:val="left"/>
      <w:pPr>
        <w:ind w:left="2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A8C6D6">
      <w:start w:val="1"/>
      <w:numFmt w:val="decimal"/>
      <w:lvlText w:val="%4"/>
      <w:lvlJc w:val="left"/>
      <w:pPr>
        <w:ind w:left="3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CCED18">
      <w:start w:val="1"/>
      <w:numFmt w:val="lowerLetter"/>
      <w:lvlText w:val="%5"/>
      <w:lvlJc w:val="left"/>
      <w:pPr>
        <w:ind w:left="3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F887C6">
      <w:start w:val="1"/>
      <w:numFmt w:val="lowerRoman"/>
      <w:lvlText w:val="%6"/>
      <w:lvlJc w:val="left"/>
      <w:pPr>
        <w:ind w:left="4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54A872">
      <w:start w:val="1"/>
      <w:numFmt w:val="decimal"/>
      <w:lvlText w:val="%7"/>
      <w:lvlJc w:val="left"/>
      <w:pPr>
        <w:ind w:left="5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1CA054">
      <w:start w:val="1"/>
      <w:numFmt w:val="lowerLetter"/>
      <w:lvlText w:val="%8"/>
      <w:lvlJc w:val="left"/>
      <w:pPr>
        <w:ind w:left="6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66ED4E">
      <w:start w:val="1"/>
      <w:numFmt w:val="lowerRoman"/>
      <w:lvlText w:val="%9"/>
      <w:lvlJc w:val="left"/>
      <w:pPr>
        <w:ind w:left="6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650D7DC3"/>
    <w:multiLevelType w:val="hybridMultilevel"/>
    <w:tmpl w:val="C5340E04"/>
    <w:lvl w:ilvl="0" w:tplc="10DAD4D4">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B88F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9C75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B286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B665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203A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6298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B8BD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AE49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51B0226"/>
    <w:multiLevelType w:val="hybridMultilevel"/>
    <w:tmpl w:val="364460E0"/>
    <w:lvl w:ilvl="0" w:tplc="FFB0BE68">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C75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88AD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EE09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32B38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84B7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DAC9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208FC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DC38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69E07BC"/>
    <w:multiLevelType w:val="hybridMultilevel"/>
    <w:tmpl w:val="D7BCC6CA"/>
    <w:lvl w:ilvl="0" w:tplc="DF320AEC">
      <w:start w:val="4"/>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122F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4CFA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C8B8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E0A00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5897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9AACF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DE9E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34C5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671275E1"/>
    <w:multiLevelType w:val="hybridMultilevel"/>
    <w:tmpl w:val="F55C9018"/>
    <w:lvl w:ilvl="0" w:tplc="883AA58C">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2C50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6A07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C17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2C04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9C48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90A2D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10AF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D678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6A226C91"/>
    <w:multiLevelType w:val="hybridMultilevel"/>
    <w:tmpl w:val="9ECA47B4"/>
    <w:lvl w:ilvl="0" w:tplc="2C6CB32E">
      <w:start w:val="6"/>
      <w:numFmt w:val="upperLetter"/>
      <w:lvlText w:val="%1)"/>
      <w:lvlJc w:val="left"/>
      <w:pPr>
        <w:ind w:left="56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732E0898">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082CB0">
      <w:start w:val="1"/>
      <w:numFmt w:val="bullet"/>
      <w:lvlText w:val="▪"/>
      <w:lvlJc w:val="left"/>
      <w:pPr>
        <w:ind w:left="1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C68352">
      <w:start w:val="1"/>
      <w:numFmt w:val="bullet"/>
      <w:lvlText w:val="•"/>
      <w:lvlJc w:val="left"/>
      <w:pPr>
        <w:ind w:left="2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A2983E">
      <w:start w:val="1"/>
      <w:numFmt w:val="bullet"/>
      <w:lvlText w:val="o"/>
      <w:lvlJc w:val="left"/>
      <w:pPr>
        <w:ind w:left="28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5E047A">
      <w:start w:val="1"/>
      <w:numFmt w:val="bullet"/>
      <w:lvlText w:val="▪"/>
      <w:lvlJc w:val="left"/>
      <w:pPr>
        <w:ind w:left="3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0241EA">
      <w:start w:val="1"/>
      <w:numFmt w:val="bullet"/>
      <w:lvlText w:val="•"/>
      <w:lvlJc w:val="left"/>
      <w:pPr>
        <w:ind w:left="4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160BD2">
      <w:start w:val="1"/>
      <w:numFmt w:val="bullet"/>
      <w:lvlText w:val="o"/>
      <w:lvlJc w:val="left"/>
      <w:pPr>
        <w:ind w:left="50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18BB14">
      <w:start w:val="1"/>
      <w:numFmt w:val="bullet"/>
      <w:lvlText w:val="▪"/>
      <w:lvlJc w:val="left"/>
      <w:pPr>
        <w:ind w:left="57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6C8622C5"/>
    <w:multiLevelType w:val="hybridMultilevel"/>
    <w:tmpl w:val="170C76A8"/>
    <w:lvl w:ilvl="0" w:tplc="9C4A4D8C">
      <w:start w:val="5"/>
      <w:numFmt w:val="upperLetter"/>
      <w:lvlText w:val="%1)"/>
      <w:lvlJc w:val="left"/>
      <w:pPr>
        <w:ind w:left="5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71E54D6">
      <w:start w:val="1"/>
      <w:numFmt w:val="lowerLetter"/>
      <w:lvlText w:val="%2"/>
      <w:lvlJc w:val="left"/>
      <w:pPr>
        <w:ind w:left="12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EEC8A24">
      <w:start w:val="1"/>
      <w:numFmt w:val="lowerRoman"/>
      <w:lvlText w:val="%3"/>
      <w:lvlJc w:val="left"/>
      <w:pPr>
        <w:ind w:left="20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1284C8E">
      <w:start w:val="1"/>
      <w:numFmt w:val="decimal"/>
      <w:lvlText w:val="%4"/>
      <w:lvlJc w:val="left"/>
      <w:pPr>
        <w:ind w:left="27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54A6F58">
      <w:start w:val="1"/>
      <w:numFmt w:val="lowerLetter"/>
      <w:lvlText w:val="%5"/>
      <w:lvlJc w:val="left"/>
      <w:pPr>
        <w:ind w:left="34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1483C54">
      <w:start w:val="1"/>
      <w:numFmt w:val="lowerRoman"/>
      <w:lvlText w:val="%6"/>
      <w:lvlJc w:val="left"/>
      <w:pPr>
        <w:ind w:left="41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67A9ECC">
      <w:start w:val="1"/>
      <w:numFmt w:val="decimal"/>
      <w:lvlText w:val="%7"/>
      <w:lvlJc w:val="left"/>
      <w:pPr>
        <w:ind w:left="48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EE437BE">
      <w:start w:val="1"/>
      <w:numFmt w:val="lowerLetter"/>
      <w:lvlText w:val="%8"/>
      <w:lvlJc w:val="left"/>
      <w:pPr>
        <w:ind w:left="56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A423D9C">
      <w:start w:val="1"/>
      <w:numFmt w:val="lowerRoman"/>
      <w:lvlText w:val="%9"/>
      <w:lvlJc w:val="left"/>
      <w:pPr>
        <w:ind w:left="63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6CDE42D4"/>
    <w:multiLevelType w:val="hybridMultilevel"/>
    <w:tmpl w:val="E60CD8F8"/>
    <w:lvl w:ilvl="0" w:tplc="193800F6">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C26B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387C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8203B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2899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E66A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78AD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3A205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D648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6D051C38"/>
    <w:multiLevelType w:val="hybridMultilevel"/>
    <w:tmpl w:val="A50C3272"/>
    <w:lvl w:ilvl="0" w:tplc="BA9EF89C">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52CF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8272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5678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D81F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2696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102AA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D8AFF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549F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D3F5607"/>
    <w:multiLevelType w:val="hybridMultilevel"/>
    <w:tmpl w:val="180E3B02"/>
    <w:lvl w:ilvl="0" w:tplc="354629BE">
      <w:start w:val="3"/>
      <w:numFmt w:val="upperLetter"/>
      <w:lvlText w:val="%1)"/>
      <w:lvlJc w:val="left"/>
      <w:pPr>
        <w:ind w:left="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34436C">
      <w:start w:val="1"/>
      <w:numFmt w:val="lowerLetter"/>
      <w:lvlText w:val="%2"/>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6069F8">
      <w:start w:val="1"/>
      <w:numFmt w:val="lowerRoman"/>
      <w:lvlText w:val="%3"/>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6AE43C">
      <w:start w:val="1"/>
      <w:numFmt w:val="decimal"/>
      <w:lvlText w:val="%4"/>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36A578">
      <w:start w:val="1"/>
      <w:numFmt w:val="lowerLetter"/>
      <w:lvlText w:val="%5"/>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C037A4">
      <w:start w:val="1"/>
      <w:numFmt w:val="lowerRoman"/>
      <w:lvlText w:val="%6"/>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CC6DC6">
      <w:start w:val="1"/>
      <w:numFmt w:val="decimal"/>
      <w:lvlText w:val="%7"/>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E44426">
      <w:start w:val="1"/>
      <w:numFmt w:val="lowerLetter"/>
      <w:lvlText w:val="%8"/>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AACDBC">
      <w:start w:val="1"/>
      <w:numFmt w:val="lowerRoman"/>
      <w:lvlText w:val="%9"/>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6D453AA3"/>
    <w:multiLevelType w:val="hybridMultilevel"/>
    <w:tmpl w:val="83B2BAEA"/>
    <w:lvl w:ilvl="0" w:tplc="1D221B2A">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7224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A290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0E35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E4AC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5EA04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70C1E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6017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868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6EF16E78"/>
    <w:multiLevelType w:val="hybridMultilevel"/>
    <w:tmpl w:val="7B3E56DC"/>
    <w:lvl w:ilvl="0" w:tplc="C82CC9CE">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66962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222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0605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24A4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C89F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120F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58D0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EEB7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7045490F"/>
    <w:multiLevelType w:val="hybridMultilevel"/>
    <w:tmpl w:val="11124AE8"/>
    <w:lvl w:ilvl="0" w:tplc="F5FC605C">
      <w:start w:val="1"/>
      <w:numFmt w:val="lowerLetter"/>
      <w:lvlText w:val="%1)"/>
      <w:lvlJc w:val="left"/>
      <w:pPr>
        <w:ind w:left="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F81A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8CA8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F4D4D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14BDB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FC7E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8662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1C96D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6E5A7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70776060"/>
    <w:multiLevelType w:val="hybridMultilevel"/>
    <w:tmpl w:val="25548918"/>
    <w:lvl w:ilvl="0" w:tplc="F3E06D50">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DC3A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DEBA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B2C1E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6AF5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FA84A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408C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8C90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469DB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717A2FD3"/>
    <w:multiLevelType w:val="hybridMultilevel"/>
    <w:tmpl w:val="D8585642"/>
    <w:lvl w:ilvl="0" w:tplc="A7ECB05A">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D895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0A972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F06C6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0C9C6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F435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B027D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A8B0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ECE5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717B5E06"/>
    <w:multiLevelType w:val="hybridMultilevel"/>
    <w:tmpl w:val="99A6E57E"/>
    <w:lvl w:ilvl="0" w:tplc="9B82682E">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BC63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0E855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B8A0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CA7B1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C2CBB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5A35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564C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D0E7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1E22BEB"/>
    <w:multiLevelType w:val="hybridMultilevel"/>
    <w:tmpl w:val="46385B50"/>
    <w:lvl w:ilvl="0" w:tplc="6F4AF3A0">
      <w:start w:val="4"/>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7248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7680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1C243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18CB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981F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AAFF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28CA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445E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30440F0"/>
    <w:multiLevelType w:val="hybridMultilevel"/>
    <w:tmpl w:val="0A3056E4"/>
    <w:lvl w:ilvl="0" w:tplc="E32EFB20">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DC30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6C85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A257A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0E66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B816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E8AB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A06A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D809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4953D93"/>
    <w:multiLevelType w:val="hybridMultilevel"/>
    <w:tmpl w:val="03D8CCF6"/>
    <w:lvl w:ilvl="0" w:tplc="A8E63092">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C066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E412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FC2A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DAC1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34E7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74E1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BECF1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80456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77E97A67"/>
    <w:multiLevelType w:val="hybridMultilevel"/>
    <w:tmpl w:val="1ACC4FEA"/>
    <w:lvl w:ilvl="0" w:tplc="381012EC">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52A81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86001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0C11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06CC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8864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BC469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AE86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B880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78036AAA"/>
    <w:multiLevelType w:val="hybridMultilevel"/>
    <w:tmpl w:val="6E1EDB18"/>
    <w:lvl w:ilvl="0" w:tplc="E146C15A">
      <w:start w:val="2"/>
      <w:numFmt w:val="decimal"/>
      <w:lvlText w:val="%1."/>
      <w:lvlJc w:val="left"/>
      <w:pPr>
        <w:ind w:left="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82A726">
      <w:start w:val="2"/>
      <w:numFmt w:val="upperLetter"/>
      <w:lvlText w:val="%2)"/>
      <w:lvlJc w:val="left"/>
      <w:pPr>
        <w:ind w:left="10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9E0CADE">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98AF36A">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44242CA">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7D4BA40">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0107D58">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CA618CC">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CA0EE24">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782F017E"/>
    <w:multiLevelType w:val="hybridMultilevel"/>
    <w:tmpl w:val="E31894E0"/>
    <w:lvl w:ilvl="0" w:tplc="F42E11BC">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E8B5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4F3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CC5B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30DE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4A8A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3AC6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E031C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405B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BAC38FF"/>
    <w:multiLevelType w:val="hybridMultilevel"/>
    <w:tmpl w:val="7C9ABBC8"/>
    <w:lvl w:ilvl="0" w:tplc="7D6ADBBE">
      <w:start w:val="1"/>
      <w:numFmt w:val="decimal"/>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E852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349A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F26B2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74C1C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689C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7275F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FCB3C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DA8F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7CAA4C0A"/>
    <w:multiLevelType w:val="hybridMultilevel"/>
    <w:tmpl w:val="A65EF96C"/>
    <w:lvl w:ilvl="0" w:tplc="55DADFC6">
      <w:start w:val="1"/>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864A5C">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08D358">
      <w:start w:val="1"/>
      <w:numFmt w:val="bullet"/>
      <w:lvlText w:val="▪"/>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7649EC">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F0CA42">
      <w:start w:val="1"/>
      <w:numFmt w:val="bullet"/>
      <w:lvlText w:val="o"/>
      <w:lvlJc w:val="left"/>
      <w:pPr>
        <w:ind w:left="2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4A5A8E">
      <w:start w:val="1"/>
      <w:numFmt w:val="bullet"/>
      <w:lvlText w:val="▪"/>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02C3C6">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AE9204">
      <w:start w:val="1"/>
      <w:numFmt w:val="bullet"/>
      <w:lvlText w:val="o"/>
      <w:lvlJc w:val="left"/>
      <w:pPr>
        <w:ind w:left="5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A29802">
      <w:start w:val="1"/>
      <w:numFmt w:val="bullet"/>
      <w:lvlText w:val="▪"/>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7E7D4D61"/>
    <w:multiLevelType w:val="hybridMultilevel"/>
    <w:tmpl w:val="ACE20EF8"/>
    <w:lvl w:ilvl="0" w:tplc="9A88E34A">
      <w:start w:val="1"/>
      <w:numFmt w:val="lowerLetter"/>
      <w:lvlText w:val="%1)"/>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34EE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948D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BAE5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D8A3F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564C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9C0E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8AB7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2C1F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7ED75FA4"/>
    <w:multiLevelType w:val="hybridMultilevel"/>
    <w:tmpl w:val="D63E802A"/>
    <w:lvl w:ilvl="0" w:tplc="496C49AA">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98EB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96E2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22DD6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F42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D62E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8690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6029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AE1A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7F9E32D8"/>
    <w:multiLevelType w:val="hybridMultilevel"/>
    <w:tmpl w:val="A6B88F5C"/>
    <w:lvl w:ilvl="0" w:tplc="23943722">
      <w:start w:val="1"/>
      <w:numFmt w:val="lowerLetter"/>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B0E7D6">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94392A">
      <w:start w:val="1"/>
      <w:numFmt w:val="bullet"/>
      <w:lvlText w:val="▪"/>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5CB01C">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72BE48">
      <w:start w:val="1"/>
      <w:numFmt w:val="bullet"/>
      <w:lvlText w:val="o"/>
      <w:lvlJc w:val="left"/>
      <w:pPr>
        <w:ind w:left="2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CC72E">
      <w:start w:val="1"/>
      <w:numFmt w:val="bullet"/>
      <w:lvlText w:val="▪"/>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0E3BEA">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88C230">
      <w:start w:val="1"/>
      <w:numFmt w:val="bullet"/>
      <w:lvlText w:val="o"/>
      <w:lvlJc w:val="left"/>
      <w:pPr>
        <w:ind w:left="5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F4C212">
      <w:start w:val="1"/>
      <w:numFmt w:val="bullet"/>
      <w:lvlText w:val="▪"/>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FA41C30"/>
    <w:multiLevelType w:val="hybridMultilevel"/>
    <w:tmpl w:val="2A14949E"/>
    <w:lvl w:ilvl="0" w:tplc="D9C01C1A">
      <w:start w:val="4"/>
      <w:numFmt w:val="decimal"/>
      <w:lvlText w:val="%1."/>
      <w:lvlJc w:val="left"/>
      <w:pPr>
        <w:ind w:left="2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7CC8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2A3D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6AA3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A8AC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EEA9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ECC1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46595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728B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20"/>
  </w:num>
  <w:num w:numId="2">
    <w:abstractNumId w:val="74"/>
  </w:num>
  <w:num w:numId="3">
    <w:abstractNumId w:val="65"/>
  </w:num>
  <w:num w:numId="4">
    <w:abstractNumId w:val="16"/>
  </w:num>
  <w:num w:numId="5">
    <w:abstractNumId w:val="64"/>
  </w:num>
  <w:num w:numId="6">
    <w:abstractNumId w:val="122"/>
  </w:num>
  <w:num w:numId="7">
    <w:abstractNumId w:val="40"/>
  </w:num>
  <w:num w:numId="8">
    <w:abstractNumId w:val="87"/>
  </w:num>
  <w:num w:numId="9">
    <w:abstractNumId w:val="97"/>
  </w:num>
  <w:num w:numId="10">
    <w:abstractNumId w:val="20"/>
  </w:num>
  <w:num w:numId="11">
    <w:abstractNumId w:val="78"/>
  </w:num>
  <w:num w:numId="12">
    <w:abstractNumId w:val="56"/>
  </w:num>
  <w:num w:numId="13">
    <w:abstractNumId w:val="32"/>
  </w:num>
  <w:num w:numId="14">
    <w:abstractNumId w:val="86"/>
  </w:num>
  <w:num w:numId="15">
    <w:abstractNumId w:val="101"/>
  </w:num>
  <w:num w:numId="16">
    <w:abstractNumId w:val="118"/>
  </w:num>
  <w:num w:numId="17">
    <w:abstractNumId w:val="108"/>
  </w:num>
  <w:num w:numId="18">
    <w:abstractNumId w:val="94"/>
  </w:num>
  <w:num w:numId="19">
    <w:abstractNumId w:val="83"/>
  </w:num>
  <w:num w:numId="20">
    <w:abstractNumId w:val="5"/>
  </w:num>
  <w:num w:numId="21">
    <w:abstractNumId w:val="76"/>
  </w:num>
  <w:num w:numId="22">
    <w:abstractNumId w:val="11"/>
  </w:num>
  <w:num w:numId="23">
    <w:abstractNumId w:val="33"/>
  </w:num>
  <w:num w:numId="24">
    <w:abstractNumId w:val="62"/>
  </w:num>
  <w:num w:numId="25">
    <w:abstractNumId w:val="49"/>
  </w:num>
  <w:num w:numId="26">
    <w:abstractNumId w:val="45"/>
  </w:num>
  <w:num w:numId="27">
    <w:abstractNumId w:val="73"/>
  </w:num>
  <w:num w:numId="28">
    <w:abstractNumId w:val="106"/>
  </w:num>
  <w:num w:numId="29">
    <w:abstractNumId w:val="6"/>
  </w:num>
  <w:num w:numId="30">
    <w:abstractNumId w:val="31"/>
  </w:num>
  <w:num w:numId="31">
    <w:abstractNumId w:val="105"/>
  </w:num>
  <w:num w:numId="32">
    <w:abstractNumId w:val="72"/>
  </w:num>
  <w:num w:numId="33">
    <w:abstractNumId w:val="22"/>
  </w:num>
  <w:num w:numId="34">
    <w:abstractNumId w:val="109"/>
  </w:num>
  <w:num w:numId="35">
    <w:abstractNumId w:val="28"/>
  </w:num>
  <w:num w:numId="36">
    <w:abstractNumId w:val="4"/>
  </w:num>
  <w:num w:numId="37">
    <w:abstractNumId w:val="38"/>
  </w:num>
  <w:num w:numId="38">
    <w:abstractNumId w:val="96"/>
  </w:num>
  <w:num w:numId="39">
    <w:abstractNumId w:val="18"/>
  </w:num>
  <w:num w:numId="40">
    <w:abstractNumId w:val="114"/>
  </w:num>
  <w:num w:numId="41">
    <w:abstractNumId w:val="42"/>
  </w:num>
  <w:num w:numId="42">
    <w:abstractNumId w:val="34"/>
  </w:num>
  <w:num w:numId="43">
    <w:abstractNumId w:val="98"/>
  </w:num>
  <w:num w:numId="44">
    <w:abstractNumId w:val="50"/>
  </w:num>
  <w:num w:numId="45">
    <w:abstractNumId w:val="58"/>
  </w:num>
  <w:num w:numId="46">
    <w:abstractNumId w:val="70"/>
  </w:num>
  <w:num w:numId="47">
    <w:abstractNumId w:val="2"/>
  </w:num>
  <w:num w:numId="48">
    <w:abstractNumId w:val="54"/>
  </w:num>
  <w:num w:numId="49">
    <w:abstractNumId w:val="66"/>
  </w:num>
  <w:num w:numId="50">
    <w:abstractNumId w:val="123"/>
  </w:num>
  <w:num w:numId="51">
    <w:abstractNumId w:val="15"/>
  </w:num>
  <w:num w:numId="52">
    <w:abstractNumId w:val="88"/>
  </w:num>
  <w:num w:numId="53">
    <w:abstractNumId w:val="82"/>
  </w:num>
  <w:num w:numId="54">
    <w:abstractNumId w:val="68"/>
  </w:num>
  <w:num w:numId="55">
    <w:abstractNumId w:val="10"/>
  </w:num>
  <w:num w:numId="56">
    <w:abstractNumId w:val="89"/>
  </w:num>
  <w:num w:numId="57">
    <w:abstractNumId w:val="90"/>
  </w:num>
  <w:num w:numId="58">
    <w:abstractNumId w:val="43"/>
  </w:num>
  <w:num w:numId="59">
    <w:abstractNumId w:val="115"/>
  </w:num>
  <w:num w:numId="60">
    <w:abstractNumId w:val="77"/>
  </w:num>
  <w:num w:numId="61">
    <w:abstractNumId w:val="61"/>
  </w:num>
  <w:num w:numId="62">
    <w:abstractNumId w:val="12"/>
  </w:num>
  <w:num w:numId="63">
    <w:abstractNumId w:val="100"/>
  </w:num>
  <w:num w:numId="64">
    <w:abstractNumId w:val="44"/>
  </w:num>
  <w:num w:numId="65">
    <w:abstractNumId w:val="102"/>
  </w:num>
  <w:num w:numId="66">
    <w:abstractNumId w:val="125"/>
  </w:num>
  <w:num w:numId="67">
    <w:abstractNumId w:val="92"/>
  </w:num>
  <w:num w:numId="68">
    <w:abstractNumId w:val="37"/>
  </w:num>
  <w:num w:numId="69">
    <w:abstractNumId w:val="110"/>
  </w:num>
  <w:num w:numId="70">
    <w:abstractNumId w:val="47"/>
  </w:num>
  <w:num w:numId="71">
    <w:abstractNumId w:val="126"/>
  </w:num>
  <w:num w:numId="72">
    <w:abstractNumId w:val="103"/>
  </w:num>
  <w:num w:numId="73">
    <w:abstractNumId w:val="57"/>
  </w:num>
  <w:num w:numId="74">
    <w:abstractNumId w:val="80"/>
  </w:num>
  <w:num w:numId="75">
    <w:abstractNumId w:val="29"/>
  </w:num>
  <w:num w:numId="76">
    <w:abstractNumId w:val="25"/>
  </w:num>
  <w:num w:numId="77">
    <w:abstractNumId w:val="24"/>
  </w:num>
  <w:num w:numId="78">
    <w:abstractNumId w:val="1"/>
  </w:num>
  <w:num w:numId="79">
    <w:abstractNumId w:val="3"/>
  </w:num>
  <w:num w:numId="80">
    <w:abstractNumId w:val="124"/>
  </w:num>
  <w:num w:numId="81">
    <w:abstractNumId w:val="112"/>
  </w:num>
  <w:num w:numId="82">
    <w:abstractNumId w:val="48"/>
  </w:num>
  <w:num w:numId="83">
    <w:abstractNumId w:val="51"/>
  </w:num>
  <w:num w:numId="84">
    <w:abstractNumId w:val="116"/>
  </w:num>
  <w:num w:numId="85">
    <w:abstractNumId w:val="9"/>
  </w:num>
  <w:num w:numId="86">
    <w:abstractNumId w:val="81"/>
  </w:num>
  <w:num w:numId="87">
    <w:abstractNumId w:val="85"/>
  </w:num>
  <w:num w:numId="88">
    <w:abstractNumId w:val="121"/>
  </w:num>
  <w:num w:numId="89">
    <w:abstractNumId w:val="84"/>
  </w:num>
  <w:num w:numId="90">
    <w:abstractNumId w:val="59"/>
  </w:num>
  <w:num w:numId="91">
    <w:abstractNumId w:val="7"/>
  </w:num>
  <w:num w:numId="92">
    <w:abstractNumId w:val="63"/>
  </w:num>
  <w:num w:numId="93">
    <w:abstractNumId w:val="107"/>
  </w:num>
  <w:num w:numId="94">
    <w:abstractNumId w:val="8"/>
  </w:num>
  <w:num w:numId="95">
    <w:abstractNumId w:val="26"/>
  </w:num>
  <w:num w:numId="96">
    <w:abstractNumId w:val="60"/>
  </w:num>
  <w:num w:numId="97">
    <w:abstractNumId w:val="127"/>
  </w:num>
  <w:num w:numId="98">
    <w:abstractNumId w:val="67"/>
  </w:num>
  <w:num w:numId="99">
    <w:abstractNumId w:val="99"/>
  </w:num>
  <w:num w:numId="100">
    <w:abstractNumId w:val="119"/>
  </w:num>
  <w:num w:numId="101">
    <w:abstractNumId w:val="36"/>
  </w:num>
  <w:num w:numId="102">
    <w:abstractNumId w:val="113"/>
  </w:num>
  <w:num w:numId="103">
    <w:abstractNumId w:val="23"/>
  </w:num>
  <w:num w:numId="104">
    <w:abstractNumId w:val="39"/>
  </w:num>
  <w:num w:numId="105">
    <w:abstractNumId w:val="46"/>
  </w:num>
  <w:num w:numId="106">
    <w:abstractNumId w:val="75"/>
  </w:num>
  <w:num w:numId="107">
    <w:abstractNumId w:val="95"/>
  </w:num>
  <w:num w:numId="108">
    <w:abstractNumId w:val="91"/>
  </w:num>
  <w:num w:numId="109">
    <w:abstractNumId w:val="41"/>
  </w:num>
  <w:num w:numId="110">
    <w:abstractNumId w:val="27"/>
  </w:num>
  <w:num w:numId="111">
    <w:abstractNumId w:val="93"/>
  </w:num>
  <w:num w:numId="112">
    <w:abstractNumId w:val="30"/>
  </w:num>
  <w:num w:numId="113">
    <w:abstractNumId w:val="14"/>
  </w:num>
  <w:num w:numId="114">
    <w:abstractNumId w:val="17"/>
  </w:num>
  <w:num w:numId="115">
    <w:abstractNumId w:val="117"/>
  </w:num>
  <w:num w:numId="116">
    <w:abstractNumId w:val="104"/>
  </w:num>
  <w:num w:numId="117">
    <w:abstractNumId w:val="19"/>
  </w:num>
  <w:num w:numId="118">
    <w:abstractNumId w:val="52"/>
  </w:num>
  <w:num w:numId="119">
    <w:abstractNumId w:val="21"/>
  </w:num>
  <w:num w:numId="120">
    <w:abstractNumId w:val="111"/>
  </w:num>
  <w:num w:numId="121">
    <w:abstractNumId w:val="35"/>
  </w:num>
  <w:num w:numId="122">
    <w:abstractNumId w:val="55"/>
  </w:num>
  <w:num w:numId="123">
    <w:abstractNumId w:val="13"/>
  </w:num>
  <w:num w:numId="124">
    <w:abstractNumId w:val="79"/>
  </w:num>
  <w:num w:numId="125">
    <w:abstractNumId w:val="71"/>
  </w:num>
  <w:num w:numId="126">
    <w:abstractNumId w:val="53"/>
  </w:num>
  <w:num w:numId="127">
    <w:abstractNumId w:val="0"/>
  </w:num>
  <w:num w:numId="128">
    <w:abstractNumId w:val="6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2EC"/>
    <w:rsid w:val="00E302EC"/>
    <w:rsid w:val="00FC4F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CC0D5-4F51-436D-89F7-C7215DF7B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29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3"/>
      <w:ind w:left="1417"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382" w:hanging="10"/>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8" Type="http://schemas.openxmlformats.org/officeDocument/2006/relationships/image" Target="media/image12.jpg"/><Relationship Id="rId17" Type="http://schemas.openxmlformats.org/officeDocument/2006/relationships/image" Target="media/image2.png"/><Relationship Id="rId16" Type="http://schemas.openxmlformats.org/officeDocument/2006/relationships/image" Target="media/image1.jp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8" Type="http://schemas.openxmlformats.org/officeDocument/2006/relationships/image" Target="media/image12.jpg"/><Relationship Id="rId17" Type="http://schemas.openxmlformats.org/officeDocument/2006/relationships/image" Target="media/image2.png"/><Relationship Id="rId16" Type="http://schemas.openxmlformats.org/officeDocument/2006/relationships/image" Target="media/image1.jp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6" Type="http://schemas.openxmlformats.org/officeDocument/2006/relationships/image" Target="media/image1.jpg"/><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58821</Words>
  <Characters>323516</Characters>
  <Application>Microsoft Office Word</Application>
  <DocSecurity>0</DocSecurity>
  <Lines>2695</Lines>
  <Paragraphs>763</Paragraphs>
  <ScaleCrop>false</ScaleCrop>
  <Company>HP</Company>
  <LinksUpToDate>false</LinksUpToDate>
  <CharactersWithSpaces>381574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2024-01-17T07:41:00Z</dcterms:created>
  <dcterms:modified xsi:type="dcterms:W3CDTF">2024-01-17T07:41:00Z</dcterms:modified>
</cp:coreProperties>
</file>